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F66E5" w14:textId="77777777" w:rsidR="008026DA" w:rsidRPr="00FE6C07" w:rsidRDefault="008026DA" w:rsidP="008026DA">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03DB0F13" w14:textId="7B21AD35" w:rsidR="008026DA" w:rsidRDefault="008026DA" w:rsidP="008026DA">
      <w:pPr>
        <w:spacing w:before="120" w:beforeAutospacing="1" w:after="240" w:afterAutospacing="1" w:line="240" w:lineRule="auto"/>
        <w:jc w:val="center"/>
        <w:rPr>
          <w:rFonts w:ascii="Arial" w:eastAsia="Times New Roman" w:hAnsi="Arial" w:cs="Arial"/>
          <w:b/>
          <w:bCs/>
          <w:i/>
          <w:iCs/>
          <w:snapToGrid w:val="0"/>
          <w:sz w:val="24"/>
          <w:szCs w:val="24"/>
        </w:rPr>
      </w:pPr>
      <w:r>
        <w:rPr>
          <w:rFonts w:ascii="Arial" w:eastAsia="Times New Roman" w:hAnsi="Arial" w:cs="Arial"/>
          <w:b/>
          <w:bCs/>
          <w:i/>
          <w:iCs/>
          <w:snapToGrid w:val="0"/>
          <w:sz w:val="24"/>
          <w:szCs w:val="24"/>
        </w:rPr>
        <w:t>Banksia montana</w:t>
      </w:r>
    </w:p>
    <w:p w14:paraId="05DE0202" w14:textId="77777777" w:rsidR="008026DA" w:rsidRPr="00FE6C07" w:rsidRDefault="008026DA" w:rsidP="008026DA">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30FFB061" w14:textId="4879C164" w:rsidR="008026DA" w:rsidRDefault="008026DA" w:rsidP="00B762FB">
      <w:pPr>
        <w:pStyle w:val="ListParagraph"/>
        <w:numPr>
          <w:ilvl w:val="0"/>
          <w:numId w:val="13"/>
        </w:numPr>
        <w:spacing w:after="200" w:line="276" w:lineRule="auto"/>
        <w:ind w:left="714" w:hanging="357"/>
        <w:contextualSpacing w:val="0"/>
        <w:rPr>
          <w:rFonts w:ascii="Arial" w:hAnsi="Arial" w:cs="Arial"/>
        </w:rPr>
      </w:pPr>
      <w:r w:rsidRPr="00C73C35">
        <w:rPr>
          <w:rFonts w:ascii="Arial" w:hAnsi="Arial" w:cs="Arial"/>
        </w:rPr>
        <w:t xml:space="preserve">the eligibility of </w:t>
      </w:r>
      <w:r>
        <w:rPr>
          <w:rFonts w:ascii="Arial" w:hAnsi="Arial" w:cs="Arial"/>
          <w:i/>
          <w:iCs/>
        </w:rPr>
        <w:t>Banksia montana</w:t>
      </w:r>
      <w:r w:rsidRPr="00C73C35">
        <w:rPr>
          <w:rFonts w:ascii="Arial" w:hAnsi="Arial" w:cs="Arial"/>
          <w:i/>
          <w:iCs/>
        </w:rPr>
        <w:t xml:space="preserve"> </w:t>
      </w:r>
      <w:r w:rsidRPr="00C73C35">
        <w:rPr>
          <w:rFonts w:ascii="Arial" w:hAnsi="Arial" w:cs="Arial"/>
        </w:rPr>
        <w:t xml:space="preserve">for inclusion on the EPBC Act threatened species list in the Critically Endangered category; and </w:t>
      </w:r>
    </w:p>
    <w:p w14:paraId="5C1E4385" w14:textId="77777777" w:rsidR="008026DA" w:rsidRPr="00C73C35" w:rsidRDefault="008026DA" w:rsidP="00B762FB">
      <w:pPr>
        <w:pStyle w:val="ListParagraph"/>
        <w:numPr>
          <w:ilvl w:val="0"/>
          <w:numId w:val="13"/>
        </w:numPr>
        <w:spacing w:after="200" w:line="276" w:lineRule="auto"/>
        <w:rPr>
          <w:rFonts w:ascii="Arial" w:hAnsi="Arial" w:cs="Arial"/>
        </w:rPr>
      </w:pPr>
      <w:r w:rsidRPr="00C73C35">
        <w:rPr>
          <w:rFonts w:ascii="Arial" w:hAnsi="Arial" w:cs="Arial"/>
          <w:lang w:eastAsia="en-AU"/>
        </w:rPr>
        <w:t>the necessary conservation actions for the above species.</w:t>
      </w:r>
    </w:p>
    <w:p w14:paraId="101126CD" w14:textId="77777777" w:rsidR="008026DA" w:rsidRDefault="008026DA" w:rsidP="008026DA">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7D0A4602" w14:textId="77777777" w:rsidR="008026DA" w:rsidRPr="00FE6C07" w:rsidRDefault="008026DA" w:rsidP="008026DA">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0E2CBC22" w14:textId="77777777" w:rsidR="008026DA" w:rsidRPr="00FE6C07" w:rsidRDefault="008026DA" w:rsidP="008026DA">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653A0C23" w14:textId="77777777" w:rsidR="008026DA" w:rsidRPr="00FE6C07" w:rsidRDefault="008026DA" w:rsidP="008026DA">
      <w:pPr>
        <w:spacing w:after="0" w:line="240" w:lineRule="auto"/>
        <w:rPr>
          <w:rFonts w:ascii="Arial" w:eastAsia="Times New Roman" w:hAnsi="Arial" w:cs="Arial"/>
        </w:rPr>
      </w:pPr>
    </w:p>
    <w:p w14:paraId="7EF085DC" w14:textId="77777777" w:rsidR="008026DA" w:rsidRDefault="008026DA" w:rsidP="008026DA">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Pr>
            <w:rFonts w:ascii="Arial" w:eastAsia="Times New Roman" w:hAnsi="Arial" w:cs="Arial"/>
            <w:color w:val="0000FF"/>
            <w:u w:val="single"/>
          </w:rPr>
          <w:t>species.consultation@awe.gov.au</w:t>
        </w:r>
      </w:hyperlink>
    </w:p>
    <w:p w14:paraId="6C4C3F62" w14:textId="77777777" w:rsidR="008026DA" w:rsidRDefault="008026DA" w:rsidP="008026DA">
      <w:pPr>
        <w:spacing w:after="0" w:line="240" w:lineRule="auto"/>
        <w:rPr>
          <w:rFonts w:ascii="Arial" w:eastAsia="Times New Roman" w:hAnsi="Arial" w:cs="Arial"/>
        </w:rPr>
      </w:pPr>
    </w:p>
    <w:p w14:paraId="4428732F" w14:textId="77777777" w:rsidR="008026DA" w:rsidRPr="00FE6C07" w:rsidRDefault="008026DA" w:rsidP="008026DA">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5ED7B128" w14:textId="77777777" w:rsidR="008026DA" w:rsidRPr="00FE6C07" w:rsidRDefault="008026DA" w:rsidP="008026DA">
      <w:pPr>
        <w:spacing w:after="0" w:line="240" w:lineRule="auto"/>
        <w:rPr>
          <w:rFonts w:ascii="Arial" w:eastAsia="Times New Roman" w:hAnsi="Arial" w:cs="Arial"/>
        </w:rPr>
      </w:pPr>
    </w:p>
    <w:p w14:paraId="13B438A1" w14:textId="77777777" w:rsidR="008026DA" w:rsidRPr="00FE6C07" w:rsidRDefault="008026DA" w:rsidP="008026DA">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03ED3DF3" w14:textId="77777777" w:rsidR="008026DA" w:rsidRPr="00FE6C07" w:rsidRDefault="008026DA" w:rsidP="008026DA">
      <w:pPr>
        <w:spacing w:after="0" w:line="240" w:lineRule="auto"/>
        <w:rPr>
          <w:rFonts w:ascii="Arial" w:eastAsia="Times New Roman" w:hAnsi="Arial" w:cs="Arial"/>
          <w:color w:val="000000"/>
        </w:rPr>
      </w:pPr>
    </w:p>
    <w:p w14:paraId="3F6E555D" w14:textId="77777777" w:rsidR="008026DA" w:rsidRPr="00FE6C07" w:rsidRDefault="008026DA" w:rsidP="008026DA">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06CDB292" w14:textId="77777777" w:rsidR="008026DA" w:rsidRPr="00E7625B" w:rsidRDefault="008026DA" w:rsidP="008026DA">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1C484017" w14:textId="77777777" w:rsidR="008026DA" w:rsidRPr="00FE6C07" w:rsidRDefault="008026DA" w:rsidP="008026DA">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1ACF7CE9" w14:textId="77777777" w:rsidR="008026DA" w:rsidRDefault="008026DA" w:rsidP="008026DA">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24F7C638" w14:textId="77777777" w:rsidR="008026DA" w:rsidRPr="00FE6C07" w:rsidRDefault="008026DA" w:rsidP="008026DA">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507C2870" w14:textId="77777777" w:rsidR="008026DA" w:rsidRPr="00FE6C07" w:rsidRDefault="008026DA" w:rsidP="008026DA">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46281F36" w14:textId="77777777" w:rsidR="008026DA" w:rsidRPr="00FE6C07" w:rsidRDefault="008026DA" w:rsidP="008026DA">
      <w:pPr>
        <w:spacing w:after="0" w:line="240" w:lineRule="auto"/>
        <w:rPr>
          <w:rFonts w:ascii="Arial" w:eastAsia="Times New Roman" w:hAnsi="Arial" w:cs="Arial"/>
          <w:color w:val="000000"/>
        </w:rPr>
      </w:pPr>
    </w:p>
    <w:p w14:paraId="0C42423F" w14:textId="77777777" w:rsidR="008026DA" w:rsidRPr="00FE6C07" w:rsidRDefault="008026DA" w:rsidP="008026DA">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Pr>
          <w:rFonts w:ascii="Arial" w:eastAsia="Times New Roman" w:hAnsi="Arial" w:cs="Arial"/>
          <w:b/>
        </w:rPr>
        <w:t>1 February</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8026DA" w:rsidRPr="00771DB7" w14:paraId="63BC4F31" w14:textId="77777777" w:rsidTr="00770BBE">
        <w:tc>
          <w:tcPr>
            <w:tcW w:w="9039" w:type="dxa"/>
            <w:tcBorders>
              <w:top w:val="single" w:sz="4" w:space="0" w:color="auto"/>
              <w:left w:val="single" w:sz="4" w:space="0" w:color="auto"/>
              <w:bottom w:val="single" w:sz="4" w:space="0" w:color="auto"/>
              <w:right w:val="single" w:sz="4" w:space="0" w:color="auto"/>
            </w:tcBorders>
            <w:shd w:val="pct15" w:color="auto" w:fill="auto"/>
          </w:tcPr>
          <w:p w14:paraId="64F42661" w14:textId="77777777" w:rsidR="008026DA" w:rsidRPr="00771DB7" w:rsidRDefault="008026DA" w:rsidP="00770BBE">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0571399F" w14:textId="77777777" w:rsidR="008026DA" w:rsidRPr="00771DB7" w:rsidRDefault="008026DA" w:rsidP="00770BBE">
            <w:pPr>
              <w:spacing w:after="0" w:line="240" w:lineRule="auto"/>
              <w:rPr>
                <w:rFonts w:ascii="Arial" w:eastAsia="Times New Roman" w:hAnsi="Arial" w:cs="Arial"/>
                <w:b/>
                <w:bCs/>
              </w:rPr>
            </w:pPr>
            <w:r w:rsidRPr="00771DB7">
              <w:rPr>
                <w:rFonts w:ascii="Arial" w:eastAsia="Times New Roman" w:hAnsi="Arial" w:cs="Arial"/>
                <w:b/>
                <w:bCs/>
              </w:rPr>
              <w:t>Page</w:t>
            </w:r>
          </w:p>
        </w:tc>
      </w:tr>
      <w:tr w:rsidR="008026DA" w:rsidRPr="00771DB7" w14:paraId="1C9C5418" w14:textId="77777777" w:rsidTr="00770BBE">
        <w:tc>
          <w:tcPr>
            <w:tcW w:w="9039" w:type="dxa"/>
            <w:tcBorders>
              <w:top w:val="single" w:sz="4" w:space="0" w:color="auto"/>
              <w:left w:val="single" w:sz="4" w:space="0" w:color="auto"/>
              <w:bottom w:val="single" w:sz="4" w:space="0" w:color="auto"/>
              <w:right w:val="single" w:sz="4" w:space="0" w:color="auto"/>
            </w:tcBorders>
          </w:tcPr>
          <w:p w14:paraId="4A37011D" w14:textId="77777777" w:rsidR="008026DA" w:rsidRPr="009C3D0F" w:rsidRDefault="008026DA" w:rsidP="00770BBE">
            <w:pPr>
              <w:spacing w:after="0" w:line="240" w:lineRule="auto"/>
              <w:rPr>
                <w:rFonts w:ascii="Arial" w:eastAsia="Times New Roman" w:hAnsi="Arial" w:cs="Arial"/>
              </w:rPr>
            </w:pPr>
            <w:r w:rsidRPr="009C3D0F">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B32881B" w14:textId="09FB34FD" w:rsidR="008026DA" w:rsidRPr="009C3D0F" w:rsidRDefault="008026DA" w:rsidP="00770BBE">
            <w:pPr>
              <w:spacing w:after="0" w:line="240" w:lineRule="auto"/>
              <w:jc w:val="center"/>
              <w:rPr>
                <w:rFonts w:ascii="Arial" w:eastAsia="Times New Roman" w:hAnsi="Arial" w:cs="Arial"/>
              </w:rPr>
            </w:pPr>
            <w:r>
              <w:rPr>
                <w:rFonts w:ascii="Arial" w:hAnsi="Arial" w:cs="Arial"/>
              </w:rPr>
              <w:t>1</w:t>
            </w:r>
          </w:p>
        </w:tc>
      </w:tr>
      <w:tr w:rsidR="008026DA" w:rsidRPr="00771DB7" w14:paraId="65596147" w14:textId="77777777" w:rsidTr="00770BBE">
        <w:tc>
          <w:tcPr>
            <w:tcW w:w="9039" w:type="dxa"/>
            <w:tcBorders>
              <w:top w:val="single" w:sz="4" w:space="0" w:color="auto"/>
              <w:left w:val="single" w:sz="4" w:space="0" w:color="auto"/>
              <w:bottom w:val="single" w:sz="4" w:space="0" w:color="auto"/>
              <w:right w:val="single" w:sz="4" w:space="0" w:color="auto"/>
            </w:tcBorders>
          </w:tcPr>
          <w:p w14:paraId="3452DFDB" w14:textId="77777777" w:rsidR="008026DA" w:rsidRPr="009C3D0F" w:rsidRDefault="008026DA" w:rsidP="00770BBE">
            <w:pPr>
              <w:spacing w:after="0" w:line="240" w:lineRule="auto"/>
              <w:rPr>
                <w:rFonts w:ascii="Arial" w:eastAsia="Times New Roman" w:hAnsi="Arial" w:cs="Arial"/>
              </w:rPr>
            </w:pPr>
            <w:r w:rsidRPr="009C3D0F">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6A62A4CE" w14:textId="052C8A9B" w:rsidR="008026DA" w:rsidRPr="009C3D0F" w:rsidRDefault="008026DA" w:rsidP="00770BBE">
            <w:pPr>
              <w:spacing w:after="0" w:line="240" w:lineRule="auto"/>
              <w:jc w:val="center"/>
              <w:rPr>
                <w:rFonts w:ascii="Arial" w:eastAsia="Times New Roman" w:hAnsi="Arial" w:cs="Arial"/>
              </w:rPr>
            </w:pPr>
            <w:r>
              <w:rPr>
                <w:rFonts w:ascii="Arial" w:eastAsia="Times New Roman" w:hAnsi="Arial" w:cs="Arial"/>
              </w:rPr>
              <w:t>2</w:t>
            </w:r>
          </w:p>
        </w:tc>
      </w:tr>
      <w:tr w:rsidR="008026DA" w:rsidRPr="00771DB7" w14:paraId="6E640ABD" w14:textId="77777777" w:rsidTr="00770BBE">
        <w:tc>
          <w:tcPr>
            <w:tcW w:w="9039" w:type="dxa"/>
            <w:tcBorders>
              <w:top w:val="single" w:sz="4" w:space="0" w:color="auto"/>
              <w:left w:val="single" w:sz="4" w:space="0" w:color="auto"/>
              <w:bottom w:val="single" w:sz="4" w:space="0" w:color="auto"/>
              <w:right w:val="single" w:sz="4" w:space="0" w:color="auto"/>
            </w:tcBorders>
          </w:tcPr>
          <w:p w14:paraId="30F5D6F5" w14:textId="77777777" w:rsidR="008026DA" w:rsidRPr="009C3D0F" w:rsidRDefault="008026DA" w:rsidP="00770BBE">
            <w:pPr>
              <w:spacing w:after="0" w:line="240" w:lineRule="auto"/>
              <w:rPr>
                <w:rFonts w:ascii="Arial" w:eastAsia="Times New Roman" w:hAnsi="Arial" w:cs="Arial"/>
              </w:rPr>
            </w:pPr>
            <w:r w:rsidRPr="009C3D0F">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624439A3" w14:textId="77777777" w:rsidR="008026DA" w:rsidRPr="00C73C35" w:rsidRDefault="008026DA" w:rsidP="00770BBE">
            <w:pPr>
              <w:spacing w:after="0" w:line="240" w:lineRule="auto"/>
              <w:jc w:val="center"/>
              <w:rPr>
                <w:rFonts w:ascii="Arial" w:eastAsia="Times New Roman" w:hAnsi="Arial" w:cs="Arial"/>
              </w:rPr>
            </w:pPr>
            <w:r w:rsidRPr="00C73C35">
              <w:rPr>
                <w:rFonts w:ascii="Arial" w:hAnsi="Arial" w:cs="Arial"/>
              </w:rPr>
              <w:t>4</w:t>
            </w:r>
          </w:p>
        </w:tc>
      </w:tr>
      <w:tr w:rsidR="008026DA" w:rsidRPr="00771DB7" w14:paraId="09093F5C" w14:textId="77777777" w:rsidTr="00770BBE">
        <w:tc>
          <w:tcPr>
            <w:tcW w:w="9039" w:type="dxa"/>
            <w:tcBorders>
              <w:top w:val="single" w:sz="4" w:space="0" w:color="auto"/>
              <w:left w:val="single" w:sz="4" w:space="0" w:color="auto"/>
              <w:bottom w:val="single" w:sz="4" w:space="0" w:color="auto"/>
              <w:right w:val="single" w:sz="4" w:space="0" w:color="auto"/>
            </w:tcBorders>
          </w:tcPr>
          <w:p w14:paraId="0EFCDD6A" w14:textId="77777777" w:rsidR="008026DA" w:rsidRPr="00C73C35" w:rsidRDefault="008026DA" w:rsidP="00770BBE">
            <w:pPr>
              <w:spacing w:after="0" w:line="240" w:lineRule="auto"/>
              <w:rPr>
                <w:rFonts w:ascii="Arial" w:eastAsia="Times New Roman" w:hAnsi="Arial" w:cs="Arial"/>
              </w:rPr>
            </w:pPr>
            <w:r w:rsidRPr="00C73C35">
              <w:rPr>
                <w:rFonts w:ascii="Arial" w:eastAsia="Times New Roman" w:hAnsi="Arial" w:cs="Arial"/>
              </w:rPr>
              <w:t xml:space="preserve">Information about </w:t>
            </w:r>
            <w:r w:rsidRPr="00C73C35">
              <w:rPr>
                <w:rFonts w:ascii="Arial" w:eastAsia="Times New Roman" w:hAnsi="Arial" w:cs="Arial"/>
                <w:iCs/>
              </w:rPr>
              <w:t xml:space="preserve">the </w:t>
            </w:r>
            <w:r w:rsidRPr="00C73C35">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15C6DC97" w14:textId="34FE1B28" w:rsidR="008026DA" w:rsidRPr="00C73C35" w:rsidRDefault="008026DA" w:rsidP="00770BBE">
            <w:pPr>
              <w:spacing w:after="0" w:line="240" w:lineRule="auto"/>
              <w:jc w:val="center"/>
              <w:rPr>
                <w:rFonts w:ascii="Arial" w:eastAsia="Times New Roman" w:hAnsi="Arial" w:cs="Arial"/>
              </w:rPr>
            </w:pPr>
            <w:r w:rsidRPr="00C73C35">
              <w:rPr>
                <w:rFonts w:ascii="Arial" w:hAnsi="Arial" w:cs="Arial"/>
              </w:rPr>
              <w:t>1</w:t>
            </w:r>
            <w:r>
              <w:rPr>
                <w:rFonts w:ascii="Arial" w:hAnsi="Arial" w:cs="Arial"/>
              </w:rPr>
              <w:t>2</w:t>
            </w:r>
          </w:p>
        </w:tc>
      </w:tr>
      <w:tr w:rsidR="008026DA" w:rsidRPr="00771DB7" w14:paraId="14CCD2A1" w14:textId="77777777" w:rsidTr="00770BBE">
        <w:tc>
          <w:tcPr>
            <w:tcW w:w="9039" w:type="dxa"/>
            <w:tcBorders>
              <w:top w:val="single" w:sz="4" w:space="0" w:color="auto"/>
              <w:left w:val="single" w:sz="4" w:space="0" w:color="auto"/>
              <w:bottom w:val="single" w:sz="4" w:space="0" w:color="auto"/>
              <w:right w:val="single" w:sz="4" w:space="0" w:color="auto"/>
            </w:tcBorders>
          </w:tcPr>
          <w:p w14:paraId="42D0703B" w14:textId="77777777" w:rsidR="008026DA" w:rsidRPr="00C73C35" w:rsidRDefault="008026DA" w:rsidP="00770BBE">
            <w:pPr>
              <w:spacing w:after="0" w:line="240" w:lineRule="auto"/>
              <w:rPr>
                <w:rFonts w:ascii="Arial" w:eastAsia="Times New Roman" w:hAnsi="Arial" w:cs="Arial"/>
              </w:rPr>
            </w:pPr>
            <w:r w:rsidRPr="00C73C35">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516E7008" w14:textId="307E4598" w:rsidR="008026DA" w:rsidRPr="00C73C35" w:rsidRDefault="008026DA" w:rsidP="00770BBE">
            <w:pPr>
              <w:spacing w:after="0" w:line="240" w:lineRule="auto"/>
              <w:jc w:val="center"/>
              <w:rPr>
                <w:rFonts w:ascii="Arial" w:eastAsia="Times New Roman" w:hAnsi="Arial" w:cs="Arial"/>
              </w:rPr>
            </w:pPr>
            <w:r>
              <w:rPr>
                <w:rFonts w:ascii="Arial" w:hAnsi="Arial" w:cs="Arial"/>
              </w:rPr>
              <w:t>25</w:t>
            </w:r>
          </w:p>
        </w:tc>
      </w:tr>
      <w:tr w:rsidR="008026DA" w:rsidRPr="00771DB7" w14:paraId="7A1A9E89" w14:textId="77777777" w:rsidTr="00770BBE">
        <w:tc>
          <w:tcPr>
            <w:tcW w:w="9039" w:type="dxa"/>
            <w:tcBorders>
              <w:top w:val="single" w:sz="4" w:space="0" w:color="auto"/>
              <w:left w:val="single" w:sz="4" w:space="0" w:color="auto"/>
              <w:bottom w:val="single" w:sz="4" w:space="0" w:color="auto"/>
              <w:right w:val="single" w:sz="4" w:space="0" w:color="auto"/>
            </w:tcBorders>
          </w:tcPr>
          <w:p w14:paraId="10B9174C" w14:textId="77777777" w:rsidR="008026DA" w:rsidRPr="00C73C35" w:rsidRDefault="008026DA" w:rsidP="00770BBE">
            <w:pPr>
              <w:spacing w:after="0" w:line="240" w:lineRule="auto"/>
              <w:rPr>
                <w:rFonts w:ascii="Arial" w:eastAsia="Times New Roman" w:hAnsi="Arial" w:cs="Arial"/>
              </w:rPr>
            </w:pPr>
            <w:r w:rsidRPr="00C73C35">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27BF89EA" w14:textId="2420852E" w:rsidR="008026DA" w:rsidRPr="00C73C35" w:rsidRDefault="008026DA" w:rsidP="00770BBE">
            <w:pPr>
              <w:spacing w:after="0" w:line="240" w:lineRule="auto"/>
              <w:jc w:val="center"/>
              <w:rPr>
                <w:rFonts w:ascii="Arial" w:hAnsi="Arial" w:cs="Arial"/>
              </w:rPr>
            </w:pPr>
            <w:r>
              <w:rPr>
                <w:rFonts w:ascii="Arial" w:hAnsi="Arial" w:cs="Arial"/>
              </w:rPr>
              <w:t>29</w:t>
            </w:r>
          </w:p>
        </w:tc>
      </w:tr>
      <w:tr w:rsidR="008026DA" w:rsidRPr="00771DB7" w14:paraId="3415B3DF" w14:textId="77777777" w:rsidTr="00770BBE">
        <w:tc>
          <w:tcPr>
            <w:tcW w:w="9039" w:type="dxa"/>
            <w:tcBorders>
              <w:top w:val="single" w:sz="4" w:space="0" w:color="auto"/>
              <w:left w:val="single" w:sz="4" w:space="0" w:color="auto"/>
              <w:bottom w:val="single" w:sz="4" w:space="0" w:color="auto"/>
              <w:right w:val="single" w:sz="4" w:space="0" w:color="auto"/>
            </w:tcBorders>
          </w:tcPr>
          <w:p w14:paraId="6A40E760" w14:textId="77777777" w:rsidR="008026DA" w:rsidRPr="00C73C35" w:rsidRDefault="008026DA" w:rsidP="00770BBE">
            <w:pPr>
              <w:spacing w:after="0" w:line="240" w:lineRule="auto"/>
              <w:rPr>
                <w:rFonts w:ascii="Arial" w:eastAsia="Times New Roman" w:hAnsi="Arial" w:cs="Arial"/>
              </w:rPr>
            </w:pPr>
            <w:r w:rsidRPr="00C73C35">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56F94695" w14:textId="5B464CAE" w:rsidR="008026DA" w:rsidRPr="00C73C35" w:rsidRDefault="008026DA" w:rsidP="00770BBE">
            <w:pPr>
              <w:spacing w:after="0" w:line="240" w:lineRule="auto"/>
              <w:jc w:val="center"/>
              <w:rPr>
                <w:rFonts w:ascii="Arial" w:eastAsia="Times New Roman" w:hAnsi="Arial" w:cs="Arial"/>
              </w:rPr>
            </w:pPr>
            <w:r>
              <w:rPr>
                <w:rFonts w:ascii="Arial" w:hAnsi="Arial" w:cs="Arial"/>
              </w:rPr>
              <w:t>34</w:t>
            </w:r>
          </w:p>
        </w:tc>
      </w:tr>
    </w:tbl>
    <w:p w14:paraId="3FA24183" w14:textId="77777777" w:rsidR="008026DA" w:rsidRDefault="008026DA" w:rsidP="008026DA">
      <w:pPr>
        <w:spacing w:line="240" w:lineRule="auto"/>
        <w:rPr>
          <w:rFonts w:ascii="Arial" w:eastAsia="Times New Roman" w:hAnsi="Arial" w:cs="Arial"/>
          <w:b/>
        </w:rPr>
      </w:pPr>
    </w:p>
    <w:p w14:paraId="4EB80DB7" w14:textId="77777777" w:rsidR="008026DA" w:rsidRDefault="008026DA" w:rsidP="008026DA">
      <w:pPr>
        <w:spacing w:line="240" w:lineRule="auto"/>
        <w:rPr>
          <w:rFonts w:ascii="Arial" w:eastAsia="Times New Roman" w:hAnsi="Arial" w:cs="Arial"/>
          <w:b/>
        </w:rPr>
      </w:pPr>
      <w:bookmarkStart w:id="0" w:name="Background"/>
      <w:r>
        <w:rPr>
          <w:rFonts w:ascii="Arial" w:eastAsia="Times New Roman" w:hAnsi="Arial" w:cs="Arial"/>
          <w:b/>
        </w:rPr>
        <w:lastRenderedPageBreak/>
        <w:t>General background information about listing threatened species</w:t>
      </w:r>
    </w:p>
    <w:bookmarkEnd w:id="0"/>
    <w:p w14:paraId="05F2F821" w14:textId="77777777" w:rsidR="008026DA" w:rsidRDefault="008026DA" w:rsidP="008026DA">
      <w:pPr>
        <w:spacing w:after="0" w:line="240" w:lineRule="auto"/>
        <w:rPr>
          <w:rFonts w:ascii="Arial" w:eastAsia="Times New Roman" w:hAnsi="Arial" w:cs="Arial"/>
        </w:rPr>
      </w:pPr>
      <w:r>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5525CAE0" w14:textId="77777777" w:rsidR="008026DA" w:rsidRDefault="00792A8F" w:rsidP="008026DA">
      <w:pPr>
        <w:spacing w:line="240" w:lineRule="auto"/>
        <w:rPr>
          <w:rFonts w:ascii="Arial" w:eastAsia="Times New Roman" w:hAnsi="Arial" w:cs="Arial"/>
        </w:rPr>
      </w:pPr>
      <w:hyperlink r:id="rId14" w:history="1">
        <w:r w:rsidR="008026DA">
          <w:rPr>
            <w:rStyle w:val="Hyperlink"/>
            <w:rFonts w:ascii="Arial" w:eastAsia="Times New Roman" w:hAnsi="Arial" w:cs="Arial"/>
          </w:rPr>
          <w:t>https://www.awe.gov.au/environment/biodiversity/threatened/recovery-plans</w:t>
        </w:r>
      </w:hyperlink>
      <w:r w:rsidR="008026DA">
        <w:rPr>
          <w:rFonts w:ascii="Arial" w:eastAsia="Times New Roman" w:hAnsi="Arial" w:cs="Arial"/>
        </w:rPr>
        <w:t>.</w:t>
      </w:r>
    </w:p>
    <w:p w14:paraId="25E4D8C1" w14:textId="77777777" w:rsidR="008026DA" w:rsidRDefault="008026DA" w:rsidP="008026DA">
      <w:pPr>
        <w:spacing w:after="0" w:line="240" w:lineRule="auto"/>
        <w:rPr>
          <w:rFonts w:ascii="Times New Roman" w:eastAsia="Times New Roman" w:hAnsi="Times New Roman" w:cs="Times New Roman"/>
          <w:color w:val="1F497D"/>
        </w:rPr>
      </w:pPr>
      <w:r>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575C34BC" w14:textId="77777777" w:rsidR="008026DA" w:rsidRDefault="00792A8F" w:rsidP="008026DA">
      <w:pPr>
        <w:spacing w:after="0" w:line="240" w:lineRule="auto"/>
        <w:rPr>
          <w:rFonts w:ascii="Times New Roman" w:eastAsia="Times New Roman" w:hAnsi="Times New Roman" w:cs="Times New Roman"/>
          <w:color w:val="1F497D"/>
          <w:szCs w:val="24"/>
        </w:rPr>
      </w:pPr>
      <w:hyperlink r:id="rId15" w:history="1">
        <w:r w:rsidR="008026DA">
          <w:rPr>
            <w:rStyle w:val="Hyperlink"/>
            <w:rFonts w:ascii="Arial" w:eastAsia="Times New Roman" w:hAnsi="Arial" w:cs="Arial"/>
            <w:szCs w:val="24"/>
          </w:rPr>
          <w:t>https://www.awe.gov.au/sites/default/files/env/pages/d72dfd1a-f0d8-4699-8d43-5d95bbb02428/files/tssc-guidelines-assessing-species-2021.pdf</w:t>
        </w:r>
      </w:hyperlink>
      <w:r w:rsidR="008026DA">
        <w:rPr>
          <w:rFonts w:ascii="Times New Roman" w:eastAsia="Times New Roman" w:hAnsi="Times New Roman" w:cs="Times New Roman"/>
          <w:color w:val="1F497D"/>
          <w:szCs w:val="24"/>
        </w:rPr>
        <w:t>.</w:t>
      </w:r>
    </w:p>
    <w:p w14:paraId="075FFB39" w14:textId="77777777" w:rsidR="008026DA" w:rsidRDefault="008026DA" w:rsidP="008026DA">
      <w:pPr>
        <w:spacing w:line="240" w:lineRule="auto"/>
        <w:rPr>
          <w:rFonts w:ascii="Arial" w:eastAsia="Times New Roman" w:hAnsi="Arial" w:cs="Arial"/>
        </w:rPr>
      </w:pPr>
    </w:p>
    <w:p w14:paraId="083574E7" w14:textId="77777777" w:rsidR="008026DA" w:rsidRDefault="008026DA" w:rsidP="008026DA">
      <w:pPr>
        <w:spacing w:line="240" w:lineRule="auto"/>
        <w:rPr>
          <w:rFonts w:ascii="Arial" w:eastAsia="Times New Roman" w:hAnsi="Arial" w:cs="Arial"/>
        </w:rPr>
      </w:pPr>
      <w:r>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Pr>
          <w:rFonts w:ascii="Arial" w:eastAsia="Times New Roman" w:hAnsi="Arial" w:cs="Arial"/>
        </w:rPr>
        <w:t>.</w:t>
      </w:r>
    </w:p>
    <w:p w14:paraId="05D2886E" w14:textId="77777777" w:rsidR="008026DA" w:rsidRDefault="008026DA" w:rsidP="008026DA">
      <w:pPr>
        <w:spacing w:line="240" w:lineRule="auto"/>
        <w:rPr>
          <w:rFonts w:ascii="Arial" w:eastAsia="Times New Roman" w:hAnsi="Arial" w:cs="Arial"/>
        </w:rPr>
      </w:pPr>
      <w:r>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Pr>
          <w:rFonts w:ascii="Arial" w:eastAsia="Times New Roman" w:hAnsi="Arial" w:cs="Arial"/>
        </w:rPr>
        <w:t>.</w:t>
      </w:r>
    </w:p>
    <w:p w14:paraId="78C89483" w14:textId="77777777" w:rsidR="008026DA" w:rsidRDefault="008026DA" w:rsidP="008026DA">
      <w:pPr>
        <w:spacing w:line="240" w:lineRule="auto"/>
        <w:rPr>
          <w:rFonts w:ascii="Arial" w:eastAsia="Times New Roman" w:hAnsi="Arial" w:cs="Arial"/>
          <w:b/>
        </w:rPr>
      </w:pPr>
      <w:r>
        <w:rPr>
          <w:rFonts w:ascii="Arial" w:eastAsia="Times New Roman" w:hAnsi="Arial" w:cs="Arial"/>
          <w:b/>
        </w:rPr>
        <w:t>Privacy notice</w:t>
      </w:r>
    </w:p>
    <w:p w14:paraId="41F65A67" w14:textId="77777777" w:rsidR="008026DA" w:rsidRDefault="008026DA" w:rsidP="008026DA">
      <w:pPr>
        <w:spacing w:line="240" w:lineRule="auto"/>
        <w:rPr>
          <w:rFonts w:ascii="Arial" w:eastAsia="Times New Roman" w:hAnsi="Arial" w:cs="Arial"/>
        </w:rPr>
      </w:pPr>
      <w:r>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22F70227" w14:textId="77777777" w:rsidR="008026DA" w:rsidRDefault="008026DA" w:rsidP="008026DA">
      <w:pPr>
        <w:spacing w:line="240" w:lineRule="auto"/>
        <w:rPr>
          <w:rFonts w:ascii="Arial" w:eastAsia="Times New Roman" w:hAnsi="Arial" w:cs="Arial"/>
        </w:rPr>
      </w:pPr>
      <w:r>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791A58BF" w14:textId="77777777" w:rsidR="008026DA" w:rsidRDefault="008026DA" w:rsidP="008026DA">
      <w:pPr>
        <w:spacing w:line="240" w:lineRule="auto"/>
        <w:rPr>
          <w:rFonts w:ascii="Arial" w:eastAsia="Times New Roman" w:hAnsi="Arial" w:cs="Arial"/>
        </w:rPr>
      </w:pPr>
      <w:r>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8" w:history="1">
        <w:r>
          <w:rPr>
            <w:rStyle w:val="Hyperlink"/>
            <w:rFonts w:ascii="Arial" w:eastAsia="Times New Roman" w:hAnsi="Arial" w:cs="Arial"/>
          </w:rPr>
          <w:t>‘Common Assessment Method’ (CAM)</w:t>
        </w:r>
      </w:hyperlink>
      <w:r>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02CB9BA4" w14:textId="77777777" w:rsidR="008026DA" w:rsidRDefault="008026DA" w:rsidP="008026DA">
      <w:pPr>
        <w:spacing w:line="240" w:lineRule="auto"/>
        <w:rPr>
          <w:rFonts w:ascii="Arial" w:eastAsia="Times New Roman" w:hAnsi="Arial" w:cs="Arial"/>
        </w:rPr>
      </w:pPr>
      <w:r>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Style w:val="Hyperlink"/>
            <w:rFonts w:ascii="Arial" w:eastAsia="Times New Roman" w:hAnsi="Arial" w:cs="Arial"/>
          </w:rPr>
          <w:t>https://www.awe.gov.au/about/commitment/privacy</w:t>
        </w:r>
      </w:hyperlink>
      <w:r>
        <w:rPr>
          <w:rFonts w:ascii="Arial" w:eastAsia="Times New Roman" w:hAnsi="Arial" w:cs="Arial"/>
        </w:rPr>
        <w:t xml:space="preserve"> .</w:t>
      </w:r>
    </w:p>
    <w:p w14:paraId="581E869E" w14:textId="77777777" w:rsidR="008026DA" w:rsidRDefault="008026DA" w:rsidP="008026DA">
      <w:pPr>
        <w:spacing w:line="240" w:lineRule="auto"/>
        <w:rPr>
          <w:rFonts w:ascii="Arial" w:eastAsia="Times New Roman" w:hAnsi="Arial" w:cs="Arial"/>
          <w:b/>
        </w:rPr>
      </w:pPr>
      <w:bookmarkStart w:id="1" w:name="Consultation"/>
      <w:r>
        <w:rPr>
          <w:rFonts w:ascii="Arial" w:eastAsia="Times New Roman" w:hAnsi="Arial" w:cs="Arial"/>
          <w:b/>
        </w:rPr>
        <w:t>Information about this consultation process</w:t>
      </w:r>
    </w:p>
    <w:bookmarkEnd w:id="1"/>
    <w:p w14:paraId="261F4367" w14:textId="77777777" w:rsidR="008026DA" w:rsidRDefault="008026DA" w:rsidP="008026DA">
      <w:pPr>
        <w:spacing w:line="240" w:lineRule="auto"/>
        <w:rPr>
          <w:rFonts w:ascii="Arial" w:eastAsia="Times New Roman" w:hAnsi="Arial" w:cs="Arial"/>
        </w:rPr>
      </w:pPr>
      <w:r>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18699565" w14:textId="77777777" w:rsidR="008026DA" w:rsidRDefault="008026DA" w:rsidP="008026DA">
      <w:pPr>
        <w:spacing w:line="240" w:lineRule="auto"/>
        <w:rPr>
          <w:rFonts w:ascii="Arial" w:eastAsia="Times New Roman" w:hAnsi="Arial" w:cs="Arial"/>
        </w:rPr>
      </w:pPr>
      <w:r>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5950867" w14:textId="77777777" w:rsidR="008026DA" w:rsidRDefault="008026DA" w:rsidP="008026DA">
      <w:pPr>
        <w:spacing w:line="240" w:lineRule="auto"/>
        <w:rPr>
          <w:rFonts w:ascii="Arial" w:eastAsia="Times New Roman" w:hAnsi="Arial" w:cs="Arial"/>
        </w:rPr>
      </w:pPr>
      <w:r>
        <w:rPr>
          <w:rFonts w:ascii="Arial" w:eastAsia="Times New Roman" w:hAnsi="Arial" w:cs="Arial"/>
        </w:rPr>
        <w:t>Information provided through consultation may be subject to freedom of information legislation and court processes. It is also important to note that under the EPBC Act,</w:t>
      </w:r>
      <w:r>
        <w:rPr>
          <w:rFonts w:ascii="Arial" w:eastAsia="Times New Roman" w:hAnsi="Arial" w:cs="Arial"/>
          <w:i/>
        </w:rPr>
        <w:t xml:space="preserve"> </w:t>
      </w:r>
      <w:r>
        <w:rPr>
          <w:rFonts w:ascii="Arial" w:eastAsia="Times New Roman" w:hAnsi="Arial" w:cs="Arial"/>
        </w:rPr>
        <w:t>the deliberations and recommendations of the Committee are confidential until the Minister has made a final decision on the nomination, unless otherwise determined by the Minister.</w:t>
      </w:r>
    </w:p>
    <w:p w14:paraId="6170208C" w14:textId="77777777" w:rsidR="008026DA" w:rsidRDefault="008026DA" w:rsidP="008026DA">
      <w:pPr>
        <w:spacing w:after="0" w:line="240" w:lineRule="auto"/>
        <w:rPr>
          <w:rFonts w:ascii="Arial" w:eastAsia="Times New Roman" w:hAnsi="Arial" w:cs="Arial"/>
          <w:b/>
          <w:sz w:val="24"/>
          <w:szCs w:val="24"/>
          <w:u w:val="single"/>
        </w:rPr>
      </w:pPr>
      <w:r>
        <w:rPr>
          <w:rFonts w:ascii="Arial" w:hAnsi="Arial" w:cs="Arial"/>
          <w:b/>
          <w:szCs w:val="24"/>
          <w:u w:val="single"/>
        </w:rPr>
        <w:br w:type="page"/>
      </w:r>
    </w:p>
    <w:p w14:paraId="259D7F7D" w14:textId="4D33CA88" w:rsidR="008026DA" w:rsidRPr="008026DA" w:rsidRDefault="008026DA" w:rsidP="008026DA">
      <w:pPr>
        <w:pStyle w:val="TSSC"/>
        <w:numPr>
          <w:ilvl w:val="0"/>
          <w:numId w:val="0"/>
        </w:numPr>
        <w:tabs>
          <w:tab w:val="clear" w:pos="567"/>
          <w:tab w:val="left" w:pos="720"/>
        </w:tabs>
        <w:ind w:left="1560" w:hanging="1560"/>
        <w:rPr>
          <w:rFonts w:ascii="Arial" w:hAnsi="Arial" w:cs="Arial"/>
          <w:b/>
          <w:szCs w:val="24"/>
          <w:u w:val="single"/>
        </w:rPr>
      </w:pPr>
      <w:r>
        <w:rPr>
          <w:rFonts w:ascii="Arial" w:hAnsi="Arial" w:cs="Arial"/>
          <w:b/>
          <w:szCs w:val="24"/>
          <w:u w:val="single"/>
        </w:rPr>
        <w:lastRenderedPageBreak/>
        <w:t>Consultation questions for</w:t>
      </w:r>
      <w:r w:rsidRPr="009F43F9">
        <w:rPr>
          <w:rFonts w:ascii="Arial" w:hAnsi="Arial" w:cs="Arial"/>
          <w:b/>
          <w:szCs w:val="24"/>
          <w:u w:val="single"/>
        </w:rPr>
        <w:t xml:space="preserve"> </w:t>
      </w:r>
      <w:r>
        <w:rPr>
          <w:rFonts w:ascii="Arial" w:hAnsi="Arial" w:cs="Arial"/>
          <w:b/>
          <w:i/>
          <w:iCs/>
          <w:szCs w:val="24"/>
          <w:u w:val="single"/>
        </w:rPr>
        <w:t>Banksia montana</w:t>
      </w:r>
      <w:r>
        <w:rPr>
          <w:rFonts w:ascii="Arial" w:hAnsi="Arial" w:cs="Arial"/>
          <w:b/>
          <w:szCs w:val="24"/>
          <w:u w:val="single"/>
        </w:rPr>
        <w:t xml:space="preserve"> (Stirling Range Dryandra)</w:t>
      </w:r>
    </w:p>
    <w:p w14:paraId="2630B614" w14:textId="77777777" w:rsidR="008026DA" w:rsidRPr="009F43F9" w:rsidRDefault="008026DA" w:rsidP="008026DA">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35C5E4AC"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Is the information used to assess the nationally threatened status of the species robust? Have all the underlying assumptions been made explicit? Please provide justification for your response.</w:t>
      </w:r>
    </w:p>
    <w:p w14:paraId="03E2784C" w14:textId="77777777" w:rsidR="008026DA" w:rsidRDefault="008026DA" w:rsidP="008026DA">
      <w:pPr>
        <w:pStyle w:val="ListParagraph"/>
        <w:autoSpaceDE w:val="0"/>
        <w:autoSpaceDN w:val="0"/>
        <w:adjustRightInd w:val="0"/>
        <w:ind w:left="360"/>
        <w:rPr>
          <w:rFonts w:ascii="Arial" w:hAnsi="Arial" w:cs="Arial"/>
        </w:rPr>
      </w:pPr>
    </w:p>
    <w:p w14:paraId="222DBEF9"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additional data or information relevant to this assessment?</w:t>
      </w:r>
    </w:p>
    <w:p w14:paraId="5004153F" w14:textId="77777777" w:rsidR="008026DA" w:rsidRDefault="008026DA" w:rsidP="008026DA">
      <w:pPr>
        <w:pStyle w:val="ListParagraph"/>
        <w:autoSpaceDE w:val="0"/>
        <w:autoSpaceDN w:val="0"/>
        <w:adjustRightInd w:val="0"/>
        <w:ind w:left="360"/>
        <w:rPr>
          <w:rFonts w:ascii="Arial" w:hAnsi="Arial" w:cs="Arial"/>
        </w:rPr>
      </w:pPr>
    </w:p>
    <w:p w14:paraId="47AFF3F8"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Have you been involved in previous state, territory or national assessments of this species? If so, in what capacity?</w:t>
      </w:r>
    </w:p>
    <w:p w14:paraId="442F4204" w14:textId="77777777" w:rsidR="008026DA" w:rsidRDefault="008026DA" w:rsidP="008026DA">
      <w:pPr>
        <w:autoSpaceDE w:val="0"/>
        <w:autoSpaceDN w:val="0"/>
        <w:adjustRightInd w:val="0"/>
        <w:rPr>
          <w:rFonts w:ascii="Arial" w:hAnsi="Arial" w:cs="Arial"/>
        </w:rPr>
      </w:pPr>
    </w:p>
    <w:p w14:paraId="640473E2" w14:textId="77777777" w:rsidR="008026DA" w:rsidRDefault="008026DA" w:rsidP="008026DA">
      <w:pPr>
        <w:shd w:val="clear" w:color="auto" w:fill="D9D9D9" w:themeFill="background1" w:themeFillShade="D9"/>
        <w:autoSpaceDE w:val="0"/>
        <w:autoSpaceDN w:val="0"/>
        <w:adjustRightInd w:val="0"/>
        <w:jc w:val="center"/>
        <w:rPr>
          <w:rFonts w:ascii="Arial" w:hAnsi="Arial" w:cs="Arial"/>
          <w:b/>
        </w:rPr>
      </w:pPr>
    </w:p>
    <w:p w14:paraId="19DE9C8A" w14:textId="77777777" w:rsidR="008026DA" w:rsidRDefault="008026DA" w:rsidP="008026DA">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0C282224" w14:textId="77777777" w:rsidR="008026DA" w:rsidRDefault="008026DA" w:rsidP="008026DA">
      <w:pPr>
        <w:shd w:val="clear" w:color="auto" w:fill="D9D9D9" w:themeFill="background1" w:themeFillShade="D9"/>
        <w:autoSpaceDE w:val="0"/>
        <w:autoSpaceDN w:val="0"/>
        <w:adjustRightInd w:val="0"/>
        <w:jc w:val="center"/>
        <w:rPr>
          <w:rFonts w:ascii="Arial" w:hAnsi="Arial" w:cs="Arial"/>
          <w:b/>
        </w:rPr>
      </w:pPr>
    </w:p>
    <w:p w14:paraId="7AB287E8" w14:textId="77777777" w:rsidR="008026DA" w:rsidRDefault="008026DA" w:rsidP="008026DA">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2E14BE67" w14:textId="77777777" w:rsidR="008026DA" w:rsidRDefault="008026DA" w:rsidP="008026DA">
      <w:pPr>
        <w:autoSpaceDE w:val="0"/>
        <w:autoSpaceDN w:val="0"/>
        <w:adjustRightInd w:val="0"/>
        <w:rPr>
          <w:rFonts w:ascii="Arial" w:hAnsi="Arial" w:cs="Arial"/>
          <w:b/>
          <w:bCs/>
        </w:rPr>
      </w:pPr>
      <w:r>
        <w:rPr>
          <w:rFonts w:ascii="Arial" w:hAnsi="Arial" w:cs="Arial"/>
          <w:b/>
          <w:bCs/>
        </w:rPr>
        <w:t>Biological information</w:t>
      </w:r>
    </w:p>
    <w:p w14:paraId="6CD93747"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any additional or alternative references, information or estimates on longevity, average life span and generation length?</w:t>
      </w:r>
    </w:p>
    <w:p w14:paraId="642A9208" w14:textId="77777777" w:rsidR="008026DA" w:rsidRDefault="008026DA" w:rsidP="008026DA">
      <w:pPr>
        <w:pStyle w:val="ListParagraph"/>
        <w:autoSpaceDE w:val="0"/>
        <w:autoSpaceDN w:val="0"/>
        <w:adjustRightInd w:val="0"/>
        <w:ind w:left="360"/>
        <w:rPr>
          <w:rFonts w:ascii="Arial" w:hAnsi="Arial" w:cs="Arial"/>
        </w:rPr>
      </w:pPr>
    </w:p>
    <w:p w14:paraId="503124D5"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Do you have any additional information on the ecology or biology of the species/subspecies not in the current advice?</w:t>
      </w:r>
    </w:p>
    <w:p w14:paraId="085ED6C0" w14:textId="77777777" w:rsidR="008026DA" w:rsidRDefault="008026DA" w:rsidP="008026DA">
      <w:pPr>
        <w:autoSpaceDE w:val="0"/>
        <w:autoSpaceDN w:val="0"/>
        <w:adjustRightInd w:val="0"/>
        <w:rPr>
          <w:rFonts w:ascii="Arial" w:hAnsi="Arial" w:cs="Arial"/>
        </w:rPr>
      </w:pPr>
    </w:p>
    <w:p w14:paraId="39612F49" w14:textId="77777777" w:rsidR="008026DA" w:rsidRDefault="008026DA" w:rsidP="008026DA">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605FCB73" w14:textId="77777777" w:rsidR="008026DA" w:rsidRDefault="008026DA" w:rsidP="008026DA">
      <w:pPr>
        <w:autoSpaceDE w:val="0"/>
        <w:autoSpaceDN w:val="0"/>
        <w:adjustRightInd w:val="0"/>
        <w:rPr>
          <w:rFonts w:ascii="Arial,Bold" w:hAnsi="Arial,Bold" w:cs="Arial,Bold"/>
          <w:b/>
          <w:bCs/>
        </w:rPr>
      </w:pPr>
      <w:r>
        <w:rPr>
          <w:rFonts w:ascii="Arial,Bold" w:hAnsi="Arial,Bold" w:cs="Arial,Bold"/>
          <w:b/>
          <w:bCs/>
        </w:rPr>
        <w:t>Population size</w:t>
      </w:r>
    </w:p>
    <w:p w14:paraId="560CE300"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476D6A3D" w14:textId="77777777" w:rsidR="008026DA" w:rsidRDefault="008026DA" w:rsidP="008026DA">
      <w:pPr>
        <w:pStyle w:val="ListParagraph"/>
        <w:autoSpaceDE w:val="0"/>
        <w:autoSpaceDN w:val="0"/>
        <w:adjustRightInd w:val="0"/>
        <w:ind w:left="360"/>
        <w:rPr>
          <w:rFonts w:ascii="Arial" w:hAnsi="Arial" w:cs="Arial"/>
        </w:rPr>
      </w:pPr>
    </w:p>
    <w:p w14:paraId="4B918DEF"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29FEF99E" w14:textId="77777777" w:rsidR="008026DA" w:rsidRDefault="008026DA" w:rsidP="008026DA">
      <w:pPr>
        <w:pStyle w:val="ListParagraph"/>
        <w:autoSpaceDE w:val="0"/>
        <w:autoSpaceDN w:val="0"/>
        <w:adjustRightInd w:val="0"/>
        <w:ind w:left="360"/>
        <w:rPr>
          <w:rFonts w:ascii="Arial" w:hAnsi="Arial" w:cs="Arial"/>
        </w:rPr>
      </w:pPr>
    </w:p>
    <w:p w14:paraId="35BAFC8A"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If not, can you provide a further estimate of the current population size of mature adults of the species (national extent)? Please provide supporting justification or other information.</w:t>
      </w:r>
    </w:p>
    <w:p w14:paraId="61770150" w14:textId="77777777" w:rsidR="008026DA" w:rsidRDefault="008026DA" w:rsidP="008026DA">
      <w:pPr>
        <w:pStyle w:val="ListParagraph"/>
        <w:autoSpaceDE w:val="0"/>
        <w:autoSpaceDN w:val="0"/>
        <w:adjustRightInd w:val="0"/>
        <w:ind w:left="360"/>
        <w:rPr>
          <w:rFonts w:ascii="Arial" w:hAnsi="Arial" w:cs="Arial"/>
        </w:rPr>
      </w:pPr>
    </w:p>
    <w:p w14:paraId="2D7A4955"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w:t>
      </w:r>
      <w:r>
        <w:rPr>
          <w:rFonts w:ascii="Arial" w:hAnsi="Arial" w:cs="Arial"/>
        </w:rPr>
        <w:lastRenderedPageBreak/>
        <w:t>suggested in the table below of possible species numbers, and also choose the level of confidence you have in this estimate:</w:t>
      </w:r>
    </w:p>
    <w:p w14:paraId="475C119A" w14:textId="77777777" w:rsidR="008026DA" w:rsidRDefault="008026DA" w:rsidP="008026DA">
      <w:pPr>
        <w:autoSpaceDE w:val="0"/>
        <w:autoSpaceDN w:val="0"/>
        <w:adjustRightInd w:val="0"/>
        <w:ind w:left="1560" w:hanging="1560"/>
        <w:rPr>
          <w:rFonts w:ascii="Arial" w:hAnsi="Arial" w:cs="Arial"/>
          <w:b/>
        </w:rPr>
      </w:pPr>
    </w:p>
    <w:p w14:paraId="321C24FA"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7CC3511A" w14:textId="032AF9AD" w:rsidR="008026DA" w:rsidRPr="00E953DB" w:rsidRDefault="008026DA" w:rsidP="008026DA">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1–10 </w:t>
      </w:r>
      <w:r>
        <w:rPr>
          <w:rFonts w:ascii="Arial" w:hAnsi="Arial" w:cs="Arial"/>
          <w:sz w:val="44"/>
          <w:szCs w:val="44"/>
        </w:rPr>
        <w:t>□</w:t>
      </w:r>
      <w:r>
        <w:rPr>
          <w:rFonts w:ascii="Arial" w:hAnsi="Arial" w:cs="Arial"/>
        </w:rPr>
        <w:t xml:space="preserve"> 10 – 50 </w:t>
      </w:r>
      <w:r>
        <w:rPr>
          <w:rFonts w:ascii="Arial" w:hAnsi="Arial" w:cs="Arial"/>
          <w:sz w:val="44"/>
          <w:szCs w:val="44"/>
        </w:rPr>
        <w:t>□</w:t>
      </w:r>
      <w:r>
        <w:rPr>
          <w:rFonts w:ascii="Arial" w:hAnsi="Arial" w:cs="Arial"/>
        </w:rPr>
        <w:t xml:space="preserve"> 50–100 </w:t>
      </w:r>
      <w:r>
        <w:rPr>
          <w:rFonts w:ascii="Arial" w:hAnsi="Arial" w:cs="Arial"/>
          <w:sz w:val="44"/>
          <w:szCs w:val="44"/>
        </w:rPr>
        <w:t xml:space="preserve">□ </w:t>
      </w:r>
      <w:r w:rsidRPr="008026DA">
        <w:rPr>
          <w:rFonts w:ascii="Arial" w:hAnsi="Arial" w:cs="Arial"/>
        </w:rPr>
        <w:t xml:space="preserve">100 – 250 </w:t>
      </w:r>
      <w:r w:rsidRPr="008026DA">
        <w:rPr>
          <w:rFonts w:ascii="Arial" w:hAnsi="Arial" w:cs="Arial"/>
          <w:sz w:val="40"/>
          <w:szCs w:val="40"/>
        </w:rPr>
        <w:t>□</w:t>
      </w:r>
      <w:r w:rsidRPr="008026DA">
        <w:rPr>
          <w:rFonts w:ascii="Arial" w:hAnsi="Arial" w:cs="Arial"/>
        </w:rPr>
        <w:t xml:space="preserve"> &gt;250</w:t>
      </w:r>
    </w:p>
    <w:p w14:paraId="6C0B3AD1" w14:textId="77777777" w:rsidR="008026DA" w:rsidRDefault="008026DA" w:rsidP="008026DA">
      <w:pPr>
        <w:pStyle w:val="ListParagraph"/>
        <w:autoSpaceDE w:val="0"/>
        <w:autoSpaceDN w:val="0"/>
        <w:adjustRightInd w:val="0"/>
        <w:ind w:left="360"/>
        <w:rPr>
          <w:rFonts w:ascii="Arial" w:hAnsi="Arial" w:cs="Arial"/>
        </w:rPr>
      </w:pPr>
    </w:p>
    <w:p w14:paraId="05DC652E" w14:textId="77777777" w:rsidR="008026DA" w:rsidRDefault="008026DA" w:rsidP="008026DA">
      <w:pPr>
        <w:pStyle w:val="ListParagraph"/>
        <w:keepNext/>
        <w:keepLines/>
        <w:autoSpaceDE w:val="0"/>
        <w:autoSpaceDN w:val="0"/>
        <w:adjustRightInd w:val="0"/>
        <w:ind w:left="357"/>
        <w:rPr>
          <w:rFonts w:ascii="Arial" w:hAnsi="Arial" w:cs="Arial"/>
        </w:rPr>
      </w:pPr>
      <w:r>
        <w:rPr>
          <w:rFonts w:ascii="Arial" w:hAnsi="Arial" w:cs="Arial"/>
        </w:rPr>
        <w:t>Level of your confidence in this estimate:</w:t>
      </w:r>
    </w:p>
    <w:p w14:paraId="732255EC" w14:textId="77777777" w:rsidR="008026DA" w:rsidRDefault="008026DA" w:rsidP="008026DA">
      <w:pPr>
        <w:pStyle w:val="ListParagraph"/>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0–30% - low level of certainty/a bit of a guess/not much information to go on</w:t>
      </w:r>
    </w:p>
    <w:p w14:paraId="07473221" w14:textId="77777777" w:rsidR="008026DA" w:rsidRDefault="008026DA" w:rsidP="008026DA">
      <w:pPr>
        <w:pStyle w:val="ListParagraph"/>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15AC4F9"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22436C03"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0F93639E"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2461648A" w14:textId="77777777" w:rsidR="008026DA" w:rsidRDefault="008026DA" w:rsidP="008026DA">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475AC831" w14:textId="77777777" w:rsidR="008026DA" w:rsidRDefault="008026DA" w:rsidP="00B762FB">
      <w:pPr>
        <w:pStyle w:val="ListParagraph"/>
        <w:numPr>
          <w:ilvl w:val="0"/>
          <w:numId w:val="12"/>
        </w:numPr>
        <w:autoSpaceDE w:val="0"/>
        <w:autoSpaceDN w:val="0"/>
        <w:adjustRightInd w:val="0"/>
        <w:rPr>
          <w:rFonts w:ascii="Arial" w:hAnsi="Arial" w:cs="Arial"/>
        </w:rPr>
      </w:pPr>
      <w:r w:rsidRPr="00C73C35">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00BED346" w14:textId="77777777" w:rsidR="008026DA" w:rsidRPr="00C73C35" w:rsidRDefault="008026DA" w:rsidP="008026DA">
      <w:pPr>
        <w:autoSpaceDE w:val="0"/>
        <w:autoSpaceDN w:val="0"/>
        <w:adjustRightInd w:val="0"/>
        <w:spacing w:after="0" w:line="240" w:lineRule="auto"/>
        <w:rPr>
          <w:rFonts w:ascii="Arial" w:hAnsi="Arial" w:cs="Arial"/>
        </w:rPr>
      </w:pPr>
    </w:p>
    <w:p w14:paraId="33BBE53E" w14:textId="77777777" w:rsidR="008026DA" w:rsidRDefault="008026DA" w:rsidP="008026DA">
      <w:pPr>
        <w:autoSpaceDE w:val="0"/>
        <w:autoSpaceDN w:val="0"/>
        <w:adjustRightInd w:val="0"/>
        <w:spacing w:after="0" w:line="240" w:lineRule="auto"/>
        <w:rPr>
          <w:rFonts w:ascii="Arial" w:hAnsi="Arial" w:cs="Arial"/>
        </w:rPr>
      </w:pPr>
      <w:r w:rsidRPr="00C73C35">
        <w:rPr>
          <w:rFonts w:ascii="Arial,Bold" w:hAnsi="Arial,Bold" w:cs="Arial,Bold"/>
          <w:b/>
          <w:bCs/>
        </w:rPr>
        <w:t>Evidence of total population size change</w:t>
      </w:r>
    </w:p>
    <w:p w14:paraId="4A5659EF" w14:textId="77777777" w:rsidR="008026DA" w:rsidRPr="00C73C35" w:rsidRDefault="008026DA" w:rsidP="008026DA">
      <w:pPr>
        <w:autoSpaceDE w:val="0"/>
        <w:autoSpaceDN w:val="0"/>
        <w:adjustRightInd w:val="0"/>
        <w:spacing w:after="0" w:line="240" w:lineRule="auto"/>
        <w:rPr>
          <w:rFonts w:ascii="Arial" w:hAnsi="Arial" w:cs="Arial"/>
        </w:rPr>
      </w:pPr>
    </w:p>
    <w:p w14:paraId="6DC50611" w14:textId="77777777" w:rsidR="008026DA" w:rsidRPr="00B37D61" w:rsidRDefault="008026DA" w:rsidP="00B762FB">
      <w:pPr>
        <w:pStyle w:val="ListParagraph"/>
        <w:numPr>
          <w:ilvl w:val="0"/>
          <w:numId w:val="12"/>
        </w:numPr>
        <w:autoSpaceDE w:val="0"/>
        <w:autoSpaceDN w:val="0"/>
        <w:adjustRightInd w:val="0"/>
        <w:rPr>
          <w:rFonts w:ascii="Arial,Italic" w:hAnsi="Arial,Italic" w:cs="Arial,Italic"/>
          <w:i/>
          <w:iCs/>
        </w:rPr>
      </w:pPr>
      <w:r w:rsidRPr="00B37D61">
        <w:rPr>
          <w:rFonts w:ascii="Arial" w:hAnsi="Arial" w:cs="Arial"/>
        </w:rPr>
        <w:t xml:space="preserve">Are you able to provide an estimate of the total population size during the early 1980s </w:t>
      </w:r>
      <w:r w:rsidRPr="00B37D61">
        <w:rPr>
          <w:rFonts w:ascii="Arial,Italic" w:hAnsi="Arial,Italic" w:cs="Arial,Italic"/>
          <w:i/>
          <w:iCs/>
        </w:rPr>
        <w:t>(at or soon after the start of the most recent three generation)</w:t>
      </w:r>
      <w:r w:rsidRPr="00B37D61">
        <w:rPr>
          <w:rFonts w:ascii="Arial" w:hAnsi="Arial" w:cs="Arial"/>
        </w:rPr>
        <w:t>? Please provide justification for your response.</w:t>
      </w:r>
    </w:p>
    <w:p w14:paraId="3A86B369" w14:textId="77777777" w:rsidR="008026DA" w:rsidRDefault="008026DA" w:rsidP="008026DA">
      <w:pPr>
        <w:pStyle w:val="ListParagraph"/>
        <w:autoSpaceDE w:val="0"/>
        <w:autoSpaceDN w:val="0"/>
        <w:adjustRightInd w:val="0"/>
        <w:ind w:left="360"/>
        <w:rPr>
          <w:rFonts w:ascii="Arial,Italic" w:hAnsi="Arial,Italic" w:cs="Arial,Italic"/>
          <w:i/>
          <w:iCs/>
        </w:rPr>
      </w:pPr>
    </w:p>
    <w:p w14:paraId="5C9D9916"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2506C7F2" w14:textId="77777777" w:rsidR="008026DA" w:rsidRDefault="008026DA" w:rsidP="008026DA">
      <w:pPr>
        <w:pStyle w:val="ListParagraph"/>
        <w:autoSpaceDE w:val="0"/>
        <w:autoSpaceDN w:val="0"/>
        <w:adjustRightInd w:val="0"/>
        <w:ind w:left="360"/>
        <w:rPr>
          <w:rFonts w:ascii="Arial" w:hAnsi="Arial" w:cs="Arial"/>
        </w:rPr>
      </w:pPr>
    </w:p>
    <w:p w14:paraId="1031586C"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019E1FA" w14:textId="781C6A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&lt;50 </w:t>
      </w:r>
      <w:r>
        <w:rPr>
          <w:rFonts w:ascii="Arial" w:hAnsi="Arial" w:cs="Arial"/>
          <w:sz w:val="44"/>
          <w:szCs w:val="44"/>
        </w:rPr>
        <w:t>□</w:t>
      </w:r>
      <w:r>
        <w:rPr>
          <w:rFonts w:ascii="Arial" w:hAnsi="Arial" w:cs="Arial"/>
        </w:rPr>
        <w:t xml:space="preserve"> 50 – 250 </w:t>
      </w:r>
      <w:r>
        <w:rPr>
          <w:rFonts w:ascii="Arial" w:hAnsi="Arial" w:cs="Arial"/>
          <w:sz w:val="44"/>
          <w:szCs w:val="44"/>
        </w:rPr>
        <w:t>□</w:t>
      </w:r>
      <w:r>
        <w:rPr>
          <w:rFonts w:ascii="Arial" w:hAnsi="Arial" w:cs="Arial"/>
        </w:rPr>
        <w:t xml:space="preserve"> 250 – 500</w:t>
      </w:r>
      <w:r>
        <w:rPr>
          <w:rFonts w:ascii="Arial" w:hAnsi="Arial" w:cs="Arial"/>
          <w:sz w:val="44"/>
          <w:szCs w:val="44"/>
        </w:rPr>
        <w:t xml:space="preserve"> □ </w:t>
      </w:r>
      <w:r>
        <w:rPr>
          <w:rFonts w:ascii="Arial" w:hAnsi="Arial" w:cs="Arial"/>
        </w:rPr>
        <w:t>500 – 1000</w:t>
      </w:r>
      <w:r>
        <w:rPr>
          <w:rFonts w:ascii="Arial" w:hAnsi="Arial" w:cs="Arial"/>
          <w:sz w:val="44"/>
          <w:szCs w:val="44"/>
        </w:rPr>
        <w:t xml:space="preserve"> □</w:t>
      </w:r>
      <w:r>
        <w:rPr>
          <w:rFonts w:ascii="Arial" w:hAnsi="Arial" w:cs="Arial"/>
        </w:rPr>
        <w:t xml:space="preserve"> &gt;1000</w:t>
      </w:r>
    </w:p>
    <w:p w14:paraId="0BFF1D3F" w14:textId="77777777" w:rsidR="008026DA" w:rsidRDefault="008026DA" w:rsidP="008026DA">
      <w:pPr>
        <w:pStyle w:val="ListParagraph"/>
        <w:autoSpaceDE w:val="0"/>
        <w:autoSpaceDN w:val="0"/>
        <w:adjustRightInd w:val="0"/>
        <w:ind w:left="360"/>
        <w:rPr>
          <w:rFonts w:ascii="Arial" w:hAnsi="Arial" w:cs="Arial"/>
        </w:rPr>
      </w:pPr>
    </w:p>
    <w:p w14:paraId="5511C32A"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257914D3"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certainty/a bit of a guess/not much information to go on</w:t>
      </w:r>
    </w:p>
    <w:p w14:paraId="3120B214"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E5C716C"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4B781300"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587DCDE0"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99–100% - very high level of certainty, data are accurate within this range</w:t>
      </w:r>
    </w:p>
    <w:p w14:paraId="6D4FF346" w14:textId="77777777" w:rsidR="008026DA" w:rsidRDefault="008026DA" w:rsidP="008026DA">
      <w:pPr>
        <w:autoSpaceDE w:val="0"/>
        <w:autoSpaceDN w:val="0"/>
        <w:adjustRightInd w:val="0"/>
        <w:rPr>
          <w:rFonts w:ascii="Arial,Italic" w:hAnsi="Arial,Italic" w:cs="Arial,Italic"/>
          <w:i/>
          <w:iCs/>
        </w:rPr>
      </w:pPr>
    </w:p>
    <w:p w14:paraId="2F34A9A9" w14:textId="77777777" w:rsidR="008026DA" w:rsidRDefault="008026DA" w:rsidP="00B762FB">
      <w:pPr>
        <w:pStyle w:val="ListParagraph"/>
        <w:numPr>
          <w:ilvl w:val="0"/>
          <w:numId w:val="12"/>
        </w:numPr>
        <w:autoSpaceDE w:val="0"/>
        <w:autoSpaceDN w:val="0"/>
        <w:adjustRightInd w:val="0"/>
        <w:rPr>
          <w:rFonts w:ascii="Arial" w:hAnsi="Arial" w:cs="Arial"/>
        </w:rPr>
      </w:pPr>
      <w:r w:rsidRPr="00B37D61">
        <w:rPr>
          <w:rFonts w:ascii="Arial" w:hAnsi="Arial" w:cs="Arial"/>
        </w:rPr>
        <w:t xml:space="preserve">Are you able to comment on the extent of decline in the species’ total population size over the last approximately </w:t>
      </w:r>
      <w:r>
        <w:rPr>
          <w:rFonts w:ascii="Arial" w:hAnsi="Arial" w:cs="Arial"/>
        </w:rPr>
        <w:t>39 to 40.5</w:t>
      </w:r>
      <w:r w:rsidRPr="00B37D61">
        <w:rPr>
          <w:rFonts w:ascii="Arial" w:hAnsi="Arial" w:cs="Arial"/>
        </w:rPr>
        <w:t xml:space="preserve"> years</w:t>
      </w:r>
      <w:r w:rsidRPr="00B37D61">
        <w:rPr>
          <w:rFonts w:ascii="Arial" w:hAnsi="Arial" w:cs="Arial"/>
          <w:color w:val="FF0000"/>
        </w:rPr>
        <w:t xml:space="preserve"> </w:t>
      </w:r>
      <w:r w:rsidRPr="00B37D61">
        <w:rPr>
          <w:rFonts w:ascii="Arial" w:hAnsi="Arial" w:cs="Arial"/>
        </w:rPr>
        <w:t>(i.e. three generations)? Please provide justification for your response.</w:t>
      </w:r>
    </w:p>
    <w:p w14:paraId="125D7B29" w14:textId="77777777" w:rsidR="008026DA" w:rsidRPr="00C73C35" w:rsidRDefault="008026DA" w:rsidP="008026DA">
      <w:pPr>
        <w:pStyle w:val="ListParagraph"/>
        <w:autoSpaceDE w:val="0"/>
        <w:autoSpaceDN w:val="0"/>
        <w:adjustRightInd w:val="0"/>
        <w:ind w:left="360"/>
        <w:rPr>
          <w:rFonts w:ascii="Arial" w:hAnsi="Arial" w:cs="Arial"/>
        </w:rPr>
      </w:pPr>
    </w:p>
    <w:p w14:paraId="274A814E" w14:textId="77777777" w:rsidR="008026DA" w:rsidRDefault="008026DA" w:rsidP="008026DA">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704F43A8" w14:textId="77777777" w:rsidR="008026DA" w:rsidRDefault="008026DA" w:rsidP="008026DA">
      <w:pPr>
        <w:keepNext/>
        <w:keepLines/>
        <w:autoSpaceDE w:val="0"/>
        <w:autoSpaceDN w:val="0"/>
        <w:adjustRightInd w:val="0"/>
        <w:ind w:left="357"/>
        <w:rPr>
          <w:rFonts w:ascii="Arial" w:hAnsi="Arial" w:cs="Arial"/>
        </w:rPr>
      </w:pPr>
      <w:r>
        <w:rPr>
          <w:rFonts w:ascii="Arial" w:hAnsi="Arial" w:cs="Arial"/>
        </w:rPr>
        <w:t>Decline estimated to be in the range of:</w:t>
      </w:r>
    </w:p>
    <w:p w14:paraId="2BE37852"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508BB808" w14:textId="77777777" w:rsidR="008026DA" w:rsidRDefault="008026DA" w:rsidP="008026DA">
      <w:pPr>
        <w:autoSpaceDE w:val="0"/>
        <w:autoSpaceDN w:val="0"/>
        <w:adjustRightInd w:val="0"/>
        <w:ind w:left="360"/>
        <w:rPr>
          <w:rFonts w:ascii="Arial" w:hAnsi="Arial" w:cs="Arial"/>
        </w:rPr>
      </w:pPr>
      <w:r>
        <w:rPr>
          <w:rFonts w:ascii="Arial" w:hAnsi="Arial" w:cs="Arial"/>
        </w:rPr>
        <w:t>Level of your confidence in this estimated decline:</w:t>
      </w:r>
    </w:p>
    <w:p w14:paraId="1B1FE75F"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1FBE089"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6E1A404"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395DE26E"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61C4598B" w14:textId="77777777" w:rsidR="008026DA"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44AC238E"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Please provide (if known) any additional evidence which shows the population is stable, increasing or declining.</w:t>
      </w:r>
    </w:p>
    <w:p w14:paraId="1ADCD44E" w14:textId="77777777" w:rsidR="008026DA" w:rsidRDefault="008026DA" w:rsidP="008026DA">
      <w:pPr>
        <w:autoSpaceDE w:val="0"/>
        <w:autoSpaceDN w:val="0"/>
        <w:adjustRightInd w:val="0"/>
        <w:rPr>
          <w:rFonts w:ascii="Arial" w:hAnsi="Arial" w:cs="Arial"/>
        </w:rPr>
      </w:pPr>
    </w:p>
    <w:p w14:paraId="24C98662" w14:textId="77777777" w:rsidR="008026DA" w:rsidRDefault="008026DA" w:rsidP="008026DA">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62353378" w14:textId="77777777" w:rsidR="008026DA" w:rsidRDefault="008026DA" w:rsidP="008026DA">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2E046294"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Does the assessment consider the entire geographic extent and national extent of the species? If not, please provide justification for your response.</w:t>
      </w:r>
    </w:p>
    <w:p w14:paraId="79469563" w14:textId="77777777" w:rsidR="008026DA" w:rsidRDefault="008026DA" w:rsidP="008026DA">
      <w:pPr>
        <w:pStyle w:val="ListParagraph"/>
        <w:autoSpaceDE w:val="0"/>
        <w:autoSpaceDN w:val="0"/>
        <w:adjustRightInd w:val="0"/>
        <w:ind w:left="360"/>
        <w:rPr>
          <w:rFonts w:ascii="Arial" w:hAnsi="Arial" w:cs="Arial"/>
        </w:rPr>
      </w:pPr>
    </w:p>
    <w:p w14:paraId="23DDFE10"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Has the survey effort for this species been adequate to determine its national distribution? If not, please provide justification for your response.</w:t>
      </w:r>
    </w:p>
    <w:p w14:paraId="16687279" w14:textId="77777777" w:rsidR="008026DA" w:rsidRDefault="008026DA" w:rsidP="008026DA">
      <w:pPr>
        <w:pStyle w:val="ListParagraph"/>
        <w:autoSpaceDE w:val="0"/>
        <w:autoSpaceDN w:val="0"/>
        <w:adjustRightInd w:val="0"/>
        <w:ind w:left="360"/>
        <w:rPr>
          <w:rFonts w:ascii="Arial" w:hAnsi="Arial" w:cs="Arial"/>
        </w:rPr>
      </w:pPr>
    </w:p>
    <w:p w14:paraId="3FFC4A73"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Is the distribution described in the assessment accurate? If not, please provide justification for your response and provide alternate information.</w:t>
      </w:r>
    </w:p>
    <w:p w14:paraId="4CC0E3FC" w14:textId="77777777" w:rsidR="008026DA" w:rsidRDefault="008026DA" w:rsidP="008026DA">
      <w:pPr>
        <w:pStyle w:val="ListParagraph"/>
        <w:autoSpaceDE w:val="0"/>
        <w:autoSpaceDN w:val="0"/>
        <w:adjustRightInd w:val="0"/>
        <w:ind w:left="360"/>
        <w:rPr>
          <w:rFonts w:ascii="Arial" w:hAnsi="Arial" w:cs="Arial"/>
        </w:rPr>
      </w:pPr>
    </w:p>
    <w:p w14:paraId="1EF71BF5"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lastRenderedPageBreak/>
        <w:t>Do you agree that the way the current extent of occurrence and/or area of occupancy have been estimated is appropriate? Please provide justification for your response.</w:t>
      </w:r>
    </w:p>
    <w:p w14:paraId="08F83E94" w14:textId="77777777" w:rsidR="008026DA" w:rsidRDefault="008026DA" w:rsidP="008026DA">
      <w:pPr>
        <w:pStyle w:val="ListParagraph"/>
        <w:autoSpaceDE w:val="0"/>
        <w:autoSpaceDN w:val="0"/>
        <w:adjustRightInd w:val="0"/>
        <w:ind w:left="360"/>
        <w:rPr>
          <w:rFonts w:ascii="Arial" w:hAnsi="Arial" w:cs="Arial"/>
        </w:rPr>
      </w:pPr>
    </w:p>
    <w:p w14:paraId="36856C90"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estimates (or if you disagree with the estimates provided, alternative estimates) of the extent of occurrence and/or area of occupancy?</w:t>
      </w:r>
    </w:p>
    <w:p w14:paraId="37A29E04" w14:textId="77777777" w:rsidR="008026DA" w:rsidRDefault="008026DA" w:rsidP="008026DA">
      <w:pPr>
        <w:pStyle w:val="ListParagraph"/>
        <w:autoSpaceDE w:val="0"/>
        <w:autoSpaceDN w:val="0"/>
        <w:adjustRightInd w:val="0"/>
        <w:ind w:left="360"/>
        <w:rPr>
          <w:rFonts w:ascii="Arial" w:hAnsi="Arial" w:cs="Arial"/>
        </w:rPr>
      </w:pPr>
    </w:p>
    <w:p w14:paraId="7494C0CA" w14:textId="77777777" w:rsidR="008026DA" w:rsidRDefault="008026DA" w:rsidP="008026DA">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09B4EE36" w14:textId="77777777" w:rsidR="008026DA" w:rsidRDefault="008026DA" w:rsidP="008026DA">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7D234596" w14:textId="55978121"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&lt;20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20 – 50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 – 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&gt;100 km</w:t>
      </w:r>
      <w:r>
        <w:rPr>
          <w:rFonts w:ascii="Arial" w:hAnsi="Arial" w:cs="Arial"/>
          <w:vertAlign w:val="superscript"/>
        </w:rPr>
        <w:t>2</w:t>
      </w:r>
    </w:p>
    <w:p w14:paraId="4D317FA1"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rPr>
        <w:t>Level of your confidence in this estimated extent of occurrence</w:t>
      </w:r>
    </w:p>
    <w:p w14:paraId="7EFA324E"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5F68CCFA"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28C695D"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FB2E6C1"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D4B6F60"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11FC9A0F" w14:textId="77777777" w:rsidR="008026DA" w:rsidRDefault="008026DA" w:rsidP="008026DA">
      <w:pPr>
        <w:autoSpaceDE w:val="0"/>
        <w:autoSpaceDN w:val="0"/>
        <w:adjustRightInd w:val="0"/>
        <w:ind w:left="360"/>
        <w:rPr>
          <w:rFonts w:ascii="Arial" w:hAnsi="Arial" w:cs="Arial"/>
        </w:rPr>
      </w:pPr>
      <w:r>
        <w:rPr>
          <w:rFonts w:ascii="Arial"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22AEDF4F" w14:textId="77777777" w:rsidR="008026DA" w:rsidRDefault="008026DA" w:rsidP="008026DA">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29B99378" w14:textId="710D4FEE"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20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20 – 50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&gt;50 km</w:t>
      </w:r>
      <w:r>
        <w:rPr>
          <w:rFonts w:ascii="Arial" w:hAnsi="Arial" w:cs="Arial"/>
          <w:vertAlign w:val="superscript"/>
        </w:rPr>
        <w:t>2</w:t>
      </w:r>
    </w:p>
    <w:p w14:paraId="4F5B3E28" w14:textId="77777777" w:rsidR="008026DA" w:rsidRDefault="008026DA" w:rsidP="008026DA">
      <w:pPr>
        <w:keepNext/>
        <w:keepLines/>
        <w:autoSpaceDE w:val="0"/>
        <w:autoSpaceDN w:val="0"/>
        <w:adjustRightInd w:val="0"/>
        <w:ind w:left="357"/>
        <w:rPr>
          <w:rFonts w:ascii="Arial" w:hAnsi="Arial" w:cs="Arial"/>
        </w:rPr>
      </w:pPr>
      <w:r>
        <w:rPr>
          <w:rFonts w:ascii="Arial" w:hAnsi="Arial" w:cs="Arial"/>
        </w:rPr>
        <w:lastRenderedPageBreak/>
        <w:t>Level of your confidence in this estimated extent of occurrence:</w:t>
      </w:r>
    </w:p>
    <w:p w14:paraId="7A6C5D05" w14:textId="77777777" w:rsidR="008026DA" w:rsidRDefault="008026DA" w:rsidP="008026DA">
      <w:pPr>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2A397683" w14:textId="77777777" w:rsidR="008026DA" w:rsidRDefault="008026DA" w:rsidP="008026DA">
      <w:pPr>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984566E" w14:textId="77777777" w:rsidR="008026DA" w:rsidRDefault="008026DA" w:rsidP="008026DA">
      <w:pPr>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4F4A7CE" w14:textId="77777777" w:rsidR="008026DA" w:rsidRDefault="008026DA" w:rsidP="008026DA">
      <w:pPr>
        <w:keepNext/>
        <w:keepLines/>
        <w:autoSpaceDE w:val="0"/>
        <w:autoSpaceDN w:val="0"/>
        <w:adjustRightInd w:val="0"/>
        <w:ind w:left="357"/>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8D66EC4" w14:textId="77777777" w:rsidR="008026DA" w:rsidRPr="00C73C35" w:rsidRDefault="008026DA" w:rsidP="008026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75642260" w14:textId="77777777" w:rsidR="008026DA" w:rsidRDefault="008026DA" w:rsidP="008026DA">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1D87C087" w14:textId="77777777" w:rsidR="008026DA" w:rsidRPr="00C73C35" w:rsidRDefault="008026DA" w:rsidP="008026DA">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7BF1B40F"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Do you consider that the way the historic distribution has been estimated is appropriate? Please provide justification for your response.</w:t>
      </w:r>
    </w:p>
    <w:p w14:paraId="0295AC6C" w14:textId="77777777" w:rsidR="008026DA" w:rsidRDefault="008026DA" w:rsidP="008026DA">
      <w:pPr>
        <w:pStyle w:val="ListParagraph"/>
        <w:autoSpaceDE w:val="0"/>
        <w:autoSpaceDN w:val="0"/>
        <w:adjustRightInd w:val="0"/>
        <w:ind w:left="360"/>
        <w:rPr>
          <w:rFonts w:ascii="Arial" w:hAnsi="Arial" w:cs="Arial"/>
        </w:rPr>
      </w:pPr>
    </w:p>
    <w:p w14:paraId="43046035"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estimates (or if you disagree with the estimates provided, alternative estimates) of the former extent of occurrence and/or area of occupancy?</w:t>
      </w:r>
    </w:p>
    <w:p w14:paraId="19EBBB35" w14:textId="77777777" w:rsidR="008026DA" w:rsidRDefault="008026DA" w:rsidP="008026DA">
      <w:pPr>
        <w:pStyle w:val="ListParagraph"/>
        <w:autoSpaceDE w:val="0"/>
        <w:autoSpaceDN w:val="0"/>
        <w:adjustRightInd w:val="0"/>
        <w:ind w:left="360"/>
        <w:rPr>
          <w:rFonts w:ascii="Arial" w:hAnsi="Arial" w:cs="Arial"/>
        </w:rPr>
      </w:pPr>
    </w:p>
    <w:p w14:paraId="0379A498" w14:textId="77777777" w:rsidR="008026DA" w:rsidRPr="00C73C35" w:rsidRDefault="008026DA" w:rsidP="008026DA">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6CAC0181" w14:textId="77777777" w:rsidR="008026DA" w:rsidRDefault="008026DA" w:rsidP="008026DA">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3604BB68"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&lt;20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20 – 50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 – 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&gt;100 km</w:t>
      </w:r>
      <w:r>
        <w:rPr>
          <w:rFonts w:ascii="Arial" w:hAnsi="Arial" w:cs="Arial"/>
          <w:vertAlign w:val="superscript"/>
        </w:rPr>
        <w:t>2</w:t>
      </w:r>
    </w:p>
    <w:p w14:paraId="502AB406"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rPr>
        <w:lastRenderedPageBreak/>
        <w:t>Level of your confidence in this estimated extent of occurrence</w:t>
      </w:r>
    </w:p>
    <w:p w14:paraId="11493122" w14:textId="77777777" w:rsidR="008026DA" w:rsidRDefault="008026DA" w:rsidP="008026DA">
      <w:pPr>
        <w:keepNext/>
        <w:keepLines/>
        <w:autoSpaceDE w:val="0"/>
        <w:autoSpaceDN w:val="0"/>
        <w:adjustRightInd w:val="0"/>
        <w:ind w:firstLine="357"/>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FEEAEDB" w14:textId="77777777" w:rsidR="008026DA" w:rsidRDefault="008026DA" w:rsidP="008026DA">
      <w:pPr>
        <w:keepNext/>
        <w:keepLines/>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2B6E8AA" w14:textId="77777777" w:rsidR="008026DA" w:rsidRDefault="008026DA" w:rsidP="008026DA">
      <w:pPr>
        <w:keepNext/>
        <w:keepLines/>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E08AB2E" w14:textId="77777777" w:rsidR="008026DA" w:rsidRDefault="008026DA" w:rsidP="008026DA">
      <w:pPr>
        <w:keepNext/>
        <w:keepLines/>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D9BF35B"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52D3B669" w14:textId="77777777" w:rsidR="008026DA" w:rsidRPr="00C73C35" w:rsidRDefault="008026DA" w:rsidP="008026DA">
      <w:pPr>
        <w:autoSpaceDE w:val="0"/>
        <w:autoSpaceDN w:val="0"/>
        <w:adjustRightInd w:val="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1F09B782" w14:textId="77777777" w:rsidR="008026DA" w:rsidRDefault="008026DA" w:rsidP="008026DA">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02C63F24"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20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20 – 50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&gt;50 km</w:t>
      </w:r>
      <w:r>
        <w:rPr>
          <w:rFonts w:ascii="Arial" w:hAnsi="Arial" w:cs="Arial"/>
          <w:vertAlign w:val="superscript"/>
        </w:rPr>
        <w:t>2</w:t>
      </w:r>
    </w:p>
    <w:p w14:paraId="52455A98" w14:textId="77777777" w:rsidR="008026DA" w:rsidRDefault="008026DA" w:rsidP="008026DA">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9B1590D"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3B22DC7"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592EDE7"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00BDA31E" w14:textId="77777777" w:rsidR="008026DA" w:rsidRDefault="008026DA" w:rsidP="008026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06277478" w14:textId="77777777" w:rsidR="008026DA" w:rsidRPr="00C73C35" w:rsidRDefault="008026DA" w:rsidP="008026DA">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32ABC669" w14:textId="77777777" w:rsidR="008026DA" w:rsidRDefault="008026DA" w:rsidP="008026DA">
      <w:pPr>
        <w:keepNext/>
        <w:keepLines/>
        <w:shd w:val="clear" w:color="auto" w:fill="D9D9D9" w:themeFill="background1" w:themeFillShade="D9"/>
        <w:autoSpaceDE w:val="0"/>
        <w:autoSpaceDN w:val="0"/>
        <w:adjustRightInd w:val="0"/>
        <w:jc w:val="center"/>
        <w:rPr>
          <w:rFonts w:ascii="Arial" w:hAnsi="Arial" w:cs="Arial"/>
          <w:b/>
        </w:rPr>
      </w:pPr>
    </w:p>
    <w:p w14:paraId="02E76C91" w14:textId="77777777" w:rsidR="008026DA" w:rsidRPr="009F43F9" w:rsidRDefault="008026DA" w:rsidP="008026DA">
      <w:pPr>
        <w:keepNext/>
        <w:keepLines/>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033CB6A2" w14:textId="77777777" w:rsidR="008026DA" w:rsidRDefault="008026DA" w:rsidP="008026DA">
      <w:pPr>
        <w:keepNext/>
        <w:keepLines/>
        <w:shd w:val="clear" w:color="auto" w:fill="D9D9D9" w:themeFill="background1" w:themeFillShade="D9"/>
        <w:autoSpaceDE w:val="0"/>
        <w:autoSpaceDN w:val="0"/>
        <w:adjustRightInd w:val="0"/>
        <w:jc w:val="center"/>
        <w:rPr>
          <w:rFonts w:ascii="Arial" w:hAnsi="Arial" w:cs="Arial"/>
          <w:b/>
        </w:rPr>
      </w:pPr>
    </w:p>
    <w:p w14:paraId="4B37064F" w14:textId="77777777" w:rsidR="008026DA" w:rsidRDefault="008026DA" w:rsidP="008026DA">
      <w:pPr>
        <w:keepNext/>
        <w:keepLines/>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18F9E64B"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Do you consider that all major threats have been identified and described adequately?</w:t>
      </w:r>
    </w:p>
    <w:p w14:paraId="46047A73" w14:textId="77777777" w:rsidR="008026DA" w:rsidRDefault="008026DA" w:rsidP="008026DA">
      <w:pPr>
        <w:pStyle w:val="ListParagraph"/>
        <w:autoSpaceDE w:val="0"/>
        <w:autoSpaceDN w:val="0"/>
        <w:adjustRightInd w:val="0"/>
        <w:ind w:left="360"/>
        <w:rPr>
          <w:rFonts w:ascii="Arial" w:hAnsi="Arial" w:cs="Arial"/>
        </w:rPr>
      </w:pPr>
    </w:p>
    <w:p w14:paraId="34DA7840"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To what degree are the identified threats likely to impact on the species in the future?</w:t>
      </w:r>
    </w:p>
    <w:p w14:paraId="3C440D5C" w14:textId="77777777" w:rsidR="008026DA" w:rsidRDefault="008026DA" w:rsidP="008026DA">
      <w:pPr>
        <w:pStyle w:val="ListParagraph"/>
        <w:autoSpaceDE w:val="0"/>
        <w:autoSpaceDN w:val="0"/>
        <w:adjustRightInd w:val="0"/>
        <w:ind w:left="360"/>
        <w:rPr>
          <w:rFonts w:ascii="Arial" w:hAnsi="Arial" w:cs="Arial"/>
        </w:rPr>
      </w:pPr>
    </w:p>
    <w:p w14:paraId="19C161A9"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Are the threats impacting on different populations equally, or do the threats vary across different populations?</w:t>
      </w:r>
    </w:p>
    <w:p w14:paraId="2ACC3EB4" w14:textId="77777777" w:rsidR="008026DA" w:rsidRDefault="008026DA" w:rsidP="008026DA">
      <w:pPr>
        <w:pStyle w:val="ListParagraph"/>
        <w:autoSpaceDE w:val="0"/>
        <w:autoSpaceDN w:val="0"/>
        <w:adjustRightInd w:val="0"/>
        <w:ind w:left="360"/>
        <w:rPr>
          <w:rFonts w:ascii="Arial" w:hAnsi="Arial" w:cs="Arial"/>
        </w:rPr>
      </w:pPr>
    </w:p>
    <w:p w14:paraId="788E3C9B"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additional or alternative information on past, current or potential threats that may adversely affect the species at any stage of its life cycle?</w:t>
      </w:r>
    </w:p>
    <w:p w14:paraId="03B7EF83" w14:textId="77777777" w:rsidR="008026DA" w:rsidRDefault="008026DA" w:rsidP="008026DA">
      <w:pPr>
        <w:pStyle w:val="ListParagraph"/>
        <w:autoSpaceDE w:val="0"/>
        <w:autoSpaceDN w:val="0"/>
        <w:adjustRightInd w:val="0"/>
        <w:ind w:left="360"/>
        <w:rPr>
          <w:rFonts w:ascii="Arial" w:hAnsi="Arial" w:cs="Arial"/>
        </w:rPr>
      </w:pPr>
    </w:p>
    <w:p w14:paraId="426C28F7"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provide supporting data/justification or other information for your responses to these questions about threats?</w:t>
      </w:r>
    </w:p>
    <w:p w14:paraId="4A6C644C" w14:textId="77777777" w:rsidR="008026DA" w:rsidRDefault="008026DA" w:rsidP="008026DA">
      <w:pPr>
        <w:autoSpaceDE w:val="0"/>
        <w:autoSpaceDN w:val="0"/>
        <w:adjustRightInd w:val="0"/>
        <w:ind w:left="1560" w:hanging="1560"/>
        <w:rPr>
          <w:rFonts w:ascii="Arial,Bold" w:hAnsi="Arial,Bold" w:cs="Arial,Bold"/>
          <w:b/>
          <w:bCs/>
        </w:rPr>
      </w:pPr>
    </w:p>
    <w:p w14:paraId="3B5085E9" w14:textId="77777777" w:rsidR="008026DA" w:rsidRDefault="008026DA" w:rsidP="008026DA">
      <w:pPr>
        <w:keepNext/>
        <w:keepLines/>
        <w:autoSpaceDE w:val="0"/>
        <w:autoSpaceDN w:val="0"/>
        <w:adjustRightInd w:val="0"/>
        <w:ind w:left="1559" w:hanging="1559"/>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1B2E0E5E"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What planning, management and recovery actions are currently in place supporting protection and recovery of the species? To what extent have they been effective?</w:t>
      </w:r>
    </w:p>
    <w:p w14:paraId="50E9F401" w14:textId="77777777" w:rsidR="008026DA" w:rsidRDefault="008026DA" w:rsidP="008026DA">
      <w:pPr>
        <w:pStyle w:val="ListParagraph"/>
        <w:autoSpaceDE w:val="0"/>
        <w:autoSpaceDN w:val="0"/>
        <w:adjustRightInd w:val="0"/>
        <w:ind w:left="360"/>
        <w:rPr>
          <w:rFonts w:ascii="Arial" w:hAnsi="Arial" w:cs="Arial"/>
        </w:rPr>
      </w:pPr>
    </w:p>
    <w:p w14:paraId="3A42AB9F" w14:textId="77777777"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Can you recommend any additional or alternative specific threat abatement or conservation actions that would aid the protection and recovery of the species?</w:t>
      </w:r>
    </w:p>
    <w:p w14:paraId="2ABEC3C3" w14:textId="77777777" w:rsidR="008026DA" w:rsidRDefault="008026DA" w:rsidP="008026DA">
      <w:pPr>
        <w:pStyle w:val="ListParagraph"/>
        <w:autoSpaceDE w:val="0"/>
        <w:autoSpaceDN w:val="0"/>
        <w:adjustRightInd w:val="0"/>
        <w:ind w:left="360"/>
        <w:rPr>
          <w:rFonts w:ascii="Arial" w:hAnsi="Arial" w:cs="Arial"/>
        </w:rPr>
      </w:pPr>
    </w:p>
    <w:p w14:paraId="7368D0E0" w14:textId="0A710898" w:rsidR="008026DA" w:rsidRDefault="008026DA" w:rsidP="00B762FB">
      <w:pPr>
        <w:pStyle w:val="ListParagraph"/>
        <w:numPr>
          <w:ilvl w:val="0"/>
          <w:numId w:val="12"/>
        </w:numPr>
        <w:autoSpaceDE w:val="0"/>
        <w:autoSpaceDN w:val="0"/>
        <w:adjustRightInd w:val="0"/>
        <w:rPr>
          <w:rFonts w:ascii="Arial" w:hAnsi="Arial" w:cs="Arial"/>
        </w:rPr>
      </w:pPr>
      <w:r>
        <w:rPr>
          <w:rFonts w:ascii="Arial" w:hAnsi="Arial" w:cs="Arial"/>
        </w:rPr>
        <w:t>Would you recommend translocation (outside of the species’ historic range) as a viable option as a conservation actions for this species?</w:t>
      </w:r>
      <w:r>
        <w:rPr>
          <w:rFonts w:ascii="Arial" w:hAnsi="Arial" w:cs="Arial"/>
        </w:rPr>
        <w:br/>
      </w:r>
    </w:p>
    <w:p w14:paraId="172214B1" w14:textId="77777777" w:rsidR="008026DA" w:rsidRDefault="008026DA" w:rsidP="008026DA">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118092C2" w14:textId="77777777" w:rsidR="008026DA" w:rsidRDefault="008026DA" w:rsidP="00B762FB">
      <w:pPr>
        <w:pStyle w:val="ListParagraph"/>
        <w:numPr>
          <w:ilvl w:val="0"/>
          <w:numId w:val="12"/>
        </w:numPr>
        <w:autoSpaceDE w:val="0"/>
        <w:autoSpaceDN w:val="0"/>
        <w:adjustRightInd w:val="0"/>
        <w:rPr>
          <w:rFonts w:ascii="Arial" w:hAnsi="Arial" w:cs="Arial"/>
          <w:color w:val="000000"/>
        </w:rPr>
      </w:pPr>
      <w:r>
        <w:rPr>
          <w:rFonts w:ascii="Arial" w:hAnsi="Arial" w:cs="Arial"/>
          <w:color w:val="000000"/>
        </w:rPr>
        <w:t>Are you aware of other knowledge (e.g. traditional ecological knowledge) or individuals/groups with knowledge that may help better understand population trends/fluctuations, or critical areas of habitat?</w:t>
      </w:r>
    </w:p>
    <w:p w14:paraId="0C8AE8C2" w14:textId="77777777" w:rsidR="008026DA" w:rsidRDefault="008026DA" w:rsidP="008026DA">
      <w:pPr>
        <w:pStyle w:val="ListParagraph"/>
        <w:autoSpaceDE w:val="0"/>
        <w:autoSpaceDN w:val="0"/>
        <w:adjustRightInd w:val="0"/>
        <w:ind w:left="360"/>
        <w:rPr>
          <w:rFonts w:ascii="Arial" w:hAnsi="Arial" w:cs="Arial"/>
          <w:color w:val="000000"/>
        </w:rPr>
      </w:pPr>
    </w:p>
    <w:p w14:paraId="48100A81" w14:textId="77777777" w:rsidR="008026DA" w:rsidRDefault="008026DA" w:rsidP="00B762FB">
      <w:pPr>
        <w:pStyle w:val="ListParagraph"/>
        <w:numPr>
          <w:ilvl w:val="0"/>
          <w:numId w:val="12"/>
        </w:numPr>
        <w:autoSpaceDE w:val="0"/>
        <w:autoSpaceDN w:val="0"/>
        <w:adjustRightInd w:val="0"/>
        <w:rPr>
          <w:rFonts w:ascii="Arial" w:hAnsi="Arial" w:cs="Arial"/>
          <w:color w:val="000000"/>
        </w:rPr>
      </w:pPr>
      <w:r>
        <w:rPr>
          <w:rFonts w:ascii="Arial" w:hAnsi="Arial" w:cs="Arial"/>
          <w:color w:val="000000"/>
        </w:rPr>
        <w:t>Are you aware of any cultural or social importance or use that the species has?</w:t>
      </w:r>
    </w:p>
    <w:p w14:paraId="2A6FE143" w14:textId="77777777" w:rsidR="008026DA" w:rsidRDefault="008026DA" w:rsidP="008026DA">
      <w:pPr>
        <w:pStyle w:val="ListParagraph"/>
        <w:autoSpaceDE w:val="0"/>
        <w:autoSpaceDN w:val="0"/>
        <w:adjustRightInd w:val="0"/>
        <w:ind w:left="360"/>
        <w:rPr>
          <w:rFonts w:ascii="Arial" w:hAnsi="Arial" w:cs="Arial"/>
          <w:color w:val="000000"/>
        </w:rPr>
      </w:pPr>
    </w:p>
    <w:p w14:paraId="21219E7C" w14:textId="77777777" w:rsidR="008026DA" w:rsidRDefault="008026DA" w:rsidP="00B762FB">
      <w:pPr>
        <w:pStyle w:val="ListParagraph"/>
        <w:numPr>
          <w:ilvl w:val="0"/>
          <w:numId w:val="12"/>
        </w:numPr>
        <w:autoSpaceDE w:val="0"/>
        <w:autoSpaceDN w:val="0"/>
        <w:adjustRightInd w:val="0"/>
        <w:rPr>
          <w:rFonts w:ascii="Arial" w:hAnsi="Arial" w:cs="Arial"/>
          <w:color w:val="000000"/>
        </w:rPr>
      </w:pPr>
      <w:r>
        <w:rPr>
          <w:rFonts w:ascii="Arial" w:hAnsi="Arial" w:cs="Arial"/>
        </w:rPr>
        <w:t>What individuals or organisations are currently, or potentially could be, involved in management and recovery of the species?</w:t>
      </w:r>
    </w:p>
    <w:p w14:paraId="21C9B80A" w14:textId="77777777" w:rsidR="008026DA" w:rsidRDefault="008026DA" w:rsidP="008026DA">
      <w:pPr>
        <w:pStyle w:val="ListParagraph"/>
        <w:autoSpaceDE w:val="0"/>
        <w:autoSpaceDN w:val="0"/>
        <w:adjustRightInd w:val="0"/>
        <w:ind w:left="360"/>
        <w:rPr>
          <w:rFonts w:ascii="Arial" w:hAnsi="Arial" w:cs="Arial"/>
          <w:color w:val="000000"/>
        </w:rPr>
      </w:pPr>
    </w:p>
    <w:p w14:paraId="52A62BED" w14:textId="77777777" w:rsidR="008026DA" w:rsidRDefault="008026DA" w:rsidP="00B762FB">
      <w:pPr>
        <w:pStyle w:val="ListParagraph"/>
        <w:numPr>
          <w:ilvl w:val="0"/>
          <w:numId w:val="12"/>
        </w:numPr>
        <w:autoSpaceDE w:val="0"/>
        <w:autoSpaceDN w:val="0"/>
        <w:adjustRightInd w:val="0"/>
        <w:rPr>
          <w:rFonts w:ascii="Arial" w:hAnsi="Arial" w:cs="Arial"/>
          <w:color w:val="000000"/>
        </w:rPr>
      </w:pPr>
      <w:r>
        <w:rPr>
          <w:rFonts w:ascii="Arial" w:hAnsi="Arial" w:cs="Arial"/>
          <w:color w:val="000000"/>
        </w:rPr>
        <w:lastRenderedPageBreak/>
        <w:t xml:space="preserve">How aware of this species are land managers where the species is found? </w:t>
      </w:r>
    </w:p>
    <w:p w14:paraId="4BF00A33" w14:textId="77777777" w:rsidR="008026DA" w:rsidRDefault="008026DA" w:rsidP="008026DA">
      <w:pPr>
        <w:pStyle w:val="ListParagraph"/>
        <w:autoSpaceDE w:val="0"/>
        <w:autoSpaceDN w:val="0"/>
        <w:adjustRightInd w:val="0"/>
        <w:ind w:left="360"/>
        <w:rPr>
          <w:rFonts w:ascii="Arial" w:hAnsi="Arial" w:cs="Arial"/>
          <w:color w:val="000000"/>
        </w:rPr>
      </w:pPr>
    </w:p>
    <w:p w14:paraId="52C41DF8" w14:textId="77777777" w:rsidR="008026DA" w:rsidRPr="00C73C35" w:rsidRDefault="008026DA" w:rsidP="00B762FB">
      <w:pPr>
        <w:pStyle w:val="ListParagraph"/>
        <w:keepNext/>
        <w:keepLines/>
        <w:numPr>
          <w:ilvl w:val="0"/>
          <w:numId w:val="12"/>
        </w:numPr>
        <w:autoSpaceDE w:val="0"/>
        <w:autoSpaceDN w:val="0"/>
        <w:adjustRightInd w:val="0"/>
        <w:ind w:left="357" w:hanging="357"/>
        <w:rPr>
          <w:rFonts w:ascii="Arial" w:hAnsi="Arial" w:cs="Arial"/>
          <w:color w:val="000000"/>
        </w:rPr>
      </w:pPr>
      <w:r>
        <w:rPr>
          <w:rFonts w:ascii="Arial" w:hAnsi="Arial" w:cs="Arial"/>
        </w:rPr>
        <w:t>What level of awareness is there with individuals or organisations around the issues affecting the species?</w:t>
      </w:r>
    </w:p>
    <w:p w14:paraId="48BE8BF5" w14:textId="77777777" w:rsidR="008026DA" w:rsidRPr="00C73C35" w:rsidRDefault="008026DA" w:rsidP="008026DA">
      <w:pPr>
        <w:keepNext/>
        <w:keepLines/>
        <w:autoSpaceDE w:val="0"/>
        <w:autoSpaceDN w:val="0"/>
        <w:adjustRightInd w:val="0"/>
        <w:spacing w:after="0" w:line="240" w:lineRule="auto"/>
        <w:rPr>
          <w:rFonts w:ascii="Arial" w:hAnsi="Arial" w:cs="Arial"/>
          <w:color w:val="000000"/>
        </w:rPr>
      </w:pPr>
    </w:p>
    <w:p w14:paraId="510C202D" w14:textId="77777777" w:rsidR="008026DA" w:rsidRDefault="008026DA" w:rsidP="00B762FB">
      <w:pPr>
        <w:pStyle w:val="ListParagraph"/>
        <w:numPr>
          <w:ilvl w:val="1"/>
          <w:numId w:val="12"/>
        </w:numPr>
        <w:autoSpaceDE w:val="0"/>
        <w:autoSpaceDN w:val="0"/>
        <w:adjustRightInd w:val="0"/>
        <w:rPr>
          <w:rFonts w:ascii="Arial" w:hAnsi="Arial" w:cs="Arial"/>
          <w:color w:val="000000"/>
        </w:rPr>
      </w:pPr>
      <w:r>
        <w:rPr>
          <w:rFonts w:ascii="Arial" w:hAnsi="Arial" w:cs="Arial"/>
          <w:color w:val="000000"/>
        </w:rPr>
        <w:t>Where there is awareness, what are these interests of these individuals/organisations?</w:t>
      </w:r>
    </w:p>
    <w:p w14:paraId="593B46F2" w14:textId="77777777" w:rsidR="008026DA" w:rsidRDefault="008026DA" w:rsidP="008026DA">
      <w:pPr>
        <w:pStyle w:val="ListParagraph"/>
        <w:autoSpaceDE w:val="0"/>
        <w:autoSpaceDN w:val="0"/>
        <w:adjustRightInd w:val="0"/>
        <w:ind w:left="1080"/>
        <w:rPr>
          <w:rFonts w:ascii="Arial" w:hAnsi="Arial" w:cs="Arial"/>
          <w:color w:val="000000"/>
        </w:rPr>
      </w:pPr>
    </w:p>
    <w:p w14:paraId="521DA1A2" w14:textId="77777777" w:rsidR="008026DA" w:rsidRDefault="008026DA" w:rsidP="00B762FB">
      <w:pPr>
        <w:pStyle w:val="ListParagraph"/>
        <w:numPr>
          <w:ilvl w:val="1"/>
          <w:numId w:val="12"/>
        </w:numPr>
        <w:autoSpaceDE w:val="0"/>
        <w:autoSpaceDN w:val="0"/>
        <w:adjustRightInd w:val="0"/>
        <w:rPr>
          <w:rFonts w:ascii="Arial" w:hAnsi="Arial" w:cs="Arial"/>
          <w:color w:val="000000"/>
        </w:rPr>
      </w:pPr>
      <w:r>
        <w:rPr>
          <w:rFonts w:ascii="Arial" w:hAnsi="Arial" w:cs="Arial"/>
          <w:color w:val="000000"/>
        </w:rPr>
        <w:t>Are there populations or areas of habitat that are particularly important to the community?</w:t>
      </w:r>
    </w:p>
    <w:p w14:paraId="55CE9705" w14:textId="77777777" w:rsidR="008026DA" w:rsidRDefault="008026DA" w:rsidP="008026DA">
      <w:pPr>
        <w:shd w:val="clear" w:color="auto" w:fill="D9D9D9" w:themeFill="background1" w:themeFillShade="D9"/>
        <w:autoSpaceDE w:val="0"/>
        <w:autoSpaceDN w:val="0"/>
        <w:adjustRightInd w:val="0"/>
        <w:jc w:val="center"/>
        <w:rPr>
          <w:rFonts w:ascii="Arial" w:hAnsi="Arial" w:cs="Arial"/>
          <w:b/>
        </w:rPr>
      </w:pPr>
    </w:p>
    <w:p w14:paraId="71848C7B" w14:textId="77777777" w:rsidR="008026DA" w:rsidRPr="009F43F9" w:rsidRDefault="008026DA" w:rsidP="008026DA">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050E3995" w14:textId="77777777" w:rsidR="008026DA" w:rsidRDefault="008026DA" w:rsidP="008026DA">
      <w:pPr>
        <w:shd w:val="clear" w:color="auto" w:fill="D9D9D9" w:themeFill="background1" w:themeFillShade="D9"/>
        <w:autoSpaceDE w:val="0"/>
        <w:autoSpaceDN w:val="0"/>
        <w:adjustRightInd w:val="0"/>
        <w:jc w:val="center"/>
        <w:rPr>
          <w:rFonts w:ascii="Arial" w:hAnsi="Arial" w:cs="Arial"/>
          <w:b/>
        </w:rPr>
      </w:pPr>
    </w:p>
    <w:p w14:paraId="0DC3B604" w14:textId="77777777" w:rsidR="008026DA" w:rsidRDefault="008026DA" w:rsidP="00B762FB">
      <w:pPr>
        <w:pStyle w:val="ListParagraph"/>
        <w:numPr>
          <w:ilvl w:val="0"/>
          <w:numId w:val="12"/>
        </w:numPr>
        <w:autoSpaceDE w:val="0"/>
        <w:autoSpaceDN w:val="0"/>
        <w:adjustRightInd w:val="0"/>
        <w:rPr>
          <w:rFonts w:ascii="Arial" w:hAnsi="Arial" w:cs="Arial"/>
          <w:color w:val="000000"/>
        </w:rPr>
      </w:pPr>
      <w:r>
        <w:rPr>
          <w:rFonts w:ascii="Arial" w:hAnsi="Arial" w:cs="Arial"/>
          <w:color w:val="000000"/>
        </w:rPr>
        <w:t>Do you have comments on any other matters relevant to the assessment of this species?</w:t>
      </w:r>
    </w:p>
    <w:p w14:paraId="72109F62" w14:textId="343B42B3" w:rsidR="008026DA" w:rsidRPr="008026DA" w:rsidRDefault="008026DA" w:rsidP="008026DA">
      <w:pPr>
        <w:spacing w:after="0" w:line="240" w:lineRule="auto"/>
        <w:rPr>
          <w:rFonts w:ascii="Calibri" w:hAnsi="Calibri"/>
          <w:b/>
          <w:sz w:val="36"/>
          <w:szCs w:val="36"/>
        </w:rPr>
      </w:pPr>
      <w:r>
        <w:br w:type="page"/>
      </w:r>
    </w:p>
    <w:p w14:paraId="38A61EA5" w14:textId="2E00DC4F" w:rsidR="00FA65F9" w:rsidRPr="003113EE" w:rsidRDefault="00FA65F9" w:rsidP="00FA65F9">
      <w:pPr>
        <w:pStyle w:val="Heading1"/>
        <w:spacing w:line="276" w:lineRule="auto"/>
      </w:pPr>
      <w:r>
        <w:lastRenderedPageBreak/>
        <w:t xml:space="preserve">Conservation Advice for </w:t>
      </w:r>
      <w:r>
        <w:rPr>
          <w:i/>
          <w:iCs/>
        </w:rPr>
        <w:t xml:space="preserve">Banksia montana </w:t>
      </w:r>
      <w:r w:rsidRPr="002B01EE">
        <w:t>(</w:t>
      </w:r>
      <w:r>
        <w:t>Stirling Range dryandra</w:t>
      </w:r>
      <w:r w:rsidRPr="002B01EE">
        <w:t>)</w:t>
      </w:r>
    </w:p>
    <w:p w14:paraId="57F2841F" w14:textId="77777777" w:rsidR="00FA65F9" w:rsidRDefault="00FA65F9" w:rsidP="00FA65F9">
      <w:pPr>
        <w:pStyle w:val="Author"/>
      </w:pPr>
      <w:r w:rsidRPr="00E707AE">
        <w:t xml:space="preserve">In effect under the </w:t>
      </w:r>
      <w:r w:rsidRPr="00E707AE">
        <w:rPr>
          <w:rStyle w:val="Emphasis"/>
        </w:rPr>
        <w:t>Environment Protection and Biodiversity Conservation Act 1999</w:t>
      </w:r>
      <w:r w:rsidRPr="00E707AE">
        <w:t xml:space="preserve"> from </w:t>
      </w:r>
      <w:r w:rsidRPr="008A4E24">
        <w:rPr>
          <w:highlight w:val="yellow"/>
        </w:rPr>
        <w:t>DATE</w:t>
      </w:r>
      <w:r w:rsidRPr="00E707AE">
        <w:t>.</w:t>
      </w:r>
    </w:p>
    <w:p w14:paraId="0DC36D7C" w14:textId="77777777" w:rsidR="00FA65F9" w:rsidRPr="00514E80" w:rsidRDefault="00FA65F9" w:rsidP="00FA65F9">
      <w:r>
        <w:rPr>
          <w:noProof/>
        </w:rPr>
        <mc:AlternateContent>
          <mc:Choice Requires="wps">
            <w:drawing>
              <wp:anchor distT="45720" distB="45720" distL="114300" distR="114300" simplePos="0" relativeHeight="251660288" behindDoc="0" locked="0" layoutInCell="1" allowOverlap="1" wp14:anchorId="0E6AC749" wp14:editId="316BEC86">
                <wp:simplePos x="0" y="0"/>
                <wp:positionH relativeFrom="margin">
                  <wp:align>left</wp:align>
                </wp:positionH>
                <wp:positionV relativeFrom="paragraph">
                  <wp:posOffset>142875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8A8DC8" w14:textId="77777777" w:rsidR="00FA65F9" w:rsidRDefault="00FA65F9" w:rsidP="00FA65F9">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526DF70A" w14:textId="77777777" w:rsidR="00FA65F9" w:rsidRPr="00683895" w:rsidRDefault="00FA65F9" w:rsidP="00FA65F9"/>
                          <w:p w14:paraId="5FAB1C1D" w14:textId="77777777" w:rsidR="00FA65F9" w:rsidRDefault="00FA65F9" w:rsidP="00FA65F9">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2626A70" w14:textId="77777777" w:rsidR="00FA65F9" w:rsidRPr="00B038DF" w:rsidRDefault="00FA65F9" w:rsidP="00FA65F9">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549A25B9" w14:textId="77777777" w:rsidR="00FA65F9" w:rsidRDefault="00FA65F9" w:rsidP="00FA6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AC749" id="_x0000_t202" coordsize="21600,21600" o:spt="202" path="m,l,21600r21600,l21600,xe">
                <v:stroke joinstyle="miter"/>
                <v:path gradientshapeok="t" o:connecttype="rect"/>
              </v:shapetype>
              <v:shape id="Text Box 2" o:spid="_x0000_s1026" type="#_x0000_t202" style="position:absolute;margin-left:0;margin-top:11.25pt;width:394.5pt;height:197.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" fillcolor="white [3201]" strokecolor="black [3200]" strokeweight="1pt">
                <v:textbox>
                  <w:txbxContent>
                    <w:p w14:paraId="048A8DC8" w14:textId="77777777" w:rsidR="00FA65F9" w:rsidRDefault="00FA65F9" w:rsidP="00FA65F9">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526DF70A" w14:textId="77777777" w:rsidR="00FA65F9" w:rsidRPr="00683895" w:rsidRDefault="00FA65F9" w:rsidP="00FA65F9"/>
                    <w:p w14:paraId="5FAB1C1D" w14:textId="77777777" w:rsidR="00FA65F9" w:rsidRDefault="00FA65F9" w:rsidP="00FA65F9">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2626A70" w14:textId="77777777" w:rsidR="00FA65F9" w:rsidRPr="00B038DF" w:rsidRDefault="00FA65F9" w:rsidP="00FA65F9">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549A25B9" w14:textId="77777777" w:rsidR="00FA65F9" w:rsidRDefault="00FA65F9" w:rsidP="00FA65F9"/>
                  </w:txbxContent>
                </v:textbox>
                <w10:wrap type="square" anchorx="margin"/>
              </v:shape>
            </w:pict>
          </mc:Fallback>
        </mc:AlternateContent>
      </w:r>
    </w:p>
    <w:p w14:paraId="1D4BE7D2" w14:textId="77777777" w:rsidR="00FA65F9" w:rsidRPr="00514E80" w:rsidRDefault="00FA65F9" w:rsidP="00FA65F9"/>
    <w:p w14:paraId="0409187E" w14:textId="77777777" w:rsidR="00FA65F9" w:rsidRDefault="00FA65F9" w:rsidP="00FA65F9"/>
    <w:p w14:paraId="6BFD4BE6" w14:textId="77777777" w:rsidR="00FA65F9" w:rsidRDefault="00FA65F9" w:rsidP="00FA65F9"/>
    <w:p w14:paraId="6F55A43F" w14:textId="77777777" w:rsidR="00FA65F9" w:rsidRDefault="00FA65F9" w:rsidP="00FA65F9"/>
    <w:p w14:paraId="438B0218" w14:textId="77777777" w:rsidR="00FA65F9" w:rsidRDefault="00FA65F9" w:rsidP="00FA65F9"/>
    <w:p w14:paraId="46DC1A46" w14:textId="77777777" w:rsidR="00FA65F9" w:rsidRDefault="00FA65F9" w:rsidP="00FA65F9"/>
    <w:p w14:paraId="04E8DB2E" w14:textId="77777777" w:rsidR="00FA65F9" w:rsidRDefault="00FA65F9" w:rsidP="00FA65F9"/>
    <w:p w14:paraId="742D2ED4" w14:textId="77777777" w:rsidR="00FA65F9" w:rsidRDefault="00FA65F9" w:rsidP="00FA65F9"/>
    <w:p w14:paraId="046A60EC" w14:textId="77777777" w:rsidR="00FA65F9" w:rsidRDefault="00FA65F9" w:rsidP="00FA65F9">
      <w:r w:rsidRPr="0016081E">
        <w:t xml:space="preserve">This document combines the </w:t>
      </w:r>
      <w:r w:rsidRPr="009D41D2">
        <w:t xml:space="preserve">approved conservation </w:t>
      </w:r>
      <w:r w:rsidRPr="00565F5A">
        <w:t>advice</w:t>
      </w:r>
      <w:r w:rsidRPr="0016081E">
        <w:t xml:space="preserve"> and listing assessment for the </w:t>
      </w:r>
      <w:r>
        <w:t>species</w:t>
      </w:r>
      <w:r w:rsidRPr="0016081E">
        <w:t xml:space="preserve">. </w:t>
      </w:r>
      <w:r w:rsidRPr="009D41D2">
        <w:t>It provides a foundation for conservation action and further planning.</w:t>
      </w:r>
    </w:p>
    <w:p w14:paraId="0014F26A" w14:textId="77777777" w:rsidR="00FA65F9" w:rsidRPr="00344617" w:rsidRDefault="00FA65F9" w:rsidP="00FA65F9">
      <w:pPr>
        <w:pStyle w:val="Instructiontext"/>
        <w:jc w:val="center"/>
      </w:pPr>
      <w:r>
        <w:rPr>
          <w:noProof/>
        </w:rPr>
        <w:lastRenderedPageBreak/>
        <w:drawing>
          <wp:inline distT="0" distB="0" distL="0" distR="0" wp14:anchorId="145DA294" wp14:editId="6732CFB2">
            <wp:extent cx="5695950" cy="44996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t="17725" r="21892"/>
                    <a:stretch/>
                  </pic:blipFill>
                  <pic:spPr bwMode="auto">
                    <a:xfrm>
                      <a:off x="0" y="0"/>
                      <a:ext cx="5695950" cy="4499610"/>
                    </a:xfrm>
                    <a:prstGeom prst="rect">
                      <a:avLst/>
                    </a:prstGeom>
                    <a:ln>
                      <a:noFill/>
                    </a:ln>
                    <a:extLst>
                      <a:ext uri="{53640926-AAD7-44D8-BBD7-CCE9431645EC}">
                        <a14:shadowObscured xmlns:a14="http://schemas.microsoft.com/office/drawing/2010/main"/>
                      </a:ext>
                    </a:extLst>
                  </pic:spPr>
                </pic:pic>
              </a:graphicData>
            </a:graphic>
          </wp:inline>
        </w:drawing>
      </w:r>
    </w:p>
    <w:p w14:paraId="3EA47438" w14:textId="77777777" w:rsidR="00FA65F9" w:rsidRPr="000A6133" w:rsidRDefault="00FA65F9" w:rsidP="00FA65F9">
      <w:pPr>
        <w:pStyle w:val="FigureTableNoteSource"/>
        <w:spacing w:line="276" w:lineRule="auto"/>
        <w:jc w:val="center"/>
      </w:pPr>
      <w:bookmarkStart w:id="2" w:name="_Hlk46319602"/>
      <w:r>
        <w:t xml:space="preserve">Photo of </w:t>
      </w:r>
      <w:r>
        <w:rPr>
          <w:i/>
          <w:iCs/>
        </w:rPr>
        <w:t xml:space="preserve">Banksia montana </w:t>
      </w:r>
      <w:r>
        <w:t>(Stirling Range dryandra) © Copyright Sarah Barrett 2021</w:t>
      </w:r>
    </w:p>
    <w:bookmarkEnd w:id="2"/>
    <w:p w14:paraId="460B6C86" w14:textId="77777777" w:rsidR="00FA65F9" w:rsidRPr="00AC3A2A" w:rsidRDefault="00FA65F9" w:rsidP="00FA65F9">
      <w:pPr>
        <w:pStyle w:val="Heading2"/>
        <w:spacing w:line="276" w:lineRule="auto"/>
        <w:ind w:left="720" w:hanging="720"/>
      </w:pPr>
      <w:r>
        <w:t>Conservation status</w:t>
      </w:r>
    </w:p>
    <w:p w14:paraId="3F4F3289" w14:textId="77777777" w:rsidR="00FA65F9" w:rsidRPr="007F3ADF" w:rsidRDefault="00FA65F9" w:rsidP="00FA65F9">
      <w:pPr>
        <w:pStyle w:val="Consultationtext"/>
        <w:rPr>
          <w:color w:val="auto"/>
        </w:rPr>
      </w:pPr>
      <w:r w:rsidRPr="007F3ADF">
        <w:rPr>
          <w:rStyle w:val="Emphasis"/>
          <w:color w:val="auto"/>
        </w:rPr>
        <w:t>Banksia montana</w:t>
      </w:r>
      <w:r w:rsidRPr="007F3ADF">
        <w:rPr>
          <w:color w:val="auto"/>
        </w:rPr>
        <w:t xml:space="preserve"> (</w:t>
      </w:r>
      <w:r>
        <w:rPr>
          <w:color w:val="auto"/>
        </w:rPr>
        <w:t>Stirling Range dryandra</w:t>
      </w:r>
      <w:r w:rsidRPr="007F3ADF">
        <w:rPr>
          <w:color w:val="auto"/>
        </w:rPr>
        <w:t>) is proposed to be transferred from th</w:t>
      </w:r>
      <w:bookmarkStart w:id="3" w:name="_Hlk57798064"/>
      <w:r w:rsidRPr="007F3ADF">
        <w:rPr>
          <w:color w:val="auto"/>
        </w:rPr>
        <w:t xml:space="preserve">e </w:t>
      </w:r>
      <w:sdt>
        <w:sdtPr>
          <w:rPr>
            <w:color w:val="auto"/>
          </w:rPr>
          <w:id w:val="-720434868"/>
          <w:placeholder>
            <w:docPart w:val="B2B7154631A148E592E827E36B95C4A9"/>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7F3ADF">
            <w:rPr>
              <w:color w:val="auto"/>
            </w:rPr>
            <w:t>Endangered</w:t>
          </w:r>
        </w:sdtContent>
      </w:sdt>
      <w:bookmarkEnd w:id="3"/>
      <w:r w:rsidRPr="007F3ADF">
        <w:rPr>
          <w:color w:val="auto"/>
        </w:rPr>
        <w:t xml:space="preserve">  category to the </w:t>
      </w:r>
      <w:sdt>
        <w:sdtPr>
          <w:rPr>
            <w:color w:val="auto"/>
          </w:rPr>
          <w:id w:val="454379346"/>
          <w:placeholder>
            <w:docPart w:val="6BDEC5FDD1EC4759A2C049E0D58F54DB"/>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7F3ADF">
            <w:rPr>
              <w:color w:val="auto"/>
            </w:rPr>
            <w:t>Critically Endangered</w:t>
          </w:r>
        </w:sdtContent>
      </w:sdt>
      <w:r w:rsidRPr="007F3ADF">
        <w:rPr>
          <w:color w:val="auto"/>
        </w:rPr>
        <w:t xml:space="preserve"> category of the threatened species list under the </w:t>
      </w:r>
      <w:r w:rsidRPr="007F3ADF">
        <w:rPr>
          <w:rStyle w:val="Emphasis"/>
          <w:color w:val="auto"/>
        </w:rPr>
        <w:t>Environment Protection and Biodiversity Conservation Act 1999.</w:t>
      </w:r>
    </w:p>
    <w:p w14:paraId="5C529426" w14:textId="77777777" w:rsidR="00FA65F9" w:rsidRPr="008155CB" w:rsidRDefault="00FA65F9" w:rsidP="00FA65F9">
      <w:r>
        <w:rPr>
          <w:rStyle w:val="Emphasis"/>
          <w:i w:val="0"/>
          <w:iCs w:val="0"/>
        </w:rPr>
        <w:t>Stirling Range dryandra</w:t>
      </w:r>
      <w:r w:rsidRPr="008155CB">
        <w:rPr>
          <w:rStyle w:val="Emphasis"/>
          <w:i w:val="0"/>
          <w:iCs w:val="0"/>
        </w:rPr>
        <w:t xml:space="preserve"> </w:t>
      </w:r>
      <w:r>
        <w:rPr>
          <w:rStyle w:val="Emphasis"/>
          <w:i w:val="0"/>
          <w:iCs w:val="0"/>
        </w:rPr>
        <w:t>was</w:t>
      </w:r>
      <w:r w:rsidRPr="008155CB">
        <w:rPr>
          <w:rStyle w:val="Emphasis"/>
          <w:i w:val="0"/>
          <w:iCs w:val="0"/>
        </w:rPr>
        <w:t xml:space="preserve"> assessed</w:t>
      </w:r>
      <w:r w:rsidRPr="008155CB">
        <w:t xml:space="preserve"> by the Threatened Species Scientific Committee to be eligible for listing as </w:t>
      </w:r>
      <w:sdt>
        <w:sdtPr>
          <w:id w:val="1788390396"/>
          <w:placeholder>
            <w:docPart w:val="16015CCECC014AB3BE97CACCD03A0F59"/>
          </w:placeholder>
          <w:dropDownList>
            <w:listItem w:displayText="Critically Endangered" w:value="Critically Endangered"/>
            <w:listItem w:displayText="Endangered" w:value="Endangered"/>
            <w:listItem w:displayText="Vulnerable" w:value="Vulnerable"/>
          </w:dropDownList>
        </w:sdtPr>
        <w:sdtEndPr/>
        <w:sdtContent>
          <w:r>
            <w:t>Critically Endangered</w:t>
          </w:r>
        </w:sdtContent>
      </w:sdt>
      <w:r w:rsidRPr="008155CB">
        <w:t xml:space="preserve"> under </w:t>
      </w:r>
      <w:r>
        <w:t>C</w:t>
      </w:r>
      <w:r w:rsidRPr="008155CB">
        <w:t>riter</w:t>
      </w:r>
      <w:r>
        <w:t>ia</w:t>
      </w:r>
      <w:r w:rsidRPr="008155CB">
        <w:t xml:space="preserve"> 2</w:t>
      </w:r>
      <w:r>
        <w:t xml:space="preserve"> and 3</w:t>
      </w:r>
      <w:r w:rsidRPr="008155CB">
        <w:t>. The Committee’s assessment is at Attachment A. The Committee</w:t>
      </w:r>
      <w:r>
        <w:t>’s</w:t>
      </w:r>
      <w:r w:rsidRPr="008155CB">
        <w:t xml:space="preserve"> assessment of the species’ eligibility against each of the listing criteria is:</w:t>
      </w:r>
    </w:p>
    <w:p w14:paraId="670A6299" w14:textId="77777777" w:rsidR="00FA65F9" w:rsidRPr="008155CB" w:rsidRDefault="00FA65F9" w:rsidP="00FA65F9">
      <w:pPr>
        <w:pStyle w:val="ListBullet"/>
      </w:pPr>
      <w:r w:rsidRPr="008155CB">
        <w:t xml:space="preserve">Criterion 1: </w:t>
      </w:r>
      <w:r>
        <w:t>A4ae: Endangered</w:t>
      </w:r>
    </w:p>
    <w:p w14:paraId="14757DE6" w14:textId="77777777" w:rsidR="00FA65F9" w:rsidRPr="008155CB" w:rsidRDefault="00FA65F9" w:rsidP="00FA65F9">
      <w:pPr>
        <w:pStyle w:val="ListBullet"/>
      </w:pPr>
      <w:r w:rsidRPr="008155CB">
        <w:t>Criterion 2</w:t>
      </w:r>
      <w:r w:rsidRPr="007D0114">
        <w:rPr>
          <w:b/>
          <w:bCs/>
        </w:rPr>
        <w:t>:</w:t>
      </w:r>
      <w:r w:rsidRPr="007D0114">
        <w:rPr>
          <w:rStyle w:val="Strong"/>
          <w:b w:val="0"/>
        </w:rPr>
        <w:t xml:space="preserve"> B1ab(i,ii,iii,iv,v)c(iv)</w:t>
      </w:r>
      <w:r w:rsidRPr="007D0114">
        <w:rPr>
          <w:b/>
          <w:bCs/>
        </w:rPr>
        <w:t>:</w:t>
      </w:r>
      <w:r w:rsidRPr="008155CB">
        <w:t xml:space="preserve"> </w:t>
      </w:r>
      <w:sdt>
        <w:sdtPr>
          <w:id w:val="-1951545725"/>
          <w:placeholder>
            <w:docPart w:val="76A8CE47AE40440DAB547B2B7946860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Critically Endangered</w:t>
          </w:r>
        </w:sdtContent>
      </w:sdt>
    </w:p>
    <w:p w14:paraId="7A6B8CC2" w14:textId="77777777" w:rsidR="00FA65F9" w:rsidRPr="008155CB" w:rsidRDefault="00FA65F9" w:rsidP="00FA65F9">
      <w:pPr>
        <w:pStyle w:val="ListBullet"/>
      </w:pPr>
      <w:r w:rsidRPr="008155CB">
        <w:t xml:space="preserve">Criterion 3: </w:t>
      </w:r>
      <w:r w:rsidRPr="00553C77">
        <w:rPr>
          <w:rStyle w:val="Strong"/>
          <w:b w:val="0"/>
          <w:bCs w:val="0"/>
        </w:rPr>
        <w:t>C2</w:t>
      </w:r>
      <w:r>
        <w:rPr>
          <w:rStyle w:val="Strong"/>
          <w:b w:val="0"/>
          <w:bCs w:val="0"/>
        </w:rPr>
        <w:t xml:space="preserve">b: </w:t>
      </w:r>
      <w:sdt>
        <w:sdtPr>
          <w:id w:val="-220988100"/>
          <w:placeholder>
            <w:docPart w:val="BE94B2559CA6403288F56672E81061A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Critically Endangered</w:t>
          </w:r>
        </w:sdtContent>
      </w:sdt>
    </w:p>
    <w:p w14:paraId="0B03F520" w14:textId="77777777" w:rsidR="00FA65F9" w:rsidRDefault="00FA65F9" w:rsidP="00FA65F9">
      <w:pPr>
        <w:pStyle w:val="ListBullet"/>
      </w:pPr>
      <w:r w:rsidRPr="008155CB">
        <w:t xml:space="preserve">Criterion 4: </w:t>
      </w:r>
      <w:r>
        <w:t>D1: Endangered</w:t>
      </w:r>
    </w:p>
    <w:p w14:paraId="31DF8FD6" w14:textId="77777777" w:rsidR="00FA65F9" w:rsidRPr="008155CB" w:rsidRDefault="00FA65F9" w:rsidP="00FA65F9">
      <w:pPr>
        <w:pStyle w:val="ListBullet"/>
      </w:pPr>
      <w:r w:rsidRPr="008155CB">
        <w:t xml:space="preserve">Criterion 5: </w:t>
      </w:r>
      <w:sdt>
        <w:sdtPr>
          <w:id w:val="2022428125"/>
          <w:placeholder>
            <w:docPart w:val="820D421BB0C3489C98818358E53387E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8155CB">
            <w:t>Insufficient data</w:t>
          </w:r>
        </w:sdtContent>
      </w:sdt>
    </w:p>
    <w:p w14:paraId="689DDBF5" w14:textId="77777777" w:rsidR="00FA65F9" w:rsidRDefault="00FA65F9" w:rsidP="00FA65F9">
      <w:pPr>
        <w:pStyle w:val="ListBullet"/>
        <w:numPr>
          <w:ilvl w:val="0"/>
          <w:numId w:val="0"/>
        </w:numPr>
      </w:pPr>
      <w:r>
        <w:t xml:space="preserve">The main factors that make the species eligible for listing in the Critically </w:t>
      </w:r>
      <w:sdt>
        <w:sdtPr>
          <w:id w:val="12128404"/>
          <w:placeholder>
            <w:docPart w:val="C3D5EBA9F4D346E9B650756CE9CC416D"/>
          </w:placeholder>
          <w:dropDownList>
            <w:listItem w:displayText="Critically Endangered" w:value="Critically Endangered"/>
            <w:listItem w:displayText="Endangered" w:value="Endangered"/>
            <w:listItem w:displayText="Vulnerable" w:value="Vulnerable"/>
          </w:dropDownList>
        </w:sdtPr>
        <w:sdtEndPr/>
        <w:sdtContent>
          <w:r>
            <w:t>Endangered</w:t>
          </w:r>
        </w:sdtContent>
      </w:sdt>
      <w:r>
        <w:t xml:space="preserve"> category are; rapid population reduction over the past three generations due to inappropriate fire </w:t>
      </w:r>
      <w:r>
        <w:lastRenderedPageBreak/>
        <w:t xml:space="preserve">regimes and </w:t>
      </w:r>
      <w:r>
        <w:rPr>
          <w:i/>
          <w:iCs/>
        </w:rPr>
        <w:t xml:space="preserve">Phytophthora cinnamomi </w:t>
      </w:r>
      <w:r>
        <w:t xml:space="preserve">dieback; a very restricted distribution and number of locations; severe fragmentation; and a small total population size. </w:t>
      </w:r>
    </w:p>
    <w:p w14:paraId="0B0C3055" w14:textId="77777777" w:rsidR="00FA65F9" w:rsidRDefault="00FA65F9" w:rsidP="00FA65F9">
      <w:r>
        <w:t xml:space="preserve">Species can also be listed as threatened under state and territory legislation. For information on the current listing status of this species under relevant state or territory legislation, see the </w:t>
      </w:r>
      <w:hyperlink r:id="rId21" w:history="1">
        <w:r w:rsidRPr="00624A10">
          <w:rPr>
            <w:rStyle w:val="Hyperlink"/>
          </w:rPr>
          <w:t>Species Profile and Threat Database</w:t>
        </w:r>
      </w:hyperlink>
      <w:r>
        <w:t>.</w:t>
      </w:r>
    </w:p>
    <w:p w14:paraId="6DA6D6B0" w14:textId="77777777" w:rsidR="00FA65F9" w:rsidRDefault="00FA65F9" w:rsidP="00FA65F9">
      <w:pPr>
        <w:pStyle w:val="Heading2"/>
        <w:spacing w:line="276" w:lineRule="auto"/>
        <w:ind w:left="720" w:hanging="720"/>
      </w:pPr>
      <w:r>
        <w:t>Species information</w:t>
      </w:r>
    </w:p>
    <w:p w14:paraId="3487056A" w14:textId="77777777" w:rsidR="00FA65F9" w:rsidRDefault="00FA65F9" w:rsidP="00FA65F9">
      <w:pPr>
        <w:pStyle w:val="Heading3"/>
        <w:spacing w:line="276" w:lineRule="auto"/>
      </w:pPr>
      <w:r>
        <w:t>Taxonomy</w:t>
      </w:r>
    </w:p>
    <w:p w14:paraId="3AE78781" w14:textId="77777777" w:rsidR="00FA65F9" w:rsidRPr="00CE0366" w:rsidRDefault="00FA65F9" w:rsidP="00FA65F9">
      <w:pPr>
        <w:rPr>
          <w:rFonts w:cs="Arial"/>
        </w:rPr>
      </w:pPr>
      <w:bookmarkStart w:id="4" w:name="_Ref445985062"/>
      <w:bookmarkStart w:id="5" w:name="_Toc409769199"/>
      <w:bookmarkStart w:id="6" w:name="_Toc454439316"/>
      <w:r w:rsidRPr="00CE0366">
        <w:rPr>
          <w:rFonts w:cs="Arial"/>
        </w:rPr>
        <w:t xml:space="preserve">Conventionally accepted as </w:t>
      </w:r>
      <w:r w:rsidRPr="00CE0366">
        <w:rPr>
          <w:rFonts w:cs="Arial"/>
          <w:i/>
          <w:iCs/>
        </w:rPr>
        <w:t>Banksia montana</w:t>
      </w:r>
      <w:r>
        <w:rPr>
          <w:rFonts w:cs="Arial"/>
          <w:i/>
          <w:iCs/>
        </w:rPr>
        <w:t xml:space="preserve"> </w:t>
      </w:r>
      <w:r>
        <w:rPr>
          <w:rFonts w:cs="Arial"/>
        </w:rPr>
        <w:t>(C.A Gardner ex A.S. George) A.R Mast &amp; K.R Thiele</w:t>
      </w:r>
      <w:r w:rsidRPr="00CE0366">
        <w:rPr>
          <w:rFonts w:cs="Arial"/>
        </w:rPr>
        <w:t xml:space="preserve"> (2007). </w:t>
      </w:r>
    </w:p>
    <w:p w14:paraId="5F462B17" w14:textId="77777777" w:rsidR="00FA65F9" w:rsidRPr="00CE0366" w:rsidRDefault="00FA65F9" w:rsidP="00FA65F9">
      <w:pPr>
        <w:pStyle w:val="CAminorheading"/>
        <w:spacing w:line="276" w:lineRule="auto"/>
        <w:rPr>
          <w:rFonts w:ascii="Cambria" w:hAnsi="Cambria"/>
          <w:b w:val="0"/>
          <w:bCs/>
        </w:rPr>
      </w:pPr>
      <w:r w:rsidRPr="00CE0366">
        <w:rPr>
          <w:rFonts w:ascii="Cambria" w:hAnsi="Cambria"/>
          <w:b w:val="0"/>
          <w:bCs/>
        </w:rPr>
        <w:t xml:space="preserve">A member of the family </w:t>
      </w:r>
      <w:r w:rsidRPr="00B316FE">
        <w:rPr>
          <w:rFonts w:ascii="Cambria" w:hAnsi="Cambria"/>
          <w:b w:val="0"/>
          <w:bCs/>
        </w:rPr>
        <w:t>Proteaceae</w:t>
      </w:r>
      <w:r w:rsidRPr="00CE0366">
        <w:rPr>
          <w:rFonts w:ascii="Cambria" w:hAnsi="Cambria"/>
          <w:b w:val="0"/>
          <w:bCs/>
        </w:rPr>
        <w:t>,</w:t>
      </w:r>
      <w:r w:rsidRPr="00CE0366">
        <w:rPr>
          <w:rFonts w:ascii="Cambria" w:hAnsi="Cambria"/>
          <w:b w:val="0"/>
          <w:bCs/>
          <w:i/>
          <w:iCs/>
        </w:rPr>
        <w:t xml:space="preserve"> </w:t>
      </w:r>
      <w:r>
        <w:rPr>
          <w:rFonts w:ascii="Cambria" w:hAnsi="Cambria"/>
          <w:b w:val="0"/>
          <w:bCs/>
        </w:rPr>
        <w:t>Stirling Range dryandra</w:t>
      </w:r>
      <w:r w:rsidRPr="00CE0366">
        <w:rPr>
          <w:rFonts w:ascii="Cambria" w:hAnsi="Cambria"/>
          <w:b w:val="0"/>
          <w:bCs/>
        </w:rPr>
        <w:t xml:space="preserve"> was first formally described as </w:t>
      </w:r>
      <w:r w:rsidRPr="00CE0366">
        <w:rPr>
          <w:rFonts w:ascii="Cambria" w:hAnsi="Cambria"/>
          <w:b w:val="0"/>
          <w:bCs/>
          <w:i/>
          <w:iCs/>
        </w:rPr>
        <w:t>Dryandra montana</w:t>
      </w:r>
      <w:r w:rsidRPr="00CE0366">
        <w:rPr>
          <w:rFonts w:ascii="Cambria" w:hAnsi="Cambria"/>
          <w:b w:val="0"/>
          <w:bCs/>
        </w:rPr>
        <w:t xml:space="preserve"> in 1996 (George 1996). In 2007, all dryandras were transferred to the genus </w:t>
      </w:r>
      <w:r w:rsidRPr="00CE0366">
        <w:rPr>
          <w:rFonts w:ascii="Cambria" w:hAnsi="Cambria"/>
          <w:b w:val="0"/>
          <w:bCs/>
          <w:i/>
          <w:iCs/>
        </w:rPr>
        <w:t>Banksia</w:t>
      </w:r>
      <w:r w:rsidRPr="00CE0366">
        <w:rPr>
          <w:rFonts w:ascii="Cambria" w:hAnsi="Cambria"/>
          <w:b w:val="0"/>
          <w:bCs/>
        </w:rPr>
        <w:t xml:space="preserve">, and thus the species became </w:t>
      </w:r>
      <w:r w:rsidRPr="00CE0366">
        <w:rPr>
          <w:rFonts w:ascii="Cambria" w:hAnsi="Cambria"/>
          <w:b w:val="0"/>
          <w:bCs/>
          <w:i/>
          <w:iCs/>
        </w:rPr>
        <w:t>Banksia montana</w:t>
      </w:r>
      <w:r w:rsidRPr="00CE0366">
        <w:rPr>
          <w:rFonts w:ascii="Cambria" w:hAnsi="Cambria"/>
          <w:b w:val="0"/>
          <w:bCs/>
        </w:rPr>
        <w:t xml:space="preserve"> (Mast &amp; Thiele 2007).</w:t>
      </w:r>
    </w:p>
    <w:p w14:paraId="21EFF948" w14:textId="77777777" w:rsidR="00FA65F9" w:rsidRDefault="00FA65F9" w:rsidP="00FA65F9">
      <w:pPr>
        <w:pStyle w:val="Heading3"/>
        <w:spacing w:line="276" w:lineRule="auto"/>
      </w:pPr>
      <w:r w:rsidRPr="008064B3">
        <w:t>Description</w:t>
      </w:r>
    </w:p>
    <w:p w14:paraId="0E3B1687" w14:textId="77777777" w:rsidR="00FA65F9" w:rsidRPr="00CE0366" w:rsidRDefault="00FA65F9" w:rsidP="00FA65F9">
      <w:pPr>
        <w:pStyle w:val="CAminorheading"/>
        <w:spacing w:line="276" w:lineRule="auto"/>
        <w:rPr>
          <w:rFonts w:ascii="Cambria" w:hAnsi="Cambria"/>
          <w:b w:val="0"/>
          <w:bCs/>
        </w:rPr>
      </w:pPr>
      <w:r>
        <w:rPr>
          <w:rFonts w:ascii="Cambria" w:hAnsi="Cambria"/>
          <w:b w:val="0"/>
          <w:bCs/>
        </w:rPr>
        <w:t>Stirling Range dryandra</w:t>
      </w:r>
      <w:r w:rsidRPr="00CE0366">
        <w:rPr>
          <w:rFonts w:ascii="Cambria" w:hAnsi="Cambria"/>
          <w:b w:val="0"/>
          <w:bCs/>
        </w:rPr>
        <w:t xml:space="preserve"> is an erect woody shrub 1–2.5 m in height. The leaves are 60–225 mm long and 9–12 mm wide, hairy</w:t>
      </w:r>
      <w:r>
        <w:rPr>
          <w:rFonts w:ascii="Cambria" w:hAnsi="Cambria"/>
          <w:b w:val="0"/>
          <w:bCs/>
        </w:rPr>
        <w:t>,</w:t>
      </w:r>
      <w:r w:rsidRPr="00CE0366">
        <w:rPr>
          <w:rFonts w:ascii="Cambria" w:hAnsi="Cambria"/>
          <w:b w:val="0"/>
          <w:bCs/>
        </w:rPr>
        <w:t xml:space="preserve"> and </w:t>
      </w:r>
      <w:r>
        <w:rPr>
          <w:rFonts w:ascii="Cambria" w:hAnsi="Cambria"/>
          <w:b w:val="0"/>
          <w:bCs/>
        </w:rPr>
        <w:t xml:space="preserve">contain </w:t>
      </w:r>
      <w:r w:rsidRPr="00CE0366">
        <w:rPr>
          <w:rFonts w:ascii="Cambria" w:hAnsi="Cambria"/>
          <w:b w:val="0"/>
          <w:bCs/>
        </w:rPr>
        <w:t xml:space="preserve">22–52 elongated, triangular lobes cut to the mid-rib and pointing towards the apex. The yellow flowers are produced </w:t>
      </w:r>
      <w:r>
        <w:rPr>
          <w:rFonts w:ascii="Cambria" w:hAnsi="Cambria"/>
          <w:b w:val="0"/>
          <w:bCs/>
        </w:rPr>
        <w:t>from</w:t>
      </w:r>
      <w:r w:rsidRPr="00CE0366">
        <w:rPr>
          <w:rFonts w:ascii="Cambria" w:hAnsi="Cambria"/>
          <w:b w:val="0"/>
          <w:bCs/>
        </w:rPr>
        <w:t xml:space="preserve"> January</w:t>
      </w:r>
      <w:r>
        <w:rPr>
          <w:rFonts w:ascii="Cambria" w:hAnsi="Cambria"/>
          <w:b w:val="0"/>
          <w:bCs/>
        </w:rPr>
        <w:t xml:space="preserve"> to March</w:t>
      </w:r>
      <w:r w:rsidRPr="00CE0366">
        <w:rPr>
          <w:rFonts w:ascii="Cambria" w:hAnsi="Cambria"/>
          <w:b w:val="0"/>
          <w:bCs/>
        </w:rPr>
        <w:t>,</w:t>
      </w:r>
      <w:r>
        <w:rPr>
          <w:rFonts w:ascii="Cambria" w:hAnsi="Cambria"/>
          <w:b w:val="0"/>
          <w:bCs/>
        </w:rPr>
        <w:t xml:space="preserve"> are covered with small villi, and </w:t>
      </w:r>
      <w:r w:rsidRPr="00CE0366">
        <w:rPr>
          <w:rFonts w:ascii="Cambria" w:hAnsi="Cambria"/>
          <w:b w:val="0"/>
          <w:bCs/>
        </w:rPr>
        <w:t xml:space="preserve">form inflorescences </w:t>
      </w:r>
      <w:r>
        <w:rPr>
          <w:rFonts w:ascii="Cambria" w:hAnsi="Cambria"/>
          <w:b w:val="0"/>
          <w:bCs/>
        </w:rPr>
        <w:t xml:space="preserve">about </w:t>
      </w:r>
      <w:r w:rsidRPr="00CE0366">
        <w:rPr>
          <w:rFonts w:ascii="Cambria" w:hAnsi="Cambria"/>
          <w:b w:val="0"/>
          <w:bCs/>
        </w:rPr>
        <w:t xml:space="preserve">17–20 mm long on the old wood inside the foliage. The </w:t>
      </w:r>
      <w:r>
        <w:rPr>
          <w:rFonts w:ascii="Cambria" w:hAnsi="Cambria"/>
          <w:b w:val="0"/>
          <w:bCs/>
        </w:rPr>
        <w:t xml:space="preserve">pistil (female organs of the flower) </w:t>
      </w:r>
      <w:r w:rsidRPr="00CE0366">
        <w:rPr>
          <w:rFonts w:ascii="Cambria" w:hAnsi="Cambria"/>
          <w:b w:val="0"/>
          <w:bCs/>
        </w:rPr>
        <w:t xml:space="preserve">is 25–30 mm, curved and hairy. The upper stems and fruits are covered by short red hairs. </w:t>
      </w:r>
      <w:r>
        <w:rPr>
          <w:rFonts w:ascii="Cambria" w:hAnsi="Cambria"/>
          <w:b w:val="0"/>
          <w:bCs/>
        </w:rPr>
        <w:t xml:space="preserve">This information was adapted from Gilfillan et al. (2008) and </w:t>
      </w:r>
      <w:r w:rsidRPr="00CE0366">
        <w:rPr>
          <w:rFonts w:ascii="Cambria" w:hAnsi="Cambria"/>
          <w:b w:val="0"/>
          <w:bCs/>
        </w:rPr>
        <w:t xml:space="preserve">Florabase </w:t>
      </w:r>
      <w:r>
        <w:rPr>
          <w:rFonts w:ascii="Cambria" w:hAnsi="Cambria"/>
          <w:b w:val="0"/>
          <w:bCs/>
        </w:rPr>
        <w:t>(</w:t>
      </w:r>
      <w:r w:rsidRPr="00CE0366">
        <w:rPr>
          <w:rFonts w:ascii="Cambria" w:hAnsi="Cambria"/>
          <w:b w:val="0"/>
          <w:bCs/>
        </w:rPr>
        <w:t>2020</w:t>
      </w:r>
      <w:r>
        <w:rPr>
          <w:rFonts w:ascii="Cambria" w:hAnsi="Cambria"/>
          <w:b w:val="0"/>
          <w:bCs/>
        </w:rPr>
        <w:t>).</w:t>
      </w:r>
    </w:p>
    <w:p w14:paraId="0BDBE494" w14:textId="77777777" w:rsidR="00FA65F9" w:rsidRPr="008064B3" w:rsidRDefault="00FA65F9" w:rsidP="00FA65F9">
      <w:pPr>
        <w:pStyle w:val="Heading3"/>
        <w:spacing w:line="276" w:lineRule="auto"/>
      </w:pPr>
      <w:r w:rsidRPr="008064B3">
        <w:t>Distribution</w:t>
      </w:r>
    </w:p>
    <w:p w14:paraId="0DDCC9B3" w14:textId="10ABA830" w:rsidR="00FA65F9" w:rsidRPr="001B2E6F" w:rsidRDefault="00FA65F9" w:rsidP="00FA65F9">
      <w:pPr>
        <w:pStyle w:val="Normal12pt"/>
        <w:spacing w:after="240" w:line="276" w:lineRule="auto"/>
        <w:rPr>
          <w:rFonts w:ascii="Cambria" w:hAnsi="Cambria" w:cs="Arial"/>
          <w:sz w:val="22"/>
          <w:szCs w:val="22"/>
        </w:rPr>
      </w:pPr>
      <w:r>
        <w:rPr>
          <w:rFonts w:ascii="Cambria" w:hAnsi="Cambria" w:cs="Arial"/>
          <w:sz w:val="22"/>
          <w:szCs w:val="22"/>
        </w:rPr>
        <w:t>Stirling Range dryandra</w:t>
      </w:r>
      <w:r w:rsidRPr="22E3ABD1">
        <w:rPr>
          <w:rFonts w:ascii="Cambria" w:hAnsi="Cambria" w:cs="Arial"/>
          <w:sz w:val="22"/>
          <w:szCs w:val="22"/>
        </w:rPr>
        <w:t xml:space="preserve"> is endemic to mountain summit areas between 900 m and 1080 m above sea level in the Stirling Range, approximately 70 km north of Albany, on the southern coast of Western Australia (WA) (Gilfillan et al. 2008; Map 1). Its range is entirely within the Stirling Range National Park, and the species is part of a group of plants forming the Eastern Stirling Range Montane Heath and Thicket Community (</w:t>
      </w:r>
      <w:r w:rsidR="007F1C4A">
        <w:rPr>
          <w:rFonts w:ascii="Cambria" w:hAnsi="Cambria" w:cs="Arial"/>
          <w:sz w:val="22"/>
          <w:szCs w:val="22"/>
        </w:rPr>
        <w:t xml:space="preserve">DPAW </w:t>
      </w:r>
      <w:r w:rsidRPr="22E3ABD1">
        <w:rPr>
          <w:rFonts w:ascii="Cambria" w:hAnsi="Cambria" w:cs="Arial"/>
          <w:sz w:val="22"/>
          <w:szCs w:val="22"/>
        </w:rPr>
        <w:t>2</w:t>
      </w:r>
      <w:r w:rsidR="007F1C4A">
        <w:rPr>
          <w:rFonts w:ascii="Cambria" w:hAnsi="Cambria" w:cs="Arial"/>
          <w:sz w:val="22"/>
          <w:szCs w:val="22"/>
        </w:rPr>
        <w:t>016</w:t>
      </w:r>
      <w:r w:rsidRPr="22E3ABD1">
        <w:rPr>
          <w:rFonts w:ascii="Cambria" w:hAnsi="Cambria" w:cs="Arial"/>
          <w:sz w:val="22"/>
          <w:szCs w:val="22"/>
        </w:rPr>
        <w:t xml:space="preserve">). The species occurs in four subpopulations on a few eastern peaks, occupying a total area of less than </w:t>
      </w:r>
      <w:r>
        <w:rPr>
          <w:rFonts w:ascii="Cambria" w:hAnsi="Cambria" w:cs="Arial"/>
          <w:sz w:val="22"/>
          <w:szCs w:val="22"/>
        </w:rPr>
        <w:t>5</w:t>
      </w:r>
      <w:r w:rsidRPr="22E3ABD1">
        <w:rPr>
          <w:rFonts w:ascii="Cambria" w:hAnsi="Cambria" w:cs="Arial"/>
          <w:sz w:val="22"/>
          <w:szCs w:val="22"/>
        </w:rPr>
        <w:t xml:space="preserve"> km</w:t>
      </w:r>
      <w:r w:rsidRPr="22E3ABD1">
        <w:rPr>
          <w:rFonts w:ascii="Cambria" w:hAnsi="Cambria" w:cs="Arial"/>
          <w:sz w:val="22"/>
          <w:szCs w:val="22"/>
          <w:vertAlign w:val="superscript"/>
        </w:rPr>
        <w:t>2</w:t>
      </w:r>
      <w:r w:rsidRPr="22E3ABD1">
        <w:rPr>
          <w:rFonts w:ascii="Cambria" w:hAnsi="Cambria" w:cs="Arial"/>
          <w:sz w:val="22"/>
          <w:szCs w:val="22"/>
        </w:rPr>
        <w:t xml:space="preserve">, and possibly less than </w:t>
      </w:r>
      <w:r>
        <w:rPr>
          <w:rFonts w:ascii="Cambria" w:hAnsi="Cambria" w:cs="Arial"/>
          <w:sz w:val="22"/>
          <w:szCs w:val="22"/>
        </w:rPr>
        <w:t>1</w:t>
      </w:r>
      <w:r w:rsidRPr="22E3ABD1">
        <w:rPr>
          <w:rFonts w:ascii="Cambria" w:hAnsi="Cambria" w:cs="Arial"/>
          <w:sz w:val="22"/>
          <w:szCs w:val="22"/>
        </w:rPr>
        <w:t xml:space="preserve"> km</w:t>
      </w:r>
      <w:r w:rsidRPr="22E3ABD1">
        <w:rPr>
          <w:rFonts w:ascii="Cambria" w:hAnsi="Cambria" w:cs="Arial"/>
          <w:sz w:val="22"/>
          <w:szCs w:val="22"/>
          <w:vertAlign w:val="superscript"/>
        </w:rPr>
        <w:t>2</w:t>
      </w:r>
      <w:r w:rsidRPr="22E3ABD1">
        <w:rPr>
          <w:rFonts w:ascii="Cambria" w:hAnsi="Cambria" w:cs="Arial"/>
          <w:sz w:val="22"/>
          <w:szCs w:val="22"/>
        </w:rPr>
        <w:t xml:space="preserve"> (Silcock et al. 2021). It is considered to </w:t>
      </w:r>
      <w:r>
        <w:rPr>
          <w:rFonts w:ascii="Cambria" w:hAnsi="Cambria" w:cs="Arial"/>
          <w:sz w:val="22"/>
          <w:szCs w:val="22"/>
        </w:rPr>
        <w:t xml:space="preserve">be locally extinct from one </w:t>
      </w:r>
      <w:r w:rsidRPr="22E3ABD1">
        <w:rPr>
          <w:rFonts w:ascii="Cambria" w:hAnsi="Cambria" w:cs="Arial"/>
          <w:sz w:val="22"/>
          <w:szCs w:val="22"/>
        </w:rPr>
        <w:t xml:space="preserve">(Silcock et al. 2021). </w:t>
      </w:r>
    </w:p>
    <w:p w14:paraId="6A3299E3" w14:textId="77777777" w:rsidR="00FA65F9" w:rsidRDefault="00FA65F9" w:rsidP="00FA65F9">
      <w:pPr>
        <w:pStyle w:val="Normal12pt"/>
        <w:spacing w:after="240" w:line="276" w:lineRule="auto"/>
      </w:pPr>
      <w:r>
        <w:rPr>
          <w:rFonts w:ascii="Cambria" w:hAnsi="Cambria" w:cs="Arial"/>
          <w:sz w:val="22"/>
          <w:szCs w:val="22"/>
        </w:rPr>
        <w:t>Stirling Range dryandra</w:t>
      </w:r>
      <w:r w:rsidRPr="5690178A">
        <w:rPr>
          <w:rFonts w:ascii="Cambria" w:hAnsi="Cambria" w:cs="Arial"/>
          <w:sz w:val="22"/>
          <w:szCs w:val="22"/>
        </w:rPr>
        <w:t xml:space="preserve"> was first discovered in 1964. Six natural subpopulations have been identified, with the four known extant subpopulations located on Bluff Knoll, East Bluff, Pyungoorup and Isongerup. The closest town to these subpopulations is Mount Barker. It is unlikely other subpopulations exist (S Barrett pers comm 2020, cited in Silcock et al. 2021; Table 1). One subpopulation, Coyanarup, is presumed extinct. A subpopulation at Kyanorup Eminence may also have gone extinct, though the lower altitude and different plant community suggests </w:t>
      </w:r>
      <w:r>
        <w:rPr>
          <w:rFonts w:ascii="Cambria" w:hAnsi="Cambria" w:cs="Arial"/>
          <w:sz w:val="22"/>
          <w:szCs w:val="22"/>
        </w:rPr>
        <w:t>that</w:t>
      </w:r>
      <w:r w:rsidRPr="5690178A">
        <w:rPr>
          <w:rFonts w:ascii="Cambria" w:hAnsi="Cambria" w:cs="Arial"/>
          <w:sz w:val="22"/>
          <w:szCs w:val="22"/>
        </w:rPr>
        <w:t xml:space="preserve"> </w:t>
      </w:r>
      <w:r>
        <w:rPr>
          <w:rFonts w:ascii="Cambria" w:hAnsi="Cambria" w:cs="Arial"/>
          <w:sz w:val="22"/>
          <w:szCs w:val="22"/>
        </w:rPr>
        <w:t>Stirling Range dryandra</w:t>
      </w:r>
      <w:r w:rsidRPr="5690178A">
        <w:rPr>
          <w:rFonts w:ascii="Cambria" w:hAnsi="Cambria" w:cs="Arial"/>
          <w:sz w:val="22"/>
          <w:szCs w:val="22"/>
        </w:rPr>
        <w:t xml:space="preserve"> may never have been present at this location (Gilfillan et al. 2008). </w:t>
      </w:r>
      <w:r>
        <w:t xml:space="preserve"> </w:t>
      </w:r>
    </w:p>
    <w:p w14:paraId="32468CB5" w14:textId="2DB6442D" w:rsidR="00FA65F9" w:rsidRDefault="00FA65F9" w:rsidP="00FA65F9">
      <w:pPr>
        <w:pStyle w:val="Normal12pt"/>
        <w:spacing w:after="240" w:line="276" w:lineRule="auto"/>
        <w:rPr>
          <w:rFonts w:ascii="Cambria" w:hAnsi="Cambria" w:cs="Arial"/>
          <w:sz w:val="22"/>
          <w:szCs w:val="22"/>
        </w:rPr>
      </w:pPr>
      <w:r w:rsidRPr="5690178A">
        <w:rPr>
          <w:rFonts w:ascii="Cambria" w:hAnsi="Cambria" w:cs="Arial"/>
          <w:sz w:val="22"/>
          <w:szCs w:val="22"/>
        </w:rPr>
        <w:t>In early 2000, the known population size was 137 mature individuals and 39 juveniles over four natural subpopulations</w:t>
      </w:r>
      <w:r>
        <w:rPr>
          <w:rFonts w:ascii="Cambria" w:hAnsi="Cambria" w:cs="Arial"/>
          <w:sz w:val="22"/>
          <w:szCs w:val="22"/>
        </w:rPr>
        <w:t xml:space="preserve"> (Gilfillan et al. 2008)</w:t>
      </w:r>
      <w:r w:rsidRPr="5690178A">
        <w:rPr>
          <w:rFonts w:ascii="Cambria" w:hAnsi="Cambria" w:cs="Arial"/>
          <w:sz w:val="22"/>
          <w:szCs w:val="22"/>
        </w:rPr>
        <w:t xml:space="preserve">. A fire in spring 2000 reduced this number to </w:t>
      </w:r>
      <w:r>
        <w:rPr>
          <w:rFonts w:ascii="Cambria" w:hAnsi="Cambria" w:cs="Arial"/>
          <w:sz w:val="22"/>
          <w:szCs w:val="22"/>
        </w:rPr>
        <w:t>51–</w:t>
      </w:r>
      <w:r w:rsidRPr="5690178A">
        <w:rPr>
          <w:rFonts w:ascii="Cambria" w:hAnsi="Cambria" w:cs="Arial"/>
          <w:sz w:val="22"/>
          <w:szCs w:val="22"/>
        </w:rPr>
        <w:t>55 mature individuals (</w:t>
      </w:r>
      <w:r>
        <w:rPr>
          <w:rFonts w:ascii="Cambria" w:hAnsi="Cambria" w:cs="Arial"/>
          <w:sz w:val="22"/>
          <w:szCs w:val="22"/>
        </w:rPr>
        <w:t xml:space="preserve">Gilfillan et al. 2008; </w:t>
      </w:r>
      <w:r w:rsidRPr="5690178A">
        <w:rPr>
          <w:rFonts w:ascii="Cambria" w:hAnsi="Cambria" w:cs="Arial"/>
          <w:sz w:val="22"/>
          <w:szCs w:val="22"/>
        </w:rPr>
        <w:t>DAWE 2017</w:t>
      </w:r>
      <w:r>
        <w:rPr>
          <w:rFonts w:ascii="Cambria" w:hAnsi="Cambria" w:cs="Arial"/>
          <w:sz w:val="22"/>
          <w:szCs w:val="22"/>
        </w:rPr>
        <w:t>; Silcock et al. 2021</w:t>
      </w:r>
      <w:r w:rsidRPr="5690178A">
        <w:rPr>
          <w:rFonts w:ascii="Cambria" w:hAnsi="Cambria" w:cs="Arial"/>
          <w:sz w:val="22"/>
          <w:szCs w:val="22"/>
        </w:rPr>
        <w:t xml:space="preserve">) and did not stimulate recruitment at subpopulations </w:t>
      </w:r>
      <w:r w:rsidR="007F1C4A">
        <w:rPr>
          <w:rFonts w:ascii="Cambria" w:hAnsi="Cambria" w:cs="Arial"/>
          <w:sz w:val="22"/>
          <w:szCs w:val="22"/>
        </w:rPr>
        <w:t>previously burnt in 1991</w:t>
      </w:r>
      <w:r w:rsidRPr="5690178A">
        <w:rPr>
          <w:rFonts w:ascii="Cambria" w:hAnsi="Cambria" w:cs="Arial"/>
          <w:sz w:val="22"/>
          <w:szCs w:val="22"/>
        </w:rPr>
        <w:t xml:space="preserve">(Barrett &amp; Yates 2015). </w:t>
      </w:r>
      <w:r>
        <w:rPr>
          <w:rFonts w:ascii="Cambria" w:hAnsi="Cambria" w:cs="Arial"/>
          <w:sz w:val="22"/>
          <w:szCs w:val="22"/>
        </w:rPr>
        <w:t xml:space="preserve">The number of mature plants further declined to 40 in 2015 and 34 in 2016 (DAWE 2017; Silcock et </w:t>
      </w:r>
      <w:r>
        <w:rPr>
          <w:rFonts w:ascii="Cambria" w:hAnsi="Cambria" w:cs="Arial"/>
          <w:sz w:val="22"/>
          <w:szCs w:val="22"/>
        </w:rPr>
        <w:lastRenderedPageBreak/>
        <w:t xml:space="preserve">al. </w:t>
      </w:r>
      <w:r w:rsidRPr="00076EFA">
        <w:rPr>
          <w:rFonts w:ascii="Cambria" w:hAnsi="Cambria" w:cs="Arial"/>
          <w:sz w:val="22"/>
          <w:szCs w:val="22"/>
        </w:rPr>
        <w:t>2021).</w:t>
      </w:r>
      <w:r w:rsidR="00076EFA" w:rsidRPr="00076EFA">
        <w:rPr>
          <w:rFonts w:ascii="Cambria" w:hAnsi="Cambria" w:cs="Arial"/>
          <w:sz w:val="22"/>
          <w:szCs w:val="22"/>
        </w:rPr>
        <w:t xml:space="preserve"> An escaped prescribed burn</w:t>
      </w:r>
      <w:r w:rsidRPr="00076EFA">
        <w:rPr>
          <w:rFonts w:ascii="Cambria" w:hAnsi="Cambria" w:cs="Arial"/>
          <w:sz w:val="22"/>
          <w:szCs w:val="22"/>
        </w:rPr>
        <w:t xml:space="preserve"> in May 2018</w:t>
      </w:r>
      <w:r w:rsidR="00076EFA" w:rsidRPr="00076EFA">
        <w:rPr>
          <w:rFonts w:ascii="Cambria" w:hAnsi="Cambria" w:cs="Arial"/>
          <w:sz w:val="22"/>
          <w:szCs w:val="22"/>
        </w:rPr>
        <w:t xml:space="preserve"> (</w:t>
      </w:r>
      <w:r w:rsidR="00076EFA">
        <w:rPr>
          <w:rFonts w:ascii="Cambria" w:hAnsi="Cambria" w:cs="Arial"/>
          <w:sz w:val="22"/>
          <w:szCs w:val="22"/>
        </w:rPr>
        <w:t xml:space="preserve">BOM 2018; </w:t>
      </w:r>
      <w:r w:rsidR="00076EFA" w:rsidRPr="00076EFA">
        <w:rPr>
          <w:rFonts w:ascii="Cambria" w:hAnsi="Cambria" w:cs="Arial"/>
          <w:sz w:val="22"/>
          <w:szCs w:val="22"/>
        </w:rPr>
        <w:t>Office of Bushfire Risk Management 2018)</w:t>
      </w:r>
      <w:r w:rsidRPr="00076EFA">
        <w:rPr>
          <w:rFonts w:ascii="Cambria" w:hAnsi="Cambria" w:cs="Arial"/>
          <w:sz w:val="22"/>
          <w:szCs w:val="22"/>
        </w:rPr>
        <w:t xml:space="preserve"> and </w:t>
      </w:r>
      <w:r w:rsidR="00076EFA">
        <w:rPr>
          <w:rFonts w:ascii="Cambria" w:hAnsi="Cambria" w:cs="Arial"/>
          <w:sz w:val="22"/>
          <w:szCs w:val="22"/>
        </w:rPr>
        <w:t xml:space="preserve">a bushfire in </w:t>
      </w:r>
      <w:r w:rsidRPr="00076EFA">
        <w:rPr>
          <w:rFonts w:ascii="Cambria" w:hAnsi="Cambria" w:cs="Arial"/>
          <w:sz w:val="22"/>
          <w:szCs w:val="22"/>
        </w:rPr>
        <w:t>December 2019 led to 100 percent mortality of all known mature Stirling Range dryandra individuals (S Barrett 2020. pers comm 25 September). Recruitment of more than 1000 seedlings occurred after the 2018 fire, and in 2020, 857 juveniles were identified. This included 630 in the Bluff Knoll subpopulation, 9 at Pyungoorup, 204 and Isongerup and 14 at East Bluff (Silcock et al. 2021).  It was considered</w:t>
      </w:r>
      <w:r w:rsidRPr="00A34680">
        <w:rPr>
          <w:rFonts w:ascii="Cambria" w:hAnsi="Cambria" w:cs="Arial"/>
          <w:sz w:val="22"/>
          <w:szCs w:val="22"/>
        </w:rPr>
        <w:t xml:space="preserve"> that approximately 60</w:t>
      </w:r>
      <w:r>
        <w:rPr>
          <w:rFonts w:ascii="Cambria" w:hAnsi="Cambria" w:cs="Arial"/>
          <w:sz w:val="22"/>
          <w:szCs w:val="22"/>
        </w:rPr>
        <w:t xml:space="preserve"> percent</w:t>
      </w:r>
      <w:r w:rsidRPr="00A34680">
        <w:rPr>
          <w:rFonts w:ascii="Cambria" w:hAnsi="Cambria" w:cs="Arial"/>
          <w:sz w:val="22"/>
          <w:szCs w:val="22"/>
        </w:rPr>
        <w:t xml:space="preserve"> of the juveniles alive in 2019 survived until 2020 (S Barret</w:t>
      </w:r>
      <w:r w:rsidR="007F1C4A">
        <w:rPr>
          <w:rFonts w:ascii="Cambria" w:hAnsi="Cambria" w:cs="Arial"/>
          <w:sz w:val="22"/>
          <w:szCs w:val="22"/>
        </w:rPr>
        <w:t>t</w:t>
      </w:r>
      <w:r w:rsidRPr="00A34680">
        <w:rPr>
          <w:rFonts w:ascii="Cambria" w:hAnsi="Cambria" w:cs="Arial"/>
          <w:sz w:val="22"/>
          <w:szCs w:val="22"/>
        </w:rPr>
        <w:t xml:space="preserve"> 2020. pers comm 25 September). By autumn 2021, 725 juveniles </w:t>
      </w:r>
      <w:r>
        <w:rPr>
          <w:rFonts w:ascii="Cambria" w:hAnsi="Cambria" w:cs="Arial"/>
          <w:sz w:val="22"/>
          <w:szCs w:val="22"/>
        </w:rPr>
        <w:t xml:space="preserve">from the 2018 fire </w:t>
      </w:r>
      <w:r w:rsidRPr="00A34680">
        <w:rPr>
          <w:rFonts w:ascii="Cambria" w:hAnsi="Cambria" w:cs="Arial"/>
          <w:sz w:val="22"/>
          <w:szCs w:val="22"/>
        </w:rPr>
        <w:t>and 22 seedlings that germinated after the 2019 fire were present (DBCA 2021).</w:t>
      </w:r>
      <w:r w:rsidRPr="5690178A">
        <w:rPr>
          <w:rFonts w:ascii="Cambria" w:hAnsi="Cambria" w:cs="Arial"/>
          <w:sz w:val="22"/>
          <w:szCs w:val="22"/>
        </w:rPr>
        <w:t xml:space="preserve"> These subpopulations are currently comprised entirely of juvenile plants and it is not known whether they will survive to reproductive maturity due to ongoing threats (Silcock et al. 2021). </w:t>
      </w:r>
      <w:r>
        <w:rPr>
          <w:rFonts w:ascii="Cambria" w:hAnsi="Cambria" w:cs="Arial"/>
          <w:sz w:val="22"/>
          <w:szCs w:val="22"/>
        </w:rPr>
        <w:t>M</w:t>
      </w:r>
      <w:r w:rsidRPr="5690178A">
        <w:rPr>
          <w:rFonts w:ascii="Cambria" w:hAnsi="Cambria" w:cs="Arial"/>
          <w:sz w:val="22"/>
          <w:szCs w:val="22"/>
        </w:rPr>
        <w:t>ortality</w:t>
      </w:r>
      <w:r>
        <w:rPr>
          <w:rFonts w:ascii="Cambria" w:hAnsi="Cambria" w:cs="Arial"/>
          <w:sz w:val="22"/>
          <w:szCs w:val="22"/>
        </w:rPr>
        <w:t xml:space="preserve"> of seedlings and juveniles due to</w:t>
      </w:r>
      <w:r w:rsidR="007F1C4A">
        <w:rPr>
          <w:rFonts w:ascii="Cambria" w:hAnsi="Cambria" w:cs="Arial"/>
          <w:sz w:val="22"/>
          <w:szCs w:val="22"/>
        </w:rPr>
        <w:t xml:space="preserve"> disease,</w:t>
      </w:r>
      <w:r>
        <w:rPr>
          <w:rFonts w:ascii="Cambria" w:hAnsi="Cambria" w:cs="Arial"/>
          <w:sz w:val="22"/>
          <w:szCs w:val="22"/>
        </w:rPr>
        <w:t xml:space="preserve"> drought and fire</w:t>
      </w:r>
      <w:r w:rsidRPr="5690178A">
        <w:rPr>
          <w:rFonts w:ascii="Cambria" w:hAnsi="Cambria" w:cs="Arial"/>
          <w:sz w:val="22"/>
          <w:szCs w:val="22"/>
        </w:rPr>
        <w:t xml:space="preserve"> has occurred</w:t>
      </w:r>
      <w:r>
        <w:rPr>
          <w:rFonts w:ascii="Cambria" w:hAnsi="Cambria" w:cs="Arial"/>
          <w:sz w:val="22"/>
          <w:szCs w:val="22"/>
        </w:rPr>
        <w:t xml:space="preserve"> (</w:t>
      </w:r>
      <w:r w:rsidRPr="5690178A">
        <w:rPr>
          <w:rFonts w:ascii="Cambria" w:hAnsi="Cambria" w:cs="Arial"/>
          <w:sz w:val="22"/>
          <w:szCs w:val="22"/>
        </w:rPr>
        <w:t>S Barrett 2020. pers comm 25 September</w:t>
      </w:r>
      <w:r>
        <w:rPr>
          <w:rFonts w:ascii="Cambria" w:hAnsi="Cambria" w:cs="Arial"/>
          <w:sz w:val="22"/>
          <w:szCs w:val="22"/>
        </w:rPr>
        <w:t>),</w:t>
      </w:r>
    </w:p>
    <w:p w14:paraId="5790BD2A" w14:textId="37634F49" w:rsidR="00FA65F9" w:rsidRDefault="00FA65F9" w:rsidP="00FA65F9">
      <w:pPr>
        <w:pStyle w:val="Normal12pt"/>
        <w:spacing w:after="240" w:line="276" w:lineRule="auto"/>
        <w:rPr>
          <w:rFonts w:ascii="Cambria" w:hAnsi="Cambria" w:cs="Arial"/>
          <w:sz w:val="22"/>
          <w:szCs w:val="22"/>
        </w:rPr>
      </w:pPr>
      <w:r>
        <w:rPr>
          <w:rFonts w:ascii="Cambria" w:hAnsi="Cambria" w:cs="Arial"/>
          <w:i/>
          <w:iCs/>
          <w:sz w:val="22"/>
          <w:szCs w:val="22"/>
        </w:rPr>
        <w:t>E</w:t>
      </w:r>
      <w:r w:rsidRPr="22E3ABD1">
        <w:rPr>
          <w:rFonts w:ascii="Cambria" w:hAnsi="Cambria" w:cs="Arial"/>
          <w:i/>
          <w:iCs/>
          <w:sz w:val="22"/>
          <w:szCs w:val="22"/>
        </w:rPr>
        <w:t>x situ subpopulations</w:t>
      </w:r>
      <w:r>
        <w:br/>
      </w:r>
      <w:r w:rsidRPr="22E3ABD1">
        <w:rPr>
          <w:rFonts w:ascii="Cambria" w:hAnsi="Cambria" w:cs="Arial"/>
          <w:sz w:val="22"/>
          <w:szCs w:val="22"/>
        </w:rPr>
        <w:t>In August 2003 and June 2004, 89 juvenile plants grown from seeds were planted ex situ at Luscombe’s seed orchard, approximately 50 km from the natural range. There are now two translocated subpopulations, though the Benmore Tree farm established in 2010 only has a few individuals</w:t>
      </w:r>
      <w:r>
        <w:rPr>
          <w:rFonts w:ascii="Cambria" w:hAnsi="Cambria" w:cs="Arial"/>
          <w:sz w:val="22"/>
          <w:szCs w:val="22"/>
        </w:rPr>
        <w:t xml:space="preserve"> of the species</w:t>
      </w:r>
      <w:r w:rsidRPr="22E3ABD1">
        <w:rPr>
          <w:rFonts w:ascii="Cambria" w:hAnsi="Cambria" w:cs="Arial"/>
          <w:sz w:val="22"/>
          <w:szCs w:val="22"/>
        </w:rPr>
        <w:t xml:space="preserve"> (S Barrett 2020. pers comm 25 September; Table 1). Over several years, a total of 138 and 48 seedlings have been planted at these sites respectively, and as of 2019–20, 65 and two plants were surviving in each orchard</w:t>
      </w:r>
      <w:r>
        <w:rPr>
          <w:rFonts w:ascii="Cambria" w:hAnsi="Cambria" w:cs="Arial"/>
          <w:sz w:val="22"/>
          <w:szCs w:val="22"/>
        </w:rPr>
        <w:t xml:space="preserve"> respectively</w:t>
      </w:r>
      <w:r w:rsidR="007F1C4A">
        <w:rPr>
          <w:rFonts w:ascii="Cambria" w:hAnsi="Cambria" w:cs="Arial"/>
          <w:sz w:val="22"/>
          <w:szCs w:val="22"/>
        </w:rPr>
        <w:t>. No</w:t>
      </w:r>
      <w:r w:rsidRPr="22E3ABD1">
        <w:rPr>
          <w:rFonts w:ascii="Cambria" w:hAnsi="Cambria" w:cs="Arial"/>
          <w:sz w:val="22"/>
          <w:szCs w:val="22"/>
        </w:rPr>
        <w:t xml:space="preserve"> recruitment ha</w:t>
      </w:r>
      <w:r w:rsidR="007F1C4A">
        <w:rPr>
          <w:rFonts w:ascii="Cambria" w:hAnsi="Cambria" w:cs="Arial"/>
          <w:sz w:val="22"/>
          <w:szCs w:val="22"/>
        </w:rPr>
        <w:t>d</w:t>
      </w:r>
      <w:r w:rsidRPr="22E3ABD1">
        <w:rPr>
          <w:rFonts w:ascii="Cambria" w:hAnsi="Cambria" w:cs="Arial"/>
          <w:sz w:val="22"/>
          <w:szCs w:val="22"/>
        </w:rPr>
        <w:t xml:space="preserve"> occurred at either site </w:t>
      </w:r>
      <w:r w:rsidR="007F1C4A">
        <w:rPr>
          <w:rFonts w:ascii="Cambria" w:hAnsi="Cambria" w:cs="Arial"/>
          <w:sz w:val="22"/>
          <w:szCs w:val="22"/>
        </w:rPr>
        <w:t>prior to 2021</w:t>
      </w:r>
      <w:r w:rsidRPr="22E3ABD1">
        <w:rPr>
          <w:rFonts w:ascii="Cambria" w:hAnsi="Cambria" w:cs="Arial"/>
          <w:sz w:val="22"/>
          <w:szCs w:val="22"/>
        </w:rPr>
        <w:t>(Silcock et al. 2021</w:t>
      </w:r>
      <w:r w:rsidR="007F1C4A">
        <w:rPr>
          <w:rFonts w:ascii="Cambria" w:hAnsi="Cambria" w:cs="Arial"/>
          <w:sz w:val="22"/>
          <w:szCs w:val="22"/>
        </w:rPr>
        <w:t>; DBCA 2021</w:t>
      </w:r>
      <w:r w:rsidRPr="22E3ABD1">
        <w:rPr>
          <w:rFonts w:ascii="Cambria" w:hAnsi="Cambria" w:cs="Arial"/>
          <w:sz w:val="22"/>
          <w:szCs w:val="22"/>
        </w:rPr>
        <w:t xml:space="preserve">). These plants constitute a highly significant insurance </w:t>
      </w:r>
      <w:r w:rsidR="007F1C4A">
        <w:rPr>
          <w:rFonts w:ascii="Cambria" w:hAnsi="Cambria" w:cs="Arial"/>
          <w:sz w:val="22"/>
          <w:szCs w:val="22"/>
        </w:rPr>
        <w:t>sub</w:t>
      </w:r>
      <w:r w:rsidRPr="22E3ABD1">
        <w:rPr>
          <w:rFonts w:ascii="Cambria" w:hAnsi="Cambria" w:cs="Arial"/>
          <w:sz w:val="22"/>
          <w:szCs w:val="22"/>
        </w:rPr>
        <w:t xml:space="preserve">population, and increasingly so, as extant subpopulations have declined and gone extinct (Cochrane et al. 2010). As of 2021, the seed orchards are the only subpopulations with mature individuals. </w:t>
      </w:r>
    </w:p>
    <w:p w14:paraId="66B5E40C" w14:textId="77777777" w:rsidR="00FA65F9" w:rsidRDefault="00FA65F9" w:rsidP="00FA65F9">
      <w:pPr>
        <w:pStyle w:val="Normal12pt"/>
        <w:spacing w:after="240" w:line="276" w:lineRule="auto"/>
        <w:rPr>
          <w:rFonts w:ascii="Cambria" w:hAnsi="Cambria" w:cs="Arial"/>
          <w:sz w:val="22"/>
          <w:szCs w:val="22"/>
        </w:rPr>
      </w:pPr>
      <w:r>
        <w:rPr>
          <w:rFonts w:ascii="Cambria" w:hAnsi="Cambria" w:cs="Arial"/>
          <w:sz w:val="22"/>
          <w:szCs w:val="22"/>
        </w:rPr>
        <w:t>In 2019, seedlings from the larger ex situ subpopulation were translocated to three natural subpopulations to increase genetic diversity and population size. The seedlings planted during this trial are currently juveniles (S Barrett 2020. pers comm 25 September). Direct seeding was also trialled in 2018 and 2020, whereby seeds were directly planted into the soil in extant subpopulations. Information on the results of the direct seeding trials is currently unavailable.</w:t>
      </w:r>
    </w:p>
    <w:p w14:paraId="6AFAA0DC" w14:textId="77777777" w:rsidR="00FA65F9" w:rsidRDefault="00FA65F9" w:rsidP="00FA65F9">
      <w:pPr>
        <w:spacing w:after="160" w:line="259" w:lineRule="auto"/>
        <w:rPr>
          <w:rFonts w:eastAsia="Times New Roman" w:cs="Arial"/>
        </w:rPr>
      </w:pPr>
      <w:r>
        <w:rPr>
          <w:rFonts w:cs="Arial"/>
        </w:rPr>
        <w:br w:type="page"/>
      </w:r>
    </w:p>
    <w:p w14:paraId="2BFA0578" w14:textId="45E24706" w:rsidR="00FA65F9" w:rsidRDefault="00FA65F9" w:rsidP="00FA65F9">
      <w:pPr>
        <w:pStyle w:val="Caption"/>
        <w:rPr>
          <w:rFonts w:cs="Arial"/>
        </w:rPr>
      </w:pPr>
      <w:r>
        <w:lastRenderedPageBreak/>
        <w:t xml:space="preserve">Table </w:t>
      </w:r>
      <w:r>
        <w:fldChar w:fldCharType="begin"/>
      </w:r>
      <w:r>
        <w:instrText>SEQ Table \* ARABIC</w:instrText>
      </w:r>
      <w:r>
        <w:fldChar w:fldCharType="separate"/>
      </w:r>
      <w:r w:rsidR="00A63222">
        <w:rPr>
          <w:noProof/>
        </w:rPr>
        <w:t>1</w:t>
      </w:r>
      <w:r>
        <w:fldChar w:fldCharType="end"/>
      </w:r>
      <w:r>
        <w:t xml:space="preserve"> </w:t>
      </w:r>
      <w:r w:rsidRPr="0062433A">
        <w:t>Summary of</w:t>
      </w:r>
      <w:r>
        <w:t xml:space="preserve"> Stirling Range dryandra</w:t>
      </w:r>
      <w:r w:rsidRPr="0062433A">
        <w:t xml:space="preserve"> population information and threats</w:t>
      </w:r>
      <w:r>
        <w:t xml:space="preserve"> as of December 2020, adapted from DBCA (2020), cited by Silcock et al. 2021.</w:t>
      </w:r>
    </w:p>
    <w:tbl>
      <w:tblPr>
        <w:tblStyle w:val="TableGrid0"/>
        <w:tblW w:w="9845" w:type="dxa"/>
        <w:tblInd w:w="18" w:type="dxa"/>
        <w:tblCellMar>
          <w:top w:w="80" w:type="dxa"/>
          <w:left w:w="80" w:type="dxa"/>
          <w:right w:w="115" w:type="dxa"/>
        </w:tblCellMar>
        <w:tblLook w:val="04A0" w:firstRow="1" w:lastRow="0" w:firstColumn="1" w:lastColumn="0" w:noHBand="0" w:noVBand="1"/>
      </w:tblPr>
      <w:tblGrid>
        <w:gridCol w:w="2719"/>
        <w:gridCol w:w="3969"/>
        <w:gridCol w:w="3157"/>
      </w:tblGrid>
      <w:tr w:rsidR="00FA65F9" w:rsidRPr="00147545" w14:paraId="4F5E0659" w14:textId="77777777" w:rsidTr="00D72EE4">
        <w:trPr>
          <w:trHeight w:val="353"/>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1B095A6" w14:textId="77777777" w:rsidR="00FA65F9" w:rsidRPr="00147545" w:rsidRDefault="00FA65F9" w:rsidP="00D72EE4">
            <w:pPr>
              <w:pStyle w:val="TableHeading"/>
            </w:pPr>
            <w:r w:rsidRPr="00147545">
              <w:rPr>
                <w:rFonts w:eastAsia="Calibri"/>
              </w:rPr>
              <w:t>Subpopulation (tenure)</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E69DEF7" w14:textId="77777777" w:rsidR="00FA65F9" w:rsidRPr="00147545" w:rsidRDefault="00FA65F9" w:rsidP="00D72EE4">
            <w:pPr>
              <w:pStyle w:val="TableHeading"/>
            </w:pPr>
            <w:r w:rsidRPr="00147545">
              <w:rPr>
                <w:rFonts w:eastAsia="Calibri"/>
              </w:rPr>
              <w:t>Number of mature individuals (juveniles)</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1E9B8585" w14:textId="77777777" w:rsidR="00FA65F9" w:rsidRPr="00147545" w:rsidRDefault="00FA65F9" w:rsidP="00D72EE4">
            <w:pPr>
              <w:pStyle w:val="TableHeading"/>
            </w:pPr>
            <w:r w:rsidRPr="00147545">
              <w:rPr>
                <w:rFonts w:eastAsia="Calibri"/>
              </w:rPr>
              <w:t xml:space="preserve">Trend </w:t>
            </w:r>
            <w:r>
              <w:rPr>
                <w:rFonts w:eastAsia="Calibri"/>
              </w:rPr>
              <w:t xml:space="preserve"> </w:t>
            </w:r>
          </w:p>
        </w:tc>
      </w:tr>
      <w:tr w:rsidR="00FA65F9" w:rsidRPr="00147545" w14:paraId="71450753" w14:textId="77777777" w:rsidTr="00D72EE4">
        <w:trPr>
          <w:trHeight w:val="1016"/>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2665A9" w14:textId="77777777" w:rsidR="00FA65F9" w:rsidRPr="00147545" w:rsidRDefault="00FA65F9" w:rsidP="00D72EE4">
            <w:pPr>
              <w:pStyle w:val="TableText"/>
            </w:pPr>
            <w:r w:rsidRPr="00147545">
              <w:t>1 Bluff Knoll</w:t>
            </w:r>
          </w:p>
          <w:p w14:paraId="0D1702BA" w14:textId="77777777" w:rsidR="00FA65F9" w:rsidRPr="00147545" w:rsidRDefault="00FA65F9" w:rsidP="00D72EE4">
            <w:pPr>
              <w:pStyle w:val="TableText"/>
            </w:pPr>
            <w:r w:rsidRPr="00147545">
              <w:t>(</w:t>
            </w:r>
            <w:r>
              <w:t>N</w:t>
            </w:r>
            <w:r w:rsidRPr="00147545">
              <w:t xml:space="preserve">ational </w:t>
            </w:r>
            <w:r>
              <w:t>P</w:t>
            </w:r>
            <w:r w:rsidRPr="00147545">
              <w:t>ark)</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D0567D" w14:textId="77777777" w:rsidR="00FA65F9" w:rsidRPr="00147545" w:rsidRDefault="00FA65F9" w:rsidP="00D72EE4">
            <w:pPr>
              <w:pStyle w:val="TableText"/>
            </w:pPr>
            <w:r w:rsidRPr="00147545">
              <w:t>1995: 21 (0)</w:t>
            </w:r>
          </w:p>
          <w:p w14:paraId="4192C6BD" w14:textId="77777777" w:rsidR="00FA65F9" w:rsidRPr="00147545" w:rsidRDefault="00FA65F9" w:rsidP="00D72EE4">
            <w:pPr>
              <w:pStyle w:val="TableText"/>
            </w:pPr>
            <w:r w:rsidRPr="00147545">
              <w:t xml:space="preserve">2004: 7 (15) </w:t>
            </w:r>
          </w:p>
          <w:p w14:paraId="36DF0585" w14:textId="77777777" w:rsidR="00FA65F9" w:rsidRPr="00147545" w:rsidRDefault="00FA65F9" w:rsidP="00D72EE4">
            <w:pPr>
              <w:pStyle w:val="TableText"/>
            </w:pPr>
            <w:r w:rsidRPr="00147545">
              <w:t>2018: 4T</w:t>
            </w:r>
          </w:p>
          <w:p w14:paraId="24E39663" w14:textId="77777777" w:rsidR="00FA65F9" w:rsidRPr="00147545" w:rsidRDefault="00FA65F9" w:rsidP="00D72EE4">
            <w:pPr>
              <w:pStyle w:val="TableText"/>
            </w:pPr>
            <w:r w:rsidRPr="00147545">
              <w:t>2020: 0 (630) (34T)</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A0D09FD" w14:textId="77777777" w:rsidR="00FA65F9" w:rsidRPr="00147545" w:rsidRDefault="00FA65F9" w:rsidP="00D72EE4">
            <w:pPr>
              <w:pStyle w:val="TableText"/>
            </w:pPr>
            <w:r w:rsidRPr="00147545">
              <w:t>Decreasing</w:t>
            </w:r>
          </w:p>
        </w:tc>
      </w:tr>
      <w:tr w:rsidR="00FA65F9" w:rsidRPr="00147545" w14:paraId="7755C24E" w14:textId="77777777" w:rsidTr="00D72EE4">
        <w:trPr>
          <w:trHeight w:val="798"/>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36E1E2" w14:textId="77777777" w:rsidR="00FA65F9" w:rsidRPr="00147545" w:rsidRDefault="00FA65F9" w:rsidP="00D72EE4">
            <w:pPr>
              <w:pStyle w:val="TableText"/>
            </w:pPr>
            <w:r w:rsidRPr="00147545">
              <w:t>2 Coyanarup (</w:t>
            </w:r>
            <w:r>
              <w:t>N</w:t>
            </w:r>
            <w:r w:rsidRPr="00147545">
              <w:t xml:space="preserve">ational </w:t>
            </w:r>
            <w:r>
              <w:t>P</w:t>
            </w:r>
            <w:r w:rsidRPr="00147545">
              <w:t xml:space="preserve">ark) </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844FC6" w14:textId="77777777" w:rsidR="00FA65F9" w:rsidRPr="00147545" w:rsidRDefault="00FA65F9" w:rsidP="00D72EE4">
            <w:pPr>
              <w:pStyle w:val="TableText"/>
            </w:pPr>
            <w:r w:rsidRPr="00147545">
              <w:t>2000: 0 (0)</w:t>
            </w:r>
          </w:p>
          <w:p w14:paraId="72F5535E" w14:textId="77777777" w:rsidR="00FA65F9" w:rsidRPr="00147545" w:rsidRDefault="00FA65F9" w:rsidP="00D72EE4">
            <w:pPr>
              <w:pStyle w:val="TableText"/>
            </w:pPr>
            <w:r w:rsidRPr="00147545">
              <w:t xml:space="preserve">2018: 0 (16T) </w:t>
            </w:r>
            <w:r w:rsidRPr="00147545">
              <w:rPr>
                <w:rFonts w:eastAsia="Calibri" w:cs="Calibri"/>
              </w:rPr>
              <w:t xml:space="preserve"> </w:t>
            </w:r>
          </w:p>
          <w:p w14:paraId="488C2FB7" w14:textId="77777777" w:rsidR="00FA65F9" w:rsidRPr="00147545" w:rsidRDefault="00FA65F9" w:rsidP="00D72EE4">
            <w:pPr>
              <w:pStyle w:val="TableText"/>
            </w:pPr>
            <w:r w:rsidRPr="00147545">
              <w:t>2020: 0 (13T)</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0F4EFB" w14:textId="77777777" w:rsidR="00FA65F9" w:rsidRPr="00147545" w:rsidRDefault="00FA65F9" w:rsidP="00D72EE4">
            <w:pPr>
              <w:pStyle w:val="TableText"/>
            </w:pPr>
            <w:r w:rsidRPr="00147545">
              <w:t>Presumed extinct</w:t>
            </w:r>
            <w:r>
              <w:t xml:space="preserve"> </w:t>
            </w:r>
            <w:r>
              <w:rPr>
                <w:rFonts w:eastAsia="Calibri"/>
              </w:rPr>
              <w:t>(as yet no evidence of natural recruitment from translocated plants)</w:t>
            </w:r>
          </w:p>
        </w:tc>
      </w:tr>
      <w:tr w:rsidR="00FA65F9" w:rsidRPr="00147545" w14:paraId="4C9C1C24" w14:textId="77777777" w:rsidTr="00D72EE4">
        <w:trPr>
          <w:trHeight w:val="534"/>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00C2359" w14:textId="77777777" w:rsidR="00FA65F9" w:rsidRPr="00147545" w:rsidRDefault="00FA65F9" w:rsidP="00D72EE4">
            <w:pPr>
              <w:pStyle w:val="TableText"/>
            </w:pPr>
            <w:r w:rsidRPr="00147545">
              <w:t xml:space="preserve">3 Kyanorup </w:t>
            </w:r>
            <w:r>
              <w:t>Eminence (N</w:t>
            </w:r>
            <w:r w:rsidRPr="00147545">
              <w:t xml:space="preserve">ational </w:t>
            </w:r>
            <w:r>
              <w:t>P</w:t>
            </w:r>
            <w:r w:rsidRPr="00147545">
              <w:t>ark)</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B4CE4B" w14:textId="77777777" w:rsidR="00FA65F9" w:rsidRPr="00147545" w:rsidRDefault="00FA65F9" w:rsidP="00D72EE4">
            <w:pPr>
              <w:pStyle w:val="TableText"/>
            </w:pPr>
            <w:r w:rsidRPr="00147545">
              <w:t>2000: 0 (0)</w:t>
            </w:r>
          </w:p>
          <w:p w14:paraId="1F5AFF98" w14:textId="77777777" w:rsidR="00FA65F9" w:rsidRPr="00147545" w:rsidRDefault="00FA65F9" w:rsidP="00D72EE4">
            <w:pPr>
              <w:pStyle w:val="TableText"/>
            </w:pPr>
            <w:r w:rsidRPr="00147545">
              <w:t>2020: 0</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0C36BA" w14:textId="77777777" w:rsidR="00FA65F9" w:rsidRPr="00147545" w:rsidRDefault="00FA65F9" w:rsidP="00D72EE4">
            <w:pPr>
              <w:pStyle w:val="TableText"/>
            </w:pPr>
            <w:r w:rsidRPr="00147545">
              <w:t>Presumed extinct</w:t>
            </w:r>
            <w:r>
              <w:t xml:space="preserve"> (but may have never been extant)</w:t>
            </w:r>
          </w:p>
        </w:tc>
      </w:tr>
      <w:tr w:rsidR="00FA65F9" w:rsidRPr="00147545" w14:paraId="4589CEC0" w14:textId="77777777" w:rsidTr="00D72EE4">
        <w:trPr>
          <w:trHeight w:val="1035"/>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BF06F1E" w14:textId="77777777" w:rsidR="00FA65F9" w:rsidRPr="00147545" w:rsidRDefault="00FA65F9" w:rsidP="00D72EE4">
            <w:pPr>
              <w:pStyle w:val="TableText"/>
            </w:pPr>
            <w:r w:rsidRPr="00147545">
              <w:t>4 Pyungoorup (</w:t>
            </w:r>
            <w:r>
              <w:t>N</w:t>
            </w:r>
            <w:r w:rsidRPr="00147545">
              <w:t xml:space="preserve">ational </w:t>
            </w:r>
            <w:r>
              <w:t>P</w:t>
            </w:r>
            <w:r w:rsidRPr="00147545">
              <w:t>ark)</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E38F43" w14:textId="77777777" w:rsidR="00FA65F9" w:rsidRPr="00147545" w:rsidRDefault="00FA65F9" w:rsidP="00D72EE4">
            <w:pPr>
              <w:pStyle w:val="TableText"/>
            </w:pPr>
            <w:r w:rsidRPr="00147545">
              <w:t>1996: 23 (0)</w:t>
            </w:r>
          </w:p>
          <w:p w14:paraId="41FBF47A" w14:textId="77777777" w:rsidR="00FA65F9" w:rsidRPr="00147545" w:rsidRDefault="00FA65F9" w:rsidP="00D72EE4">
            <w:pPr>
              <w:pStyle w:val="TableText"/>
            </w:pPr>
            <w:r w:rsidRPr="00147545">
              <w:t xml:space="preserve">2004: 19 (0) </w:t>
            </w:r>
          </w:p>
          <w:p w14:paraId="79DEBEF7" w14:textId="77777777" w:rsidR="00FA65F9" w:rsidRPr="00147545" w:rsidRDefault="00FA65F9" w:rsidP="00D72EE4">
            <w:pPr>
              <w:pStyle w:val="TableText"/>
            </w:pPr>
            <w:r w:rsidRPr="00147545">
              <w:t>2018: 7</w:t>
            </w:r>
          </w:p>
          <w:p w14:paraId="7150F0FB" w14:textId="77777777" w:rsidR="00FA65F9" w:rsidRPr="00147545" w:rsidRDefault="00FA65F9" w:rsidP="00D72EE4">
            <w:pPr>
              <w:pStyle w:val="TableText"/>
            </w:pPr>
            <w:r w:rsidRPr="00147545">
              <w:t>2020: 0 (9)</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939B2B6" w14:textId="77777777" w:rsidR="00FA65F9" w:rsidRPr="00147545" w:rsidRDefault="00FA65F9" w:rsidP="00D72EE4">
            <w:pPr>
              <w:pStyle w:val="TableText"/>
            </w:pPr>
            <w:r w:rsidRPr="00147545">
              <w:t>Decreasing</w:t>
            </w:r>
          </w:p>
        </w:tc>
      </w:tr>
      <w:tr w:rsidR="00FA65F9" w:rsidRPr="00147545" w14:paraId="0EFB9496" w14:textId="77777777" w:rsidTr="00D72EE4">
        <w:trPr>
          <w:trHeight w:val="1049"/>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CD8566" w14:textId="77777777" w:rsidR="00FA65F9" w:rsidRPr="00147545" w:rsidRDefault="00FA65F9" w:rsidP="00D72EE4">
            <w:pPr>
              <w:pStyle w:val="TableText"/>
            </w:pPr>
            <w:r w:rsidRPr="00147545">
              <w:t>5 Isongerup (</w:t>
            </w:r>
            <w:r>
              <w:t>N</w:t>
            </w:r>
            <w:r w:rsidRPr="00147545">
              <w:t xml:space="preserve">ational </w:t>
            </w:r>
            <w:r>
              <w:t>P</w:t>
            </w:r>
            <w:r w:rsidRPr="00147545">
              <w:t>ark)</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83783E" w14:textId="77777777" w:rsidR="00FA65F9" w:rsidRPr="00147545" w:rsidRDefault="00FA65F9" w:rsidP="00D72EE4">
            <w:pPr>
              <w:pStyle w:val="TableText"/>
            </w:pPr>
            <w:r w:rsidRPr="00147545">
              <w:t>1997: 13 (1)</w:t>
            </w:r>
          </w:p>
          <w:p w14:paraId="1BA8A25D" w14:textId="77777777" w:rsidR="00FA65F9" w:rsidRPr="00147545" w:rsidRDefault="00FA65F9" w:rsidP="00D72EE4">
            <w:pPr>
              <w:pStyle w:val="TableText"/>
            </w:pPr>
            <w:r w:rsidRPr="00147545">
              <w:t xml:space="preserve">2004: 3 (0) </w:t>
            </w:r>
          </w:p>
          <w:p w14:paraId="2F699A56" w14:textId="77777777" w:rsidR="00FA65F9" w:rsidRPr="00147545" w:rsidRDefault="00FA65F9" w:rsidP="00D72EE4">
            <w:pPr>
              <w:pStyle w:val="TableText"/>
            </w:pPr>
            <w:r w:rsidRPr="00147545">
              <w:t>2018: 0</w:t>
            </w:r>
          </w:p>
          <w:p w14:paraId="015292D6" w14:textId="77777777" w:rsidR="00FA65F9" w:rsidRPr="00147545" w:rsidRDefault="00FA65F9" w:rsidP="00D72EE4">
            <w:pPr>
              <w:pStyle w:val="TableText"/>
            </w:pPr>
            <w:r w:rsidRPr="00147545">
              <w:t>2020: 0 (204)</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D7DB0E" w14:textId="77777777" w:rsidR="00FA65F9" w:rsidRPr="00147545" w:rsidRDefault="00FA65F9" w:rsidP="00D72EE4">
            <w:pPr>
              <w:pStyle w:val="TableText"/>
            </w:pPr>
            <w:r w:rsidRPr="00147545">
              <w:t>Decreasing</w:t>
            </w:r>
          </w:p>
        </w:tc>
      </w:tr>
      <w:tr w:rsidR="00FA65F9" w:rsidRPr="00147545" w14:paraId="1D166C3A" w14:textId="77777777" w:rsidTr="00D72EE4">
        <w:trPr>
          <w:trHeight w:val="1049"/>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7FFE08" w14:textId="77777777" w:rsidR="00FA65F9" w:rsidRPr="00147545" w:rsidRDefault="00FA65F9" w:rsidP="00D72EE4">
            <w:pPr>
              <w:pStyle w:val="TableText"/>
            </w:pPr>
            <w:r w:rsidRPr="00147545">
              <w:t>6 East Bluff (</w:t>
            </w:r>
            <w:r>
              <w:t>N</w:t>
            </w:r>
            <w:r w:rsidRPr="00147545">
              <w:t xml:space="preserve">ational </w:t>
            </w:r>
            <w:r>
              <w:t>P</w:t>
            </w:r>
            <w:r w:rsidRPr="00147545">
              <w:t>ark)</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4153F2" w14:textId="77777777" w:rsidR="00FA65F9" w:rsidRPr="00147545" w:rsidRDefault="00FA65F9" w:rsidP="00D72EE4">
            <w:pPr>
              <w:pStyle w:val="TableText"/>
            </w:pPr>
            <w:r w:rsidRPr="00147545">
              <w:t>1996: 61 (8)</w:t>
            </w:r>
          </w:p>
          <w:p w14:paraId="6E3E38FD" w14:textId="77777777" w:rsidR="00FA65F9" w:rsidRPr="00147545" w:rsidRDefault="00FA65F9" w:rsidP="00D72EE4">
            <w:pPr>
              <w:pStyle w:val="TableText"/>
            </w:pPr>
            <w:r w:rsidRPr="00147545">
              <w:t xml:space="preserve">2004: 16 (1) </w:t>
            </w:r>
          </w:p>
          <w:p w14:paraId="641D2616" w14:textId="77777777" w:rsidR="00FA65F9" w:rsidRPr="00147545" w:rsidRDefault="00FA65F9" w:rsidP="00D72EE4">
            <w:pPr>
              <w:pStyle w:val="TableText"/>
            </w:pPr>
            <w:r w:rsidRPr="00147545">
              <w:t>2018: 1 (23T)</w:t>
            </w:r>
            <w:r w:rsidRPr="00147545">
              <w:rPr>
                <w:rFonts w:eastAsia="Calibri" w:cs="Calibri"/>
              </w:rPr>
              <w:t xml:space="preserve"> </w:t>
            </w:r>
          </w:p>
          <w:p w14:paraId="4D4B14A6" w14:textId="77777777" w:rsidR="00FA65F9" w:rsidRPr="00147545" w:rsidRDefault="00FA65F9" w:rsidP="00D72EE4">
            <w:pPr>
              <w:pStyle w:val="TableText"/>
            </w:pPr>
            <w:r w:rsidRPr="00147545">
              <w:t>2020: 0 (14) (15T)</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640B68" w14:textId="77777777" w:rsidR="00FA65F9" w:rsidRPr="00147545" w:rsidRDefault="00FA65F9" w:rsidP="00D72EE4">
            <w:pPr>
              <w:pStyle w:val="TableText"/>
            </w:pPr>
            <w:r w:rsidRPr="00147545">
              <w:t>Decreasing</w:t>
            </w:r>
          </w:p>
        </w:tc>
      </w:tr>
      <w:tr w:rsidR="00FA65F9" w:rsidRPr="00147545" w14:paraId="16F08E37" w14:textId="77777777" w:rsidTr="00D72EE4">
        <w:trPr>
          <w:trHeight w:val="288"/>
        </w:trPr>
        <w:tc>
          <w:tcPr>
            <w:tcW w:w="984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0429F94" w14:textId="77777777" w:rsidR="00FA65F9" w:rsidRDefault="00FA65F9" w:rsidP="00D72EE4">
            <w:pPr>
              <w:pStyle w:val="TableText"/>
            </w:pPr>
            <w:r w:rsidRPr="000D4E6F">
              <w:rPr>
                <w:b/>
                <w:bCs/>
              </w:rPr>
              <w:t>Ex-situ populations</w:t>
            </w:r>
          </w:p>
        </w:tc>
      </w:tr>
      <w:tr w:rsidR="00FA65F9" w:rsidRPr="00147545" w14:paraId="28F329F2" w14:textId="77777777" w:rsidTr="00D72EE4">
        <w:trPr>
          <w:trHeight w:val="581"/>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8C9638" w14:textId="77777777" w:rsidR="00FA65F9" w:rsidRPr="00147545" w:rsidRDefault="00FA65F9" w:rsidP="00D72EE4">
            <w:pPr>
              <w:pStyle w:val="TableText"/>
            </w:pPr>
            <w:r>
              <w:t xml:space="preserve">7 (T) Luscombe’s Seed </w:t>
            </w:r>
          </w:p>
          <w:p w14:paraId="1D6BBA12" w14:textId="77777777" w:rsidR="00FA65F9" w:rsidRPr="00147545" w:rsidRDefault="00FA65F9" w:rsidP="00D72EE4">
            <w:pPr>
              <w:pStyle w:val="TableText"/>
            </w:pPr>
            <w:r w:rsidRPr="00147545">
              <w:t>Orchard (private property)</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CDF46B" w14:textId="77777777" w:rsidR="00FA65F9" w:rsidRPr="00147545" w:rsidRDefault="00FA65F9" w:rsidP="00D72EE4">
            <w:pPr>
              <w:pStyle w:val="TableText"/>
            </w:pPr>
            <w:r w:rsidRPr="00147545">
              <w:t>2003-2010: (138T*)</w:t>
            </w:r>
          </w:p>
          <w:p w14:paraId="20268956" w14:textId="77777777" w:rsidR="00FA65F9" w:rsidRPr="00147545" w:rsidRDefault="00FA65F9" w:rsidP="00D72EE4">
            <w:pPr>
              <w:pStyle w:val="TableText"/>
            </w:pPr>
            <w:r w:rsidRPr="00147545">
              <w:t>2019: 65T</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6F6144" w14:textId="77777777" w:rsidR="00FA65F9" w:rsidRPr="00147545" w:rsidRDefault="00FA65F9" w:rsidP="00D72EE4">
            <w:pPr>
              <w:pStyle w:val="TableText"/>
            </w:pPr>
            <w:r>
              <w:t>Increasing</w:t>
            </w:r>
          </w:p>
        </w:tc>
      </w:tr>
      <w:tr w:rsidR="00FA65F9" w:rsidRPr="00147545" w14:paraId="699A3E48" w14:textId="77777777" w:rsidTr="00D72EE4">
        <w:trPr>
          <w:trHeight w:val="820"/>
        </w:trPr>
        <w:tc>
          <w:tcPr>
            <w:tcW w:w="27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9D0441" w14:textId="77777777" w:rsidR="00FA65F9" w:rsidRPr="00147545" w:rsidRDefault="00FA65F9" w:rsidP="00D72EE4">
            <w:pPr>
              <w:pStyle w:val="TableText"/>
            </w:pPr>
            <w:r w:rsidRPr="00147545">
              <w:t xml:space="preserve">8 (T) Benmore Tree Farm </w:t>
            </w:r>
          </w:p>
          <w:p w14:paraId="09B900B4" w14:textId="77777777" w:rsidR="00FA65F9" w:rsidRPr="00147545" w:rsidRDefault="00FA65F9" w:rsidP="00D72EE4">
            <w:pPr>
              <w:pStyle w:val="TableText"/>
            </w:pPr>
            <w:r w:rsidRPr="00147545">
              <w:t xml:space="preserve">(private property) </w:t>
            </w:r>
          </w:p>
        </w:tc>
        <w:tc>
          <w:tcPr>
            <w:tcW w:w="39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95CB560" w14:textId="77777777" w:rsidR="00FA65F9" w:rsidRPr="00147545" w:rsidRDefault="00FA65F9" w:rsidP="00D72EE4">
            <w:pPr>
              <w:pStyle w:val="TableText"/>
            </w:pPr>
            <w:r w:rsidRPr="00147545">
              <w:t>2010-2013: (48T*)</w:t>
            </w:r>
          </w:p>
          <w:p w14:paraId="14A6D3A5" w14:textId="77777777" w:rsidR="00FA65F9" w:rsidRPr="00147545" w:rsidRDefault="00FA65F9" w:rsidP="00D72EE4">
            <w:pPr>
              <w:pStyle w:val="TableText"/>
            </w:pPr>
            <w:r w:rsidRPr="00147545">
              <w:t>2016: 21T</w:t>
            </w:r>
          </w:p>
          <w:p w14:paraId="5F121FC4" w14:textId="77777777" w:rsidR="00FA65F9" w:rsidRPr="00147545" w:rsidRDefault="00FA65F9" w:rsidP="00D72EE4">
            <w:pPr>
              <w:pStyle w:val="TableText"/>
            </w:pPr>
            <w:r w:rsidRPr="00147545">
              <w:t>2020: 2T</w:t>
            </w:r>
          </w:p>
        </w:tc>
        <w:tc>
          <w:tcPr>
            <w:tcW w:w="31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599AF3" w14:textId="77777777" w:rsidR="00FA65F9" w:rsidRPr="00147545" w:rsidRDefault="00FA65F9" w:rsidP="00D72EE4">
            <w:pPr>
              <w:pStyle w:val="TableText"/>
            </w:pPr>
            <w:r w:rsidRPr="00147545">
              <w:t>Decreasing</w:t>
            </w:r>
          </w:p>
        </w:tc>
      </w:tr>
    </w:tbl>
    <w:p w14:paraId="5D544079" w14:textId="77777777" w:rsidR="00FA65F9" w:rsidRPr="00210BB5" w:rsidRDefault="00FA65F9" w:rsidP="00FA65F9">
      <w:pPr>
        <w:pStyle w:val="FigureTableNoteSource"/>
      </w:pPr>
      <w:r>
        <w:t>(T</w:t>
      </w:r>
      <w:r w:rsidRPr="00120C97">
        <w:rPr>
          <w:rFonts w:ascii="Cambria" w:hAnsi="Cambria"/>
        </w:rPr>
        <w:t>)</w:t>
      </w:r>
      <w:r>
        <w:rPr>
          <w:rFonts w:ascii="Cambria" w:hAnsi="Cambria"/>
        </w:rPr>
        <w:t xml:space="preserve"> </w:t>
      </w:r>
      <w:r w:rsidRPr="00120C97">
        <w:rPr>
          <w:rFonts w:ascii="Cambria" w:hAnsi="Cambria"/>
        </w:rPr>
        <w:t>Translocated individuals/ subpopulation. *Total number of seedlings planted over multiple years</w:t>
      </w:r>
    </w:p>
    <w:p w14:paraId="043A4684" w14:textId="77777777" w:rsidR="00FA65F9" w:rsidRDefault="00FA65F9" w:rsidP="00FA65F9">
      <w:pPr>
        <w:rPr>
          <w:rFonts w:asciiTheme="minorHAnsi" w:hAnsiTheme="minorHAnsi" w:cstheme="minorHAnsi"/>
          <w:b/>
          <w:bCs/>
        </w:rPr>
      </w:pPr>
    </w:p>
    <w:p w14:paraId="4AAFE04A" w14:textId="77777777" w:rsidR="00FA65F9" w:rsidRDefault="00FA65F9" w:rsidP="00FA65F9">
      <w:pPr>
        <w:rPr>
          <w:rFonts w:asciiTheme="minorHAnsi" w:hAnsiTheme="minorHAnsi" w:cstheme="minorHAnsi"/>
          <w:b/>
          <w:bCs/>
        </w:rPr>
      </w:pPr>
    </w:p>
    <w:p w14:paraId="583C4269" w14:textId="77777777" w:rsidR="00FA65F9" w:rsidRDefault="00FA65F9" w:rsidP="00FA65F9">
      <w:pPr>
        <w:rPr>
          <w:rFonts w:asciiTheme="minorHAnsi" w:hAnsiTheme="minorHAnsi" w:cstheme="minorHAnsi"/>
          <w:b/>
          <w:bCs/>
        </w:rPr>
      </w:pPr>
    </w:p>
    <w:p w14:paraId="1ACC9395" w14:textId="77777777" w:rsidR="00FA65F9" w:rsidRDefault="00FA65F9" w:rsidP="00FA65F9">
      <w:pPr>
        <w:rPr>
          <w:rFonts w:asciiTheme="minorHAnsi" w:hAnsiTheme="minorHAnsi" w:cstheme="minorHAnsi"/>
          <w:b/>
          <w:bCs/>
        </w:rPr>
      </w:pPr>
    </w:p>
    <w:p w14:paraId="35468203" w14:textId="77777777" w:rsidR="00FA65F9" w:rsidRDefault="00FA65F9" w:rsidP="00FA65F9">
      <w:pPr>
        <w:rPr>
          <w:rFonts w:asciiTheme="minorHAnsi" w:hAnsiTheme="minorHAnsi" w:cstheme="minorHAnsi"/>
          <w:b/>
          <w:bCs/>
        </w:rPr>
      </w:pPr>
    </w:p>
    <w:p w14:paraId="6CF6807C" w14:textId="77777777" w:rsidR="00FA65F9" w:rsidRDefault="00FA65F9" w:rsidP="00FA65F9">
      <w:pPr>
        <w:rPr>
          <w:rFonts w:asciiTheme="minorHAnsi" w:hAnsiTheme="minorHAnsi" w:cstheme="minorHAnsi"/>
          <w:b/>
          <w:bCs/>
        </w:rPr>
      </w:pPr>
    </w:p>
    <w:p w14:paraId="47ABF541" w14:textId="77777777" w:rsidR="00FA65F9" w:rsidRDefault="00FA65F9" w:rsidP="00FA65F9">
      <w:pPr>
        <w:rPr>
          <w:rFonts w:asciiTheme="minorHAnsi" w:hAnsiTheme="minorHAnsi" w:cstheme="minorHAnsi"/>
          <w:b/>
          <w:bCs/>
        </w:rPr>
      </w:pPr>
    </w:p>
    <w:p w14:paraId="2AECA125" w14:textId="753D30AB" w:rsidR="00FA65F9" w:rsidRPr="005567D0" w:rsidRDefault="00FA65F9" w:rsidP="00FA65F9">
      <w:pPr>
        <w:rPr>
          <w:rFonts w:asciiTheme="minorHAnsi" w:hAnsiTheme="minorHAnsi" w:cstheme="minorHAnsi"/>
          <w:b/>
          <w:bCs/>
        </w:rPr>
      </w:pPr>
      <w:r w:rsidRPr="005567D0">
        <w:rPr>
          <w:rFonts w:asciiTheme="minorHAnsi" w:hAnsiTheme="minorHAnsi" w:cstheme="minorHAnsi"/>
          <w:b/>
          <w:bCs/>
        </w:rPr>
        <w:lastRenderedPageBreak/>
        <w:t xml:space="preserve"> Map </w:t>
      </w:r>
      <w:r w:rsidRPr="005567D0">
        <w:rPr>
          <w:rFonts w:asciiTheme="minorHAnsi" w:hAnsiTheme="minorHAnsi" w:cstheme="minorHAnsi"/>
          <w:b/>
          <w:bCs/>
          <w:noProof/>
        </w:rPr>
        <w:fldChar w:fldCharType="begin"/>
      </w:r>
      <w:r w:rsidRPr="005567D0">
        <w:rPr>
          <w:rFonts w:asciiTheme="minorHAnsi" w:hAnsiTheme="minorHAnsi" w:cstheme="minorHAnsi"/>
          <w:b/>
          <w:bCs/>
          <w:noProof/>
        </w:rPr>
        <w:instrText xml:space="preserve"> SEQ Map \* ARABIC </w:instrText>
      </w:r>
      <w:r w:rsidRPr="005567D0">
        <w:rPr>
          <w:rFonts w:asciiTheme="minorHAnsi" w:hAnsiTheme="minorHAnsi" w:cstheme="minorHAnsi"/>
          <w:b/>
          <w:bCs/>
          <w:noProof/>
        </w:rPr>
        <w:fldChar w:fldCharType="separate"/>
      </w:r>
      <w:r w:rsidR="00A63222">
        <w:rPr>
          <w:rFonts w:asciiTheme="minorHAnsi" w:hAnsiTheme="minorHAnsi" w:cstheme="minorHAnsi"/>
          <w:b/>
          <w:bCs/>
          <w:noProof/>
        </w:rPr>
        <w:t>1</w:t>
      </w:r>
      <w:r w:rsidRPr="005567D0">
        <w:rPr>
          <w:rFonts w:asciiTheme="minorHAnsi" w:hAnsiTheme="minorHAnsi" w:cstheme="minorHAnsi"/>
          <w:b/>
          <w:bCs/>
          <w:noProof/>
        </w:rPr>
        <w:fldChar w:fldCharType="end"/>
      </w:r>
      <w:bookmarkEnd w:id="4"/>
      <w:r w:rsidRPr="005567D0">
        <w:rPr>
          <w:rFonts w:asciiTheme="minorHAnsi" w:hAnsiTheme="minorHAnsi" w:cstheme="minorHAnsi"/>
          <w:b/>
          <w:bCs/>
        </w:rPr>
        <w:t xml:space="preserve"> </w:t>
      </w:r>
      <w:bookmarkEnd w:id="5"/>
      <w:bookmarkEnd w:id="6"/>
      <w:r w:rsidRPr="005567D0">
        <w:rPr>
          <w:rFonts w:asciiTheme="minorHAnsi" w:hAnsiTheme="minorHAnsi" w:cstheme="minorHAnsi"/>
          <w:b/>
          <w:bCs/>
        </w:rPr>
        <w:t xml:space="preserve">Modelled distribution of </w:t>
      </w:r>
      <w:r>
        <w:rPr>
          <w:rFonts w:asciiTheme="minorHAnsi" w:hAnsiTheme="minorHAnsi" w:cstheme="minorHAnsi"/>
          <w:b/>
          <w:bCs/>
        </w:rPr>
        <w:t>Stirling Range dryandra</w:t>
      </w:r>
    </w:p>
    <w:p w14:paraId="52EEDCCF" w14:textId="77777777" w:rsidR="00FA65F9" w:rsidRDefault="00FA65F9" w:rsidP="00FA65F9">
      <w:pPr>
        <w:pStyle w:val="Picture"/>
        <w:spacing w:line="276" w:lineRule="auto"/>
      </w:pPr>
      <w:r>
        <w:drawing>
          <wp:inline distT="0" distB="0" distL="0" distR="0" wp14:anchorId="2356C7E4" wp14:editId="533F42B4">
            <wp:extent cx="5759450" cy="4067175"/>
            <wp:effectExtent l="0" t="0" r="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067175"/>
                    </a:xfrm>
                    <a:prstGeom prst="rect">
                      <a:avLst/>
                    </a:prstGeom>
                  </pic:spPr>
                </pic:pic>
              </a:graphicData>
            </a:graphic>
          </wp:inline>
        </w:drawing>
      </w:r>
    </w:p>
    <w:p w14:paraId="3099DF45" w14:textId="77777777" w:rsidR="00FA65F9" w:rsidRDefault="00FA65F9" w:rsidP="00FA65F9">
      <w:pPr>
        <w:pStyle w:val="FigureTableNoteSource"/>
        <w:spacing w:line="276" w:lineRule="auto"/>
      </w:pPr>
      <w:r>
        <w:t xml:space="preserve">Source: Base map Geoscience Australia; species distribution data </w:t>
      </w:r>
      <w:hyperlink r:id="rId23" w:history="1">
        <w:r w:rsidRPr="008064B3">
          <w:rPr>
            <w:rStyle w:val="Hyperlink"/>
          </w:rPr>
          <w:t>Species of National Environmental Significance</w:t>
        </w:r>
      </w:hyperlink>
      <w:r>
        <w:t xml:space="preserve"> database.</w:t>
      </w:r>
    </w:p>
    <w:p w14:paraId="1A172D64" w14:textId="77777777" w:rsidR="00FA65F9" w:rsidRDefault="00FA65F9" w:rsidP="00FA65F9">
      <w:pPr>
        <w:pStyle w:val="FigureTableNoteSource"/>
        <w:spacing w:after="120"/>
      </w:pPr>
      <w:r>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06350835" w14:textId="77777777" w:rsidR="00FA65F9" w:rsidRDefault="00FA65F9" w:rsidP="00FA65F9">
      <w:pPr>
        <w:pStyle w:val="FigureTableNoteSource"/>
        <w:spacing w:after="120"/>
      </w:pPr>
      <w:r>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r>
        <w:br/>
      </w:r>
    </w:p>
    <w:p w14:paraId="3B88998B" w14:textId="77777777" w:rsidR="00FA65F9" w:rsidRDefault="00FA65F9" w:rsidP="00FA65F9">
      <w:pPr>
        <w:pStyle w:val="Heading3"/>
        <w:spacing w:line="276" w:lineRule="auto"/>
        <w:ind w:left="964" w:hanging="964"/>
      </w:pPr>
      <w:r>
        <w:t>Cultural and community significance</w:t>
      </w:r>
    </w:p>
    <w:p w14:paraId="02773D7F" w14:textId="77777777" w:rsidR="00FA65F9" w:rsidRDefault="00FA65F9" w:rsidP="00FA65F9">
      <w:bookmarkStart w:id="7" w:name="_Hlk84411271"/>
      <w:r>
        <w:t>This section describes some published examples of this significance but is not intended to be comprehensive, applicable to, or speak for, all Indigenous people. Such knowledge may be only held by Indigenous groups and individuals who are the custodians of this knowledge.</w:t>
      </w:r>
      <w:bookmarkEnd w:id="7"/>
    </w:p>
    <w:p w14:paraId="337ED601" w14:textId="77777777" w:rsidR="00FA65F9" w:rsidRPr="005567D0" w:rsidRDefault="00FA65F9" w:rsidP="00FA65F9">
      <w:pPr>
        <w:rPr>
          <w:b/>
          <w:bCs/>
        </w:rPr>
      </w:pPr>
      <w:r w:rsidRPr="007368B7">
        <w:t>The Aboriginal Sites Register kept by the Western Australian Department of Department of Planning, Lands and Heritage lists one significant artifact/scatter site in the vicinity of Stirling Range dryandra’s distribution (DPAW 2016). The Traditional Owner group for the area is the Minang People of the Wagy</w:t>
      </w:r>
      <w:r>
        <w:t>l</w:t>
      </w:r>
      <w:r w:rsidRPr="007368B7">
        <w:t xml:space="preserve"> Kaip Noongar Nation.  The Eastern Stirling Range Montane Heath and Thicket Community is culturally significant to Aboriginal people in the area, and input from these groups is incorporated into the management of Stirling Range. Aboriginal involvement in the management of land is covered by an agreement under the Conservation and Land Management Act 1984 (DPAW 2016). Additionally, the Wagyl Kaip and Southern Noongar </w:t>
      </w:r>
      <w:r w:rsidRPr="007368B7">
        <w:lastRenderedPageBreak/>
        <w:t>Indigenous Land Use Agreements, executed by the Western Australian Government and the Noongar Peoples (17 Oct 2018), includes lands in or adjacent to known occurrences of</w:t>
      </w:r>
      <w:r>
        <w:t xml:space="preserve"> the</w:t>
      </w:r>
      <w:r w:rsidRPr="007368B7">
        <w:t xml:space="preserve"> Stirling Range dryandra.</w:t>
      </w:r>
    </w:p>
    <w:p w14:paraId="23E4A5EE" w14:textId="77777777" w:rsidR="00FA65F9" w:rsidRDefault="00FA65F9" w:rsidP="00FA65F9">
      <w:pPr>
        <w:pStyle w:val="Heading3"/>
        <w:spacing w:line="276" w:lineRule="auto"/>
        <w:ind w:left="964" w:hanging="964"/>
      </w:pPr>
      <w:r>
        <w:t>Relevant biology and ecology</w:t>
      </w:r>
    </w:p>
    <w:p w14:paraId="15BE6378" w14:textId="0109149B" w:rsidR="00FA65F9" w:rsidRDefault="00FA65F9" w:rsidP="00FA65F9">
      <w:r>
        <w:rPr>
          <w:i/>
          <w:iCs/>
        </w:rPr>
        <w:t>Habitat</w:t>
      </w:r>
      <w:r>
        <w:rPr>
          <w:i/>
          <w:iCs/>
        </w:rPr>
        <w:br/>
      </w:r>
      <w:r w:rsidRPr="00C174C4">
        <w:t xml:space="preserve">The </w:t>
      </w:r>
      <w:r>
        <w:t>Stirling Range dryandra</w:t>
      </w:r>
      <w:r w:rsidRPr="00C174C4">
        <w:t xml:space="preserve"> grows on sandstone, metamorphosed sandstone and metamorphosed siltstone in the Stirling Range Montane Hea</w:t>
      </w:r>
      <w:r w:rsidRPr="00990BB1">
        <w:t>th and Thicket Community (Barrett 2000</w:t>
      </w:r>
      <w:r>
        <w:t>; Silcock et al. 2021</w:t>
      </w:r>
      <w:r w:rsidRPr="00990BB1">
        <w:t>), more than 900 m above sea level on the eastern Stirling Range.</w:t>
      </w:r>
      <w:r>
        <w:t xml:space="preserve"> It is found in dense heath and thicket dominated by </w:t>
      </w:r>
      <w:r w:rsidRPr="00D409E2">
        <w:rPr>
          <w:i/>
          <w:iCs/>
        </w:rPr>
        <w:t>Banksia oreophila</w:t>
      </w:r>
      <w:r>
        <w:t xml:space="preserve"> (</w:t>
      </w:r>
      <w:r w:rsidRPr="007368B7">
        <w:t>western mountains banksia</w:t>
      </w:r>
      <w:r>
        <w:t xml:space="preserve">) and </w:t>
      </w:r>
      <w:r w:rsidRPr="006803A9">
        <w:rPr>
          <w:i/>
          <w:iCs/>
        </w:rPr>
        <w:t>Kunzea montana</w:t>
      </w:r>
      <w:r>
        <w:t xml:space="preserve"> (mountain kunzea), and includes </w:t>
      </w:r>
      <w:r w:rsidRPr="00E55CDB">
        <w:rPr>
          <w:i/>
          <w:iCs/>
        </w:rPr>
        <w:t>Adenanthos filifolius</w:t>
      </w:r>
      <w:r>
        <w:t>,</w:t>
      </w:r>
      <w:r w:rsidRPr="002D2777">
        <w:rPr>
          <w:i/>
          <w:iCs/>
        </w:rPr>
        <w:t xml:space="preserve"> Andersonia axilliflora</w:t>
      </w:r>
      <w:r>
        <w:t xml:space="preserve"> (giant andersonia),</w:t>
      </w:r>
      <w:r w:rsidRPr="008D17BC">
        <w:rPr>
          <w:i/>
          <w:iCs/>
        </w:rPr>
        <w:t xml:space="preserve"> </w:t>
      </w:r>
      <w:r w:rsidRPr="00E55CDB">
        <w:rPr>
          <w:i/>
          <w:iCs/>
        </w:rPr>
        <w:t>Aotus genistoides</w:t>
      </w:r>
      <w:r>
        <w:t xml:space="preserve">, </w:t>
      </w:r>
      <w:r w:rsidRPr="00E55CDB">
        <w:rPr>
          <w:i/>
          <w:iCs/>
        </w:rPr>
        <w:t>Banksia brownii</w:t>
      </w:r>
      <w:r>
        <w:t xml:space="preserve"> (feather-leaved banksia), </w:t>
      </w:r>
      <w:r w:rsidRPr="003C1D6B">
        <w:rPr>
          <w:i/>
          <w:iCs/>
        </w:rPr>
        <w:t>Banksia co</w:t>
      </w:r>
      <w:r>
        <w:rPr>
          <w:i/>
          <w:iCs/>
        </w:rPr>
        <w:t xml:space="preserve">ccinea </w:t>
      </w:r>
      <w:r>
        <w:t xml:space="preserve">(scarlet banksia), </w:t>
      </w:r>
      <w:r w:rsidRPr="00E55CDB">
        <w:rPr>
          <w:i/>
          <w:iCs/>
        </w:rPr>
        <w:t>Beaufortia anisandra</w:t>
      </w:r>
      <w:r>
        <w:t xml:space="preserve"> (dark beaufortia), </w:t>
      </w:r>
      <w:r w:rsidRPr="00E55CDB">
        <w:rPr>
          <w:i/>
          <w:iCs/>
        </w:rPr>
        <w:t xml:space="preserve">Calothamnus </w:t>
      </w:r>
      <w:r w:rsidR="00D539A0">
        <w:rPr>
          <w:i/>
          <w:iCs/>
        </w:rPr>
        <w:t xml:space="preserve">montana </w:t>
      </w:r>
      <w:r>
        <w:t>(hawkeswood),</w:t>
      </w:r>
      <w:r w:rsidRPr="00805029">
        <w:rPr>
          <w:i/>
          <w:iCs/>
        </w:rPr>
        <w:t xml:space="preserve"> Darwinia collina</w:t>
      </w:r>
      <w:r>
        <w:t xml:space="preserve"> (yellow mountain bell), </w:t>
      </w:r>
      <w:r w:rsidRPr="00BC6D10">
        <w:rPr>
          <w:i/>
          <w:iCs/>
        </w:rPr>
        <w:t>Leucopogon gnaphalioides</w:t>
      </w:r>
      <w:r>
        <w:t xml:space="preserve"> and </w:t>
      </w:r>
      <w:r w:rsidRPr="00015234">
        <w:rPr>
          <w:i/>
          <w:iCs/>
        </w:rPr>
        <w:t>Sphenotoma</w:t>
      </w:r>
      <w:r>
        <w:t xml:space="preserve"> sp. Stirling. </w:t>
      </w:r>
    </w:p>
    <w:p w14:paraId="43FABB6D" w14:textId="77777777" w:rsidR="00FA65F9" w:rsidRDefault="00FA65F9" w:rsidP="00FA65F9">
      <w:r>
        <w:t>No microtopographic climate data has been collected for the specific areas that Stirling Range dryandra inhabits, though data from the closest town, Mount Barker, suggest an average annual rainfall of 600 – 700 mm (BOM 2021). However, rainfall is likely to be considerably higher on the mountain peaks (Gilfillan et al. 2008). The conditions on these mountains are distinctively montane, with extreme temperatures, high humidity and occasional snowfall (DBCA 2020).</w:t>
      </w:r>
    </w:p>
    <w:p w14:paraId="04F50D5B" w14:textId="77777777" w:rsidR="00FA65F9" w:rsidRDefault="00FA65F9" w:rsidP="00FA65F9">
      <w:pPr>
        <w:rPr>
          <w:i/>
          <w:iCs/>
        </w:rPr>
      </w:pPr>
      <w:r>
        <w:rPr>
          <w:i/>
          <w:iCs/>
        </w:rPr>
        <w:t>Reproduction and life history</w:t>
      </w:r>
    </w:p>
    <w:p w14:paraId="480E1DD8" w14:textId="77777777" w:rsidR="00FA65F9" w:rsidRDefault="00FA65F9" w:rsidP="00FA65F9">
      <w:pPr>
        <w:rPr>
          <w:i/>
          <w:iCs/>
        </w:rPr>
      </w:pPr>
      <w:r>
        <w:t>The primary juvenile period for Stirling Range dryandra is estimated at 9 years, as flowering was first recorded nine years after the 2000 fire in extant wild subpopulations (Gilfillan et al. 2008). Flowering has been recorded earlier in seed orchards, likely due to improved moisture and nutrition (DAWE 2016). Individuals have lived for at least 30 years in wild subpopulations (Gilfillan et al. 2008), but maximum lifespans in the absence of fire or disease are probably longer.</w:t>
      </w:r>
    </w:p>
    <w:p w14:paraId="609BD3BD" w14:textId="382E26DB" w:rsidR="00FA65F9" w:rsidRDefault="00FA65F9" w:rsidP="00FA65F9">
      <w:pPr>
        <w:pStyle w:val="Normal12pt"/>
        <w:spacing w:after="240" w:line="276" w:lineRule="auto"/>
        <w:rPr>
          <w:rFonts w:ascii="Cambria" w:hAnsi="Cambria" w:cs="Arial"/>
          <w:sz w:val="22"/>
          <w:szCs w:val="22"/>
        </w:rPr>
      </w:pPr>
      <w:r>
        <w:rPr>
          <w:rFonts w:ascii="Cambria" w:hAnsi="Cambria" w:cs="Arial"/>
          <w:sz w:val="22"/>
          <w:szCs w:val="22"/>
        </w:rPr>
        <w:t>Stirling Range dryandra</w:t>
      </w:r>
      <w:r w:rsidRPr="00D34B51">
        <w:rPr>
          <w:rFonts w:ascii="Cambria" w:hAnsi="Cambria" w:cs="Arial"/>
          <w:sz w:val="22"/>
          <w:szCs w:val="22"/>
        </w:rPr>
        <w:t xml:space="preserve"> flowers annually between January and March, with rates of flowering and seed production varying considerably between </w:t>
      </w:r>
      <w:r>
        <w:rPr>
          <w:rFonts w:ascii="Cambria" w:hAnsi="Cambria" w:cs="Arial"/>
          <w:sz w:val="22"/>
          <w:szCs w:val="22"/>
        </w:rPr>
        <w:t>individuals</w:t>
      </w:r>
      <w:r w:rsidRPr="00D34B51">
        <w:rPr>
          <w:rFonts w:ascii="Cambria" w:hAnsi="Cambria" w:cs="Arial"/>
          <w:sz w:val="22"/>
          <w:szCs w:val="22"/>
        </w:rPr>
        <w:t xml:space="preserve"> and years (Gilfillan et al. 2008). Fruits persist in the canopy</w:t>
      </w:r>
      <w:r w:rsidR="00D539A0">
        <w:rPr>
          <w:rFonts w:ascii="Cambria" w:hAnsi="Cambria" w:cs="Arial"/>
          <w:sz w:val="22"/>
          <w:szCs w:val="22"/>
        </w:rPr>
        <w:t xml:space="preserve"> for</w:t>
      </w:r>
      <w:r w:rsidRPr="00D34B51">
        <w:rPr>
          <w:rFonts w:ascii="Cambria" w:hAnsi="Cambria" w:cs="Arial"/>
          <w:sz w:val="22"/>
          <w:szCs w:val="22"/>
        </w:rPr>
        <w:t xml:space="preserve"> </w:t>
      </w:r>
      <w:r w:rsidR="00D539A0">
        <w:rPr>
          <w:rFonts w:ascii="Cambria" w:hAnsi="Cambria" w:cs="Arial"/>
          <w:sz w:val="22"/>
          <w:szCs w:val="22"/>
        </w:rPr>
        <w:t>at least four</w:t>
      </w:r>
      <w:r w:rsidRPr="00D34B51">
        <w:rPr>
          <w:rFonts w:ascii="Cambria" w:hAnsi="Cambria" w:cs="Arial"/>
          <w:sz w:val="22"/>
          <w:szCs w:val="22"/>
        </w:rPr>
        <w:t xml:space="preserve"> years, after which they begin to disintegrate. Several plants in all subpopulations assessed from 2001 to 2004 produced very little seed (Yates &amp; Barrett, as cited in Gilfillan et al. 2008). The reasons for variable flower, fruit and seed production in </w:t>
      </w:r>
      <w:r>
        <w:rPr>
          <w:rFonts w:ascii="Cambria" w:hAnsi="Cambria" w:cs="Arial"/>
          <w:sz w:val="22"/>
          <w:szCs w:val="22"/>
        </w:rPr>
        <w:t>Stirling Range dryandra</w:t>
      </w:r>
      <w:r w:rsidRPr="00D34B51">
        <w:rPr>
          <w:rFonts w:ascii="Cambria" w:hAnsi="Cambria" w:cs="Arial"/>
          <w:sz w:val="22"/>
          <w:szCs w:val="22"/>
        </w:rPr>
        <w:t xml:space="preserve"> subpopulations are not clear and may be related to plant age, health, vigour and the effectiveness of pollination.</w:t>
      </w:r>
    </w:p>
    <w:p w14:paraId="5516E58E" w14:textId="77777777" w:rsidR="00FA65F9" w:rsidRPr="00CE0366" w:rsidRDefault="00FA65F9" w:rsidP="00FA65F9">
      <w:pPr>
        <w:pStyle w:val="Normal12pt"/>
        <w:spacing w:after="240" w:line="276" w:lineRule="auto"/>
        <w:rPr>
          <w:rFonts w:ascii="Cambria" w:hAnsi="Cambria" w:cs="Arial"/>
          <w:sz w:val="22"/>
          <w:szCs w:val="22"/>
        </w:rPr>
      </w:pPr>
      <w:r w:rsidRPr="00CE0366">
        <w:rPr>
          <w:rFonts w:ascii="Cambria" w:hAnsi="Cambria" w:cs="Arial"/>
          <w:sz w:val="22"/>
          <w:szCs w:val="22"/>
        </w:rPr>
        <w:t>Ladd et al. (1996) investigated pollen presenter and style characteristics in the gen</w:t>
      </w:r>
      <w:r>
        <w:rPr>
          <w:rFonts w:ascii="Cambria" w:hAnsi="Cambria" w:cs="Arial"/>
          <w:sz w:val="22"/>
          <w:szCs w:val="22"/>
        </w:rPr>
        <w:t>us</w:t>
      </w:r>
      <w:r w:rsidRPr="00CE0366">
        <w:rPr>
          <w:rFonts w:ascii="Cambria" w:hAnsi="Cambria" w:cs="Arial"/>
          <w:sz w:val="22"/>
          <w:szCs w:val="22"/>
        </w:rPr>
        <w:t xml:space="preserve"> </w:t>
      </w:r>
      <w:r w:rsidRPr="00CE0366">
        <w:rPr>
          <w:rFonts w:ascii="Cambria" w:hAnsi="Cambria" w:cs="Arial"/>
          <w:i/>
          <w:iCs/>
          <w:sz w:val="22"/>
          <w:szCs w:val="22"/>
        </w:rPr>
        <w:t xml:space="preserve">Banksia </w:t>
      </w:r>
      <w:r>
        <w:rPr>
          <w:rFonts w:ascii="Cambria" w:hAnsi="Cambria" w:cs="Arial"/>
          <w:sz w:val="22"/>
          <w:szCs w:val="22"/>
        </w:rPr>
        <w:t>(including dryandra species).</w:t>
      </w:r>
      <w:r w:rsidRPr="00CE0366">
        <w:rPr>
          <w:rFonts w:ascii="Cambria" w:hAnsi="Cambria" w:cs="Arial"/>
          <w:sz w:val="22"/>
          <w:szCs w:val="22"/>
        </w:rPr>
        <w:t xml:space="preserve"> In </w:t>
      </w:r>
      <w:r>
        <w:rPr>
          <w:rFonts w:ascii="Cambria" w:hAnsi="Cambria" w:cs="Arial"/>
          <w:sz w:val="22"/>
          <w:szCs w:val="22"/>
        </w:rPr>
        <w:t>Stirling Range dryandra</w:t>
      </w:r>
      <w:r w:rsidRPr="00CE0366">
        <w:rPr>
          <w:rFonts w:ascii="Cambria" w:hAnsi="Cambria" w:cs="Arial"/>
          <w:sz w:val="22"/>
          <w:szCs w:val="22"/>
        </w:rPr>
        <w:t xml:space="preserve">, the pollen presenter is 1 mm in length and 0.3 mm in diameter. The style is constricted below the pollen presenter and is bowed in shape and the stigmatic groove is oblique terminal. The approximate distance from the pollen presenter to the receptacle is 26 mm. Ladd et al. (1996) suggest that these characteristics are consistent with mammal or insect pollination. </w:t>
      </w:r>
      <w:r>
        <w:rPr>
          <w:rFonts w:ascii="Cambria" w:hAnsi="Cambria" w:cs="Arial"/>
          <w:sz w:val="22"/>
          <w:szCs w:val="22"/>
        </w:rPr>
        <w:t>Honey possum (</w:t>
      </w:r>
      <w:r w:rsidRPr="00B64973">
        <w:rPr>
          <w:rFonts w:ascii="Cambria" w:hAnsi="Cambria" w:cs="Arial"/>
          <w:i/>
          <w:iCs/>
          <w:sz w:val="22"/>
          <w:szCs w:val="22"/>
        </w:rPr>
        <w:t>Tarsipes rostratus</w:t>
      </w:r>
      <w:r>
        <w:rPr>
          <w:rFonts w:ascii="Cambria" w:hAnsi="Cambria" w:cs="Arial"/>
          <w:sz w:val="22"/>
          <w:szCs w:val="22"/>
        </w:rPr>
        <w:t>) has been recorded on infrared camera on Bluff Knoll (where one subpopulation is found) and are assumed to be a pollinator of Stirling Range dryandra (DBCA 2021).</w:t>
      </w:r>
    </w:p>
    <w:p w14:paraId="6A716801" w14:textId="29A51DEA" w:rsidR="00FA65F9" w:rsidRPr="000E167F" w:rsidRDefault="00FA65F9" w:rsidP="00FA65F9">
      <w:pPr>
        <w:rPr>
          <w:rFonts w:eastAsia="Cambria" w:cs="Cambria"/>
        </w:rPr>
      </w:pPr>
      <w:r>
        <w:rPr>
          <w:rFonts w:cs="Arial"/>
        </w:rPr>
        <w:lastRenderedPageBreak/>
        <w:t>Stirling Range dryandra</w:t>
      </w:r>
      <w:r w:rsidRPr="5690178A">
        <w:rPr>
          <w:rFonts w:cs="Arial"/>
        </w:rPr>
        <w:t xml:space="preserve"> is a serotinous, obligate seeding shrub that depends on fire to recruit seedlings. This means th</w:t>
      </w:r>
      <w:r>
        <w:rPr>
          <w:rFonts w:cs="Arial"/>
        </w:rPr>
        <w:t>at, when a fire occurs</w:t>
      </w:r>
      <w:r w:rsidRPr="5690178A">
        <w:rPr>
          <w:rFonts w:cs="Arial"/>
        </w:rPr>
        <w:t xml:space="preserve">, seeds stored in the canopy are released and germinate (Silcock et al. 2021). </w:t>
      </w:r>
      <w:r w:rsidRPr="22E3ABD1">
        <w:rPr>
          <w:rFonts w:cs="Arial"/>
        </w:rPr>
        <w:t>Flowering and seed production vary between individuals and years, and may reflect plant age, health and pollination effectiveness (Gilfillan et al. 2008). In 2000, 116 individuals were killed by</w:t>
      </w:r>
      <w:r>
        <w:rPr>
          <w:rFonts w:cs="Arial"/>
        </w:rPr>
        <w:t xml:space="preserve"> a prescribed</w:t>
      </w:r>
      <w:r w:rsidRPr="22E3ABD1">
        <w:rPr>
          <w:rFonts w:cs="Arial"/>
        </w:rPr>
        <w:t xml:space="preserve"> fire and only 13 seedlings emerged post-fire (Gilfillan et al. 2008), </w:t>
      </w:r>
      <w:r>
        <w:rPr>
          <w:rFonts w:cs="Arial"/>
        </w:rPr>
        <w:t>however</w:t>
      </w:r>
      <w:r w:rsidRPr="22E3ABD1">
        <w:rPr>
          <w:rFonts w:cs="Arial"/>
        </w:rPr>
        <w:t xml:space="preserve"> the 2018 fires led to considerably higher levels of germination.</w:t>
      </w:r>
      <w:r w:rsidRPr="000E167F">
        <w:rPr>
          <w:rFonts w:ascii="Times New Roman" w:eastAsia="Times New Roman" w:hAnsi="Times New Roman" w:cs="Times New Roman"/>
        </w:rPr>
        <w:t xml:space="preserve"> </w:t>
      </w:r>
      <w:r w:rsidRPr="000E167F">
        <w:rPr>
          <w:rFonts w:eastAsia="Cambria" w:cs="Cambria"/>
        </w:rPr>
        <w:t xml:space="preserve">Recruitment success likely varies with post-fire rainfall, as has been shown in other </w:t>
      </w:r>
      <w:r w:rsidRPr="000E167F">
        <w:rPr>
          <w:rFonts w:eastAsia="Cambria" w:cs="Cambria"/>
          <w:i/>
          <w:iCs/>
        </w:rPr>
        <w:t>Banksia</w:t>
      </w:r>
      <w:r w:rsidRPr="000E167F">
        <w:rPr>
          <w:rFonts w:eastAsia="Cambria" w:cs="Cambria"/>
        </w:rPr>
        <w:t xml:space="preserve"> species (</w:t>
      </w:r>
      <w:r w:rsidR="00B762FB" w:rsidRPr="000E167F">
        <w:rPr>
          <w:rFonts w:eastAsia="Cambria" w:cs="Cambria"/>
        </w:rPr>
        <w:t>e.g.,</w:t>
      </w:r>
      <w:r w:rsidRPr="000E167F">
        <w:rPr>
          <w:rFonts w:eastAsia="Cambria" w:cs="Cambria"/>
        </w:rPr>
        <w:t xml:space="preserve"> Burgman &amp; Lamont 1992).</w:t>
      </w:r>
    </w:p>
    <w:p w14:paraId="1BAFCC07" w14:textId="77777777" w:rsidR="00FA65F9" w:rsidRPr="00CE0366" w:rsidRDefault="00FA65F9" w:rsidP="00FA65F9">
      <w:pPr>
        <w:pStyle w:val="Normal12pt"/>
        <w:spacing w:after="240" w:line="276" w:lineRule="auto"/>
        <w:rPr>
          <w:rFonts w:ascii="Cambria" w:hAnsi="Cambria" w:cs="Arial"/>
          <w:sz w:val="22"/>
          <w:szCs w:val="22"/>
        </w:rPr>
      </w:pPr>
      <w:r>
        <w:rPr>
          <w:rFonts w:ascii="Cambria" w:hAnsi="Cambria" w:cs="Arial"/>
          <w:i/>
          <w:iCs/>
          <w:sz w:val="22"/>
          <w:szCs w:val="22"/>
        </w:rPr>
        <w:t>Commensal species</w:t>
      </w:r>
      <w:r>
        <w:rPr>
          <w:rFonts w:ascii="Cambria" w:hAnsi="Cambria" w:cs="Arial"/>
          <w:i/>
          <w:iCs/>
          <w:sz w:val="22"/>
          <w:szCs w:val="22"/>
        </w:rPr>
        <w:br/>
      </w:r>
      <w:r w:rsidRPr="00CE0366">
        <w:rPr>
          <w:rFonts w:ascii="Cambria" w:hAnsi="Cambria" w:cs="Arial"/>
          <w:sz w:val="22"/>
          <w:szCs w:val="22"/>
        </w:rPr>
        <w:t xml:space="preserve">In 2013, a new species of mealybug, </w:t>
      </w:r>
      <w:r w:rsidRPr="00CE0366">
        <w:rPr>
          <w:rFonts w:ascii="Cambria" w:hAnsi="Cambria" w:cs="Arial"/>
          <w:i/>
          <w:iCs/>
          <w:sz w:val="22"/>
          <w:szCs w:val="22"/>
        </w:rPr>
        <w:t xml:space="preserve">Pseudococcus markharveyi (Banksia montana </w:t>
      </w:r>
      <w:r w:rsidRPr="00CE0366">
        <w:rPr>
          <w:rFonts w:ascii="Cambria" w:hAnsi="Cambria" w:cs="Arial"/>
          <w:sz w:val="22"/>
          <w:szCs w:val="22"/>
        </w:rPr>
        <w:t>Mealybug), was d</w:t>
      </w:r>
      <w:r>
        <w:rPr>
          <w:rFonts w:ascii="Cambria" w:hAnsi="Cambria" w:cs="Arial"/>
          <w:sz w:val="22"/>
          <w:szCs w:val="22"/>
        </w:rPr>
        <w:t>escribed (Gullan et al. 2013)</w:t>
      </w:r>
      <w:r w:rsidRPr="00CE0366">
        <w:rPr>
          <w:rFonts w:ascii="Cambria" w:hAnsi="Cambria" w:cs="Arial"/>
          <w:sz w:val="22"/>
          <w:szCs w:val="22"/>
        </w:rPr>
        <w:t>.</w:t>
      </w:r>
      <w:r>
        <w:rPr>
          <w:rFonts w:ascii="Cambria" w:hAnsi="Cambria" w:cs="Arial"/>
          <w:sz w:val="22"/>
          <w:szCs w:val="22"/>
        </w:rPr>
        <w:t xml:space="preserve"> </w:t>
      </w:r>
      <w:r w:rsidRPr="00CE0366">
        <w:rPr>
          <w:rFonts w:ascii="Cambria" w:hAnsi="Cambria" w:cs="Arial"/>
          <w:sz w:val="22"/>
          <w:szCs w:val="22"/>
        </w:rPr>
        <w:t>The</w:t>
      </w:r>
      <w:r>
        <w:rPr>
          <w:rFonts w:ascii="Cambria" w:hAnsi="Cambria" w:cs="Arial"/>
          <w:sz w:val="22"/>
          <w:szCs w:val="22"/>
        </w:rPr>
        <w:t xml:space="preserve"> species </w:t>
      </w:r>
      <w:r w:rsidRPr="00CE0366">
        <w:rPr>
          <w:rFonts w:ascii="Cambria" w:hAnsi="Cambria" w:cs="Arial"/>
          <w:sz w:val="22"/>
          <w:szCs w:val="22"/>
        </w:rPr>
        <w:t>is morphologically</w:t>
      </w:r>
      <w:r>
        <w:rPr>
          <w:rFonts w:ascii="Cambria" w:hAnsi="Cambria" w:cs="Arial"/>
          <w:sz w:val="22"/>
          <w:szCs w:val="22"/>
        </w:rPr>
        <w:t xml:space="preserve"> </w:t>
      </w:r>
      <w:r w:rsidRPr="00CE0366">
        <w:rPr>
          <w:rFonts w:ascii="Cambria" w:hAnsi="Cambria" w:cs="Arial"/>
          <w:sz w:val="22"/>
          <w:szCs w:val="22"/>
        </w:rPr>
        <w:t xml:space="preserve">similar to other species in the genus </w:t>
      </w:r>
      <w:r w:rsidRPr="00CE0366">
        <w:rPr>
          <w:rFonts w:ascii="Cambria" w:hAnsi="Cambria" w:cs="Arial"/>
          <w:i/>
          <w:iCs/>
          <w:sz w:val="22"/>
          <w:szCs w:val="22"/>
        </w:rPr>
        <w:t>Pseudococcus</w:t>
      </w:r>
      <w:r w:rsidRPr="00CE0366">
        <w:rPr>
          <w:rFonts w:ascii="Cambria" w:hAnsi="Cambria" w:cs="Arial"/>
          <w:sz w:val="22"/>
          <w:szCs w:val="22"/>
        </w:rPr>
        <w:t xml:space="preserve"> (Westwood 1840; Gullan et al. 2013)</w:t>
      </w:r>
      <w:r>
        <w:rPr>
          <w:rFonts w:ascii="Cambria" w:hAnsi="Cambria" w:cs="Arial"/>
          <w:sz w:val="22"/>
          <w:szCs w:val="22"/>
        </w:rPr>
        <w:t xml:space="preserve"> and is found exclusively on Stirling Range dryandra</w:t>
      </w:r>
      <w:r w:rsidRPr="00CE0366">
        <w:rPr>
          <w:rFonts w:ascii="Cambria" w:hAnsi="Cambria" w:cs="Arial"/>
          <w:sz w:val="22"/>
          <w:szCs w:val="22"/>
        </w:rPr>
        <w:t xml:space="preserve">. </w:t>
      </w:r>
      <w:r>
        <w:rPr>
          <w:rFonts w:ascii="Cambria" w:hAnsi="Cambria" w:cs="Arial"/>
          <w:sz w:val="22"/>
          <w:szCs w:val="22"/>
        </w:rPr>
        <w:t>Mealybugs were</w:t>
      </w:r>
      <w:r w:rsidRPr="00CE0366">
        <w:rPr>
          <w:rFonts w:ascii="Cambria" w:hAnsi="Cambria" w:cs="Arial"/>
          <w:sz w:val="22"/>
          <w:szCs w:val="22"/>
        </w:rPr>
        <w:t xml:space="preserve"> originally discovered </w:t>
      </w:r>
      <w:r>
        <w:rPr>
          <w:rFonts w:ascii="Cambria" w:hAnsi="Cambria" w:cs="Arial"/>
          <w:sz w:val="22"/>
          <w:szCs w:val="22"/>
        </w:rPr>
        <w:t xml:space="preserve">on Stirling Range dryandra plants in </w:t>
      </w:r>
      <w:r w:rsidRPr="00CE0366">
        <w:rPr>
          <w:rFonts w:ascii="Cambria" w:hAnsi="Cambria" w:cs="Arial"/>
          <w:sz w:val="22"/>
          <w:szCs w:val="22"/>
        </w:rPr>
        <w:t>2007 (Moir et al. 2012a, b)</w:t>
      </w:r>
      <w:r>
        <w:rPr>
          <w:rFonts w:ascii="Cambria" w:hAnsi="Cambria" w:cs="Arial"/>
          <w:sz w:val="22"/>
          <w:szCs w:val="22"/>
        </w:rPr>
        <w:t>, and subsequent sampling of 34 species from the surrounding region for host specificity determined it was only present on Stirling Range dryandra</w:t>
      </w:r>
      <w:r w:rsidRPr="00CE0366">
        <w:rPr>
          <w:rFonts w:ascii="Cambria" w:hAnsi="Cambria" w:cs="Arial"/>
          <w:sz w:val="22"/>
          <w:szCs w:val="22"/>
        </w:rPr>
        <w:t>. The</w:t>
      </w:r>
      <w:r>
        <w:rPr>
          <w:rFonts w:ascii="Cambria" w:hAnsi="Cambria" w:cs="Arial"/>
          <w:sz w:val="22"/>
          <w:szCs w:val="22"/>
        </w:rPr>
        <w:t xml:space="preserve"> species</w:t>
      </w:r>
      <w:r w:rsidRPr="00CE0366">
        <w:rPr>
          <w:rFonts w:ascii="Cambria" w:hAnsi="Cambria" w:cs="Arial"/>
          <w:sz w:val="22"/>
          <w:szCs w:val="22"/>
        </w:rPr>
        <w:t xml:space="preserve"> feeds exclusively on </w:t>
      </w:r>
      <w:r>
        <w:rPr>
          <w:rFonts w:ascii="Cambria" w:hAnsi="Cambria" w:cs="Arial"/>
          <w:sz w:val="22"/>
          <w:szCs w:val="22"/>
        </w:rPr>
        <w:t>the sap of Stirling Range dryandra plants</w:t>
      </w:r>
      <w:r w:rsidRPr="00CE0366">
        <w:rPr>
          <w:rFonts w:ascii="Cambria" w:hAnsi="Cambria" w:cs="Arial"/>
          <w:sz w:val="22"/>
          <w:szCs w:val="22"/>
        </w:rPr>
        <w:t xml:space="preserve">. Thus, loss of plant </w:t>
      </w:r>
      <w:r>
        <w:rPr>
          <w:rFonts w:ascii="Cambria" w:hAnsi="Cambria" w:cs="Arial"/>
          <w:sz w:val="22"/>
          <w:szCs w:val="22"/>
        </w:rPr>
        <w:t>biomass</w:t>
      </w:r>
      <w:r w:rsidRPr="00CE0366">
        <w:rPr>
          <w:rFonts w:ascii="Cambria" w:hAnsi="Cambria" w:cs="Arial"/>
          <w:sz w:val="22"/>
          <w:szCs w:val="22"/>
        </w:rPr>
        <w:t xml:space="preserve"> and mortality of </w:t>
      </w:r>
      <w:r>
        <w:rPr>
          <w:rFonts w:ascii="Cambria" w:hAnsi="Cambria" w:cs="Arial"/>
          <w:sz w:val="22"/>
          <w:szCs w:val="22"/>
        </w:rPr>
        <w:t xml:space="preserve">Stirling Range dryandra </w:t>
      </w:r>
      <w:r w:rsidRPr="00CE0366">
        <w:rPr>
          <w:rFonts w:ascii="Cambria" w:hAnsi="Cambria" w:cs="Arial"/>
          <w:sz w:val="22"/>
          <w:szCs w:val="22"/>
        </w:rPr>
        <w:t xml:space="preserve">individuals poses a large threat to the survival of the </w:t>
      </w:r>
      <w:r w:rsidRPr="00CE0366">
        <w:rPr>
          <w:rFonts w:ascii="Cambria" w:hAnsi="Cambria" w:cs="Arial"/>
          <w:i/>
          <w:iCs/>
          <w:sz w:val="22"/>
          <w:szCs w:val="22"/>
        </w:rPr>
        <w:t xml:space="preserve">Banksia montana </w:t>
      </w:r>
      <w:r w:rsidRPr="00CE0366">
        <w:rPr>
          <w:rFonts w:ascii="Cambria" w:hAnsi="Cambria" w:cs="Arial"/>
          <w:sz w:val="22"/>
          <w:szCs w:val="22"/>
        </w:rPr>
        <w:t xml:space="preserve">Mealybug. Given the conservation status of the remaining extant </w:t>
      </w:r>
      <w:r>
        <w:rPr>
          <w:rFonts w:ascii="Cambria" w:hAnsi="Cambria" w:cs="Arial"/>
          <w:sz w:val="22"/>
          <w:szCs w:val="22"/>
        </w:rPr>
        <w:t>subpopulations</w:t>
      </w:r>
      <w:r w:rsidRPr="00CE0366">
        <w:rPr>
          <w:rFonts w:ascii="Cambria" w:hAnsi="Cambria" w:cs="Arial"/>
          <w:sz w:val="22"/>
          <w:szCs w:val="22"/>
        </w:rPr>
        <w:t xml:space="preserve"> of </w:t>
      </w:r>
      <w:r>
        <w:rPr>
          <w:rFonts w:ascii="Cambria" w:hAnsi="Cambria" w:cs="Arial"/>
          <w:sz w:val="22"/>
          <w:szCs w:val="22"/>
        </w:rPr>
        <w:t>Stirling Range dryandra</w:t>
      </w:r>
      <w:r w:rsidRPr="00CE0366">
        <w:rPr>
          <w:rFonts w:ascii="Cambria" w:hAnsi="Cambria" w:cs="Arial"/>
          <w:sz w:val="22"/>
          <w:szCs w:val="22"/>
        </w:rPr>
        <w:t xml:space="preserve">, the </w:t>
      </w:r>
      <w:r w:rsidRPr="00CE0366">
        <w:rPr>
          <w:rFonts w:ascii="Cambria" w:hAnsi="Cambria" w:cs="Arial"/>
          <w:i/>
          <w:iCs/>
          <w:sz w:val="22"/>
          <w:szCs w:val="22"/>
        </w:rPr>
        <w:t xml:space="preserve">Banksia montana </w:t>
      </w:r>
      <w:r w:rsidRPr="00CE0366">
        <w:rPr>
          <w:rFonts w:ascii="Cambria" w:hAnsi="Cambria" w:cs="Arial"/>
          <w:sz w:val="22"/>
          <w:szCs w:val="22"/>
        </w:rPr>
        <w:t xml:space="preserve">Mealybug </w:t>
      </w:r>
      <w:r>
        <w:rPr>
          <w:rFonts w:ascii="Cambria" w:hAnsi="Cambria" w:cs="Arial"/>
          <w:sz w:val="22"/>
          <w:szCs w:val="22"/>
        </w:rPr>
        <w:t>is</w:t>
      </w:r>
      <w:r w:rsidRPr="00CE0366">
        <w:rPr>
          <w:rFonts w:ascii="Cambria" w:hAnsi="Cambria" w:cs="Arial"/>
          <w:sz w:val="22"/>
          <w:szCs w:val="22"/>
        </w:rPr>
        <w:t xml:space="preserve"> </w:t>
      </w:r>
      <w:r>
        <w:rPr>
          <w:rFonts w:ascii="Cambria" w:hAnsi="Cambria" w:cs="Arial"/>
          <w:sz w:val="22"/>
          <w:szCs w:val="22"/>
        </w:rPr>
        <w:t xml:space="preserve">listed as </w:t>
      </w:r>
      <w:r w:rsidRPr="00CE0366">
        <w:rPr>
          <w:rFonts w:ascii="Cambria" w:hAnsi="Cambria" w:cs="Arial"/>
          <w:sz w:val="22"/>
          <w:szCs w:val="22"/>
        </w:rPr>
        <w:t>critically endangered</w:t>
      </w:r>
      <w:r>
        <w:rPr>
          <w:rFonts w:ascii="Cambria" w:hAnsi="Cambria" w:cs="Arial"/>
          <w:sz w:val="22"/>
          <w:szCs w:val="22"/>
        </w:rPr>
        <w:t xml:space="preserve"> </w:t>
      </w:r>
      <w:r w:rsidRPr="00CE0366">
        <w:rPr>
          <w:rFonts w:ascii="Cambria" w:hAnsi="Cambria" w:cs="Arial"/>
          <w:sz w:val="22"/>
          <w:szCs w:val="22"/>
        </w:rPr>
        <w:t>(Moir et al. 2012a; Gullan et al. 2013; Moir et al. 2016</w:t>
      </w:r>
      <w:r>
        <w:rPr>
          <w:rFonts w:ascii="Cambria" w:hAnsi="Cambria" w:cs="Arial"/>
          <w:sz w:val="22"/>
          <w:szCs w:val="22"/>
        </w:rPr>
        <w:t>; DAWE 2017</w:t>
      </w:r>
      <w:r w:rsidRPr="00CE0366">
        <w:rPr>
          <w:rFonts w:ascii="Cambria" w:hAnsi="Cambria" w:cs="Arial"/>
          <w:sz w:val="22"/>
          <w:szCs w:val="22"/>
        </w:rPr>
        <w:t>)</w:t>
      </w:r>
      <w:r>
        <w:rPr>
          <w:rFonts w:ascii="Cambria" w:hAnsi="Cambria" w:cs="Arial"/>
          <w:sz w:val="22"/>
          <w:szCs w:val="22"/>
        </w:rPr>
        <w:t xml:space="preserve"> and may be extinct. </w:t>
      </w:r>
    </w:p>
    <w:p w14:paraId="4232DDF8" w14:textId="77777777" w:rsidR="00FA65F9" w:rsidRPr="005567D0" w:rsidRDefault="00FA65F9" w:rsidP="00FA65F9">
      <w:r w:rsidRPr="22E3ABD1">
        <w:rPr>
          <w:rFonts w:ascii="Calibri" w:hAnsi="Calibri" w:cs="Calibri"/>
          <w:b/>
          <w:bCs/>
          <w:sz w:val="28"/>
          <w:szCs w:val="28"/>
        </w:rPr>
        <w:t>Habitat critical to the survival</w:t>
      </w:r>
      <w:r>
        <w:br/>
        <w:t xml:space="preserve">The Stirling Range dryandra is restricted to mountain summit areas between 900 m and 1080 m above sea level in the Eastern Stirling Range and is endemic to the Eastern Stirling Range Montane Heath and Thicket Community (Barrett 2000). This community comprises a heathland and dense shrub thicket with several endemic species and 13 threatened plant species. Maintenance of the health of the Eastern Stirling Range Montane Heath and Thicket Community is critical for the survival of Stirling Range dryandra, as it is only known from areas where this community is found.  Furthermore, with only four subpopulations </w:t>
      </w:r>
      <w:r w:rsidRPr="22E3ABD1">
        <w:rPr>
          <w:rFonts w:cs="Arial"/>
        </w:rPr>
        <w:t>occupying a total area of less than 1 km</w:t>
      </w:r>
      <w:r w:rsidRPr="22E3ABD1">
        <w:rPr>
          <w:rFonts w:cs="Arial"/>
          <w:vertAlign w:val="superscript"/>
        </w:rPr>
        <w:t>2</w:t>
      </w:r>
      <w:r w:rsidRPr="22E3ABD1">
        <w:rPr>
          <w:rFonts w:cs="Arial"/>
        </w:rPr>
        <w:t xml:space="preserve"> </w:t>
      </w:r>
      <w:r>
        <w:t>(Silcock et al. 2021), the area above 900 m, including all current and historical Stirling Range dryandra habitat, is habitat critical for the survival of the species.</w:t>
      </w:r>
    </w:p>
    <w:p w14:paraId="347A3A20" w14:textId="77777777" w:rsidR="00FA65F9" w:rsidRPr="005567D0" w:rsidRDefault="00FA65F9" w:rsidP="00FA65F9">
      <w:r w:rsidRPr="005567D0">
        <w:t>No Critical Habitat as defined under section 207A of the EPBC Act has been identified or included in the Register of Critical Habitat.</w:t>
      </w:r>
    </w:p>
    <w:p w14:paraId="5014BEF5" w14:textId="77777777" w:rsidR="00FA65F9" w:rsidRDefault="00FA65F9" w:rsidP="00FA65F9">
      <w:pPr>
        <w:pStyle w:val="Heading3"/>
        <w:spacing w:line="276" w:lineRule="auto"/>
        <w:rPr>
          <w:rFonts w:ascii="Cambria" w:hAnsi="Cambria"/>
          <w:b w:val="0"/>
          <w:bCs w:val="0"/>
          <w:sz w:val="22"/>
          <w:szCs w:val="22"/>
        </w:rPr>
      </w:pPr>
      <w:r w:rsidRPr="00476948">
        <w:rPr>
          <w:rFonts w:eastAsiaTheme="minorHAnsi"/>
        </w:rPr>
        <w:t>Important populations</w:t>
      </w:r>
    </w:p>
    <w:p w14:paraId="46EE94F8" w14:textId="77777777" w:rsidR="00FA65F9" w:rsidRDefault="00FA65F9" w:rsidP="00FA65F9">
      <w:r w:rsidRPr="00CD682F">
        <w:t>In this section, the word population is used to refer to subpopulation, in keeping with the terminology used in the EPBC Act and state/territory environmental legislation.</w:t>
      </w:r>
      <w:r>
        <w:t xml:space="preserve"> </w:t>
      </w:r>
    </w:p>
    <w:p w14:paraId="49D5D160" w14:textId="77777777" w:rsidR="00FA65F9" w:rsidRPr="00303A2A" w:rsidRDefault="00FA65F9" w:rsidP="00FA65F9">
      <w:r>
        <w:t>All</w:t>
      </w:r>
      <w:r w:rsidRPr="00C174C4">
        <w:t xml:space="preserve"> populations</w:t>
      </w:r>
      <w:r>
        <w:t xml:space="preserve"> </w:t>
      </w:r>
      <w:r w:rsidRPr="00C174C4">
        <w:t xml:space="preserve">are important to the ongoing survival and recovery of </w:t>
      </w:r>
      <w:r>
        <w:t>Stirling Range dryandra</w:t>
      </w:r>
      <w:r w:rsidRPr="00990BB1">
        <w:t xml:space="preserve">, as well as the breeding, dispersal and genetic diversity of the species. </w:t>
      </w:r>
    </w:p>
    <w:p w14:paraId="2ACE1D34" w14:textId="77777777" w:rsidR="00FA65F9" w:rsidRPr="00CE0366" w:rsidRDefault="00FA65F9" w:rsidP="00FA65F9">
      <w:pPr>
        <w:pStyle w:val="CAIntextheading1"/>
        <w:spacing w:line="276" w:lineRule="auto"/>
        <w:ind w:left="0" w:firstLine="0"/>
        <w:rPr>
          <w:rFonts w:ascii="Cambria" w:hAnsi="Cambria"/>
          <w:b w:val="0"/>
          <w:bCs/>
        </w:rPr>
      </w:pPr>
      <w:r>
        <w:rPr>
          <w:rFonts w:ascii="Cambria" w:hAnsi="Cambria"/>
          <w:b w:val="0"/>
          <w:bCs/>
        </w:rPr>
        <w:t>The two</w:t>
      </w:r>
      <w:r w:rsidRPr="00CE0366">
        <w:rPr>
          <w:rFonts w:ascii="Cambria" w:hAnsi="Cambria"/>
          <w:b w:val="0"/>
          <w:bCs/>
        </w:rPr>
        <w:t xml:space="preserve"> </w:t>
      </w:r>
      <w:r>
        <w:rPr>
          <w:rFonts w:ascii="Cambria" w:hAnsi="Cambria"/>
          <w:b w:val="0"/>
          <w:bCs/>
        </w:rPr>
        <w:t xml:space="preserve">ex situ populations, </w:t>
      </w:r>
      <w:r w:rsidRPr="00CE0366">
        <w:rPr>
          <w:rFonts w:ascii="Cambria" w:hAnsi="Cambria"/>
          <w:b w:val="0"/>
          <w:bCs/>
        </w:rPr>
        <w:t xml:space="preserve">established </w:t>
      </w:r>
      <w:r>
        <w:rPr>
          <w:rFonts w:ascii="Cambria" w:hAnsi="Cambria"/>
          <w:b w:val="0"/>
          <w:bCs/>
        </w:rPr>
        <w:t xml:space="preserve">in seed orchards </w:t>
      </w:r>
      <w:r w:rsidRPr="00CE0366">
        <w:rPr>
          <w:rFonts w:ascii="Cambria" w:hAnsi="Cambria"/>
          <w:b w:val="0"/>
          <w:bCs/>
        </w:rPr>
        <w:t>approximately 50 km from the extant range</w:t>
      </w:r>
      <w:r>
        <w:rPr>
          <w:rFonts w:ascii="Cambria" w:hAnsi="Cambria"/>
          <w:b w:val="0"/>
          <w:bCs/>
        </w:rPr>
        <w:t>,</w:t>
      </w:r>
      <w:r w:rsidRPr="00CE0366">
        <w:rPr>
          <w:rFonts w:ascii="Cambria" w:hAnsi="Cambria"/>
          <w:b w:val="0"/>
          <w:bCs/>
        </w:rPr>
        <w:t xml:space="preserve"> are </w:t>
      </w:r>
      <w:r>
        <w:rPr>
          <w:rFonts w:ascii="Cambria" w:hAnsi="Cambria"/>
          <w:b w:val="0"/>
          <w:bCs/>
        </w:rPr>
        <w:t>also important</w:t>
      </w:r>
      <w:r w:rsidRPr="00CE0366">
        <w:rPr>
          <w:rFonts w:ascii="Cambria" w:hAnsi="Cambria"/>
          <w:b w:val="0"/>
          <w:bCs/>
        </w:rPr>
        <w:t xml:space="preserve"> </w:t>
      </w:r>
      <w:r>
        <w:rPr>
          <w:rFonts w:ascii="Cambria" w:hAnsi="Cambria"/>
          <w:b w:val="0"/>
          <w:bCs/>
        </w:rPr>
        <w:t>populations for</w:t>
      </w:r>
      <w:r w:rsidRPr="00CE0366">
        <w:rPr>
          <w:rFonts w:ascii="Cambria" w:hAnsi="Cambria"/>
          <w:b w:val="0"/>
          <w:bCs/>
        </w:rPr>
        <w:t xml:space="preserve"> the ongoing survival of the species. These orchards are required to preserve genetic diversity and to help recover the extant populations through </w:t>
      </w:r>
      <w:r w:rsidRPr="00CE0366">
        <w:rPr>
          <w:rFonts w:ascii="Cambria" w:hAnsi="Cambria"/>
          <w:b w:val="0"/>
          <w:bCs/>
        </w:rPr>
        <w:lastRenderedPageBreak/>
        <w:t>breeding</w:t>
      </w:r>
      <w:r>
        <w:rPr>
          <w:rFonts w:ascii="Cambria" w:hAnsi="Cambria"/>
          <w:b w:val="0"/>
          <w:bCs/>
        </w:rPr>
        <w:t>, t</w:t>
      </w:r>
      <w:r w:rsidRPr="00CE0366">
        <w:rPr>
          <w:rFonts w:ascii="Cambria" w:hAnsi="Cambria"/>
          <w:b w:val="0"/>
          <w:bCs/>
        </w:rPr>
        <w:t>he use of reinforcement translocations</w:t>
      </w:r>
      <w:r>
        <w:rPr>
          <w:rFonts w:ascii="Cambria" w:hAnsi="Cambria"/>
          <w:b w:val="0"/>
          <w:bCs/>
        </w:rPr>
        <w:t xml:space="preserve"> and direct seeding</w:t>
      </w:r>
      <w:r w:rsidRPr="00CE0366">
        <w:rPr>
          <w:rFonts w:ascii="Cambria" w:hAnsi="Cambria"/>
          <w:b w:val="0"/>
          <w:bCs/>
        </w:rPr>
        <w:t xml:space="preserve"> (S Barrett 2020</w:t>
      </w:r>
      <w:r>
        <w:rPr>
          <w:rFonts w:ascii="Cambria" w:hAnsi="Cambria"/>
          <w:b w:val="0"/>
          <w:bCs/>
        </w:rPr>
        <w:t>. pers comm</w:t>
      </w:r>
      <w:r w:rsidRPr="00CE0366">
        <w:rPr>
          <w:rFonts w:ascii="Cambria" w:hAnsi="Cambria"/>
          <w:b w:val="0"/>
          <w:bCs/>
        </w:rPr>
        <w:t xml:space="preserve"> 25 September)</w:t>
      </w:r>
      <w:r>
        <w:rPr>
          <w:rFonts w:ascii="Cambria" w:hAnsi="Cambria"/>
          <w:b w:val="0"/>
          <w:bCs/>
        </w:rPr>
        <w:t>.</w:t>
      </w:r>
    </w:p>
    <w:p w14:paraId="404318C0" w14:textId="77777777" w:rsidR="00FA65F9" w:rsidRDefault="00FA65F9" w:rsidP="00FA65F9">
      <w:pPr>
        <w:pStyle w:val="Heading3"/>
        <w:spacing w:line="276" w:lineRule="auto"/>
      </w:pPr>
      <w:r>
        <w:t xml:space="preserve">Threats </w:t>
      </w:r>
    </w:p>
    <w:p w14:paraId="691954D1" w14:textId="77777777" w:rsidR="00FA65F9" w:rsidRDefault="00FA65F9" w:rsidP="00FA65F9">
      <w:r>
        <w:t xml:space="preserve">Stirling Range dryandra is threatened by prescribed burning practices, altered fire regimes associated with climate change, </w:t>
      </w:r>
      <w:r w:rsidRPr="009B4EA1">
        <w:t>disease, grazing and browsing by native and introduced species and habitat disturbance by human recreation. The species is threatened by several fire-related threats, including high frequency fire, fire-disease interactions, fire-drought interactions, and fire-herbivore interactions. The small population size and limited distribution of the species leaves it vulnerable to extinction</w:t>
      </w:r>
      <w:r>
        <w:t xml:space="preserve"> through stochastic events such as bushfires. </w:t>
      </w:r>
    </w:p>
    <w:p w14:paraId="0BD7B251" w14:textId="77777777" w:rsidR="00FA65F9" w:rsidRPr="00C55891" w:rsidRDefault="00FA65F9" w:rsidP="00FA65F9">
      <w:pPr>
        <w:pStyle w:val="Caption"/>
      </w:pPr>
      <w:r w:rsidRPr="00C55891">
        <w:t xml:space="preserve">Table 2: Threats impacting </w:t>
      </w:r>
      <w:r>
        <w:t>Stirling Range dryandra</w:t>
      </w:r>
    </w:p>
    <w:tbl>
      <w:tblPr>
        <w:tblStyle w:val="TableGrid"/>
        <w:tblW w:w="0" w:type="auto"/>
        <w:tblLook w:val="04A0" w:firstRow="1" w:lastRow="0" w:firstColumn="1" w:lastColumn="0" w:noHBand="0" w:noVBand="1"/>
      </w:tblPr>
      <w:tblGrid>
        <w:gridCol w:w="2122"/>
        <w:gridCol w:w="3118"/>
        <w:gridCol w:w="3776"/>
      </w:tblGrid>
      <w:tr w:rsidR="00FA65F9" w:rsidRPr="003B76EB" w14:paraId="2F022435" w14:textId="77777777" w:rsidTr="00D72EE4">
        <w:tc>
          <w:tcPr>
            <w:tcW w:w="2122" w:type="dxa"/>
          </w:tcPr>
          <w:p w14:paraId="6CE07F7A" w14:textId="77777777" w:rsidR="00FA65F9" w:rsidRPr="003B76EB" w:rsidRDefault="00FA65F9" w:rsidP="00D72EE4">
            <w:pPr>
              <w:pStyle w:val="TableHeading"/>
            </w:pPr>
            <w:r w:rsidRPr="003B76EB">
              <w:t xml:space="preserve">Threat </w:t>
            </w:r>
          </w:p>
        </w:tc>
        <w:tc>
          <w:tcPr>
            <w:tcW w:w="3118" w:type="dxa"/>
          </w:tcPr>
          <w:p w14:paraId="7B87520B" w14:textId="77777777" w:rsidR="00FA65F9" w:rsidRPr="003B76EB" w:rsidRDefault="00FA65F9" w:rsidP="00D72EE4">
            <w:pPr>
              <w:pStyle w:val="TableHeading"/>
            </w:pPr>
            <w:r w:rsidRPr="003B76EB">
              <w:t xml:space="preserve">Status and severity </w:t>
            </w:r>
            <w:r w:rsidRPr="003B76EB">
              <w:rPr>
                <w:rStyle w:val="Strong"/>
                <w:bCs w:val="0"/>
                <w:szCs w:val="18"/>
                <w:vertAlign w:val="superscript"/>
              </w:rPr>
              <w:t>a</w:t>
            </w:r>
          </w:p>
        </w:tc>
        <w:tc>
          <w:tcPr>
            <w:tcW w:w="3776" w:type="dxa"/>
          </w:tcPr>
          <w:p w14:paraId="11637167" w14:textId="77777777" w:rsidR="00FA65F9" w:rsidRPr="003B76EB" w:rsidRDefault="00FA65F9" w:rsidP="00D72EE4">
            <w:pPr>
              <w:pStyle w:val="TableHeading"/>
            </w:pPr>
            <w:r w:rsidRPr="003B76EB">
              <w:t xml:space="preserve">Evidence </w:t>
            </w:r>
          </w:p>
        </w:tc>
      </w:tr>
      <w:tr w:rsidR="00FA65F9" w:rsidRPr="003B76EB" w14:paraId="5DDAB1BB" w14:textId="77777777" w:rsidTr="00D72EE4">
        <w:tc>
          <w:tcPr>
            <w:tcW w:w="9016" w:type="dxa"/>
            <w:gridSpan w:val="3"/>
          </w:tcPr>
          <w:p w14:paraId="0033CA0B" w14:textId="77777777" w:rsidR="00FA65F9" w:rsidRPr="003B76EB" w:rsidRDefault="00FA65F9" w:rsidP="00D72EE4">
            <w:pPr>
              <w:pStyle w:val="TableText"/>
            </w:pPr>
            <w:r w:rsidRPr="003B76EB">
              <w:t>Habitat disturbance and modification</w:t>
            </w:r>
          </w:p>
        </w:tc>
      </w:tr>
      <w:tr w:rsidR="00FA65F9" w:rsidRPr="003B76EB" w14:paraId="7B6B6332" w14:textId="77777777" w:rsidTr="00D72EE4">
        <w:tc>
          <w:tcPr>
            <w:tcW w:w="2122" w:type="dxa"/>
          </w:tcPr>
          <w:p w14:paraId="29E13372" w14:textId="77777777" w:rsidR="00FA65F9" w:rsidRPr="00F44FCD" w:rsidRDefault="00FA65F9" w:rsidP="00D72EE4">
            <w:pPr>
              <w:pStyle w:val="TableText"/>
            </w:pPr>
            <w:r w:rsidRPr="00F44FCD">
              <w:t>Inappropriate fire regimes</w:t>
            </w:r>
          </w:p>
        </w:tc>
        <w:tc>
          <w:tcPr>
            <w:tcW w:w="3118" w:type="dxa"/>
          </w:tcPr>
          <w:p w14:paraId="3F7F5C7A" w14:textId="77777777" w:rsidR="00FA65F9" w:rsidRPr="00E12EE9" w:rsidRDefault="00FA65F9" w:rsidP="00D72EE4">
            <w:pPr>
              <w:pStyle w:val="TableBullet1"/>
            </w:pPr>
            <w:r>
              <w:t>Timing</w:t>
            </w:r>
            <w:r w:rsidRPr="00E12EE9">
              <w:t>: current</w:t>
            </w:r>
          </w:p>
          <w:p w14:paraId="140B99C7" w14:textId="77777777" w:rsidR="00FA65F9" w:rsidRPr="00E12EE9" w:rsidRDefault="00FA65F9" w:rsidP="00D72EE4">
            <w:pPr>
              <w:pStyle w:val="TableBullet1"/>
            </w:pPr>
            <w:r w:rsidRPr="00E12EE9">
              <w:t>Confidence: known</w:t>
            </w:r>
          </w:p>
          <w:p w14:paraId="1C171886" w14:textId="77777777" w:rsidR="00FA65F9" w:rsidRPr="009B4EA1" w:rsidRDefault="00FA65F9" w:rsidP="00D72EE4">
            <w:pPr>
              <w:pStyle w:val="TableBullet1"/>
              <w:rPr>
                <w:szCs w:val="18"/>
              </w:rPr>
            </w:pPr>
            <w:r w:rsidRPr="00E12EE9">
              <w:t xml:space="preserve">Consequence: </w:t>
            </w:r>
            <w:r w:rsidRPr="009B4EA1">
              <w:rPr>
                <w:szCs w:val="18"/>
              </w:rPr>
              <w:t>catastrophic</w:t>
            </w:r>
          </w:p>
          <w:p w14:paraId="3D148D1E" w14:textId="77777777" w:rsidR="00FA65F9" w:rsidRPr="009B4EA1" w:rsidRDefault="00FA65F9" w:rsidP="00D72EE4">
            <w:pPr>
              <w:pStyle w:val="TableBullet1"/>
              <w:rPr>
                <w:szCs w:val="18"/>
              </w:rPr>
            </w:pPr>
            <w:r w:rsidRPr="009B4EA1">
              <w:rPr>
                <w:szCs w:val="18"/>
              </w:rPr>
              <w:t>Trend: increasing</w:t>
            </w:r>
          </w:p>
          <w:p w14:paraId="587699D4" w14:textId="77777777" w:rsidR="00FA65F9" w:rsidRPr="003B76EB" w:rsidRDefault="00FA65F9" w:rsidP="00D72EE4">
            <w:pPr>
              <w:pStyle w:val="TableBullet1"/>
              <w:rPr>
                <w:szCs w:val="18"/>
              </w:rPr>
            </w:pPr>
            <w:r w:rsidRPr="009B4EA1">
              <w:rPr>
                <w:szCs w:val="18"/>
              </w:rPr>
              <w:t>Extent: across the entire range</w:t>
            </w:r>
          </w:p>
        </w:tc>
        <w:tc>
          <w:tcPr>
            <w:tcW w:w="3776" w:type="dxa"/>
          </w:tcPr>
          <w:p w14:paraId="58F8435D" w14:textId="77777777" w:rsidR="00FA65F9" w:rsidRPr="00151D51" w:rsidRDefault="00FA65F9" w:rsidP="00D72EE4">
            <w:pPr>
              <w:pStyle w:val="TableText"/>
            </w:pPr>
            <w:r w:rsidRPr="00151D51">
              <w:t>Obligate seeders like the Stirling Range dryandra are sensitive to frequent fire regimes and require a minimum fire-free interval to reach reproductive maturity to maintain population size. Local extinction will occur where fire intervals are shorter than the time taken for the plants to reach reproductive maturity (the primary juvenile period), which is likely to lengthen in a drying climate. The primary juvenile period for Stirling Range dryandra is likely in the order of nine years in the wild. Furthermore, in species that store their seed in the canopy, all seeds are often exhausted in a single fire and may be less resilient to high fire frequency due to the lack of a buffering from a residual soil stored seedbank (Kenny 2003).</w:t>
            </w:r>
          </w:p>
          <w:p w14:paraId="473D2F76" w14:textId="42DB6399" w:rsidR="00FA65F9" w:rsidRPr="00151D51" w:rsidRDefault="00FA65F9" w:rsidP="00D72EE4">
            <w:pPr>
              <w:pStyle w:val="TableText"/>
            </w:pPr>
            <w:r w:rsidRPr="00151D51">
              <w:t>Alternatively, in the long absence of fire, non-sprouting fire recruiting plants may senesce and die before there is an opportunity for regeneration (Whelan 1995; Bond &amp; van Wilgen 1996). However, the species has a long lifespan, at least 30 years (Gilfillan et al. 2008), and maximum lifespans in the absence of fire or disease are likely longer. As such, rare recruitment events in the absence of fire may sustain the population. Thus, fire exclusion may not pose a significant threat to the ongoing sustainability of the population, and high fire frequency and post-fire drought</w:t>
            </w:r>
            <w:r w:rsidR="00D539A0">
              <w:t>, herbivory and disease,</w:t>
            </w:r>
            <w:r w:rsidRPr="00151D51">
              <w:t xml:space="preserve"> are currently more significant threats to the species. </w:t>
            </w:r>
          </w:p>
          <w:p w14:paraId="11529232" w14:textId="77777777" w:rsidR="00FA65F9" w:rsidRPr="00151D51" w:rsidRDefault="00FA65F9" w:rsidP="00D72EE4">
            <w:pPr>
              <w:pStyle w:val="TableText"/>
            </w:pPr>
            <w:r w:rsidRPr="00151D51">
              <w:t>Gill and Nicholls (1989) proposed that "Until further data becomes available it is suggested that a doubling of the general juvenile period of the species observed at the monitoring site be used as the guide to when the species is likely to be able to replace itself to pre-fire abundance levels”. For Stirling Range dryandra, the juvenile period is nine years and therefore the minimum fire interval for it to persist is estimated at 18 years.</w:t>
            </w:r>
          </w:p>
          <w:p w14:paraId="27BF30DA" w14:textId="77777777" w:rsidR="00FA65F9" w:rsidRPr="00151D51" w:rsidRDefault="00FA65F9" w:rsidP="00D72EE4">
            <w:pPr>
              <w:pStyle w:val="TableText"/>
              <w:rPr>
                <w:rFonts w:cs="Arial"/>
              </w:rPr>
            </w:pPr>
            <w:r w:rsidRPr="00151D51">
              <w:rPr>
                <w:rFonts w:cs="Arial"/>
              </w:rPr>
              <w:t xml:space="preserve">Major bushfires have impacted Stirling Range dryandra subpopulations in 1972, 1991, 2000, 2018 and 2019, with some </w:t>
            </w:r>
            <w:r w:rsidRPr="00151D51">
              <w:rPr>
                <w:rFonts w:cs="Arial"/>
              </w:rPr>
              <w:lastRenderedPageBreak/>
              <w:t>subpopulations affected by several of these fires. The 1991 bushfire affected a small part of East Bluff and a significant part of Bluff Knoll, though the full impact of these fires and those in 1972 is unknown. In contrast, the impact of the 2000 prescribed burn on Stirling Range dryandra was closely monitored and resulted in 70% mortality in three subpopulations and 8% of the Pyungoorup population (Yates and Barrett, unpublished data, as cited in Gilfillan et al. 2008). Seedling recruitment following the 2000 prescribed fire was very low and considerably less than the number of plants killed by the fire. After the fire, the previous population of 137 adults and 38 juveniles was reduced to 51 adults, nine juveniles and 30 seedlings (Gilfillan et al.  2008). The negative impact of this burn was exacerbated by high levels of post-fire vertebrate browsing and grazing.</w:t>
            </w:r>
          </w:p>
          <w:p w14:paraId="6CC1E6DF" w14:textId="5E0D977B" w:rsidR="00FA65F9" w:rsidRPr="00151D51" w:rsidRDefault="00FA65F9" w:rsidP="00D72EE4">
            <w:pPr>
              <w:pStyle w:val="TableText"/>
            </w:pPr>
            <w:r w:rsidRPr="00151D51">
              <w:t xml:space="preserve">The May 2018 fire was the result of </w:t>
            </w:r>
            <w:r w:rsidR="00D539A0">
              <w:t xml:space="preserve">an </w:t>
            </w:r>
            <w:r w:rsidRPr="00151D51">
              <w:t xml:space="preserve">escaped prescribed burn in the area. Strong winds resulted in prescribed burns </w:t>
            </w:r>
            <w:r w:rsidR="00D539A0">
              <w:t xml:space="preserve">on </w:t>
            </w:r>
            <w:r w:rsidRPr="00151D51">
              <w:t>crown land growing out of control and becoming bushfires (BOM 2018</w:t>
            </w:r>
            <w:r w:rsidR="00076EFA">
              <w:t xml:space="preserve">; </w:t>
            </w:r>
            <w:r w:rsidR="00076EFA">
              <w:rPr>
                <w:rFonts w:cs="Arial"/>
              </w:rPr>
              <w:t>Office of Bushfire Risk Management 2018</w:t>
            </w:r>
            <w:r w:rsidRPr="00151D51">
              <w:t xml:space="preserve">). Post fire surveying suggested substantial population reduction in fire-affected Stirling Range dryandra subpopulations. Thirty-three of the 41 remaining extant mature plants were killed. However, seedling recruitment was relatively high. More than 1000 seedlings germinated compared to approximately 30 after the 2000 fire (DBCA 2021). </w:t>
            </w:r>
          </w:p>
          <w:p w14:paraId="65C2E462" w14:textId="77777777" w:rsidR="00FA65F9" w:rsidRPr="00151D51" w:rsidRDefault="00FA65F9" w:rsidP="00D72EE4">
            <w:pPr>
              <w:pStyle w:val="TableText"/>
            </w:pPr>
            <w:r w:rsidRPr="00151D51">
              <w:t xml:space="preserve">The impacts of the 2018 fire were compounded by a bushfire in December 2019, which killed all remaining mature individuals (S Barret 2020. pers comm 25 September), with the combination of the 2018 and 2019 bushfires burning 100% of known subpopulations and killing 100% of known mature individuals.  Some seedlings that germinated after the 2018 fire were also killed, though most mortality since 2018 is thought to have been due to drought conditions (S Barret 2020. pers comm 25 September).  The loss of all extant mature individuals in 2018-2019 increases the risk of extinction for the </w:t>
            </w:r>
            <w:r w:rsidRPr="00151D51">
              <w:rPr>
                <w:i/>
                <w:iCs/>
              </w:rPr>
              <w:t>Banksia montana</w:t>
            </w:r>
            <w:r w:rsidRPr="00151D51">
              <w:t xml:space="preserve"> Mealybug.</w:t>
            </w:r>
          </w:p>
          <w:p w14:paraId="00C068AF" w14:textId="77777777" w:rsidR="00FA65F9" w:rsidRPr="00151D51" w:rsidRDefault="00FA65F9" w:rsidP="00D72EE4">
            <w:pPr>
              <w:pStyle w:val="TableText"/>
            </w:pPr>
            <w:r w:rsidRPr="00151D51">
              <w:t>Fires also interact with disease and herbivores, which elevate risks of recruitment failure in the post-fire environment (Moore et al. 2015; Bond &amp; van Wilgen 1996) (see below).</w:t>
            </w:r>
          </w:p>
          <w:p w14:paraId="707CB652" w14:textId="77777777" w:rsidR="00FA65F9" w:rsidRPr="00151D51" w:rsidRDefault="00FA65F9" w:rsidP="00D72EE4">
            <w:pPr>
              <w:pStyle w:val="TableText"/>
              <w:rPr>
                <w:rFonts w:eastAsia="Calibri" w:cs="Arial"/>
                <w:szCs w:val="18"/>
              </w:rPr>
            </w:pPr>
            <w:r w:rsidRPr="00151D51">
              <w:rPr>
                <w:rFonts w:eastAsia="Calibri" w:cs="Arial"/>
                <w:szCs w:val="18"/>
              </w:rPr>
              <w:t xml:space="preserve">Overall, fire regimes that threaten Stirling Range dryandra involve a range of mechanisms, including high frequency fires and interactions between fire and drought, disease and herbivores. Prescribed burning is likely to increase the risks from all of these processes. Although not currently a threat, low frequency fire could be an issue in the </w:t>
            </w:r>
            <w:r w:rsidRPr="00151D51">
              <w:rPr>
                <w:rFonts w:eastAsia="Calibri" w:cs="Arial"/>
                <w:szCs w:val="18"/>
              </w:rPr>
              <w:lastRenderedPageBreak/>
              <w:t>unlikely event that the population remains unburnt for many decades.</w:t>
            </w:r>
          </w:p>
        </w:tc>
      </w:tr>
      <w:tr w:rsidR="00FA65F9" w:rsidRPr="003B76EB" w14:paraId="6BFC7B57" w14:textId="77777777" w:rsidTr="00D72EE4">
        <w:tc>
          <w:tcPr>
            <w:tcW w:w="2122" w:type="dxa"/>
          </w:tcPr>
          <w:p w14:paraId="61C960D6" w14:textId="77777777" w:rsidR="00FA65F9" w:rsidRPr="003B76EB" w:rsidRDefault="00FA65F9" w:rsidP="00D72EE4">
            <w:pPr>
              <w:pStyle w:val="TableText"/>
            </w:pPr>
            <w:r w:rsidRPr="003B76EB">
              <w:lastRenderedPageBreak/>
              <w:t>Disturbance by human recreation</w:t>
            </w:r>
          </w:p>
        </w:tc>
        <w:tc>
          <w:tcPr>
            <w:tcW w:w="3118" w:type="dxa"/>
          </w:tcPr>
          <w:p w14:paraId="0594CC56" w14:textId="77777777" w:rsidR="00FA65F9" w:rsidRPr="003B76EB" w:rsidRDefault="00FA65F9" w:rsidP="00D72EE4">
            <w:pPr>
              <w:pStyle w:val="TableBullet1"/>
            </w:pPr>
            <w:r w:rsidRPr="003B76EB">
              <w:t>Status: current</w:t>
            </w:r>
          </w:p>
          <w:p w14:paraId="386FA382" w14:textId="77777777" w:rsidR="00FA65F9" w:rsidRPr="003B76EB" w:rsidRDefault="00FA65F9" w:rsidP="00D72EE4">
            <w:pPr>
              <w:pStyle w:val="TableBullet1"/>
            </w:pPr>
            <w:r w:rsidRPr="003B76EB">
              <w:t>Confidence: suspected</w:t>
            </w:r>
          </w:p>
          <w:p w14:paraId="2DE088C5" w14:textId="77777777" w:rsidR="00FA65F9" w:rsidRPr="003B76EB" w:rsidRDefault="00FA65F9" w:rsidP="00D72EE4">
            <w:pPr>
              <w:pStyle w:val="TableBullet1"/>
            </w:pPr>
            <w:r w:rsidRPr="003B76EB">
              <w:t>Consequence: moderate</w:t>
            </w:r>
          </w:p>
          <w:p w14:paraId="19EBBF8A" w14:textId="77777777" w:rsidR="00FA65F9" w:rsidRPr="003B76EB" w:rsidRDefault="00FA65F9" w:rsidP="00D72EE4">
            <w:pPr>
              <w:pStyle w:val="TableBullet1"/>
            </w:pPr>
            <w:r w:rsidRPr="003B76EB">
              <w:t>Trend: unknown</w:t>
            </w:r>
          </w:p>
          <w:p w14:paraId="041FE009" w14:textId="77777777" w:rsidR="00FA65F9" w:rsidRPr="003B76EB" w:rsidRDefault="00FA65F9" w:rsidP="00D72EE4">
            <w:pPr>
              <w:pStyle w:val="TableBullet1"/>
            </w:pPr>
            <w:r w:rsidRPr="003B76EB">
              <w:t>Extent: across parts of the range</w:t>
            </w:r>
          </w:p>
        </w:tc>
        <w:tc>
          <w:tcPr>
            <w:tcW w:w="3776" w:type="dxa"/>
          </w:tcPr>
          <w:p w14:paraId="55E27702" w14:textId="77777777" w:rsidR="00FA65F9" w:rsidRPr="003B76EB" w:rsidRDefault="00FA65F9" w:rsidP="00D72EE4">
            <w:pPr>
              <w:pStyle w:val="TableText"/>
            </w:pPr>
            <w:r w:rsidRPr="22E3ABD1">
              <w:t>The higher peaks of the eastern Stirling Range attract visitors interested in bushwalking, nature observation and rock-climbing. Negative impacts of th</w:t>
            </w:r>
            <w:r>
              <w:t>ese</w:t>
            </w:r>
            <w:r w:rsidRPr="22E3ABD1">
              <w:t xml:space="preserve"> recreation activit</w:t>
            </w:r>
            <w:r>
              <w:t>ies</w:t>
            </w:r>
            <w:r w:rsidRPr="22E3ABD1">
              <w:t xml:space="preserve"> include habitat degradation through braiding of paths, erosion, bare ground occurrence, changes to soil nutrients and, most importantly, introduction and spread of </w:t>
            </w:r>
            <w:r w:rsidRPr="22E3ABD1">
              <w:rPr>
                <w:i/>
              </w:rPr>
              <w:t xml:space="preserve">P. cinnamomi </w:t>
            </w:r>
            <w:r w:rsidRPr="22E3ABD1">
              <w:t>(Barrett et al. 2000; DPAW 2016). Human activity is thought to have spread the pathogen through the transport of infected soil, mostly by foot access, as a result of recreational and other activities (Gillen &amp; Watson 1993; Wills 1993). Bluff Knoll is the most visited site, so has the highest levels of human disturbance.</w:t>
            </w:r>
          </w:p>
        </w:tc>
      </w:tr>
      <w:tr w:rsidR="00FA65F9" w:rsidRPr="003B76EB" w14:paraId="41D27F42" w14:textId="77777777" w:rsidTr="00D72EE4">
        <w:tc>
          <w:tcPr>
            <w:tcW w:w="9016" w:type="dxa"/>
            <w:gridSpan w:val="3"/>
          </w:tcPr>
          <w:p w14:paraId="50149CDC" w14:textId="77777777" w:rsidR="00FA65F9" w:rsidRPr="003B76EB" w:rsidRDefault="00FA65F9" w:rsidP="00D72EE4">
            <w:pPr>
              <w:pStyle w:val="TableText"/>
            </w:pPr>
            <w:r w:rsidRPr="003B76EB">
              <w:t>Disease</w:t>
            </w:r>
          </w:p>
        </w:tc>
      </w:tr>
      <w:tr w:rsidR="00FA65F9" w:rsidRPr="003B76EB" w14:paraId="60977AC1" w14:textId="77777777" w:rsidTr="00D72EE4">
        <w:tc>
          <w:tcPr>
            <w:tcW w:w="2122" w:type="dxa"/>
          </w:tcPr>
          <w:p w14:paraId="4368F0ED" w14:textId="77777777" w:rsidR="00FA65F9" w:rsidRPr="00EC27F0" w:rsidRDefault="00FA65F9" w:rsidP="00D72EE4">
            <w:pPr>
              <w:pStyle w:val="TableText"/>
            </w:pPr>
            <w:r w:rsidRPr="00EC27F0">
              <w:t xml:space="preserve">Dieback caused by </w:t>
            </w:r>
            <w:r w:rsidRPr="00EC27F0">
              <w:rPr>
                <w:i/>
              </w:rPr>
              <w:t>P</w:t>
            </w:r>
            <w:r>
              <w:rPr>
                <w:i/>
              </w:rPr>
              <w:t>.</w:t>
            </w:r>
            <w:r w:rsidRPr="00EC27F0">
              <w:rPr>
                <w:i/>
              </w:rPr>
              <w:t xml:space="preserve"> cinnamomi</w:t>
            </w:r>
          </w:p>
        </w:tc>
        <w:tc>
          <w:tcPr>
            <w:tcW w:w="3118" w:type="dxa"/>
          </w:tcPr>
          <w:p w14:paraId="2BEF87CB" w14:textId="77777777" w:rsidR="00FA65F9" w:rsidRPr="003B76EB" w:rsidRDefault="00FA65F9" w:rsidP="00D72EE4">
            <w:pPr>
              <w:pStyle w:val="TableBullet1"/>
            </w:pPr>
            <w:r w:rsidRPr="003B76EB">
              <w:t>Status: current</w:t>
            </w:r>
          </w:p>
          <w:p w14:paraId="1F394C77" w14:textId="77777777" w:rsidR="00FA65F9" w:rsidRPr="003B76EB" w:rsidRDefault="00FA65F9" w:rsidP="00D72EE4">
            <w:pPr>
              <w:pStyle w:val="TableBullet1"/>
            </w:pPr>
            <w:r w:rsidRPr="003B76EB">
              <w:t>Confidence: known</w:t>
            </w:r>
          </w:p>
          <w:p w14:paraId="74374346" w14:textId="77777777" w:rsidR="00FA65F9" w:rsidRPr="003B76EB" w:rsidRDefault="00FA65F9" w:rsidP="00D72EE4">
            <w:pPr>
              <w:pStyle w:val="TableBullet1"/>
            </w:pPr>
            <w:r w:rsidRPr="003B76EB">
              <w:t>Consequence: catastrophic</w:t>
            </w:r>
          </w:p>
          <w:p w14:paraId="071CD0AA" w14:textId="77777777" w:rsidR="00FA65F9" w:rsidRPr="003B76EB" w:rsidRDefault="00FA65F9" w:rsidP="00D72EE4">
            <w:pPr>
              <w:pStyle w:val="TableBullet1"/>
            </w:pPr>
            <w:r w:rsidRPr="003B76EB">
              <w:t>Trend: static</w:t>
            </w:r>
          </w:p>
          <w:p w14:paraId="777DC386" w14:textId="77777777" w:rsidR="00FA65F9" w:rsidRPr="003B76EB" w:rsidRDefault="00FA65F9" w:rsidP="00D72EE4">
            <w:pPr>
              <w:pStyle w:val="TableBullet1"/>
            </w:pPr>
            <w:r w:rsidRPr="003B76EB">
              <w:t>Extent: across the entire range</w:t>
            </w:r>
          </w:p>
        </w:tc>
        <w:tc>
          <w:tcPr>
            <w:tcW w:w="3776" w:type="dxa"/>
          </w:tcPr>
          <w:p w14:paraId="2EC2ED9B" w14:textId="77777777" w:rsidR="00FA65F9" w:rsidRPr="00151D51" w:rsidRDefault="00FA65F9" w:rsidP="00D72EE4">
            <w:pPr>
              <w:pStyle w:val="TableText"/>
            </w:pPr>
            <w:r w:rsidRPr="00151D51">
              <w:t>The Eastern Stirling Range Montane Heath and Thicket Community has been significantly affected by dieback caused by</w:t>
            </w:r>
            <w:r w:rsidRPr="00151D51">
              <w:rPr>
                <w:i/>
              </w:rPr>
              <w:t xml:space="preserve"> P. cinnamomi </w:t>
            </w:r>
            <w:r w:rsidRPr="00151D51">
              <w:t xml:space="preserve">since it was identified in the region in 1974. </w:t>
            </w:r>
            <w:r w:rsidRPr="00151D51">
              <w:rPr>
                <w:i/>
              </w:rPr>
              <w:t>Phytophthora cinnamomi</w:t>
            </w:r>
            <w:r w:rsidRPr="00151D51">
              <w:t xml:space="preserve"> is an introduced soil-borne plant pathogen that results in plant death through the destruction of root systems (DPAW 2014). ‘Dieback caused by the root-rot fungus </w:t>
            </w:r>
            <w:r w:rsidRPr="00151D51">
              <w:rPr>
                <w:i/>
              </w:rPr>
              <w:t>Phytophthora cinnamomi</w:t>
            </w:r>
            <w:r w:rsidRPr="00151D51">
              <w:t>’ is listed as a Key Threatening Process under the EPBC Act (DAWE 2018).</w:t>
            </w:r>
          </w:p>
          <w:p w14:paraId="07222BF4" w14:textId="09657D94" w:rsidR="00FA65F9" w:rsidRPr="00151D51" w:rsidRDefault="00FA65F9" w:rsidP="00D72EE4">
            <w:pPr>
              <w:pStyle w:val="TableText"/>
            </w:pPr>
            <w:r w:rsidRPr="00151D51">
              <w:t>Stirling Range dryandra is susceptible to dieback caused by</w:t>
            </w:r>
            <w:r w:rsidRPr="00151D51">
              <w:rPr>
                <w:i/>
              </w:rPr>
              <w:t xml:space="preserve"> P. cinnamomi</w:t>
            </w:r>
            <w:r w:rsidRPr="00151D51">
              <w:t xml:space="preserve"> (Barrett et al. 2008; Shearer et al. 2013), though disease susceptibility may vary between plants, with some individuals continuing to survive in a healthy state after in</w:t>
            </w:r>
            <w:r w:rsidR="00D539A0">
              <w:t>oculation by a standard method (Barrett et al. 2008)</w:t>
            </w:r>
            <w:r w:rsidRPr="00151D51">
              <w:t xml:space="preserve">. This contrasts with some other highly susceptible species that are uniformly susceptible (McCredie et al. 1985). </w:t>
            </w:r>
            <w:r w:rsidRPr="00151D51">
              <w:rPr>
                <w:i/>
              </w:rPr>
              <w:t xml:space="preserve">Phytophthora cinnamomi </w:t>
            </w:r>
            <w:r w:rsidRPr="00151D51">
              <w:t xml:space="preserve">has infested the Bluff Knoll, East Bluff and Pyungoorup subpopulations of Stirling Range dryandra. </w:t>
            </w:r>
            <w:r w:rsidR="00D0624D">
              <w:t>Most of t</w:t>
            </w:r>
            <w:r w:rsidRPr="00151D51">
              <w:t>he Isongerup population remains unaffected (Barrett &amp; Yates 2015). The disease has killed plants in the three affected subpopulations, though some healthy individuals persisted in infested vegetation (Barrett &amp; Yates 2015). At least one population has become locally extinct, presumably from dieback infestation, possibly in conjunction with fire (Gilfillan et al.  2008). Comparative photography shows that healthy stands in the 1960s and 1980s on the summit of Bluff Knoll had become rare. This is thought to be as a result of dieback. (DPAW 2016).</w:t>
            </w:r>
          </w:p>
          <w:p w14:paraId="44FCDE8C" w14:textId="77777777" w:rsidR="00FA65F9" w:rsidRPr="00151D51" w:rsidRDefault="00FA65F9" w:rsidP="00D72EE4">
            <w:pPr>
              <w:pStyle w:val="TableText"/>
            </w:pPr>
            <w:r w:rsidRPr="00151D51">
              <w:rPr>
                <w:i/>
              </w:rPr>
              <w:t>Phytophthora cinnamomi</w:t>
            </w:r>
            <w:r w:rsidRPr="00151D51">
              <w:t xml:space="preserve"> dieback may also interact with fire to increase the impact of the disease and accelerate collapse of obligate seeding plants such as Stirling Range dryandra (Moore et al. 2015). In areas where the pathogen is present, the densities of these plant species are highest in areas not affected by recent fires (Barrett &amp; Yates 2015). </w:t>
            </w:r>
            <w:r w:rsidRPr="00151D51">
              <w:lastRenderedPageBreak/>
              <w:t xml:space="preserve">Observations indicate that the impact of </w:t>
            </w:r>
            <w:r w:rsidRPr="00151D51">
              <w:rPr>
                <w:i/>
              </w:rPr>
              <w:t>P. cinnamomi</w:t>
            </w:r>
            <w:r w:rsidRPr="00151D51">
              <w:t xml:space="preserve"> may be exacerbated post-fire, due to altered hydrology and increased surface run-off (Barrett 1996), as well as increased root tissue vulnerability (B. Shearer, personal communication, cited in Gilfillan et al.  2008).</w:t>
            </w:r>
          </w:p>
          <w:p w14:paraId="1117FED2" w14:textId="66832D7D" w:rsidR="00FA65F9" w:rsidRPr="00151D51" w:rsidRDefault="00FA65F9" w:rsidP="00D72EE4">
            <w:pPr>
              <w:pStyle w:val="TableText"/>
            </w:pPr>
          </w:p>
        </w:tc>
      </w:tr>
      <w:tr w:rsidR="00FA65F9" w:rsidRPr="003B76EB" w14:paraId="61F836A4" w14:textId="77777777" w:rsidTr="00D72EE4">
        <w:tc>
          <w:tcPr>
            <w:tcW w:w="9016" w:type="dxa"/>
            <w:gridSpan w:val="3"/>
          </w:tcPr>
          <w:p w14:paraId="2E4D2E5B" w14:textId="77777777" w:rsidR="00FA65F9" w:rsidRPr="003B76EB" w:rsidRDefault="00FA65F9" w:rsidP="00D72EE4">
            <w:pPr>
              <w:pStyle w:val="TableText"/>
            </w:pPr>
            <w:r w:rsidRPr="003B76EB">
              <w:lastRenderedPageBreak/>
              <w:t>Invasive and native species</w:t>
            </w:r>
          </w:p>
        </w:tc>
      </w:tr>
      <w:tr w:rsidR="00FA65F9" w:rsidRPr="003B76EB" w14:paraId="130A9D18" w14:textId="77777777" w:rsidTr="00D72EE4">
        <w:tc>
          <w:tcPr>
            <w:tcW w:w="2122" w:type="dxa"/>
          </w:tcPr>
          <w:p w14:paraId="0A552CC4" w14:textId="77777777" w:rsidR="00FA65F9" w:rsidRPr="003B76EB" w:rsidRDefault="00FA65F9" w:rsidP="00D72EE4">
            <w:pPr>
              <w:pStyle w:val="TableText"/>
            </w:pPr>
            <w:r w:rsidRPr="003B76EB">
              <w:t>Grazing</w:t>
            </w:r>
            <w:r>
              <w:t xml:space="preserve"> by invasive and native species</w:t>
            </w:r>
          </w:p>
        </w:tc>
        <w:tc>
          <w:tcPr>
            <w:tcW w:w="3118" w:type="dxa"/>
          </w:tcPr>
          <w:p w14:paraId="00A2FFFF" w14:textId="77777777" w:rsidR="00FA65F9" w:rsidRPr="003B76EB" w:rsidRDefault="00FA65F9" w:rsidP="00D72EE4">
            <w:pPr>
              <w:pStyle w:val="TableBullet1"/>
            </w:pPr>
            <w:r w:rsidRPr="003B76EB">
              <w:t>Status: current</w:t>
            </w:r>
          </w:p>
          <w:p w14:paraId="0843943C" w14:textId="77777777" w:rsidR="00FA65F9" w:rsidRPr="003B76EB" w:rsidRDefault="00FA65F9" w:rsidP="00D72EE4">
            <w:pPr>
              <w:pStyle w:val="TableBullet1"/>
            </w:pPr>
            <w:r w:rsidRPr="003B76EB">
              <w:t>Confidence: known</w:t>
            </w:r>
          </w:p>
          <w:p w14:paraId="239A76ED" w14:textId="77777777" w:rsidR="00FA65F9" w:rsidRPr="003B76EB" w:rsidRDefault="00FA65F9" w:rsidP="00D72EE4">
            <w:pPr>
              <w:pStyle w:val="TableBullet1"/>
            </w:pPr>
            <w:r w:rsidRPr="003B76EB">
              <w:t>Consequence: major</w:t>
            </w:r>
          </w:p>
          <w:p w14:paraId="77D118C1" w14:textId="77777777" w:rsidR="00FA65F9" w:rsidRPr="003B76EB" w:rsidRDefault="00FA65F9" w:rsidP="00D72EE4">
            <w:pPr>
              <w:pStyle w:val="TableBullet1"/>
            </w:pPr>
            <w:r w:rsidRPr="003B76EB">
              <w:t>Trend: decreasing</w:t>
            </w:r>
          </w:p>
          <w:p w14:paraId="2BAFA494" w14:textId="77777777" w:rsidR="00FA65F9" w:rsidRPr="003B76EB" w:rsidRDefault="00FA65F9" w:rsidP="00D72EE4">
            <w:pPr>
              <w:pStyle w:val="TableBullet1"/>
            </w:pPr>
            <w:r w:rsidRPr="003B76EB">
              <w:t>Extent: across the entire range</w:t>
            </w:r>
          </w:p>
        </w:tc>
        <w:tc>
          <w:tcPr>
            <w:tcW w:w="3776" w:type="dxa"/>
          </w:tcPr>
          <w:p w14:paraId="0C4998C3" w14:textId="77777777" w:rsidR="00FA65F9" w:rsidRPr="003B76EB" w:rsidRDefault="00FA65F9" w:rsidP="00D72EE4">
            <w:pPr>
              <w:pStyle w:val="TableText"/>
            </w:pPr>
            <w:r w:rsidRPr="22E3ABD1">
              <w:t xml:space="preserve">Montane ecosystems are vulnerable to the removal of vegetation by native and feral fauna (Leigh et al. 1987; Bridle &amp; Kirkpatrick 1999; Bridle et al. 2001; DPAW 2016). Surveys since 1994 have confirmed the presence of European </w:t>
            </w:r>
            <w:r>
              <w:t>r</w:t>
            </w:r>
            <w:r w:rsidRPr="22E3ABD1">
              <w:t>abbits (</w:t>
            </w:r>
            <w:r w:rsidRPr="22E3ABD1">
              <w:rPr>
                <w:i/>
              </w:rPr>
              <w:t>Oryctolagus cuniculus</w:t>
            </w:r>
            <w:r w:rsidRPr="22E3ABD1">
              <w:t>) and</w:t>
            </w:r>
            <w:r>
              <w:t xml:space="preserve"> the quokka (</w:t>
            </w:r>
            <w:r w:rsidRPr="22E3ABD1">
              <w:rPr>
                <w:i/>
              </w:rPr>
              <w:t>Setonix brachyurus</w:t>
            </w:r>
            <w:r>
              <w:t>)</w:t>
            </w:r>
            <w:r w:rsidRPr="22E3ABD1">
              <w:t xml:space="preserve"> within the range of </w:t>
            </w:r>
            <w:r>
              <w:t>Stirling Range dryandra</w:t>
            </w:r>
            <w:r w:rsidRPr="22E3ABD1">
              <w:t xml:space="preserve"> (Barrett 1996). Since the 2000 bushfire, the impacts of browsing by vertebrate fauna have become increasingly apparent, especially on seedling and juvenile plants (DPAW 2016). Subsequent management solutions include European </w:t>
            </w:r>
            <w:r>
              <w:t>r</w:t>
            </w:r>
            <w:r w:rsidRPr="22E3ABD1">
              <w:t>abbit control using</w:t>
            </w:r>
            <w:r>
              <w:t xml:space="preserve"> oats containing the poison</w:t>
            </w:r>
            <w:r w:rsidRPr="22E3ABD1">
              <w:t xml:space="preserve"> 1080, as well as fencing and caging of all </w:t>
            </w:r>
            <w:r>
              <w:t>Stirling Range dryandra</w:t>
            </w:r>
            <w:r w:rsidRPr="22E3ABD1">
              <w:t xml:space="preserve"> plants to protect against herbivory (DPAW 2016). More recently, Calicivirus RHDV1-K5 has been released at three subpopulations (S Barret 2021. pers comm 3 May).</w:t>
            </w:r>
          </w:p>
          <w:p w14:paraId="7E761FE4" w14:textId="0B420371" w:rsidR="00FA65F9" w:rsidRDefault="00FA65F9" w:rsidP="00D72EE4">
            <w:pPr>
              <w:pStyle w:val="TableText"/>
            </w:pPr>
            <w:r w:rsidRPr="003B76EB">
              <w:t xml:space="preserve">Between 2011 and 2015, motion sensing cameras were installed to identify the vertebrates most responsible for native vegetation browsing. Quokkas were responsible for 75 percent of recorded herbivory events (Rathbone &amp; Barrett 2017). This evidence, combined with dietary analysis, implicates Quokkas as the species most responsible for vegetation </w:t>
            </w:r>
            <w:r>
              <w:t>loss</w:t>
            </w:r>
            <w:r w:rsidRPr="003B76EB">
              <w:t xml:space="preserve"> through </w:t>
            </w:r>
            <w:r>
              <w:t>grazing</w:t>
            </w:r>
            <w:r w:rsidRPr="003B76EB">
              <w:t>.</w:t>
            </w:r>
          </w:p>
          <w:p w14:paraId="14B270BB" w14:textId="77777777" w:rsidR="00FA65F9" w:rsidRPr="003B76EB" w:rsidRDefault="00FA65F9" w:rsidP="00D72EE4">
            <w:pPr>
              <w:pStyle w:val="TableText"/>
            </w:pPr>
            <w:r>
              <w:t>Stirling Range dryandra</w:t>
            </w:r>
            <w:r w:rsidRPr="003B76EB">
              <w:t xml:space="preserve"> is particularly vulnerable to grazing after fires, especially given its slow</w:t>
            </w:r>
            <w:r>
              <w:t xml:space="preserve"> post-fire</w:t>
            </w:r>
            <w:r w:rsidRPr="003B76EB">
              <w:t xml:space="preserve"> recovery. </w:t>
            </w:r>
            <w:r>
              <w:t>Forty</w:t>
            </w:r>
            <w:r w:rsidRPr="003B76EB">
              <w:t xml:space="preserve"> percent of seedlings that emerged following the 2000 fire were heavily grazed by either European </w:t>
            </w:r>
            <w:r>
              <w:t>r</w:t>
            </w:r>
            <w:r w:rsidRPr="003B76EB">
              <w:t>abbits or Quokkas, though all seedlings were subsequently protected from further grazing with cages (</w:t>
            </w:r>
            <w:r>
              <w:t xml:space="preserve">Gilfillan et al. </w:t>
            </w:r>
            <w:r w:rsidRPr="003B76EB">
              <w:t xml:space="preserve"> 2008). Juvenile plants that successfully regenerated after the fires were also partially to completely defoliated. After the 2018 and 2019 fires, 99 percent of seedlings and juveniles have been fenced to protect against grazing (S Barrett 2021, pers comm 3 May).</w:t>
            </w:r>
          </w:p>
          <w:p w14:paraId="1C9B7600" w14:textId="4F30F91F" w:rsidR="00FA65F9" w:rsidRPr="003B76EB" w:rsidRDefault="00FA65F9" w:rsidP="00D72EE4">
            <w:pPr>
              <w:pStyle w:val="TableText"/>
            </w:pPr>
            <w:r w:rsidRPr="003B76EB">
              <w:t xml:space="preserve">Invertebrate </w:t>
            </w:r>
            <w:r>
              <w:t xml:space="preserve">damage </w:t>
            </w:r>
            <w:r w:rsidRPr="003B76EB">
              <w:t>has been observed on the foliage of in situ plants, but more so on plants in the</w:t>
            </w:r>
            <w:r>
              <w:t xml:space="preserve"> ex situ</w:t>
            </w:r>
            <w:r w:rsidRPr="003B76EB">
              <w:t xml:space="preserve"> seed orchard</w:t>
            </w:r>
            <w:r>
              <w:t>s</w:t>
            </w:r>
            <w:r w:rsidRPr="003B76EB">
              <w:t xml:space="preserve">. where fruit predation has also been high (S. Barrett, </w:t>
            </w:r>
            <w:r>
              <w:t>pers</w:t>
            </w:r>
            <w:r w:rsidRPr="003B76EB">
              <w:t xml:space="preserve"> </w:t>
            </w:r>
            <w:r>
              <w:t>obs</w:t>
            </w:r>
            <w:r w:rsidRPr="003B76EB">
              <w:t xml:space="preserve">, cited in </w:t>
            </w:r>
            <w:r>
              <w:t xml:space="preserve">Gilfillan et al. </w:t>
            </w:r>
            <w:r w:rsidRPr="003B76EB">
              <w:t xml:space="preserve"> 2008). Considering the low number of individuals of </w:t>
            </w:r>
            <w:r>
              <w:t>Stirling Range dryandra</w:t>
            </w:r>
            <w:r w:rsidRPr="003B76EB">
              <w:t xml:space="preserve">, this </w:t>
            </w:r>
            <w:r w:rsidR="00D0624D">
              <w:t>grazing</w:t>
            </w:r>
            <w:r w:rsidRPr="003B76EB">
              <w:t xml:space="preserve"> pressure may impact on subpopulations if it reduces the vigour of plants</w:t>
            </w:r>
            <w:r w:rsidR="00D0624D">
              <w:t xml:space="preserve">, though there has been no substantial impact on in situ </w:t>
            </w:r>
            <w:r w:rsidR="00B762FB">
              <w:t>individuals.</w:t>
            </w:r>
            <w:r w:rsidRPr="003B76EB">
              <w:t xml:space="preserve"> </w:t>
            </w:r>
          </w:p>
        </w:tc>
      </w:tr>
      <w:tr w:rsidR="00FA65F9" w:rsidRPr="003B76EB" w14:paraId="472FF4B7" w14:textId="77777777" w:rsidTr="00D72EE4">
        <w:tc>
          <w:tcPr>
            <w:tcW w:w="9016" w:type="dxa"/>
            <w:gridSpan w:val="3"/>
          </w:tcPr>
          <w:p w14:paraId="193952F3" w14:textId="77777777" w:rsidR="00FA65F9" w:rsidRPr="003B76EB" w:rsidRDefault="00FA65F9" w:rsidP="00D72EE4">
            <w:pPr>
              <w:pStyle w:val="TableText"/>
            </w:pPr>
            <w:r w:rsidRPr="003B76EB">
              <w:lastRenderedPageBreak/>
              <w:t xml:space="preserve">Climate Change </w:t>
            </w:r>
          </w:p>
        </w:tc>
      </w:tr>
      <w:tr w:rsidR="00FA65F9" w14:paraId="7AC13D27" w14:textId="77777777" w:rsidTr="00D72EE4">
        <w:tc>
          <w:tcPr>
            <w:tcW w:w="2122" w:type="dxa"/>
          </w:tcPr>
          <w:p w14:paraId="15CBF26A" w14:textId="77777777" w:rsidR="00FA65F9" w:rsidRPr="003B76EB" w:rsidRDefault="00FA65F9" w:rsidP="00D72EE4">
            <w:pPr>
              <w:pStyle w:val="TableText"/>
            </w:pPr>
            <w:r w:rsidRPr="003B76EB">
              <w:t>Increased temperatures and</w:t>
            </w:r>
            <w:r>
              <w:t xml:space="preserve"> reduced precipitation</w:t>
            </w:r>
          </w:p>
        </w:tc>
        <w:tc>
          <w:tcPr>
            <w:tcW w:w="3118" w:type="dxa"/>
          </w:tcPr>
          <w:p w14:paraId="4C1F8F7E" w14:textId="77777777" w:rsidR="00FA65F9" w:rsidRPr="003B76EB" w:rsidRDefault="00FA65F9" w:rsidP="00D72EE4">
            <w:pPr>
              <w:pStyle w:val="TableBullet1"/>
            </w:pPr>
            <w:r w:rsidRPr="003B76EB">
              <w:t>Status: current</w:t>
            </w:r>
          </w:p>
          <w:p w14:paraId="71D0BD72" w14:textId="77777777" w:rsidR="00FA65F9" w:rsidRPr="003B76EB" w:rsidRDefault="00FA65F9" w:rsidP="00D72EE4">
            <w:pPr>
              <w:pStyle w:val="TableBullet1"/>
            </w:pPr>
            <w:r w:rsidRPr="003B76EB">
              <w:t>Confidence: known</w:t>
            </w:r>
          </w:p>
          <w:p w14:paraId="7000B519" w14:textId="77777777" w:rsidR="00FA65F9" w:rsidRPr="003B76EB" w:rsidRDefault="00FA65F9" w:rsidP="00D72EE4">
            <w:pPr>
              <w:pStyle w:val="TableBullet1"/>
            </w:pPr>
            <w:r w:rsidRPr="003B76EB">
              <w:t>Consequence: catastrophic</w:t>
            </w:r>
          </w:p>
          <w:p w14:paraId="6630757E" w14:textId="77777777" w:rsidR="00FA65F9" w:rsidRPr="003B76EB" w:rsidRDefault="00FA65F9" w:rsidP="00D72EE4">
            <w:pPr>
              <w:pStyle w:val="TableBullet1"/>
            </w:pPr>
            <w:r w:rsidRPr="003B76EB">
              <w:t>Trend: increasing</w:t>
            </w:r>
          </w:p>
          <w:p w14:paraId="6C1854E3" w14:textId="77777777" w:rsidR="00FA65F9" w:rsidRPr="003B76EB" w:rsidRDefault="00FA65F9" w:rsidP="00D72EE4">
            <w:pPr>
              <w:pStyle w:val="TableBullet1"/>
            </w:pPr>
            <w:r w:rsidRPr="003B76EB">
              <w:t>Extent: across the entire range</w:t>
            </w:r>
          </w:p>
        </w:tc>
        <w:tc>
          <w:tcPr>
            <w:tcW w:w="3776" w:type="dxa"/>
          </w:tcPr>
          <w:p w14:paraId="7C7D7ACD" w14:textId="6086A720" w:rsidR="00FA65F9" w:rsidRPr="00151D51" w:rsidRDefault="00FA65F9" w:rsidP="00D72EE4">
            <w:pPr>
              <w:pStyle w:val="TableText"/>
            </w:pPr>
            <w:r w:rsidRPr="00151D51">
              <w:t xml:space="preserve">The </w:t>
            </w:r>
            <w:r w:rsidRPr="00151D51">
              <w:fldChar w:fldCharType="begin"/>
            </w:r>
            <w:r w:rsidRPr="00151D51">
              <w:instrText xml:space="preserve"> ADDIN EN.CITE &lt;EndNote&gt;&lt;Cite AuthorYear="1"&gt;&lt;Author&gt;CSIRO&lt;/Author&gt;&lt;Year&gt;2015&lt;/Year&gt;&lt;RecNum&gt;55&lt;/RecNum&gt;&lt;DisplayText&gt;CSIRO &amp;amp; Bureau of Meteorology (2015)&lt;/DisplayText&gt;&lt;record&gt;&lt;rec-number&gt;55&lt;/rec-number&gt;&lt;foreign-keys&gt;&lt;key app="EN" db-id="vfr2adpp2rx2fhe5rza5wvpgsv2sx0fv52pv" timestamp="1600834539"&gt;55&lt;/key&gt;&lt;/foreign-keys&gt;&lt;ref-type name="Government Document"&gt;46&lt;/ref-type&gt;&lt;contributors&gt;&lt;authors&gt;&lt;author&gt;CSIRO, &lt;/author&gt;&lt;author&gt;Bureau of Meteorology,&lt;/author&gt;&lt;/authors&gt;&lt;secondary-authors&gt;&lt;author&gt;CSIRO and Bureau of Meteorology&lt;/author&gt;&lt;/secondary-authors&gt;&lt;/contributors&gt;&lt;titles&gt;&lt;title&gt;Climate change in Australia information for Australia’s natural resource management regions: technical report&lt;/title&gt;&lt;/titles&gt;&lt;dates&gt;&lt;year&gt;2015&lt;/year&gt;&lt;/dates&gt;&lt;pub-location&gt;Australia&lt;/pub-location&gt;&lt;label&gt;Threats - fire&lt;/label&gt;&lt;urls&gt;&lt;/urls&gt;&lt;/record&gt;&lt;/Cite&gt;&lt;/EndNote&gt;</w:instrText>
            </w:r>
            <w:r w:rsidRPr="00151D51">
              <w:fldChar w:fldCharType="separate"/>
            </w:r>
            <w:r w:rsidRPr="00151D51">
              <w:rPr>
                <w:noProof/>
              </w:rPr>
              <w:t>CSIRO &amp; Bureau of Meteorology (2015)</w:t>
            </w:r>
            <w:r w:rsidRPr="00151D51">
              <w:fldChar w:fldCharType="end"/>
            </w:r>
            <w:r w:rsidRPr="00151D51">
              <w:t xml:space="preserve"> predict south-west Western Australia will experience decreased precipitation and increased average temperatures, as well as greater frequency of droughts. This may cause substantial changes to the unique climate in which the Stirling Range </w:t>
            </w:r>
            <w:r w:rsidR="00835190">
              <w:t>Dryandra</w:t>
            </w:r>
            <w:r w:rsidRPr="00151D51">
              <w:t xml:space="preserve"> occurs (Monks et al. 2019). The interaction between fire and drought are particularly problematic for obligate seeders, as they rely on fire for recruitment, yet seedlings have poorly established root systems and are vulnerable to post- fire drought (Burgman &amp; Lamont 1992). </w:t>
            </w:r>
          </w:p>
          <w:p w14:paraId="74DD11DD" w14:textId="77777777" w:rsidR="00FA65F9" w:rsidRPr="00151D51" w:rsidRDefault="00FA65F9" w:rsidP="00D72EE4">
            <w:pPr>
              <w:pStyle w:val="TableText"/>
            </w:pPr>
            <w:r w:rsidRPr="00151D51">
              <w:t>Precipitation on the mountains of the eastern Stirling Range may be up to double that on the surrounding plains, and the peaks can have temperatures approximately five degrees less than the surrounding plains (Gilfillan et al. 2008). The onset of drier conditions in the Holocene may already have caused the contraction of some species to upland slopes and gullies. The drier, hotter conditions projected under climate change could accelerate this process, significantly reducing the area of habitat suitable for Stirling Range dryandra (Monks et al. 2019). However, the species can grow in lowland conditions when provided sufficient water and nutrients, as evidenced by growth and propagation in ex situ seed orchards. Further research is required to appropriately determine the impact of drier, hotter conditions on the species.</w:t>
            </w:r>
          </w:p>
          <w:p w14:paraId="6003542D" w14:textId="77777777" w:rsidR="00FA65F9" w:rsidRPr="00151D51" w:rsidRDefault="00FA65F9" w:rsidP="00D72EE4">
            <w:pPr>
              <w:pStyle w:val="TableText"/>
            </w:pPr>
            <w:r w:rsidRPr="00151D51">
              <w:t>Projections of higher temperatures, more frequent droughts and reduced mean precipitation for south-west Western Australia due to climate change suggest that the frequency, intensity and scale of bushfires in the region will increase (CSIRO &amp; Bureau of Meteorology 2015). Therefore, the incidence of fire intervals shorter than the 18-year seed development threshold for this species is likely to rise (Barrett and Yates 2015).</w:t>
            </w:r>
          </w:p>
        </w:tc>
      </w:tr>
    </w:tbl>
    <w:p w14:paraId="6253F634" w14:textId="77777777" w:rsidR="00FA65F9" w:rsidRDefault="00FA65F9" w:rsidP="00FA65F9"/>
    <w:p w14:paraId="4A191E9A" w14:textId="77777777" w:rsidR="00FA65F9" w:rsidRDefault="00FA65F9" w:rsidP="00FA65F9"/>
    <w:p w14:paraId="40B7E17F" w14:textId="77777777" w:rsidR="00FA65F9" w:rsidRDefault="00FA65F9" w:rsidP="00FA65F9">
      <w:pPr>
        <w:spacing w:after="160" w:line="259" w:lineRule="auto"/>
        <w:rPr>
          <w:b/>
          <w:bCs/>
        </w:rPr>
      </w:pPr>
      <w:r>
        <w:rPr>
          <w:b/>
          <w:bCs/>
        </w:rPr>
        <w:br w:type="page"/>
      </w:r>
    </w:p>
    <w:p w14:paraId="6952A006" w14:textId="77777777" w:rsidR="00FA65F9" w:rsidRPr="00730D37" w:rsidRDefault="00FA65F9" w:rsidP="00FA65F9"/>
    <w:p w14:paraId="21D1ECAF" w14:textId="77777777" w:rsidR="00FA65F9" w:rsidRDefault="00FA65F9" w:rsidP="00FA65F9">
      <w:bookmarkStart w:id="8" w:name="_Toc430782162"/>
      <w:bookmarkStart w:id="9" w:name="_Toc511376531"/>
      <w:r>
        <w:t>Each threat has been described in Table 2 in terms of the extent that it is operating on the species. The risk matrix (Table 3) provides a visual depiction of the level of risk being imposed by a threat and supports the prioritisation of subsequent management and conservation actions. In preparing a risk matrix, several factors have been taken into consideration, they are the life stage they affect; the duration of the impact; and the efficacy of current management regimes, assuming that management will continue to be applied appropriately. The risk matrix and ranking of threats has been de</w:t>
      </w:r>
      <w:r w:rsidRPr="001A134C">
        <w:t xml:space="preserve">veloped in consultation with </w:t>
      </w:r>
      <w:r>
        <w:t>experts and</w:t>
      </w:r>
      <w:r w:rsidRPr="001A134C">
        <w:t xml:space="preserve"> using available literature.</w:t>
      </w:r>
    </w:p>
    <w:p w14:paraId="0D71BBA3" w14:textId="77777777" w:rsidR="00FA65F9" w:rsidRPr="001A3C77" w:rsidRDefault="00FA65F9" w:rsidP="00FA65F9">
      <w:pPr>
        <w:pStyle w:val="Caption"/>
        <w:spacing w:line="276" w:lineRule="auto"/>
      </w:pPr>
      <w:bookmarkStart w:id="10" w:name="_Ref43127879"/>
      <w:r>
        <w:t xml:space="preserve">Table </w:t>
      </w:r>
      <w:bookmarkEnd w:id="10"/>
      <w:r>
        <w:rPr>
          <w:noProof/>
        </w:rPr>
        <w:t>3</w:t>
      </w:r>
      <w:r>
        <w:t xml:space="preserve"> Stirling Range dryandra 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FA65F9" w14:paraId="091C6325" w14:textId="77777777" w:rsidTr="00D72EE4">
        <w:trPr>
          <w:cantSplit/>
          <w:tblHeader/>
        </w:trPr>
        <w:tc>
          <w:tcPr>
            <w:tcW w:w="1510" w:type="dxa"/>
            <w:vMerge w:val="restart"/>
          </w:tcPr>
          <w:p w14:paraId="5F380952" w14:textId="77777777" w:rsidR="00FA65F9" w:rsidRDefault="00FA65F9" w:rsidP="00D72EE4">
            <w:pPr>
              <w:pStyle w:val="TableHeading"/>
              <w:spacing w:line="276" w:lineRule="auto"/>
            </w:pPr>
            <w:r>
              <w:t>Likelihood</w:t>
            </w:r>
          </w:p>
        </w:tc>
        <w:tc>
          <w:tcPr>
            <w:tcW w:w="7550" w:type="dxa"/>
            <w:gridSpan w:val="5"/>
          </w:tcPr>
          <w:p w14:paraId="03CA75F8" w14:textId="77777777" w:rsidR="00FA65F9" w:rsidRDefault="00FA65F9" w:rsidP="00D72EE4">
            <w:pPr>
              <w:pStyle w:val="TableHeading"/>
              <w:spacing w:line="276" w:lineRule="auto"/>
            </w:pPr>
            <w:r>
              <w:t>Consequences</w:t>
            </w:r>
          </w:p>
        </w:tc>
      </w:tr>
      <w:tr w:rsidR="00FA65F9" w14:paraId="682F31B1" w14:textId="77777777" w:rsidTr="00D72EE4">
        <w:trPr>
          <w:cantSplit/>
          <w:tblHeader/>
        </w:trPr>
        <w:tc>
          <w:tcPr>
            <w:tcW w:w="1510" w:type="dxa"/>
            <w:vMerge/>
          </w:tcPr>
          <w:p w14:paraId="211430D3" w14:textId="77777777" w:rsidR="00FA65F9" w:rsidRDefault="00FA65F9" w:rsidP="00D72EE4">
            <w:pPr>
              <w:pStyle w:val="TableHeading"/>
              <w:spacing w:line="276" w:lineRule="auto"/>
            </w:pPr>
          </w:p>
        </w:tc>
        <w:tc>
          <w:tcPr>
            <w:tcW w:w="1510" w:type="dxa"/>
          </w:tcPr>
          <w:p w14:paraId="1EA1D2D7" w14:textId="77777777" w:rsidR="00FA65F9" w:rsidRDefault="00FA65F9" w:rsidP="00D72EE4">
            <w:pPr>
              <w:pStyle w:val="TableHeading"/>
              <w:spacing w:line="276" w:lineRule="auto"/>
            </w:pPr>
            <w:r>
              <w:t>Not significant</w:t>
            </w:r>
          </w:p>
        </w:tc>
        <w:tc>
          <w:tcPr>
            <w:tcW w:w="1510" w:type="dxa"/>
          </w:tcPr>
          <w:p w14:paraId="412240D2" w14:textId="77777777" w:rsidR="00FA65F9" w:rsidRDefault="00FA65F9" w:rsidP="00D72EE4">
            <w:pPr>
              <w:pStyle w:val="TableHeading"/>
              <w:spacing w:line="276" w:lineRule="auto"/>
            </w:pPr>
            <w:r>
              <w:t>Minor</w:t>
            </w:r>
          </w:p>
        </w:tc>
        <w:tc>
          <w:tcPr>
            <w:tcW w:w="1510" w:type="dxa"/>
          </w:tcPr>
          <w:p w14:paraId="5A1D9367" w14:textId="77777777" w:rsidR="00FA65F9" w:rsidRDefault="00FA65F9" w:rsidP="00D72EE4">
            <w:pPr>
              <w:pStyle w:val="TableHeading"/>
              <w:spacing w:line="276" w:lineRule="auto"/>
            </w:pPr>
            <w:r>
              <w:t>Moderate</w:t>
            </w:r>
          </w:p>
        </w:tc>
        <w:tc>
          <w:tcPr>
            <w:tcW w:w="1510" w:type="dxa"/>
          </w:tcPr>
          <w:p w14:paraId="3BACAB76" w14:textId="77777777" w:rsidR="00FA65F9" w:rsidRDefault="00FA65F9" w:rsidP="00D72EE4">
            <w:pPr>
              <w:pStyle w:val="TableHeading"/>
              <w:spacing w:line="276" w:lineRule="auto"/>
            </w:pPr>
            <w:r>
              <w:t>Major</w:t>
            </w:r>
          </w:p>
        </w:tc>
        <w:tc>
          <w:tcPr>
            <w:tcW w:w="1510" w:type="dxa"/>
          </w:tcPr>
          <w:p w14:paraId="6A3AADEC" w14:textId="77777777" w:rsidR="00FA65F9" w:rsidRDefault="00FA65F9" w:rsidP="00D72EE4">
            <w:pPr>
              <w:pStyle w:val="TableHeading"/>
              <w:spacing w:line="276" w:lineRule="auto"/>
            </w:pPr>
            <w:r>
              <w:t>Catastrophic</w:t>
            </w:r>
          </w:p>
        </w:tc>
      </w:tr>
      <w:tr w:rsidR="00FA65F9" w14:paraId="20675BC5" w14:textId="77777777" w:rsidTr="00D72EE4">
        <w:tc>
          <w:tcPr>
            <w:tcW w:w="1510" w:type="dxa"/>
          </w:tcPr>
          <w:p w14:paraId="75922FE9" w14:textId="77777777" w:rsidR="00FA65F9" w:rsidRPr="00774EAA" w:rsidRDefault="00FA65F9" w:rsidP="00D72EE4">
            <w:pPr>
              <w:pStyle w:val="TableText"/>
              <w:spacing w:line="276" w:lineRule="auto"/>
              <w:rPr>
                <w:rStyle w:val="Strong"/>
              </w:rPr>
            </w:pPr>
            <w:r w:rsidRPr="00774EAA">
              <w:rPr>
                <w:rStyle w:val="Strong"/>
              </w:rPr>
              <w:t>Almost certain</w:t>
            </w:r>
          </w:p>
        </w:tc>
        <w:tc>
          <w:tcPr>
            <w:tcW w:w="1510" w:type="dxa"/>
            <w:shd w:val="clear" w:color="auto" w:fill="C5E0B3" w:themeFill="accent6" w:themeFillTint="66"/>
          </w:tcPr>
          <w:p w14:paraId="0444EAF8" w14:textId="77777777" w:rsidR="00FA65F9" w:rsidRDefault="00FA65F9" w:rsidP="00D72EE4">
            <w:pPr>
              <w:pStyle w:val="TableText"/>
              <w:spacing w:line="276" w:lineRule="auto"/>
            </w:pPr>
            <w:r>
              <w:t>Low risk</w:t>
            </w:r>
          </w:p>
        </w:tc>
        <w:tc>
          <w:tcPr>
            <w:tcW w:w="1510" w:type="dxa"/>
            <w:shd w:val="clear" w:color="auto" w:fill="8EAADB" w:themeFill="accent1" w:themeFillTint="99"/>
          </w:tcPr>
          <w:p w14:paraId="62F6E02B" w14:textId="77777777" w:rsidR="00FA65F9" w:rsidRDefault="00FA65F9" w:rsidP="00D72EE4">
            <w:pPr>
              <w:pStyle w:val="TableText"/>
              <w:spacing w:line="276" w:lineRule="auto"/>
            </w:pPr>
            <w:r>
              <w:t>Moderate risk</w:t>
            </w:r>
          </w:p>
        </w:tc>
        <w:tc>
          <w:tcPr>
            <w:tcW w:w="1510" w:type="dxa"/>
            <w:shd w:val="clear" w:color="auto" w:fill="D99594"/>
          </w:tcPr>
          <w:p w14:paraId="3402B4AD" w14:textId="77777777" w:rsidR="00FA65F9" w:rsidRDefault="00FA65F9" w:rsidP="00D72EE4">
            <w:pPr>
              <w:pStyle w:val="TableText"/>
              <w:spacing w:line="276" w:lineRule="auto"/>
            </w:pPr>
            <w:r>
              <w:t>Very high risk</w:t>
            </w:r>
          </w:p>
          <w:p w14:paraId="66DA2FA1" w14:textId="77777777" w:rsidR="00FA65F9" w:rsidRPr="001A134C" w:rsidRDefault="00FA65F9" w:rsidP="00D72EE4">
            <w:pPr>
              <w:pStyle w:val="TableText"/>
              <w:spacing w:line="276" w:lineRule="auto"/>
              <w:rPr>
                <w:b/>
                <w:bCs/>
              </w:rPr>
            </w:pPr>
          </w:p>
        </w:tc>
        <w:tc>
          <w:tcPr>
            <w:tcW w:w="1510" w:type="dxa"/>
            <w:shd w:val="clear" w:color="auto" w:fill="D99594"/>
          </w:tcPr>
          <w:p w14:paraId="5B622B13" w14:textId="77777777" w:rsidR="00FA65F9" w:rsidRDefault="00FA65F9" w:rsidP="00D72EE4">
            <w:pPr>
              <w:pStyle w:val="TableText"/>
              <w:spacing w:line="276" w:lineRule="auto"/>
            </w:pPr>
            <w:r>
              <w:t>Very high risk</w:t>
            </w:r>
          </w:p>
          <w:p w14:paraId="601B4DD8" w14:textId="77777777" w:rsidR="00FA65F9" w:rsidRDefault="00FA65F9" w:rsidP="00D72EE4">
            <w:pPr>
              <w:pStyle w:val="TableText"/>
              <w:spacing w:line="276" w:lineRule="auto"/>
              <w:rPr>
                <w:b/>
                <w:bCs/>
              </w:rPr>
            </w:pPr>
            <w:r w:rsidRPr="001A134C">
              <w:rPr>
                <w:b/>
                <w:bCs/>
              </w:rPr>
              <w:t>Grazing by native and invasive species</w:t>
            </w:r>
            <w:r w:rsidDel="009773DB">
              <w:rPr>
                <w:b/>
                <w:bCs/>
              </w:rPr>
              <w:t xml:space="preserve"> </w:t>
            </w:r>
          </w:p>
          <w:p w14:paraId="12863E6C" w14:textId="77777777" w:rsidR="00FA65F9" w:rsidRPr="001A134C" w:rsidRDefault="00FA65F9" w:rsidP="00D72EE4">
            <w:pPr>
              <w:pStyle w:val="TableText"/>
              <w:spacing w:line="276" w:lineRule="auto"/>
              <w:rPr>
                <w:b/>
                <w:bCs/>
              </w:rPr>
            </w:pPr>
          </w:p>
        </w:tc>
        <w:tc>
          <w:tcPr>
            <w:tcW w:w="1510" w:type="dxa"/>
            <w:shd w:val="clear" w:color="auto" w:fill="D99594"/>
          </w:tcPr>
          <w:p w14:paraId="43157EBD" w14:textId="77777777" w:rsidR="00FA65F9" w:rsidRDefault="00FA65F9" w:rsidP="00D72EE4">
            <w:pPr>
              <w:pStyle w:val="TableText"/>
              <w:spacing w:line="276" w:lineRule="auto"/>
            </w:pPr>
            <w:r>
              <w:t>Very high risk</w:t>
            </w:r>
          </w:p>
          <w:p w14:paraId="2AABF9C5" w14:textId="77777777" w:rsidR="00FA65F9" w:rsidRDefault="00FA65F9" w:rsidP="00D72EE4">
            <w:pPr>
              <w:pStyle w:val="TableText"/>
              <w:spacing w:line="276" w:lineRule="auto"/>
              <w:rPr>
                <w:rFonts w:cs="Arial"/>
                <w:b/>
                <w:bCs/>
                <w:szCs w:val="18"/>
              </w:rPr>
            </w:pPr>
            <w:r>
              <w:rPr>
                <w:rFonts w:cs="Arial"/>
                <w:b/>
                <w:bCs/>
                <w:szCs w:val="18"/>
              </w:rPr>
              <w:t>Inappropriate fire regimes</w:t>
            </w:r>
          </w:p>
          <w:p w14:paraId="2299BDA1" w14:textId="77777777" w:rsidR="00FA65F9" w:rsidRDefault="00FA65F9" w:rsidP="00D72EE4">
            <w:pPr>
              <w:pStyle w:val="TableText"/>
              <w:spacing w:line="276" w:lineRule="auto"/>
              <w:rPr>
                <w:rFonts w:cs="Arial"/>
                <w:b/>
                <w:bCs/>
                <w:szCs w:val="18"/>
              </w:rPr>
            </w:pPr>
            <w:r>
              <w:rPr>
                <w:b/>
                <w:bCs/>
              </w:rPr>
              <w:t xml:space="preserve">Dieback caused by </w:t>
            </w:r>
            <w:r w:rsidRPr="001A134C">
              <w:rPr>
                <w:b/>
                <w:bCs/>
                <w:i/>
                <w:iCs/>
              </w:rPr>
              <w:t>P</w:t>
            </w:r>
            <w:r>
              <w:rPr>
                <w:b/>
                <w:bCs/>
                <w:i/>
                <w:iCs/>
              </w:rPr>
              <w:t>. cinnamomi</w:t>
            </w:r>
            <w:r w:rsidRPr="001A134C">
              <w:rPr>
                <w:b/>
                <w:bCs/>
              </w:rPr>
              <w:t xml:space="preserve"> </w:t>
            </w:r>
          </w:p>
          <w:p w14:paraId="7F0C92C4" w14:textId="77777777" w:rsidR="00FA65F9" w:rsidRPr="001A134C" w:rsidRDefault="00FA65F9" w:rsidP="00D72EE4">
            <w:pPr>
              <w:pStyle w:val="TableText"/>
              <w:spacing w:line="276" w:lineRule="auto"/>
            </w:pPr>
            <w:r w:rsidRPr="00B4353D">
              <w:rPr>
                <w:rFonts w:cs="Arial"/>
                <w:b/>
                <w:bCs/>
                <w:szCs w:val="18"/>
              </w:rPr>
              <w:t>Increased temperature</w:t>
            </w:r>
            <w:r>
              <w:rPr>
                <w:rFonts w:cs="Arial"/>
                <w:b/>
                <w:bCs/>
                <w:szCs w:val="18"/>
              </w:rPr>
              <w:t xml:space="preserve">s and reduced precipitation </w:t>
            </w:r>
          </w:p>
        </w:tc>
      </w:tr>
      <w:tr w:rsidR="00FA65F9" w14:paraId="3EC413BB" w14:textId="77777777" w:rsidTr="00D72EE4">
        <w:tc>
          <w:tcPr>
            <w:tcW w:w="1510" w:type="dxa"/>
          </w:tcPr>
          <w:p w14:paraId="38386411" w14:textId="77777777" w:rsidR="00FA65F9" w:rsidRPr="00774EAA" w:rsidRDefault="00FA65F9" w:rsidP="00D72EE4">
            <w:pPr>
              <w:pStyle w:val="TableText"/>
              <w:spacing w:line="276" w:lineRule="auto"/>
              <w:rPr>
                <w:rStyle w:val="Strong"/>
              </w:rPr>
            </w:pPr>
            <w:r w:rsidRPr="00774EAA">
              <w:rPr>
                <w:rStyle w:val="Strong"/>
              </w:rPr>
              <w:t>Likely</w:t>
            </w:r>
          </w:p>
        </w:tc>
        <w:tc>
          <w:tcPr>
            <w:tcW w:w="1510" w:type="dxa"/>
            <w:shd w:val="clear" w:color="auto" w:fill="C5E0B3" w:themeFill="accent6" w:themeFillTint="66"/>
          </w:tcPr>
          <w:p w14:paraId="6663AF4C" w14:textId="77777777" w:rsidR="00FA65F9" w:rsidRDefault="00FA65F9" w:rsidP="00D72EE4">
            <w:pPr>
              <w:pStyle w:val="TableText"/>
              <w:spacing w:line="276" w:lineRule="auto"/>
            </w:pPr>
            <w:r>
              <w:t>Low risk</w:t>
            </w:r>
          </w:p>
        </w:tc>
        <w:tc>
          <w:tcPr>
            <w:tcW w:w="1510" w:type="dxa"/>
            <w:shd w:val="clear" w:color="auto" w:fill="8EAADB" w:themeFill="accent1" w:themeFillTint="99"/>
          </w:tcPr>
          <w:p w14:paraId="1948EF9F" w14:textId="77777777" w:rsidR="00FA65F9" w:rsidRDefault="00FA65F9" w:rsidP="00D72EE4">
            <w:pPr>
              <w:pStyle w:val="TableText"/>
              <w:spacing w:line="276" w:lineRule="auto"/>
            </w:pPr>
            <w:r>
              <w:t>Moderate risk</w:t>
            </w:r>
          </w:p>
        </w:tc>
        <w:tc>
          <w:tcPr>
            <w:tcW w:w="1510" w:type="dxa"/>
            <w:shd w:val="clear" w:color="auto" w:fill="FFFF00"/>
          </w:tcPr>
          <w:p w14:paraId="1E1D67A7" w14:textId="77777777" w:rsidR="00FA65F9" w:rsidRDefault="00FA65F9" w:rsidP="00D72EE4">
            <w:pPr>
              <w:pStyle w:val="TableText"/>
              <w:spacing w:line="276" w:lineRule="auto"/>
            </w:pPr>
            <w:r>
              <w:t>High risk</w:t>
            </w:r>
          </w:p>
          <w:p w14:paraId="691E30AE" w14:textId="77777777" w:rsidR="00FA65F9" w:rsidRPr="001A134C" w:rsidRDefault="00FA65F9" w:rsidP="00D72EE4">
            <w:pPr>
              <w:pStyle w:val="TableText"/>
              <w:spacing w:line="276" w:lineRule="auto"/>
              <w:rPr>
                <w:b/>
                <w:bCs/>
              </w:rPr>
            </w:pPr>
            <w:r w:rsidRPr="001A134C">
              <w:rPr>
                <w:b/>
                <w:bCs/>
              </w:rPr>
              <w:t>Disturbance by human recreation</w:t>
            </w:r>
          </w:p>
        </w:tc>
        <w:tc>
          <w:tcPr>
            <w:tcW w:w="1510" w:type="dxa"/>
            <w:shd w:val="clear" w:color="auto" w:fill="D99594"/>
          </w:tcPr>
          <w:p w14:paraId="463E7A32" w14:textId="77777777" w:rsidR="00FA65F9" w:rsidRDefault="00FA65F9" w:rsidP="00D72EE4">
            <w:pPr>
              <w:pStyle w:val="TableText"/>
              <w:spacing w:line="276" w:lineRule="auto"/>
            </w:pPr>
            <w:r>
              <w:t>Very high risk</w:t>
            </w:r>
          </w:p>
          <w:p w14:paraId="65E2BB16" w14:textId="77777777" w:rsidR="00FA65F9" w:rsidRPr="00B4353D" w:rsidRDefault="00FA65F9" w:rsidP="00D72EE4">
            <w:pPr>
              <w:pStyle w:val="TableText"/>
              <w:spacing w:line="276" w:lineRule="auto"/>
              <w:rPr>
                <w:b/>
                <w:bCs/>
              </w:rPr>
            </w:pPr>
          </w:p>
        </w:tc>
        <w:tc>
          <w:tcPr>
            <w:tcW w:w="1510" w:type="dxa"/>
            <w:shd w:val="clear" w:color="auto" w:fill="D99594"/>
          </w:tcPr>
          <w:p w14:paraId="46301C8C" w14:textId="77777777" w:rsidR="00FA65F9" w:rsidRDefault="00FA65F9" w:rsidP="00D72EE4">
            <w:pPr>
              <w:pStyle w:val="TableText"/>
              <w:spacing w:line="276" w:lineRule="auto"/>
            </w:pPr>
            <w:r>
              <w:t>Very high risk</w:t>
            </w:r>
          </w:p>
        </w:tc>
      </w:tr>
      <w:tr w:rsidR="00FA65F9" w14:paraId="6ECD39CE" w14:textId="77777777" w:rsidTr="00D72EE4">
        <w:tc>
          <w:tcPr>
            <w:tcW w:w="1510" w:type="dxa"/>
          </w:tcPr>
          <w:p w14:paraId="0335C3DB" w14:textId="77777777" w:rsidR="00FA65F9" w:rsidRPr="00774EAA" w:rsidRDefault="00FA65F9" w:rsidP="00D72EE4">
            <w:pPr>
              <w:pStyle w:val="TableText"/>
              <w:spacing w:line="276" w:lineRule="auto"/>
              <w:rPr>
                <w:rStyle w:val="Strong"/>
              </w:rPr>
            </w:pPr>
            <w:r w:rsidRPr="00774EAA">
              <w:rPr>
                <w:rStyle w:val="Strong"/>
              </w:rPr>
              <w:t>Possible</w:t>
            </w:r>
          </w:p>
        </w:tc>
        <w:tc>
          <w:tcPr>
            <w:tcW w:w="1510" w:type="dxa"/>
            <w:shd w:val="clear" w:color="auto" w:fill="C5E0B3" w:themeFill="accent6" w:themeFillTint="66"/>
          </w:tcPr>
          <w:p w14:paraId="40A750A5" w14:textId="77777777" w:rsidR="00FA65F9" w:rsidRDefault="00FA65F9" w:rsidP="00D72EE4">
            <w:pPr>
              <w:pStyle w:val="TableText"/>
              <w:spacing w:line="276" w:lineRule="auto"/>
            </w:pPr>
            <w:r>
              <w:t>Low risk</w:t>
            </w:r>
          </w:p>
        </w:tc>
        <w:tc>
          <w:tcPr>
            <w:tcW w:w="1510" w:type="dxa"/>
            <w:shd w:val="clear" w:color="auto" w:fill="8EAADB" w:themeFill="accent1" w:themeFillTint="99"/>
          </w:tcPr>
          <w:p w14:paraId="6DCDAA99" w14:textId="77777777" w:rsidR="00FA65F9" w:rsidRDefault="00FA65F9" w:rsidP="00D72EE4">
            <w:pPr>
              <w:pStyle w:val="TableText"/>
              <w:spacing w:line="276" w:lineRule="auto"/>
            </w:pPr>
            <w:r>
              <w:t>Moderate risk</w:t>
            </w:r>
          </w:p>
        </w:tc>
        <w:tc>
          <w:tcPr>
            <w:tcW w:w="1510" w:type="dxa"/>
            <w:shd w:val="clear" w:color="auto" w:fill="FFFF00"/>
          </w:tcPr>
          <w:p w14:paraId="0616AC91" w14:textId="77777777" w:rsidR="00FA65F9" w:rsidRDefault="00FA65F9" w:rsidP="00D72EE4">
            <w:pPr>
              <w:pStyle w:val="TableText"/>
              <w:spacing w:line="276" w:lineRule="auto"/>
            </w:pPr>
            <w:r>
              <w:t>High risk</w:t>
            </w:r>
          </w:p>
        </w:tc>
        <w:tc>
          <w:tcPr>
            <w:tcW w:w="1510" w:type="dxa"/>
            <w:shd w:val="clear" w:color="auto" w:fill="D99594"/>
          </w:tcPr>
          <w:p w14:paraId="2EE6E941" w14:textId="77777777" w:rsidR="00FA65F9" w:rsidRDefault="00FA65F9" w:rsidP="00D72EE4">
            <w:pPr>
              <w:pStyle w:val="TableText"/>
              <w:spacing w:line="276" w:lineRule="auto"/>
            </w:pPr>
            <w:r>
              <w:t>Very high risk</w:t>
            </w:r>
          </w:p>
        </w:tc>
        <w:tc>
          <w:tcPr>
            <w:tcW w:w="1510" w:type="dxa"/>
            <w:shd w:val="clear" w:color="auto" w:fill="D99594"/>
          </w:tcPr>
          <w:p w14:paraId="6B8F2D64" w14:textId="77777777" w:rsidR="00FA65F9" w:rsidRDefault="00FA65F9" w:rsidP="00D72EE4">
            <w:pPr>
              <w:pStyle w:val="TableText"/>
              <w:spacing w:line="276" w:lineRule="auto"/>
            </w:pPr>
            <w:r>
              <w:t>Very high risk</w:t>
            </w:r>
          </w:p>
        </w:tc>
      </w:tr>
      <w:tr w:rsidR="00FA65F9" w14:paraId="0F46A8F8" w14:textId="77777777" w:rsidTr="00D72EE4">
        <w:tc>
          <w:tcPr>
            <w:tcW w:w="1510" w:type="dxa"/>
          </w:tcPr>
          <w:p w14:paraId="522F8401" w14:textId="77777777" w:rsidR="00FA65F9" w:rsidRPr="00774EAA" w:rsidRDefault="00FA65F9" w:rsidP="00D72EE4">
            <w:pPr>
              <w:pStyle w:val="TableText"/>
              <w:spacing w:line="276" w:lineRule="auto"/>
              <w:rPr>
                <w:rStyle w:val="Strong"/>
              </w:rPr>
            </w:pPr>
            <w:r w:rsidRPr="00774EAA">
              <w:rPr>
                <w:rStyle w:val="Strong"/>
              </w:rPr>
              <w:t>Unlikely</w:t>
            </w:r>
          </w:p>
        </w:tc>
        <w:tc>
          <w:tcPr>
            <w:tcW w:w="1510" w:type="dxa"/>
            <w:shd w:val="clear" w:color="auto" w:fill="C5E0B3" w:themeFill="accent6" w:themeFillTint="66"/>
          </w:tcPr>
          <w:p w14:paraId="03E7F10F" w14:textId="77777777" w:rsidR="00FA65F9" w:rsidRDefault="00FA65F9" w:rsidP="00D72EE4">
            <w:pPr>
              <w:pStyle w:val="TableText"/>
              <w:spacing w:line="276" w:lineRule="auto"/>
            </w:pPr>
            <w:r>
              <w:t>Low risk</w:t>
            </w:r>
          </w:p>
        </w:tc>
        <w:tc>
          <w:tcPr>
            <w:tcW w:w="1510" w:type="dxa"/>
            <w:shd w:val="clear" w:color="auto" w:fill="C5E0B3" w:themeFill="accent6" w:themeFillTint="66"/>
          </w:tcPr>
          <w:p w14:paraId="741785FE" w14:textId="77777777" w:rsidR="00FA65F9" w:rsidRDefault="00FA65F9" w:rsidP="00D72EE4">
            <w:pPr>
              <w:pStyle w:val="TableText"/>
              <w:spacing w:line="276" w:lineRule="auto"/>
            </w:pPr>
            <w:r>
              <w:t>Low risk</w:t>
            </w:r>
          </w:p>
        </w:tc>
        <w:tc>
          <w:tcPr>
            <w:tcW w:w="1510" w:type="dxa"/>
            <w:shd w:val="clear" w:color="auto" w:fill="8EAADB" w:themeFill="accent1" w:themeFillTint="99"/>
          </w:tcPr>
          <w:p w14:paraId="457C4E4B" w14:textId="77777777" w:rsidR="00FA65F9" w:rsidRDefault="00FA65F9" w:rsidP="00D72EE4">
            <w:pPr>
              <w:pStyle w:val="TableText"/>
              <w:spacing w:line="276" w:lineRule="auto"/>
            </w:pPr>
            <w:r>
              <w:t>Moderate risk</w:t>
            </w:r>
          </w:p>
        </w:tc>
        <w:tc>
          <w:tcPr>
            <w:tcW w:w="1510" w:type="dxa"/>
            <w:shd w:val="clear" w:color="auto" w:fill="FFFF00"/>
          </w:tcPr>
          <w:p w14:paraId="4CD4782D" w14:textId="77777777" w:rsidR="00FA65F9" w:rsidRDefault="00FA65F9" w:rsidP="00D72EE4">
            <w:pPr>
              <w:pStyle w:val="TableText"/>
              <w:spacing w:line="276" w:lineRule="auto"/>
            </w:pPr>
            <w:r>
              <w:t>High risk</w:t>
            </w:r>
          </w:p>
        </w:tc>
        <w:tc>
          <w:tcPr>
            <w:tcW w:w="1510" w:type="dxa"/>
            <w:shd w:val="clear" w:color="auto" w:fill="D99594"/>
          </w:tcPr>
          <w:p w14:paraId="0E132387" w14:textId="77777777" w:rsidR="00FA65F9" w:rsidRDefault="00FA65F9" w:rsidP="00D72EE4">
            <w:pPr>
              <w:pStyle w:val="TableText"/>
              <w:spacing w:line="276" w:lineRule="auto"/>
            </w:pPr>
            <w:r>
              <w:t>Very high risk</w:t>
            </w:r>
          </w:p>
        </w:tc>
      </w:tr>
      <w:tr w:rsidR="00FA65F9" w14:paraId="7420DEC7" w14:textId="77777777" w:rsidTr="00D72EE4">
        <w:tc>
          <w:tcPr>
            <w:tcW w:w="1510" w:type="dxa"/>
          </w:tcPr>
          <w:p w14:paraId="24CCEB0B" w14:textId="77777777" w:rsidR="00FA65F9" w:rsidRPr="00774EAA" w:rsidRDefault="00FA65F9" w:rsidP="00D72EE4">
            <w:pPr>
              <w:pStyle w:val="TableText"/>
              <w:spacing w:line="276" w:lineRule="auto"/>
              <w:rPr>
                <w:rStyle w:val="Strong"/>
              </w:rPr>
            </w:pPr>
            <w:r w:rsidRPr="00774EAA">
              <w:rPr>
                <w:rStyle w:val="Strong"/>
              </w:rPr>
              <w:t>Unknown</w:t>
            </w:r>
          </w:p>
        </w:tc>
        <w:tc>
          <w:tcPr>
            <w:tcW w:w="1510" w:type="dxa"/>
            <w:shd w:val="clear" w:color="auto" w:fill="C5E0B3" w:themeFill="accent6" w:themeFillTint="66"/>
          </w:tcPr>
          <w:p w14:paraId="6461BA45" w14:textId="77777777" w:rsidR="00FA65F9" w:rsidRDefault="00FA65F9" w:rsidP="00D72EE4">
            <w:pPr>
              <w:pStyle w:val="TableText"/>
              <w:spacing w:line="276" w:lineRule="auto"/>
            </w:pPr>
            <w:r>
              <w:t>Low risk</w:t>
            </w:r>
          </w:p>
        </w:tc>
        <w:tc>
          <w:tcPr>
            <w:tcW w:w="1510" w:type="dxa"/>
            <w:shd w:val="clear" w:color="auto" w:fill="C5E0B3" w:themeFill="accent6" w:themeFillTint="66"/>
          </w:tcPr>
          <w:p w14:paraId="1433C887" w14:textId="77777777" w:rsidR="00FA65F9" w:rsidRDefault="00FA65F9" w:rsidP="00D72EE4">
            <w:pPr>
              <w:pStyle w:val="TableText"/>
              <w:spacing w:line="276" w:lineRule="auto"/>
            </w:pPr>
            <w:r>
              <w:t>Low risk</w:t>
            </w:r>
          </w:p>
        </w:tc>
        <w:tc>
          <w:tcPr>
            <w:tcW w:w="1510" w:type="dxa"/>
            <w:shd w:val="clear" w:color="auto" w:fill="8EAADB" w:themeFill="accent1" w:themeFillTint="99"/>
          </w:tcPr>
          <w:p w14:paraId="21A0A641" w14:textId="77777777" w:rsidR="00FA65F9" w:rsidRDefault="00FA65F9" w:rsidP="00D72EE4">
            <w:pPr>
              <w:pStyle w:val="TableText"/>
              <w:spacing w:line="276" w:lineRule="auto"/>
            </w:pPr>
            <w:r>
              <w:t>Moderate risk</w:t>
            </w:r>
          </w:p>
        </w:tc>
        <w:tc>
          <w:tcPr>
            <w:tcW w:w="1510" w:type="dxa"/>
            <w:shd w:val="clear" w:color="auto" w:fill="FFFF00"/>
          </w:tcPr>
          <w:p w14:paraId="2B16E2D5" w14:textId="77777777" w:rsidR="00FA65F9" w:rsidRDefault="00FA65F9" w:rsidP="00D72EE4">
            <w:pPr>
              <w:pStyle w:val="TableText"/>
              <w:spacing w:line="276" w:lineRule="auto"/>
            </w:pPr>
            <w:r>
              <w:t>High risk</w:t>
            </w:r>
          </w:p>
        </w:tc>
        <w:tc>
          <w:tcPr>
            <w:tcW w:w="1510" w:type="dxa"/>
            <w:shd w:val="clear" w:color="auto" w:fill="D99594"/>
          </w:tcPr>
          <w:p w14:paraId="2808C957" w14:textId="77777777" w:rsidR="00FA65F9" w:rsidRDefault="00FA65F9" w:rsidP="00D72EE4">
            <w:pPr>
              <w:pStyle w:val="TableText"/>
              <w:spacing w:line="276" w:lineRule="auto"/>
            </w:pPr>
            <w:r>
              <w:t>Very high risk</w:t>
            </w:r>
          </w:p>
        </w:tc>
      </w:tr>
    </w:tbl>
    <w:p w14:paraId="2C0F5FC5" w14:textId="77777777" w:rsidR="00FA65F9" w:rsidRDefault="00FA65F9" w:rsidP="00FA65F9"/>
    <w:p w14:paraId="64D9DC8F" w14:textId="77777777" w:rsidR="00FA65F9" w:rsidRDefault="00FA65F9" w:rsidP="00FA65F9">
      <w:r w:rsidRPr="001A134C">
        <w:t>Priority actions have then been developed to manage the threat particularly where the risk was deemed to be ‘very high’ or ‘high’.</w:t>
      </w:r>
    </w:p>
    <w:p w14:paraId="14EF4B8B" w14:textId="77777777" w:rsidR="00FA65F9" w:rsidRDefault="00FA65F9" w:rsidP="00FA65F9">
      <w:pPr>
        <w:pStyle w:val="Heading2"/>
        <w:spacing w:line="276" w:lineRule="auto"/>
        <w:ind w:left="720" w:hanging="720"/>
      </w:pPr>
      <w:r>
        <w:t xml:space="preserve">Conservation and recovery </w:t>
      </w:r>
      <w:r w:rsidRPr="002B6A3F">
        <w:t>actions</w:t>
      </w:r>
    </w:p>
    <w:p w14:paraId="3B31D50F" w14:textId="77777777" w:rsidR="00FA65F9" w:rsidRDefault="00FA65F9" w:rsidP="00FA65F9">
      <w:pPr>
        <w:pStyle w:val="Heading3"/>
        <w:spacing w:line="276" w:lineRule="auto"/>
        <w:ind w:left="964" w:hanging="964"/>
      </w:pPr>
      <w:r>
        <w:t>Primary conservation objective</w:t>
      </w:r>
    </w:p>
    <w:p w14:paraId="01C777D2" w14:textId="77777777" w:rsidR="00FA65F9" w:rsidRPr="002C7D80" w:rsidRDefault="00FA65F9" w:rsidP="00FA65F9">
      <w:r>
        <w:t>T</w:t>
      </w:r>
      <w:r w:rsidRPr="002C7D80">
        <w:t xml:space="preserve">he population of </w:t>
      </w:r>
      <w:r>
        <w:t>Stirling Range dryandra</w:t>
      </w:r>
      <w:r w:rsidRPr="002C7D80">
        <w:t xml:space="preserve"> will </w:t>
      </w:r>
      <w:r>
        <w:t>increase in abundance,</w:t>
      </w:r>
      <w:r w:rsidRPr="002C7D80">
        <w:t xml:space="preserve"> viable populations are sustained in habitats where high risk threats are managed effectively</w:t>
      </w:r>
      <w:r>
        <w:t>, and known seed orchards remain to support natural subpopulations</w:t>
      </w:r>
      <w:r w:rsidRPr="002C7D80">
        <w:t xml:space="preserve">. </w:t>
      </w:r>
    </w:p>
    <w:p w14:paraId="5C4C5ED2" w14:textId="77777777" w:rsidR="00FA65F9" w:rsidRPr="001A3C77" w:rsidRDefault="00FA65F9" w:rsidP="00FA65F9">
      <w:pPr>
        <w:pStyle w:val="Heading3"/>
        <w:spacing w:line="276" w:lineRule="auto"/>
      </w:pPr>
      <w:r>
        <w:lastRenderedPageBreak/>
        <w:t>Conservation and management priorities</w:t>
      </w:r>
    </w:p>
    <w:p w14:paraId="78DE8C95" w14:textId="77777777" w:rsidR="00FA65F9" w:rsidRDefault="00FA65F9" w:rsidP="00FA65F9">
      <w:pPr>
        <w:pStyle w:val="Heading4"/>
        <w:spacing w:line="276" w:lineRule="auto"/>
        <w:ind w:left="964" w:hanging="964"/>
      </w:pPr>
      <w:r>
        <w:t>Breeding, seed collection, propagation and other ex situ recovery action</w:t>
      </w:r>
    </w:p>
    <w:p w14:paraId="0CC42F5C" w14:textId="77777777" w:rsidR="00FA65F9" w:rsidRPr="000D5263" w:rsidRDefault="00FA65F9" w:rsidP="00FA65F9">
      <w:pPr>
        <w:pStyle w:val="ListBullet"/>
        <w:rPr>
          <w:rFonts w:asciiTheme="minorHAnsi" w:eastAsiaTheme="minorEastAsia" w:hAnsiTheme="minorHAnsi"/>
        </w:rPr>
      </w:pPr>
      <w:r>
        <w:t>Continue to maintain and protect from fire the two existing seed orchards (ex situ subpopulations) to ensure their ongoing survival and ability to provide seed and germplasm suitable for translocation to wild subpopulations.  Where availability of propagules permits, expand the ex-situ subpopulations to represent the maximum amount of genetic diversity possible.</w:t>
      </w:r>
    </w:p>
    <w:p w14:paraId="5D59A061" w14:textId="77777777" w:rsidR="00FA65F9" w:rsidRPr="002327F0" w:rsidRDefault="00FA65F9" w:rsidP="00FA65F9">
      <w:pPr>
        <w:pStyle w:val="ListBullet"/>
      </w:pPr>
      <w:r>
        <w:t xml:space="preserve">Continue reinforcement translocations and direct seeding in the wild subpopulations, using plants </w:t>
      </w:r>
      <w:r w:rsidRPr="002327F0">
        <w:t>and seed from ex situ subpopulations and maintain and publish records of survival and maturation.</w:t>
      </w:r>
    </w:p>
    <w:p w14:paraId="526A9FC6" w14:textId="77777777" w:rsidR="00FA65F9" w:rsidRPr="002327F0" w:rsidRDefault="00FA65F9" w:rsidP="00FA65F9">
      <w:pPr>
        <w:pStyle w:val="ListBullet"/>
      </w:pPr>
      <w:r w:rsidRPr="002327F0">
        <w:t>Establish new seed production areas outside of Stirling Range National Park and upgrade current seed orchards with better reticulation to improve plant health.</w:t>
      </w:r>
    </w:p>
    <w:p w14:paraId="5F805667" w14:textId="5C8A6D23" w:rsidR="00FA65F9" w:rsidRPr="002327F0" w:rsidRDefault="00FA65F9" w:rsidP="00FA65F9">
      <w:pPr>
        <w:pStyle w:val="ListBullet"/>
      </w:pPr>
      <w:r w:rsidRPr="002327F0">
        <w:t>Identify additional sites suitable for the establishment of new subpopulations through translocations</w:t>
      </w:r>
      <w:r w:rsidR="002327F0" w:rsidRPr="002327F0">
        <w:t xml:space="preserve">, ensuring that translocation sites are free from </w:t>
      </w:r>
      <w:r w:rsidR="002327F0" w:rsidRPr="002327F0">
        <w:rPr>
          <w:i/>
          <w:iCs/>
        </w:rPr>
        <w:t>P. cinnamomi</w:t>
      </w:r>
      <w:r w:rsidR="002327F0" w:rsidRPr="002327F0">
        <w:t>.</w:t>
      </w:r>
    </w:p>
    <w:p w14:paraId="597FA7B3" w14:textId="77777777" w:rsidR="00FA65F9" w:rsidRDefault="00FA65F9" w:rsidP="00FA65F9">
      <w:pPr>
        <w:pStyle w:val="ListBullet"/>
      </w:pPr>
      <w:r>
        <w:t xml:space="preserve">Continue to maintain stored seed and germplasm to preserve genetic material, such as the Stirling Range dryandra seed collection currently stored at the WA Threatened Flora Seed Centre. </w:t>
      </w:r>
    </w:p>
    <w:p w14:paraId="115168A7" w14:textId="77777777" w:rsidR="00FA65F9" w:rsidRDefault="00FA65F9" w:rsidP="00FA65F9">
      <w:pPr>
        <w:pStyle w:val="ListBullet"/>
      </w:pPr>
      <w:r>
        <w:t xml:space="preserve">Continue to develop cutting propagation and tissue culture techniques. Material for tissue culture has been collected by the Botanic Gardens and Parks Authority (BGPA) and is important for restocking future subpopulations. Cuttings from </w:t>
      </w:r>
      <w:r w:rsidRPr="006E1104">
        <w:t>in situ</w:t>
      </w:r>
      <w:r>
        <w:t xml:space="preserve"> subpopulations have also been collected by BGPA.</w:t>
      </w:r>
    </w:p>
    <w:p w14:paraId="7B289459" w14:textId="77777777" w:rsidR="00FA65F9" w:rsidRDefault="00FA65F9" w:rsidP="00FA65F9">
      <w:pPr>
        <w:pStyle w:val="ListBullet"/>
      </w:pPr>
      <w:r>
        <w:t>Investigate opportunities to secure ex situ populations within National Reserve System via land purchase or conservation covenants.</w:t>
      </w:r>
    </w:p>
    <w:p w14:paraId="5ED017AF" w14:textId="53FD50E3" w:rsidR="00FA65F9" w:rsidRDefault="00FA65F9" w:rsidP="00FA65F9">
      <w:pPr>
        <w:pStyle w:val="ListBullet"/>
      </w:pPr>
      <w:r w:rsidRPr="20583809">
        <w:rPr>
          <w:rFonts w:eastAsia="Calibri"/>
        </w:rPr>
        <w:t>Use genomic approaches to understand population structure and use this data to inform translocation programs</w:t>
      </w:r>
      <w:r>
        <w:rPr>
          <w:rFonts w:eastAsia="Calibri"/>
        </w:rPr>
        <w:t xml:space="preserve"> (Rosetto et al. 2021)</w:t>
      </w:r>
      <w:r w:rsidRPr="20583809">
        <w:rPr>
          <w:rFonts w:eastAsia="Calibri"/>
        </w:rPr>
        <w:t xml:space="preserve">. </w:t>
      </w:r>
      <w:r w:rsidR="00EB30AE">
        <w:rPr>
          <w:rFonts w:eastAsia="Calibri"/>
        </w:rPr>
        <w:t>For example, through the use of disease resistant genotypes for re-introduction and translocations.</w:t>
      </w:r>
    </w:p>
    <w:p w14:paraId="7029906E" w14:textId="77777777" w:rsidR="00FA65F9" w:rsidRDefault="00FA65F9" w:rsidP="00FA65F9">
      <w:pPr>
        <w:pStyle w:val="Heading4"/>
        <w:spacing w:line="276" w:lineRule="auto"/>
        <w:ind w:left="964" w:hanging="964"/>
      </w:pPr>
      <w:r>
        <w:t>Fire and climate change</w:t>
      </w:r>
    </w:p>
    <w:p w14:paraId="0596AF78" w14:textId="77777777" w:rsidR="00FA65F9" w:rsidRDefault="00FA65F9" w:rsidP="00FA65F9">
      <w:pPr>
        <w:pStyle w:val="ListBullet"/>
        <w:rPr>
          <w:rFonts w:asciiTheme="minorHAnsi" w:eastAsiaTheme="minorEastAsia" w:hAnsiTheme="minorHAnsi"/>
        </w:rPr>
      </w:pPr>
      <w:r>
        <w:t xml:space="preserve">Avoid risks of escape of prescribed fires, as has occurred in the past.  Review the need for prescribed burning within or near Stirling Range National Park, identify essential needs, if any, and consider eliminating the practice. However, if prescribed fires are essential for other conservation values, then critically review the evidence that a proposed burn is controllable, cannot escape, and is unable to reach the peaks where Stirling Range Dyrandra is found, and only proceed when these outcomes can be achieved. </w:t>
      </w:r>
    </w:p>
    <w:p w14:paraId="00D64A77" w14:textId="77777777" w:rsidR="00FA65F9" w:rsidRDefault="00FA65F9" w:rsidP="00FA65F9">
      <w:pPr>
        <w:pStyle w:val="ListBullet"/>
      </w:pPr>
      <w:r>
        <w:t xml:space="preserve">Implement a fire management strategy to protect all known subpopulations from further fire. If possible, exclude fire from all subpopulations for the indefinite future (Barrett et al. 2020), or at least 18 years. </w:t>
      </w:r>
    </w:p>
    <w:p w14:paraId="37F36FBA" w14:textId="77777777" w:rsidR="00FA65F9" w:rsidRPr="0080076D" w:rsidRDefault="00FA65F9" w:rsidP="00FA65F9">
      <w:pPr>
        <w:pStyle w:val="ListBullet"/>
      </w:pPr>
      <w:r>
        <w:t>Investigate the establishment of translocated subpopulations in suitable climate refugia.</w:t>
      </w:r>
    </w:p>
    <w:p w14:paraId="11120AC4" w14:textId="77777777" w:rsidR="00FA65F9" w:rsidRDefault="00FA65F9" w:rsidP="00FA65F9">
      <w:pPr>
        <w:pStyle w:val="Heading4"/>
        <w:spacing w:line="276" w:lineRule="auto"/>
        <w:ind w:left="964" w:hanging="964"/>
      </w:pPr>
      <w:r>
        <w:t>Disease</w:t>
      </w:r>
    </w:p>
    <w:p w14:paraId="7C33B81F" w14:textId="77777777" w:rsidR="00FA65F9" w:rsidRDefault="00FA65F9" w:rsidP="00FA65F9">
      <w:pPr>
        <w:pStyle w:val="ListBullet"/>
      </w:pPr>
      <w:r>
        <w:t xml:space="preserve">Ensure that sites where individuals will be translocated to are appropriately protected against dieback </w:t>
      </w:r>
      <w:r>
        <w:rPr>
          <w:szCs w:val="18"/>
        </w:rPr>
        <w:t xml:space="preserve">caused by </w:t>
      </w:r>
      <w:r>
        <w:rPr>
          <w:i/>
          <w:iCs/>
        </w:rPr>
        <w:t xml:space="preserve">P. cinnamomi </w:t>
      </w:r>
      <w:r>
        <w:t>and are not infected prior to translocation.</w:t>
      </w:r>
    </w:p>
    <w:p w14:paraId="672B82EF" w14:textId="7D1AE14B" w:rsidR="00FA65F9" w:rsidRPr="008E49E7" w:rsidRDefault="00FA65F9" w:rsidP="00FA65F9">
      <w:pPr>
        <w:pStyle w:val="ListBullet"/>
      </w:pPr>
      <w:r>
        <w:lastRenderedPageBreak/>
        <w:t xml:space="preserve">Continue to manage and minimise the spread of </w:t>
      </w:r>
      <w:r w:rsidRPr="22E3ABD1">
        <w:rPr>
          <w:i/>
          <w:iCs/>
        </w:rPr>
        <w:t xml:space="preserve">P. cinnamomi </w:t>
      </w:r>
      <w:r>
        <w:t xml:space="preserve">dieback, initially by appropriate application of phosphite to all sites with extant and extinct subpopulations </w:t>
      </w:r>
      <w:r w:rsidRPr="008E49E7">
        <w:t>(DPAW 2016), until alternative disease treatments are developed</w:t>
      </w:r>
      <w:r w:rsidRPr="00291B84">
        <w:t>.</w:t>
      </w:r>
      <w:r w:rsidR="00291B84" w:rsidRPr="00291B84">
        <w:t xml:space="preserve"> In order to minimise potential off-target impacts that may </w:t>
      </w:r>
      <w:r w:rsidR="00D0624D">
        <w:t xml:space="preserve">potentially </w:t>
      </w:r>
      <w:r w:rsidR="00291B84" w:rsidRPr="00291B84">
        <w:t>result from the build-up of phosphorus in low-nutrient soils (Lambers et al. 2013; Hopper et al. 2021), ensure that applications of phosphite are highly localised where possible.</w:t>
      </w:r>
    </w:p>
    <w:p w14:paraId="0B4AE677" w14:textId="77777777" w:rsidR="00FA65F9" w:rsidRPr="00153B51" w:rsidRDefault="00FA65F9" w:rsidP="00FA65F9">
      <w:pPr>
        <w:pStyle w:val="ListBullet"/>
      </w:pPr>
      <w:r w:rsidRPr="00153B51">
        <w:rPr>
          <w:rFonts w:eastAsia="Calibri"/>
        </w:rPr>
        <w:t xml:space="preserve">Promote research and development of alternative treatments of </w:t>
      </w:r>
      <w:r w:rsidRPr="00153B51">
        <w:rPr>
          <w:rFonts w:eastAsia="Calibri"/>
          <w:i/>
          <w:iCs/>
        </w:rPr>
        <w:t>P. cinnamomi</w:t>
      </w:r>
      <w:r w:rsidRPr="00153B51">
        <w:rPr>
          <w:rFonts w:eastAsia="Calibri"/>
        </w:rPr>
        <w:t xml:space="preserve"> and the disease it causes.</w:t>
      </w:r>
    </w:p>
    <w:p w14:paraId="53781C53" w14:textId="77777777" w:rsidR="00FA65F9" w:rsidRDefault="00FA65F9" w:rsidP="00FA65F9">
      <w:pPr>
        <w:pStyle w:val="ListBullet"/>
      </w:pPr>
      <w:r>
        <w:t>Ensure that appropriate hygiene protocols are adhered to when entering Stirling Range dryandra subpopulations.</w:t>
      </w:r>
    </w:p>
    <w:p w14:paraId="41E385BA" w14:textId="77777777" w:rsidR="00FA65F9" w:rsidRDefault="00FA65F9" w:rsidP="00FA65F9">
      <w:pPr>
        <w:pStyle w:val="ListBullet"/>
      </w:pPr>
      <w:r>
        <w:t xml:space="preserve">Determine which lineages </w:t>
      </w:r>
      <w:r w:rsidRPr="008E49E7">
        <w:rPr>
          <w:i/>
          <w:iCs/>
        </w:rPr>
        <w:t>of</w:t>
      </w:r>
      <w:r>
        <w:t xml:space="preserve"> </w:t>
      </w:r>
      <w:r>
        <w:rPr>
          <w:i/>
          <w:iCs/>
        </w:rPr>
        <w:t>P. cinnamomi</w:t>
      </w:r>
      <w:r>
        <w:t xml:space="preserve"> are present across the Stirling Range dryandra population.</w:t>
      </w:r>
    </w:p>
    <w:p w14:paraId="508E07C9" w14:textId="77777777" w:rsidR="00FA65F9" w:rsidRDefault="00FA65F9" w:rsidP="00FA65F9">
      <w:pPr>
        <w:pStyle w:val="Heading4"/>
        <w:spacing w:line="276" w:lineRule="auto"/>
        <w:ind w:left="964" w:hanging="964"/>
      </w:pPr>
      <w:r w:rsidRPr="00921F7C">
        <w:t>Invasive species</w:t>
      </w:r>
      <w:r>
        <w:t xml:space="preserve"> (including threats from grazing, trampling, predation)</w:t>
      </w:r>
    </w:p>
    <w:p w14:paraId="73CD9457" w14:textId="77777777" w:rsidR="00FA65F9" w:rsidRDefault="00FA65F9" w:rsidP="00FA65F9">
      <w:pPr>
        <w:pStyle w:val="ListBullet"/>
      </w:pPr>
      <w:r>
        <w:t xml:space="preserve">Install and maintain cages or fencing around seedling, juvenile and translocated plants to protect against grazing by European rabbits. </w:t>
      </w:r>
    </w:p>
    <w:p w14:paraId="30C0C425" w14:textId="77777777" w:rsidR="00FA65F9" w:rsidRDefault="00FA65F9" w:rsidP="00FA65F9">
      <w:pPr>
        <w:pStyle w:val="ListBullet"/>
      </w:pPr>
      <w:r>
        <w:t>Maintain the European rabbit control program and continue baiting with 1080-laced oats in areas with a high European rabbit subpopulation, including East Bluff, Bluff Knoll and Pyungoorup (DPAW 2016) to ensure post-fire population recovery.</w:t>
      </w:r>
    </w:p>
    <w:p w14:paraId="6E3180B4" w14:textId="77777777" w:rsidR="00FA65F9" w:rsidRDefault="00FA65F9" w:rsidP="00FA65F9">
      <w:pPr>
        <w:pStyle w:val="ListBullet"/>
      </w:pPr>
      <w:r>
        <w:t>Assess the impact of RHDV1-K5 calicivirus on European rabbit subpopulations at the two sites where it was released. The virus was released in 2017 and 2018, and post-fire in 2020 and 2021 (S Barrett 2021. pers comm 3 May).</w:t>
      </w:r>
    </w:p>
    <w:p w14:paraId="7C235B3E" w14:textId="77777777" w:rsidR="00FA65F9" w:rsidRDefault="00FA65F9" w:rsidP="00FA65F9">
      <w:pPr>
        <w:pStyle w:val="Heading4"/>
        <w:spacing w:line="276" w:lineRule="auto"/>
        <w:ind w:left="964" w:hanging="964"/>
      </w:pPr>
      <w:r w:rsidRPr="00921F7C">
        <w:t>I</w:t>
      </w:r>
      <w:r>
        <w:t>mpacts of native species</w:t>
      </w:r>
    </w:p>
    <w:p w14:paraId="7370626A" w14:textId="77777777" w:rsidR="00FA65F9" w:rsidRDefault="00FA65F9" w:rsidP="00FA65F9">
      <w:pPr>
        <w:pStyle w:val="ListBullet"/>
      </w:pPr>
      <w:r>
        <w:t xml:space="preserve">Install and maintain cages or fencing around seedling, juvenile and translocated plants to protect against Quokka grazing. </w:t>
      </w:r>
    </w:p>
    <w:p w14:paraId="397C7751" w14:textId="77777777" w:rsidR="00FA65F9" w:rsidRPr="00C01DA3" w:rsidRDefault="00FA65F9" w:rsidP="00FA65F9">
      <w:pPr>
        <w:pStyle w:val="ListBullet"/>
      </w:pPr>
      <w:r w:rsidRPr="00C01DA3">
        <w:rPr>
          <w:rFonts w:eastAsia="Calibri"/>
        </w:rPr>
        <w:t>Monitor and mitigate herbivore impacts for at least five years post-fire.</w:t>
      </w:r>
    </w:p>
    <w:p w14:paraId="76FA2D2C" w14:textId="77777777" w:rsidR="00FA65F9" w:rsidRDefault="00FA65F9" w:rsidP="00FA65F9">
      <w:pPr>
        <w:pStyle w:val="ListBullet"/>
      </w:pPr>
      <w:r>
        <w:t>Continue using remote cameras to monitor Quokka activity.</w:t>
      </w:r>
    </w:p>
    <w:p w14:paraId="76A3ED83" w14:textId="77777777" w:rsidR="00FA65F9" w:rsidRDefault="00FA65F9" w:rsidP="00FA65F9">
      <w:pPr>
        <w:pStyle w:val="Heading4"/>
        <w:spacing w:line="276" w:lineRule="auto"/>
        <w:ind w:left="964" w:hanging="964"/>
      </w:pPr>
      <w:r>
        <w:t xml:space="preserve">Habitat loss, disturbance and modification </w:t>
      </w:r>
    </w:p>
    <w:p w14:paraId="09DBB69A" w14:textId="77777777" w:rsidR="00FA65F9" w:rsidRDefault="00FA65F9" w:rsidP="00FA65F9">
      <w:pPr>
        <w:pStyle w:val="ListBullet"/>
      </w:pPr>
      <w:r>
        <w:t>Ensure that extant, extinct and translocated subpopulations continue to be protected from habitat loss and disturbance.</w:t>
      </w:r>
    </w:p>
    <w:p w14:paraId="4CF8D6BC" w14:textId="77777777" w:rsidR="00FA65F9" w:rsidRDefault="00FA65F9" w:rsidP="00FA65F9">
      <w:pPr>
        <w:pStyle w:val="ListBullet"/>
      </w:pPr>
      <w:r>
        <w:t>Protect subpopulations from trampling using signage, track markers and fencing.</w:t>
      </w:r>
    </w:p>
    <w:p w14:paraId="0152CB42" w14:textId="77777777" w:rsidR="00FA65F9" w:rsidRDefault="00FA65F9" w:rsidP="00FA65F9">
      <w:pPr>
        <w:pStyle w:val="Heading3"/>
        <w:spacing w:line="276" w:lineRule="auto"/>
        <w:ind w:left="964" w:hanging="964"/>
      </w:pPr>
      <w:r>
        <w:t>Stakeholder engagement/community engagement</w:t>
      </w:r>
    </w:p>
    <w:p w14:paraId="604C5819" w14:textId="77777777" w:rsidR="00FA65F9" w:rsidRDefault="00FA65F9" w:rsidP="00FA65F9">
      <w:pPr>
        <w:pStyle w:val="ListBullet"/>
      </w:pPr>
      <w:r>
        <w:t xml:space="preserve">Liaise with land managers and Indigenous communities regarding the management of Stirling Range dryandra. Consult with Traditional Owners to discuss issues or interests in areas where the species is found, as the Stirling Range National Park is in a culturally sensitive and significant area. </w:t>
      </w:r>
    </w:p>
    <w:p w14:paraId="6BDCAEF7" w14:textId="77777777" w:rsidR="00FA65F9" w:rsidRDefault="00FA65F9" w:rsidP="00FA65F9">
      <w:pPr>
        <w:pStyle w:val="ListBullet"/>
      </w:pPr>
      <w:r>
        <w:t>Liaise with the local community and government agencies to ensure that up-to-date population data inform the implementation of management actions.</w:t>
      </w:r>
    </w:p>
    <w:p w14:paraId="0C313704" w14:textId="77777777" w:rsidR="00FA65F9" w:rsidRDefault="00FA65F9" w:rsidP="00FA65F9">
      <w:pPr>
        <w:pStyle w:val="ListBullet"/>
      </w:pPr>
      <w:r>
        <w:lastRenderedPageBreak/>
        <w:t>Promote public awareness of biodiversity conservation and protection through dissemination of information through physical and digital media.</w:t>
      </w:r>
    </w:p>
    <w:p w14:paraId="57183C8A" w14:textId="77777777" w:rsidR="00FA65F9" w:rsidRDefault="00FA65F9" w:rsidP="00FA65F9">
      <w:pPr>
        <w:pStyle w:val="Heading3"/>
        <w:spacing w:line="276" w:lineRule="auto"/>
      </w:pPr>
      <w:r>
        <w:t>Survey and monitoring priorities</w:t>
      </w:r>
    </w:p>
    <w:p w14:paraId="57D75ACA" w14:textId="77777777" w:rsidR="00FA65F9" w:rsidRDefault="00FA65F9" w:rsidP="00FA65F9">
      <w:pPr>
        <w:pStyle w:val="ListBullet"/>
      </w:pPr>
      <w:r>
        <w:t>Regularly monitor all extant and presumed extinct subpopulations, including population stability, pollinator activity, growth, reproduction, recruitment, longevity and response to threats. Use these data to assess the species’ status and extent of population recovery after the 2018 and 2019 fires.</w:t>
      </w:r>
    </w:p>
    <w:p w14:paraId="7BC2DD5B" w14:textId="77777777" w:rsidR="00FA65F9" w:rsidRDefault="00FA65F9" w:rsidP="00FA65F9">
      <w:pPr>
        <w:pStyle w:val="ListBullet"/>
      </w:pPr>
      <w:r>
        <w:t>Maintain the current subset of extant seedling and juvenile plants that are currently tagged for monitoring in all subpopulations (S Barrett 2021. pers comm 3 May).</w:t>
      </w:r>
    </w:p>
    <w:p w14:paraId="7DB2F46D" w14:textId="72762427" w:rsidR="00FA65F9" w:rsidRDefault="00FA65F9" w:rsidP="00FA65F9">
      <w:pPr>
        <w:pStyle w:val="ListBullet"/>
      </w:pPr>
      <w:r>
        <w:t>Monitor plants within translocated subpopulations and seed orchards. Record the number of surviving</w:t>
      </w:r>
      <w:r w:rsidR="00EB30AE">
        <w:t xml:space="preserve"> adult plants and</w:t>
      </w:r>
      <w:r>
        <w:t xml:space="preserve"> seedlings, height of </w:t>
      </w:r>
      <w:r w:rsidR="00EB30AE">
        <w:t xml:space="preserve">adults plants and </w:t>
      </w:r>
      <w:r>
        <w:t>seedlings, reproductive state, and general health.</w:t>
      </w:r>
    </w:p>
    <w:p w14:paraId="5557E9EA" w14:textId="77777777" w:rsidR="00FA65F9" w:rsidRDefault="00FA65F9" w:rsidP="00FA65F9">
      <w:pPr>
        <w:pStyle w:val="ListBullet"/>
      </w:pPr>
      <w:r>
        <w:t xml:space="preserve">Survey suitable habitat for new subpopulations and possible translocation sites. </w:t>
      </w:r>
    </w:p>
    <w:p w14:paraId="28B59AA3" w14:textId="77777777" w:rsidR="00FA65F9" w:rsidRDefault="00FA65F9" w:rsidP="00FA65F9">
      <w:pPr>
        <w:pStyle w:val="ListBullet"/>
      </w:pPr>
      <w:r>
        <w:t xml:space="preserve">Implement a monitoring program to evaluate the effectiveness of disease management. </w:t>
      </w:r>
    </w:p>
    <w:p w14:paraId="59FA36E1" w14:textId="77777777" w:rsidR="00FA65F9" w:rsidRDefault="00FA65F9" w:rsidP="00FA65F9">
      <w:pPr>
        <w:pStyle w:val="Heading3"/>
        <w:spacing w:line="276" w:lineRule="auto"/>
        <w:ind w:left="964" w:hanging="964"/>
      </w:pPr>
      <w:r>
        <w:t>Information and research priorities</w:t>
      </w:r>
    </w:p>
    <w:p w14:paraId="6F184381" w14:textId="77777777" w:rsidR="00FA65F9" w:rsidRDefault="00FA65F9" w:rsidP="00FA65F9">
      <w:pPr>
        <w:pStyle w:val="ListBullet"/>
      </w:pPr>
      <w:r>
        <w:t>Increase knowledge surrounding the ecology of Stirling Range dryandra. This includes improving understanding of factors limiting seed production and recruitment, genetic structure, seed production and viability, seed predation, germination requirements, minimum viable population size and genotypes resistant to dieback.</w:t>
      </w:r>
    </w:p>
    <w:p w14:paraId="10E2B00A" w14:textId="77777777" w:rsidR="00FA65F9" w:rsidRDefault="00FA65F9" w:rsidP="00FA65F9">
      <w:pPr>
        <w:pStyle w:val="ListBullet"/>
      </w:pPr>
      <w:r>
        <w:t>Understand the potential influence of climate change on the long-term survival prospects of the species, e.g., through changes to temperatures, rainfall patterns, fire regimes, environmental stressors and disease.</w:t>
      </w:r>
    </w:p>
    <w:p w14:paraId="638832FE" w14:textId="77777777" w:rsidR="00FA65F9" w:rsidRDefault="00FA65F9" w:rsidP="00FA65F9">
      <w:pPr>
        <w:pStyle w:val="ListBullet"/>
      </w:pPr>
      <w:r>
        <w:t xml:space="preserve">Investigate the interaction between bushfires and </w:t>
      </w:r>
      <w:r>
        <w:rPr>
          <w:i/>
          <w:iCs/>
        </w:rPr>
        <w:t>P. cinnamomi</w:t>
      </w:r>
      <w:r>
        <w:t>.</w:t>
      </w:r>
    </w:p>
    <w:p w14:paraId="7B191F6C" w14:textId="77777777" w:rsidR="00FA65F9" w:rsidRDefault="00FA65F9" w:rsidP="00FA65F9">
      <w:pPr>
        <w:pStyle w:val="ListBullet"/>
      </w:pPr>
      <w:r>
        <w:t xml:space="preserve">Map habitat critical to species survival. Although habitat mapping has already been undertaken for this species, updated and detailed mapping is likely required due to the changes in </w:t>
      </w:r>
      <w:r w:rsidRPr="00C01DA3">
        <w:t xml:space="preserve">habitat (vegetation structure and composition) brought about by the 2018 and 2019 fires and the invasion of </w:t>
      </w:r>
      <w:r w:rsidRPr="00C01DA3">
        <w:rPr>
          <w:rFonts w:eastAsia="Calibri"/>
          <w:i/>
          <w:iCs/>
        </w:rPr>
        <w:t>P. cinnamom</w:t>
      </w:r>
      <w:r w:rsidRPr="00AC3A62">
        <w:rPr>
          <w:rFonts w:eastAsia="Calibri"/>
          <w:i/>
          <w:iCs/>
        </w:rPr>
        <w:t>i</w:t>
      </w:r>
      <w:r w:rsidRPr="00AC3A62">
        <w:t>.</w:t>
      </w:r>
    </w:p>
    <w:p w14:paraId="0DD77AAF" w14:textId="77777777" w:rsidR="00FA65F9" w:rsidRDefault="00FA65F9" w:rsidP="00FA65F9">
      <w:pPr>
        <w:pStyle w:val="ListBullet"/>
      </w:pPr>
      <w:r>
        <w:rPr>
          <w:rFonts w:cs="Arial"/>
          <w:szCs w:val="18"/>
        </w:rPr>
        <w:t>D</w:t>
      </w:r>
      <w:r w:rsidRPr="003B76EB">
        <w:rPr>
          <w:rFonts w:cs="Arial"/>
          <w:szCs w:val="18"/>
        </w:rPr>
        <w:t>etermine the impact of drier, hotter conditions on the species</w:t>
      </w:r>
      <w:r>
        <w:rPr>
          <w:rFonts w:cs="Arial"/>
          <w:szCs w:val="18"/>
        </w:rPr>
        <w:t>.</w:t>
      </w:r>
      <w:r>
        <w:t xml:space="preserve"> and identify and protect modelled potential areas of climate refugia for the species under projected climate change scenarios.</w:t>
      </w:r>
    </w:p>
    <w:p w14:paraId="195AC114" w14:textId="77777777" w:rsidR="00291B84" w:rsidRPr="00291B84" w:rsidRDefault="00291B84" w:rsidP="00291B84">
      <w:pPr>
        <w:pStyle w:val="ListBullet"/>
      </w:pPr>
      <w:r w:rsidRPr="00291B84">
        <w:t xml:space="preserve">Investigate new methods for the effective control of </w:t>
      </w:r>
      <w:r w:rsidRPr="00291B84">
        <w:rPr>
          <w:i/>
          <w:iCs/>
        </w:rPr>
        <w:t>P. cinnamomi</w:t>
      </w:r>
      <w:r w:rsidRPr="00291B84">
        <w:t xml:space="preserve"> and treatment of the disease it causes, in order to reduce potential off-target impacts caused by the application of phosphite. </w:t>
      </w:r>
    </w:p>
    <w:p w14:paraId="374E76A8" w14:textId="77777777" w:rsidR="00FA65F9" w:rsidRDefault="00FA65F9" w:rsidP="00FA65F9">
      <w:pPr>
        <w:pStyle w:val="ListBullet"/>
      </w:pPr>
      <w:r>
        <w:t>Collect and record climatic data (e.g., rainfall, soil and air temperatures, humidity).</w:t>
      </w:r>
    </w:p>
    <w:p w14:paraId="582AD7FB" w14:textId="77777777" w:rsidR="00FA65F9" w:rsidRDefault="00FA65F9" w:rsidP="00FA65F9">
      <w:pPr>
        <w:pStyle w:val="Heading3"/>
        <w:spacing w:line="276" w:lineRule="auto"/>
        <w:ind w:left="964" w:hanging="964"/>
      </w:pPr>
      <w:r>
        <w:t>Recovery plan decision</w:t>
      </w:r>
    </w:p>
    <w:p w14:paraId="7EACA6ED" w14:textId="77777777" w:rsidR="00FA65F9" w:rsidRDefault="00FA65F9" w:rsidP="00FA65F9">
      <w:r>
        <w:t xml:space="preserve">There is currently an existing Recovery Plan that is due to expire in 2022 (Gilfillan et al. 2008). </w:t>
      </w:r>
    </w:p>
    <w:p w14:paraId="408CBDC5" w14:textId="77777777" w:rsidR="00FA65F9" w:rsidRDefault="00FA65F9" w:rsidP="00FA65F9">
      <w:r w:rsidRPr="00732BEA">
        <w:t xml:space="preserve">A decision about whether there should be a recovery plan for this species has not yet been determined. The purpose of this consultation document is to elicit additional information to help inform this decision. </w:t>
      </w:r>
    </w:p>
    <w:p w14:paraId="72590927" w14:textId="77777777" w:rsidR="00FA65F9" w:rsidRDefault="00FA65F9" w:rsidP="00FA65F9">
      <w:pPr>
        <w:pStyle w:val="Heading2"/>
        <w:spacing w:line="276" w:lineRule="auto"/>
        <w:ind w:left="720" w:hanging="720"/>
      </w:pPr>
      <w:r>
        <w:lastRenderedPageBreak/>
        <w:t>Links to relevant implementation documents</w:t>
      </w:r>
    </w:p>
    <w:p w14:paraId="5CC10E29" w14:textId="77777777" w:rsidR="00FA65F9" w:rsidRDefault="00792A8F" w:rsidP="00FA65F9">
      <w:hyperlink r:id="rId24" w:history="1">
        <w:r w:rsidR="00FA65F9" w:rsidRPr="00FF5893">
          <w:rPr>
            <w:rStyle w:val="Hyperlink"/>
          </w:rPr>
          <w:t xml:space="preserve">Threat abatement plan for disease in natural ecosystems caused by </w:t>
        </w:r>
        <w:r w:rsidR="00FA65F9" w:rsidRPr="00FF5893">
          <w:rPr>
            <w:rStyle w:val="Hyperlink"/>
            <w:i/>
            <w:iCs/>
          </w:rPr>
          <w:t>Phytophthora cinnamomi</w:t>
        </w:r>
        <w:r w:rsidR="00FA65F9" w:rsidRPr="00FF5893">
          <w:rPr>
            <w:rStyle w:val="Hyperlink"/>
          </w:rPr>
          <w:t xml:space="preserve"> (2018)</w:t>
        </w:r>
        <w:r w:rsidR="00FA65F9" w:rsidRPr="00FF5893">
          <w:rPr>
            <w:rStyle w:val="Hyperlink"/>
            <w:rFonts w:ascii="Calibri" w:hAnsi="Calibri" w:cs="Arial"/>
            <w:i/>
            <w:iCs/>
          </w:rPr>
          <w:t xml:space="preserve"> </w:t>
        </w:r>
      </w:hyperlink>
    </w:p>
    <w:p w14:paraId="7549116F" w14:textId="77777777" w:rsidR="00FA65F9" w:rsidRDefault="00792A8F" w:rsidP="00FA65F9">
      <w:hyperlink r:id="rId25" w:history="1">
        <w:r w:rsidR="00FA65F9" w:rsidRPr="00226F02">
          <w:rPr>
            <w:rStyle w:val="Hyperlink"/>
          </w:rPr>
          <w:t>Montane Heath and Thicket of the South West Botanical Province, above approximately 900 m above sea level (Eastern Stirling Range Montane Heath and Thicket Community) Interim Recovery Plan 2016-2021</w:t>
        </w:r>
      </w:hyperlink>
    </w:p>
    <w:p w14:paraId="0F2EC7AA" w14:textId="77777777" w:rsidR="00FA65F9" w:rsidRDefault="00792A8F" w:rsidP="00FA65F9">
      <w:pPr>
        <w:rPr>
          <w:rStyle w:val="Hyperlink"/>
        </w:rPr>
      </w:pPr>
      <w:hyperlink r:id="rId26" w:history="1">
        <w:r w:rsidR="00FA65F9">
          <w:rPr>
            <w:rStyle w:val="Hyperlink"/>
          </w:rPr>
          <w:t>Stirling Range dryandra</w:t>
        </w:r>
        <w:r w:rsidR="00FA65F9" w:rsidRPr="00340EFA">
          <w:rPr>
            <w:rStyle w:val="Hyperlink"/>
          </w:rPr>
          <w:t xml:space="preserve"> (Dryandra Montana) Recovery Plan </w:t>
        </w:r>
        <w:r w:rsidR="00FA65F9">
          <w:rPr>
            <w:rStyle w:val="Hyperlink"/>
          </w:rPr>
          <w:t>(</w:t>
        </w:r>
        <w:r w:rsidR="00FA65F9" w:rsidRPr="00340EFA">
          <w:rPr>
            <w:rStyle w:val="Hyperlink"/>
          </w:rPr>
          <w:t>2</w:t>
        </w:r>
        <w:r w:rsidR="00FA65F9">
          <w:rPr>
            <w:rStyle w:val="Hyperlink"/>
          </w:rPr>
          <w:t>008</w:t>
        </w:r>
      </w:hyperlink>
      <w:r w:rsidR="00FA65F9">
        <w:t>)</w:t>
      </w:r>
    </w:p>
    <w:p w14:paraId="10AE6D72" w14:textId="77777777" w:rsidR="00FA65F9" w:rsidRDefault="00FA65F9" w:rsidP="00FA65F9">
      <w:pPr>
        <w:pStyle w:val="Heading2"/>
        <w:spacing w:before="120" w:line="276" w:lineRule="auto"/>
        <w:ind w:left="709" w:hanging="709"/>
      </w:pPr>
      <w:r>
        <w:t>Con</w:t>
      </w:r>
      <w:r>
        <w:rPr>
          <w:bCs w:val="0"/>
        </w:rPr>
        <w:t>se</w:t>
      </w:r>
      <w:r>
        <w:t>rva</w:t>
      </w:r>
      <w:r>
        <w:rPr>
          <w:bCs w:val="0"/>
        </w:rPr>
        <w:t>t</w:t>
      </w:r>
      <w:r>
        <w:t>io</w:t>
      </w:r>
      <w:r>
        <w:rPr>
          <w:bCs w:val="0"/>
        </w:rPr>
        <w:t>n</w:t>
      </w:r>
      <w:r>
        <w:t xml:space="preserve"> Advi</w:t>
      </w:r>
      <w:r>
        <w:rPr>
          <w:bCs w:val="0"/>
        </w:rPr>
        <w:t>c</w:t>
      </w:r>
      <w:r>
        <w:t xml:space="preserve">e </w:t>
      </w:r>
      <w:bookmarkEnd w:id="8"/>
      <w:bookmarkEnd w:id="9"/>
      <w:r>
        <w:t>references</w:t>
      </w:r>
    </w:p>
    <w:p w14:paraId="16BDAFBB" w14:textId="77777777" w:rsidR="00FA65F9" w:rsidRPr="005567D0" w:rsidRDefault="00FA65F9" w:rsidP="00FA65F9">
      <w:pPr>
        <w:ind w:left="720" w:right="-284" w:hanging="720"/>
        <w:rPr>
          <w:rFonts w:cs="Arial"/>
        </w:rPr>
      </w:pPr>
      <w:r w:rsidRPr="005567D0">
        <w:rPr>
          <w:rFonts w:cs="Arial"/>
        </w:rPr>
        <w:t>Barrett S (1996</w:t>
      </w:r>
      <w:r>
        <w:rPr>
          <w:rFonts w:cs="Arial"/>
        </w:rPr>
        <w:t>)</w:t>
      </w:r>
      <w:r w:rsidRPr="005567D0">
        <w:rPr>
          <w:rFonts w:cs="Arial"/>
        </w:rPr>
        <w:t xml:space="preserve"> </w:t>
      </w:r>
      <w:r w:rsidRPr="005567D0">
        <w:rPr>
          <w:rFonts w:cs="Arial"/>
          <w:i/>
          <w:iCs/>
        </w:rPr>
        <w:t>Biological survey of mountains in southern Western Australia</w:t>
      </w:r>
      <w:r w:rsidRPr="005567D0">
        <w:rPr>
          <w:rFonts w:cs="Arial"/>
        </w:rPr>
        <w:t>. Department of Conservation and Land Management, Perth, Western Australia.</w:t>
      </w:r>
    </w:p>
    <w:p w14:paraId="060B5794" w14:textId="77777777" w:rsidR="00FA65F9" w:rsidRDefault="00FA65F9" w:rsidP="00FA65F9">
      <w:pPr>
        <w:ind w:left="720" w:right="-284" w:hanging="720"/>
        <w:rPr>
          <w:rFonts w:cs="Arial"/>
        </w:rPr>
      </w:pPr>
      <w:r w:rsidRPr="005567D0">
        <w:rPr>
          <w:rFonts w:cs="Arial"/>
        </w:rPr>
        <w:t>Barrett S (2000</w:t>
      </w:r>
      <w:r>
        <w:rPr>
          <w:rFonts w:cs="Arial"/>
        </w:rPr>
        <w:t>)</w:t>
      </w:r>
      <w:r w:rsidRPr="005567D0">
        <w:rPr>
          <w:rFonts w:cs="Arial"/>
        </w:rPr>
        <w:t xml:space="preserve"> </w:t>
      </w:r>
      <w:r w:rsidRPr="005567D0">
        <w:rPr>
          <w:rFonts w:cs="Arial"/>
          <w:i/>
          <w:iCs/>
        </w:rPr>
        <w:t>Montane Heath and Thicket of the South West Botanical Province, above approximately 900m above sea level. Interim Recovery Plan 1999-2000</w:t>
      </w:r>
      <w:r w:rsidRPr="005567D0">
        <w:rPr>
          <w:rFonts w:cs="Arial"/>
        </w:rPr>
        <w:t>. Department of Conservation and Land Management, Perth, Western Australia.</w:t>
      </w:r>
    </w:p>
    <w:p w14:paraId="7C2B768B" w14:textId="77777777" w:rsidR="00FA65F9" w:rsidRDefault="00FA65F9" w:rsidP="00FA65F9">
      <w:pPr>
        <w:ind w:left="720" w:right="-284" w:hanging="720"/>
        <w:rPr>
          <w:rFonts w:cs="Arial"/>
        </w:rPr>
      </w:pPr>
      <w:r w:rsidRPr="00C760EF">
        <w:rPr>
          <w:rFonts w:cs="Arial"/>
        </w:rPr>
        <w:t>Barrett S (2020</w:t>
      </w:r>
      <w:r>
        <w:rPr>
          <w:rFonts w:cs="Arial"/>
        </w:rPr>
        <w:t>)</w:t>
      </w:r>
      <w:r w:rsidRPr="00C760EF">
        <w:rPr>
          <w:rFonts w:cs="Arial"/>
        </w:rPr>
        <w:t xml:space="preserve"> Personal communication by email, 25 September 2020. Threatened Flora Researcher for the Department of Biodiversity, Conservation and Attractions, Albany District.</w:t>
      </w:r>
    </w:p>
    <w:p w14:paraId="2A6FB207" w14:textId="77777777" w:rsidR="00FA65F9" w:rsidRPr="00C760EF" w:rsidRDefault="00FA65F9" w:rsidP="00FA65F9">
      <w:pPr>
        <w:ind w:left="720" w:right="-284" w:hanging="720"/>
        <w:rPr>
          <w:rFonts w:cs="Arial"/>
        </w:rPr>
      </w:pPr>
      <w:r w:rsidRPr="00C760EF">
        <w:rPr>
          <w:rFonts w:cs="Arial"/>
        </w:rPr>
        <w:t>Barrett S (202</w:t>
      </w:r>
      <w:r>
        <w:rPr>
          <w:rFonts w:cs="Arial"/>
        </w:rPr>
        <w:t>1)</w:t>
      </w:r>
      <w:r w:rsidRPr="00C760EF">
        <w:rPr>
          <w:rFonts w:cs="Arial"/>
        </w:rPr>
        <w:t xml:space="preserve"> Personal communication </w:t>
      </w:r>
      <w:r>
        <w:rPr>
          <w:rFonts w:cs="Arial"/>
        </w:rPr>
        <w:t>as part of Common Assessment Method consultation</w:t>
      </w:r>
      <w:r w:rsidRPr="00C760EF">
        <w:rPr>
          <w:rFonts w:cs="Arial"/>
        </w:rPr>
        <w:t xml:space="preserve"> email, </w:t>
      </w:r>
      <w:r>
        <w:rPr>
          <w:rFonts w:cs="Arial"/>
        </w:rPr>
        <w:t xml:space="preserve">3 May </w:t>
      </w:r>
      <w:r w:rsidRPr="00C760EF">
        <w:rPr>
          <w:rFonts w:cs="Arial"/>
        </w:rPr>
        <w:t>202</w:t>
      </w:r>
      <w:r>
        <w:rPr>
          <w:rFonts w:cs="Arial"/>
        </w:rPr>
        <w:t>1</w:t>
      </w:r>
      <w:r w:rsidRPr="00C760EF">
        <w:rPr>
          <w:rFonts w:cs="Arial"/>
        </w:rPr>
        <w:t>. Threatened Flora Researcher for the Department of Biodiversity, Conservation and Attractions, Albany District.</w:t>
      </w:r>
    </w:p>
    <w:p w14:paraId="1A0D7004" w14:textId="77777777" w:rsidR="00FA65F9" w:rsidRPr="006458B9" w:rsidRDefault="00FA65F9" w:rsidP="00FA65F9">
      <w:pPr>
        <w:ind w:left="720" w:right="-284" w:hanging="720"/>
        <w:rPr>
          <w:rFonts w:cs="Arial"/>
        </w:rPr>
      </w:pPr>
      <w:r w:rsidRPr="006458B9">
        <w:rPr>
          <w:rFonts w:cs="Helvetica"/>
          <w:color w:val="080100"/>
          <w:shd w:val="clear" w:color="auto" w:fill="FFFFFF"/>
        </w:rPr>
        <w:t>Barrett S, Atkins</w:t>
      </w:r>
      <w:r>
        <w:rPr>
          <w:rFonts w:cs="Helvetica"/>
          <w:color w:val="080100"/>
          <w:shd w:val="clear" w:color="auto" w:fill="FFFFFF"/>
        </w:rPr>
        <w:t xml:space="preserve"> K</w:t>
      </w:r>
      <w:r w:rsidRPr="006458B9">
        <w:rPr>
          <w:rFonts w:cs="Helvetica"/>
          <w:color w:val="080100"/>
          <w:shd w:val="clear" w:color="auto" w:fill="FFFFFF"/>
        </w:rPr>
        <w:t xml:space="preserve"> &amp; Keith D </w:t>
      </w:r>
      <w:r>
        <w:rPr>
          <w:rFonts w:cs="Helvetica"/>
          <w:color w:val="080100"/>
          <w:shd w:val="clear" w:color="auto" w:fill="FFFFFF"/>
        </w:rPr>
        <w:t>(</w:t>
      </w:r>
      <w:r w:rsidRPr="006458B9">
        <w:rPr>
          <w:rFonts w:cs="Helvetica"/>
          <w:color w:val="080100"/>
          <w:bdr w:val="none" w:sz="0" w:space="0" w:color="auto" w:frame="1"/>
          <w:shd w:val="clear" w:color="auto" w:fill="FFFFFF"/>
        </w:rPr>
        <w:t>2020</w:t>
      </w:r>
      <w:r>
        <w:rPr>
          <w:rFonts w:cs="Helvetica"/>
          <w:color w:val="080100"/>
          <w:bdr w:val="none" w:sz="0" w:space="0" w:color="auto" w:frame="1"/>
          <w:shd w:val="clear" w:color="auto" w:fill="FFFFFF"/>
        </w:rPr>
        <w:t>)</w:t>
      </w:r>
      <w:r w:rsidRPr="006458B9">
        <w:rPr>
          <w:rFonts w:cs="Helvetica"/>
          <w:color w:val="080100"/>
          <w:bdr w:val="none" w:sz="0" w:space="0" w:color="auto" w:frame="1"/>
          <w:shd w:val="clear" w:color="auto" w:fill="FFFFFF"/>
        </w:rPr>
        <w:t> </w:t>
      </w:r>
      <w:r w:rsidRPr="006458B9">
        <w:rPr>
          <w:rFonts w:cs="Helvetica"/>
          <w:i/>
          <w:iCs/>
          <w:color w:val="080100"/>
          <w:bdr w:val="none" w:sz="0" w:space="0" w:color="auto" w:frame="1"/>
          <w:shd w:val="clear" w:color="auto" w:fill="FFFFFF"/>
        </w:rPr>
        <w:t>Banksia montana</w:t>
      </w:r>
      <w:r w:rsidRPr="006458B9">
        <w:rPr>
          <w:rFonts w:cs="Helvetica"/>
          <w:color w:val="080100"/>
          <w:bdr w:val="none" w:sz="0" w:space="0" w:color="auto" w:frame="1"/>
          <w:shd w:val="clear" w:color="auto" w:fill="FFFFFF"/>
        </w:rPr>
        <w:t>. </w:t>
      </w:r>
      <w:r w:rsidRPr="006458B9">
        <w:rPr>
          <w:rFonts w:cs="Helvetica"/>
          <w:i/>
          <w:iCs/>
          <w:color w:val="080100"/>
          <w:bdr w:val="none" w:sz="0" w:space="0" w:color="auto" w:frame="1"/>
          <w:shd w:val="clear" w:color="auto" w:fill="FFFFFF"/>
        </w:rPr>
        <w:t>The IUCN Red List of Threatened Species</w:t>
      </w:r>
      <w:r w:rsidRPr="006458B9">
        <w:rPr>
          <w:rFonts w:cs="Helvetica"/>
          <w:color w:val="080100"/>
          <w:bdr w:val="none" w:sz="0" w:space="0" w:color="auto" w:frame="1"/>
          <w:shd w:val="clear" w:color="auto" w:fill="FFFFFF"/>
        </w:rPr>
        <w:t> 2020: e.T112607724A113307356</w:t>
      </w:r>
      <w:r>
        <w:rPr>
          <w:rFonts w:cs="Helvetica"/>
          <w:color w:val="080100"/>
          <w:bdr w:val="none" w:sz="0" w:space="0" w:color="auto" w:frame="1"/>
          <w:shd w:val="clear" w:color="auto" w:fill="FFFFFF"/>
        </w:rPr>
        <w:t xml:space="preserve">. Viewed: </w:t>
      </w:r>
      <w:r w:rsidRPr="006458B9">
        <w:rPr>
          <w:rFonts w:cs="Helvetica"/>
          <w:color w:val="080100"/>
          <w:shd w:val="clear" w:color="auto" w:fill="FFFFFF"/>
        </w:rPr>
        <w:t>24 May 2021.</w:t>
      </w:r>
    </w:p>
    <w:p w14:paraId="108F0925" w14:textId="77777777" w:rsidR="00FA65F9" w:rsidRPr="0044017B" w:rsidRDefault="00FA65F9" w:rsidP="00FA65F9">
      <w:pPr>
        <w:ind w:left="720" w:right="-284" w:hanging="720"/>
        <w:rPr>
          <w:rFonts w:cs="Arial"/>
        </w:rPr>
      </w:pPr>
      <w:r w:rsidRPr="0044017B">
        <w:rPr>
          <w:rFonts w:cs="Arial"/>
          <w:shd w:val="clear" w:color="auto" w:fill="FFFFFF"/>
        </w:rPr>
        <w:t>Barrett S, Shearer BL, Crane CE &amp; Cochrane A (2008</w:t>
      </w:r>
      <w:r>
        <w:rPr>
          <w:rFonts w:cs="Arial"/>
          <w:shd w:val="clear" w:color="auto" w:fill="FFFFFF"/>
        </w:rPr>
        <w:t>)</w:t>
      </w:r>
      <w:r w:rsidRPr="0044017B">
        <w:rPr>
          <w:rFonts w:cs="Arial"/>
          <w:shd w:val="clear" w:color="auto" w:fill="FFFFFF"/>
        </w:rPr>
        <w:t xml:space="preserve"> An extinction-risk assessment tool for flora threatened by Phytophthora cinnamomi </w:t>
      </w:r>
      <w:r w:rsidRPr="0044017B">
        <w:rPr>
          <w:rFonts w:cs="Arial"/>
          <w:i/>
          <w:iCs/>
          <w:shd w:val="clear" w:color="auto" w:fill="FFFFFF"/>
        </w:rPr>
        <w:t>Australian Journal of Botany</w:t>
      </w:r>
      <w:r w:rsidRPr="0044017B">
        <w:rPr>
          <w:rFonts w:cs="Arial"/>
          <w:shd w:val="clear" w:color="auto" w:fill="FFFFFF"/>
        </w:rPr>
        <w:t> 56, 477–486.</w:t>
      </w:r>
      <w:r w:rsidRPr="0044017B" w:rsidDel="006E1104">
        <w:rPr>
          <w:rFonts w:cs="Arial"/>
        </w:rPr>
        <w:t xml:space="preserve"> </w:t>
      </w:r>
    </w:p>
    <w:p w14:paraId="793C45EA" w14:textId="77777777" w:rsidR="00FA65F9" w:rsidRDefault="00FA65F9" w:rsidP="00FA65F9">
      <w:pPr>
        <w:ind w:left="720" w:right="-284" w:hanging="720"/>
        <w:rPr>
          <w:rFonts w:cs="Arial"/>
        </w:rPr>
      </w:pPr>
      <w:r w:rsidRPr="00C760EF">
        <w:rPr>
          <w:rFonts w:cs="Arial"/>
        </w:rPr>
        <w:t>Barrett S</w:t>
      </w:r>
      <w:r>
        <w:rPr>
          <w:rFonts w:cs="Arial"/>
        </w:rPr>
        <w:t xml:space="preserve"> &amp;</w:t>
      </w:r>
      <w:r w:rsidRPr="00C760EF">
        <w:rPr>
          <w:rFonts w:cs="Arial"/>
        </w:rPr>
        <w:t xml:space="preserve"> Yates CJ (201</w:t>
      </w:r>
      <w:r>
        <w:rPr>
          <w:rFonts w:cs="Arial"/>
        </w:rPr>
        <w:t>5)</w:t>
      </w:r>
      <w:r w:rsidRPr="00C760EF">
        <w:rPr>
          <w:rFonts w:cs="Arial"/>
        </w:rPr>
        <w:t xml:space="preserve"> Risks to a mountain summit ecosystem with endemic biota in </w:t>
      </w:r>
      <w:r w:rsidRPr="005567D0">
        <w:rPr>
          <w:rFonts w:cs="Arial"/>
        </w:rPr>
        <w:t xml:space="preserve">southwestern Australia. </w:t>
      </w:r>
      <w:r w:rsidRPr="005567D0">
        <w:rPr>
          <w:rFonts w:cs="Arial"/>
          <w:i/>
          <w:iCs/>
        </w:rPr>
        <w:t>Austral Ecology 40</w:t>
      </w:r>
      <w:r w:rsidRPr="005567D0">
        <w:rPr>
          <w:rFonts w:cs="Arial"/>
        </w:rPr>
        <w:t>, 423–432.</w:t>
      </w:r>
    </w:p>
    <w:p w14:paraId="18532D4D" w14:textId="77777777" w:rsidR="00FA65F9" w:rsidRDefault="00FA65F9" w:rsidP="00FA65F9">
      <w:pPr>
        <w:ind w:left="720" w:right="-284" w:hanging="720"/>
        <w:rPr>
          <w:rStyle w:val="Hyperlink"/>
          <w:rFonts w:cs="Arial"/>
        </w:rPr>
      </w:pPr>
      <w:r>
        <w:rPr>
          <w:rFonts w:cs="Arial"/>
        </w:rPr>
        <w:t>BOM (Bureau of Meteorology) (2018)</w:t>
      </w:r>
      <w:r w:rsidRPr="00660B5B">
        <w:t xml:space="preserve"> </w:t>
      </w:r>
      <w:r w:rsidRPr="00B16F19">
        <w:rPr>
          <w:rFonts w:cs="Arial"/>
          <w:i/>
          <w:iCs/>
        </w:rPr>
        <w:t>Report into the Meteorological Aspects of the Fires in the Stirling Ranges and near the South Coast of Western Australia May 2018</w:t>
      </w:r>
      <w:r>
        <w:rPr>
          <w:rFonts w:cs="Arial"/>
        </w:rPr>
        <w:t xml:space="preserve">. Viewed: 9 July 2021. Available on the internet at: </w:t>
      </w:r>
      <w:hyperlink r:id="rId27" w:history="1">
        <w:r w:rsidRPr="00660B5B">
          <w:rPr>
            <w:rStyle w:val="Hyperlink"/>
            <w:rFonts w:cs="Arial"/>
          </w:rPr>
          <w:t>https://dfes.wa.gov.au/waemergencyandriskmanagement/obrm/Documents/Appendix-4_Meteorological_Aspects_Stirling_Ranges_South_Coast_Fires_Report-Final-2018.pdf</w:t>
        </w:r>
      </w:hyperlink>
    </w:p>
    <w:p w14:paraId="49FDB039" w14:textId="77777777" w:rsidR="00FA65F9" w:rsidRPr="009D50A8" w:rsidRDefault="00FA65F9" w:rsidP="00FA65F9">
      <w:pPr>
        <w:ind w:left="720" w:right="-284" w:hanging="720"/>
        <w:rPr>
          <w:rFonts w:cs="Arial"/>
        </w:rPr>
      </w:pPr>
      <w:r>
        <w:rPr>
          <w:rFonts w:cs="Arial"/>
        </w:rPr>
        <w:t xml:space="preserve">BOM (Bureau of Meteorology) (2021) Climate statistics for Australian locations – Mount Barker. Viewed: 10 September 2021. Available on the internet at: </w:t>
      </w:r>
      <w:hyperlink r:id="rId28" w:history="1">
        <w:r w:rsidRPr="000E167F">
          <w:rPr>
            <w:rStyle w:val="Hyperlink"/>
            <w:rFonts w:cs="Arial"/>
          </w:rPr>
          <w:t>http://www.bom.gov.au/jsp/ncc/cdio/cvg/av</w:t>
        </w:r>
      </w:hyperlink>
    </w:p>
    <w:p w14:paraId="245E5EF7" w14:textId="77777777" w:rsidR="00FA65F9" w:rsidRPr="00C174C4" w:rsidRDefault="00FA65F9" w:rsidP="00FA65F9">
      <w:pPr>
        <w:ind w:left="720" w:right="-284" w:hanging="720"/>
        <w:rPr>
          <w:rFonts w:cs="Arial"/>
        </w:rPr>
      </w:pPr>
      <w:r w:rsidRPr="00C174C4">
        <w:rPr>
          <w:rFonts w:cs="Arial"/>
        </w:rPr>
        <w:t>Bond WJ &amp; van Wilgen BW (1996</w:t>
      </w:r>
      <w:r>
        <w:rPr>
          <w:rFonts w:cs="Arial"/>
        </w:rPr>
        <w:t>)</w:t>
      </w:r>
      <w:r w:rsidRPr="00C174C4">
        <w:rPr>
          <w:rFonts w:cs="Arial"/>
        </w:rPr>
        <w:t xml:space="preserve"> </w:t>
      </w:r>
      <w:r w:rsidRPr="00C174C4">
        <w:rPr>
          <w:rFonts w:cs="Arial"/>
          <w:i/>
          <w:iCs/>
        </w:rPr>
        <w:t>Fire and plants</w:t>
      </w:r>
      <w:r w:rsidRPr="00C174C4">
        <w:rPr>
          <w:rFonts w:cs="Arial"/>
        </w:rPr>
        <w:t>. Chapman and Hall, London.</w:t>
      </w:r>
    </w:p>
    <w:p w14:paraId="536DDE8E" w14:textId="77777777" w:rsidR="00FA65F9" w:rsidRPr="00C760EF" w:rsidRDefault="00FA65F9" w:rsidP="00FA65F9">
      <w:pPr>
        <w:ind w:left="720" w:right="-284" w:hanging="720"/>
        <w:rPr>
          <w:rFonts w:cs="Arial"/>
        </w:rPr>
      </w:pPr>
      <w:r w:rsidRPr="006E1104">
        <w:rPr>
          <w:rFonts w:cs="Arial"/>
        </w:rPr>
        <w:lastRenderedPageBreak/>
        <w:t>Bradstock RA, Gill AM, Kenny BJ &amp; Scott J (1998</w:t>
      </w:r>
      <w:r>
        <w:rPr>
          <w:rFonts w:cs="Arial"/>
        </w:rPr>
        <w:t>)</w:t>
      </w:r>
      <w:r w:rsidRPr="006E1104">
        <w:rPr>
          <w:rFonts w:cs="Arial"/>
        </w:rPr>
        <w:t xml:space="preserve"> Bushfire risk at the urban interface estimated</w:t>
      </w:r>
      <w:r w:rsidRPr="00C760EF">
        <w:rPr>
          <w:rFonts w:cs="Arial"/>
        </w:rPr>
        <w:t xml:space="preserve"> from historical weather records: consequences for the use of prescribed fire in the Sydney region of southeastern Australia. </w:t>
      </w:r>
      <w:r w:rsidRPr="00C760EF">
        <w:rPr>
          <w:rFonts w:cs="Arial"/>
          <w:i/>
          <w:iCs/>
        </w:rPr>
        <w:t>Journal of Environmental Management, 52</w:t>
      </w:r>
      <w:r w:rsidRPr="00C760EF">
        <w:rPr>
          <w:rFonts w:cs="Arial"/>
        </w:rPr>
        <w:t>, 259</w:t>
      </w:r>
      <w:r>
        <w:rPr>
          <w:rFonts w:cs="Arial"/>
        </w:rPr>
        <w:t>–</w:t>
      </w:r>
      <w:r w:rsidRPr="00C760EF">
        <w:rPr>
          <w:rFonts w:cs="Arial"/>
        </w:rPr>
        <w:t>271.</w:t>
      </w:r>
    </w:p>
    <w:p w14:paraId="38FFC999" w14:textId="77777777" w:rsidR="00FA65F9" w:rsidRPr="00C760EF" w:rsidRDefault="00FA65F9" w:rsidP="00FA65F9">
      <w:pPr>
        <w:ind w:left="720" w:right="-284" w:hanging="720"/>
        <w:rPr>
          <w:rFonts w:cs="Arial"/>
        </w:rPr>
      </w:pPr>
      <w:r w:rsidRPr="00C760EF">
        <w:rPr>
          <w:rFonts w:cs="Arial"/>
        </w:rPr>
        <w:t>Bridle K</w:t>
      </w:r>
      <w:r>
        <w:rPr>
          <w:rFonts w:cs="Arial"/>
        </w:rPr>
        <w:t>L &amp;</w:t>
      </w:r>
      <w:r w:rsidRPr="00C760EF">
        <w:rPr>
          <w:rFonts w:cs="Arial"/>
        </w:rPr>
        <w:t xml:space="preserve"> Kirkpatrick JB (1999</w:t>
      </w:r>
      <w:r>
        <w:rPr>
          <w:rFonts w:cs="Arial"/>
        </w:rPr>
        <w:t>)</w:t>
      </w:r>
      <w:r w:rsidRPr="00C760EF">
        <w:rPr>
          <w:rFonts w:cs="Arial"/>
        </w:rPr>
        <w:t xml:space="preserve"> Comparative effects of stock and wild vertebrate herbivore grazing on treeless subalpine vegetation, Eastern Central Plateau, Tasmania. </w:t>
      </w:r>
      <w:r w:rsidRPr="00C760EF">
        <w:rPr>
          <w:rFonts w:cs="Arial"/>
          <w:i/>
          <w:iCs/>
        </w:rPr>
        <w:t>Australian Journal of Botany 47</w:t>
      </w:r>
      <w:r w:rsidRPr="00C760EF">
        <w:rPr>
          <w:rFonts w:cs="Arial"/>
        </w:rPr>
        <w:t>, 817</w:t>
      </w:r>
      <w:r>
        <w:rPr>
          <w:rFonts w:cs="Arial"/>
        </w:rPr>
        <w:t>–</w:t>
      </w:r>
      <w:r w:rsidRPr="00C760EF">
        <w:rPr>
          <w:rFonts w:cs="Arial"/>
        </w:rPr>
        <w:t xml:space="preserve">834. </w:t>
      </w:r>
    </w:p>
    <w:p w14:paraId="47E5CE85" w14:textId="77777777" w:rsidR="00FA65F9" w:rsidRDefault="00FA65F9" w:rsidP="00FA65F9">
      <w:pPr>
        <w:ind w:left="720" w:right="-284" w:hanging="720"/>
        <w:rPr>
          <w:rFonts w:cs="Arial"/>
        </w:rPr>
      </w:pPr>
      <w:r w:rsidRPr="00C760EF">
        <w:rPr>
          <w:rFonts w:cs="Arial"/>
        </w:rPr>
        <w:t>Bridle KL, Kirkpatrick JB, Cullen P &amp; Shepherd RR (2001</w:t>
      </w:r>
      <w:r>
        <w:rPr>
          <w:rFonts w:cs="Arial"/>
        </w:rPr>
        <w:t>)</w:t>
      </w:r>
      <w:r w:rsidRPr="00C760EF">
        <w:rPr>
          <w:rFonts w:cs="Arial"/>
        </w:rPr>
        <w:t xml:space="preserve"> Recovery in alpine heath and grassland following burning and grazing, Eastern Central Plateau, Tasmania, Australia. </w:t>
      </w:r>
      <w:r w:rsidRPr="00C760EF">
        <w:rPr>
          <w:rFonts w:cs="Arial"/>
          <w:i/>
          <w:iCs/>
        </w:rPr>
        <w:t>Arctic Antarctic and Alpine Research 33</w:t>
      </w:r>
      <w:r w:rsidRPr="00C760EF">
        <w:rPr>
          <w:rFonts w:cs="Arial"/>
        </w:rPr>
        <w:t>, 348</w:t>
      </w:r>
      <w:r>
        <w:rPr>
          <w:rFonts w:cs="Arial"/>
        </w:rPr>
        <w:t>–</w:t>
      </w:r>
      <w:r w:rsidRPr="00C760EF">
        <w:rPr>
          <w:rFonts w:cs="Arial"/>
        </w:rPr>
        <w:t>356</w:t>
      </w:r>
      <w:r>
        <w:rPr>
          <w:rFonts w:cs="Arial"/>
        </w:rPr>
        <w:t>.</w:t>
      </w:r>
    </w:p>
    <w:p w14:paraId="56309949" w14:textId="77777777" w:rsidR="00FA65F9" w:rsidRPr="00C760EF" w:rsidRDefault="00FA65F9" w:rsidP="00FA65F9">
      <w:pPr>
        <w:ind w:left="720" w:right="-284" w:hanging="720"/>
        <w:rPr>
          <w:rFonts w:cs="Arial"/>
        </w:rPr>
      </w:pPr>
      <w:r w:rsidRPr="009B4EA1">
        <w:rPr>
          <w:rFonts w:cs="Arial"/>
        </w:rPr>
        <w:t>Burgman MA &amp; Lamont BB (1992</w:t>
      </w:r>
      <w:r>
        <w:rPr>
          <w:rFonts w:cs="Arial"/>
        </w:rPr>
        <w:t>)</w:t>
      </w:r>
      <w:r w:rsidRPr="009B4EA1">
        <w:rPr>
          <w:rFonts w:cs="Arial"/>
        </w:rPr>
        <w:t xml:space="preserve"> A stochastic model for the viability of Banksia cuneata populations: environmental, demographic and genetic effects. </w:t>
      </w:r>
      <w:r w:rsidRPr="009B4EA1">
        <w:rPr>
          <w:rFonts w:cs="Arial"/>
          <w:i/>
          <w:iCs/>
        </w:rPr>
        <w:t>Journal of Applied Ecology</w:t>
      </w:r>
      <w:r w:rsidRPr="009B4EA1">
        <w:rPr>
          <w:rFonts w:cs="Arial"/>
        </w:rPr>
        <w:t>, 719-727.</w:t>
      </w:r>
    </w:p>
    <w:p w14:paraId="21755E9D" w14:textId="77777777" w:rsidR="00FA65F9" w:rsidRDefault="00FA65F9" w:rsidP="00FA65F9">
      <w:pPr>
        <w:ind w:left="720" w:right="-284" w:hanging="720"/>
        <w:rPr>
          <w:rFonts w:cs="Arial"/>
        </w:rPr>
      </w:pPr>
      <w:r w:rsidRPr="00C760EF">
        <w:rPr>
          <w:rFonts w:cs="Arial"/>
        </w:rPr>
        <w:t>Cochrane J</w:t>
      </w:r>
      <w:r>
        <w:rPr>
          <w:rFonts w:cs="Arial"/>
        </w:rPr>
        <w:t>,</w:t>
      </w:r>
      <w:r w:rsidRPr="00C760EF">
        <w:rPr>
          <w:rFonts w:cs="Arial"/>
        </w:rPr>
        <w:t xml:space="preserve"> Barrett S</w:t>
      </w:r>
      <w:r>
        <w:rPr>
          <w:rFonts w:cs="Arial"/>
        </w:rPr>
        <w:t>,</w:t>
      </w:r>
      <w:r w:rsidRPr="00C760EF">
        <w:rPr>
          <w:rFonts w:cs="Arial"/>
        </w:rPr>
        <w:t xml:space="preserve"> Monks L</w:t>
      </w:r>
      <w:r>
        <w:rPr>
          <w:rFonts w:cs="Arial"/>
        </w:rPr>
        <w:t xml:space="preserve"> &amp;</w:t>
      </w:r>
      <w:r w:rsidRPr="00C760EF">
        <w:rPr>
          <w:rFonts w:cs="Arial"/>
        </w:rPr>
        <w:t xml:space="preserve"> Dillon R (2010</w:t>
      </w:r>
      <w:r>
        <w:rPr>
          <w:rFonts w:cs="Arial"/>
        </w:rPr>
        <w:t>)</w:t>
      </w:r>
      <w:r w:rsidRPr="00C760EF">
        <w:rPr>
          <w:rFonts w:cs="Arial"/>
        </w:rPr>
        <w:t xml:space="preserve"> Partnering conservation actions. Inter-situ solutions to recover threatened species in South West Western Australia. </w:t>
      </w:r>
      <w:r w:rsidRPr="00C760EF">
        <w:rPr>
          <w:rFonts w:cs="Arial"/>
          <w:i/>
          <w:iCs/>
        </w:rPr>
        <w:t>Kew Bulletin 65</w:t>
      </w:r>
      <w:r w:rsidRPr="00C760EF">
        <w:rPr>
          <w:rFonts w:cs="Arial"/>
        </w:rPr>
        <w:t>, 655</w:t>
      </w:r>
      <w:r>
        <w:rPr>
          <w:rFonts w:cs="Arial"/>
        </w:rPr>
        <w:t>–</w:t>
      </w:r>
      <w:r w:rsidRPr="00C760EF">
        <w:rPr>
          <w:rFonts w:cs="Arial"/>
        </w:rPr>
        <w:t>662.</w:t>
      </w:r>
    </w:p>
    <w:p w14:paraId="2EBB5F63" w14:textId="77777777" w:rsidR="00FA65F9" w:rsidRDefault="00FA65F9" w:rsidP="00FA65F9">
      <w:pPr>
        <w:ind w:left="720" w:right="-284" w:hanging="720"/>
        <w:rPr>
          <w:rFonts w:cs="Arial"/>
        </w:rPr>
      </w:pPr>
      <w:r w:rsidRPr="00E864EB">
        <w:rPr>
          <w:rFonts w:cs="Arial"/>
        </w:rPr>
        <w:t>CSIRO &amp; Bureau of Meteorology (2015</w:t>
      </w:r>
      <w:r>
        <w:rPr>
          <w:rFonts w:cs="Arial"/>
        </w:rPr>
        <w:t>)</w:t>
      </w:r>
      <w:r w:rsidRPr="00E864EB">
        <w:rPr>
          <w:rFonts w:cs="Arial"/>
        </w:rPr>
        <w:t xml:space="preserve"> </w:t>
      </w:r>
      <w:r w:rsidRPr="00E864EB">
        <w:rPr>
          <w:rFonts w:cs="Arial"/>
          <w:i/>
          <w:iCs/>
        </w:rPr>
        <w:t>Climate Change in Australia</w:t>
      </w:r>
      <w:r>
        <w:rPr>
          <w:rFonts w:cs="Arial"/>
          <w:i/>
          <w:iCs/>
        </w:rPr>
        <w:t>.</w:t>
      </w:r>
      <w:r w:rsidRPr="00E864EB">
        <w:rPr>
          <w:rFonts w:cs="Arial"/>
          <w:i/>
          <w:iCs/>
        </w:rPr>
        <w:t xml:space="preserve"> Information for Australia’s Natural Resource Management Regions: Technical Report</w:t>
      </w:r>
      <w:r w:rsidRPr="00E864EB">
        <w:rPr>
          <w:rFonts w:cs="Arial"/>
        </w:rPr>
        <w:t>, CSIRO &amp; Bureau of Meteorology, Australia</w:t>
      </w:r>
      <w:r>
        <w:rPr>
          <w:rFonts w:cs="Arial"/>
        </w:rPr>
        <w:t>.</w:t>
      </w:r>
    </w:p>
    <w:p w14:paraId="65473533" w14:textId="77777777" w:rsidR="00FA65F9" w:rsidRDefault="00FA65F9" w:rsidP="00FA65F9">
      <w:pPr>
        <w:ind w:left="720" w:right="-284" w:hanging="720"/>
        <w:rPr>
          <w:rStyle w:val="Hyperlink"/>
        </w:rPr>
      </w:pPr>
      <w:r w:rsidRPr="00C760EF">
        <w:rPr>
          <w:rFonts w:cs="Arial"/>
        </w:rPr>
        <w:t>DAWE (Department of Agriculture Water and the Environment) (2017</w:t>
      </w:r>
      <w:r>
        <w:rPr>
          <w:rFonts w:cs="Arial"/>
        </w:rPr>
        <w:t>)</w:t>
      </w:r>
      <w:r w:rsidRPr="00C760EF">
        <w:rPr>
          <w:rFonts w:cs="Arial"/>
        </w:rPr>
        <w:t xml:space="preserve"> Conservation Advice for </w:t>
      </w:r>
      <w:r w:rsidRPr="00C760EF">
        <w:rPr>
          <w:rFonts w:cs="Arial"/>
          <w:i/>
          <w:iCs/>
        </w:rPr>
        <w:t>Pseudococcus markharveyi.</w:t>
      </w:r>
      <w:r>
        <w:rPr>
          <w:rFonts w:cs="Arial"/>
          <w:i/>
          <w:iCs/>
        </w:rPr>
        <w:t xml:space="preserve"> </w:t>
      </w:r>
      <w:r>
        <w:rPr>
          <w:rFonts w:cs="Arial"/>
        </w:rPr>
        <w:t>Available on the internet at:</w:t>
      </w:r>
      <w:r>
        <w:rPr>
          <w:rFonts w:cs="Arial"/>
        </w:rPr>
        <w:br/>
        <w:t xml:space="preserve">     </w:t>
      </w:r>
      <w:hyperlink r:id="rId29" w:history="1">
        <w:r>
          <w:rPr>
            <w:rStyle w:val="Hyperlink"/>
          </w:rPr>
          <w:t>http://www.environment.gov.au/biodiversity/threatened/species/pubs/86868-conservation-advice-11052018.pdf</w:t>
        </w:r>
      </w:hyperlink>
      <w:r>
        <w:rPr>
          <w:rStyle w:val="Hyperlink"/>
        </w:rPr>
        <w:t>.</w:t>
      </w:r>
    </w:p>
    <w:p w14:paraId="77D0D65E" w14:textId="77777777" w:rsidR="00FA65F9" w:rsidRDefault="00FA65F9" w:rsidP="00FA65F9">
      <w:pPr>
        <w:ind w:left="720" w:right="-284" w:hanging="720"/>
        <w:rPr>
          <w:rStyle w:val="Hyperlink"/>
          <w:rFonts w:cs="Arial"/>
        </w:rPr>
      </w:pPr>
      <w:r w:rsidRPr="00C760EF">
        <w:rPr>
          <w:rFonts w:cs="Arial"/>
        </w:rPr>
        <w:t>DAWE (Department of Agriculture Water and the Environment) (2018</w:t>
      </w:r>
      <w:r>
        <w:rPr>
          <w:rFonts w:cs="Arial"/>
        </w:rPr>
        <w:t>)</w:t>
      </w:r>
      <w:r w:rsidRPr="00C760EF">
        <w:rPr>
          <w:rFonts w:cs="Arial"/>
        </w:rPr>
        <w:t xml:space="preserve"> </w:t>
      </w:r>
      <w:r w:rsidRPr="00C760EF">
        <w:rPr>
          <w:rFonts w:cs="Arial"/>
          <w:i/>
          <w:iCs/>
        </w:rPr>
        <w:t>Phytophthora dieback</w:t>
      </w:r>
      <w:r w:rsidRPr="00C760EF">
        <w:rPr>
          <w:rFonts w:cs="Arial"/>
        </w:rPr>
        <w:t>. Viewed 1 October 2020. Available</w:t>
      </w:r>
      <w:r>
        <w:rPr>
          <w:rFonts w:cs="Arial"/>
        </w:rPr>
        <w:t xml:space="preserve"> on the internet</w:t>
      </w:r>
      <w:r w:rsidRPr="00C760EF">
        <w:rPr>
          <w:rFonts w:cs="Arial"/>
        </w:rPr>
        <w:t xml:space="preserve"> at:</w:t>
      </w:r>
      <w:r>
        <w:rPr>
          <w:rFonts w:cs="Arial"/>
        </w:rPr>
        <w:br/>
      </w:r>
      <w:r>
        <w:t xml:space="preserve">     </w:t>
      </w:r>
      <w:hyperlink r:id="rId30" w:history="1">
        <w:r w:rsidRPr="00A9071B">
          <w:rPr>
            <w:rStyle w:val="Hyperlink"/>
            <w:rFonts w:cs="Arial"/>
          </w:rPr>
          <w:t>https://www.environment.gov.au/biodiversity/invasive-species/diseases-fungi-and-parasites/phytophthora-cinnamomi-disease</w:t>
        </w:r>
      </w:hyperlink>
      <w:r>
        <w:rPr>
          <w:rStyle w:val="Hyperlink"/>
          <w:rFonts w:cs="Arial"/>
        </w:rPr>
        <w:t>.</w:t>
      </w:r>
    </w:p>
    <w:p w14:paraId="21BCC31F" w14:textId="77777777" w:rsidR="00FA65F9" w:rsidRDefault="00FA65F9" w:rsidP="00FA65F9">
      <w:pPr>
        <w:ind w:left="720" w:right="-284" w:hanging="720"/>
      </w:pPr>
      <w:r w:rsidRPr="00783DA2">
        <w:rPr>
          <w:rStyle w:val="Hyperlink"/>
          <w:rFonts w:cs="Arial"/>
          <w:color w:val="auto"/>
          <w:u w:val="none"/>
        </w:rPr>
        <w:t>DBCA (Department of Biodiversity Conservation and Attractions) (2020</w:t>
      </w:r>
      <w:r>
        <w:rPr>
          <w:rStyle w:val="Hyperlink"/>
          <w:rFonts w:cs="Arial"/>
          <w:color w:val="auto"/>
          <w:u w:val="none"/>
        </w:rPr>
        <w:t>)</w:t>
      </w:r>
      <w:r w:rsidRPr="00783DA2">
        <w:rPr>
          <w:rStyle w:val="Hyperlink"/>
          <w:rFonts w:cs="Arial"/>
          <w:i/>
          <w:iCs/>
          <w:color w:val="auto"/>
          <w:u w:val="none"/>
        </w:rPr>
        <w:t xml:space="preserve"> Montane thicket of the eastern Stirling Range</w:t>
      </w:r>
      <w:r w:rsidRPr="00783DA2">
        <w:rPr>
          <w:rStyle w:val="Hyperlink"/>
          <w:rFonts w:cs="Arial"/>
          <w:color w:val="auto"/>
          <w:u w:val="none"/>
        </w:rPr>
        <w:t>.</w:t>
      </w:r>
      <w:r>
        <w:rPr>
          <w:rStyle w:val="Hyperlink"/>
          <w:rFonts w:cs="Arial"/>
          <w:color w:val="auto"/>
          <w:u w:val="none"/>
        </w:rPr>
        <w:t xml:space="preserve"> Viewed: 1 October 2020.</w:t>
      </w:r>
      <w:r w:rsidRPr="00783DA2">
        <w:rPr>
          <w:rStyle w:val="Hyperlink"/>
          <w:rFonts w:cs="Arial"/>
          <w:color w:val="auto"/>
          <w:u w:val="none"/>
        </w:rPr>
        <w:t xml:space="preserve"> Available</w:t>
      </w:r>
      <w:r>
        <w:rPr>
          <w:rStyle w:val="Hyperlink"/>
          <w:rFonts w:cs="Arial"/>
          <w:color w:val="auto"/>
          <w:u w:val="none"/>
        </w:rPr>
        <w:t xml:space="preserve"> on the internet</w:t>
      </w:r>
      <w:r w:rsidRPr="00783DA2">
        <w:rPr>
          <w:rStyle w:val="Hyperlink"/>
          <w:rFonts w:cs="Arial"/>
          <w:color w:val="auto"/>
          <w:u w:val="none"/>
        </w:rPr>
        <w:t xml:space="preserve"> at:</w:t>
      </w:r>
      <w:r>
        <w:rPr>
          <w:rStyle w:val="Hyperlink"/>
          <w:rFonts w:cs="Arial"/>
          <w:color w:val="auto"/>
          <w:u w:val="none"/>
        </w:rPr>
        <w:br/>
        <w:t xml:space="preserve">     </w:t>
      </w:r>
      <w:r w:rsidRPr="00783DA2">
        <w:t xml:space="preserve"> </w:t>
      </w:r>
      <w:hyperlink r:id="rId31" w:history="1">
        <w:r>
          <w:rPr>
            <w:rStyle w:val="Hyperlink"/>
          </w:rPr>
          <w:t>https://www.dpaw.wa.gov.au/images/documents/plants-animals/tecs/Montane-thicket-of-the-eastern-Stirling-Range.pdf</w:t>
        </w:r>
      </w:hyperlink>
      <w:r>
        <w:rPr>
          <w:rStyle w:val="Hyperlink"/>
        </w:rPr>
        <w:t>.</w:t>
      </w:r>
    </w:p>
    <w:p w14:paraId="6196302F" w14:textId="77777777" w:rsidR="00FA65F9" w:rsidRPr="005567D0" w:rsidRDefault="00FA65F9" w:rsidP="00FA65F9">
      <w:pPr>
        <w:ind w:left="720" w:right="-284" w:hanging="720"/>
        <w:rPr>
          <w:rFonts w:cs="Arial"/>
          <w:color w:val="165788"/>
          <w:u w:val="single"/>
        </w:rPr>
      </w:pPr>
      <w:bookmarkStart w:id="11" w:name="_Hlk72238772"/>
      <w:r>
        <w:t>DBCA (Department of Biodiversity Conservation and Attractions (WA)) (2021)</w:t>
      </w:r>
      <w:r w:rsidRPr="000C7038">
        <w:t xml:space="preserve"> </w:t>
      </w:r>
      <w:r w:rsidRPr="000C7038">
        <w:rPr>
          <w:lang w:val="en-US"/>
        </w:rPr>
        <w:t>Consultation from the Common Assessment Method Working Group</w:t>
      </w:r>
      <w:r>
        <w:rPr>
          <w:lang w:val="en-US"/>
        </w:rPr>
        <w:t>, 5 May 2021.</w:t>
      </w:r>
    </w:p>
    <w:bookmarkEnd w:id="11"/>
    <w:p w14:paraId="59C3768E" w14:textId="77777777" w:rsidR="00FA65F9" w:rsidRDefault="00FA65F9" w:rsidP="00FA65F9">
      <w:pPr>
        <w:ind w:left="720" w:right="-284" w:hanging="720"/>
        <w:rPr>
          <w:rFonts w:cs="Arial"/>
        </w:rPr>
      </w:pPr>
      <w:r w:rsidRPr="00C760EF">
        <w:rPr>
          <w:rFonts w:cs="Arial"/>
        </w:rPr>
        <w:t>DPAW (Department of Parks and Wildlife) (2016</w:t>
      </w:r>
      <w:r>
        <w:rPr>
          <w:rFonts w:cs="Arial"/>
        </w:rPr>
        <w:t>)</w:t>
      </w:r>
      <w:r w:rsidRPr="00C760EF">
        <w:rPr>
          <w:rFonts w:cs="Arial"/>
        </w:rPr>
        <w:t xml:space="preserve"> </w:t>
      </w:r>
      <w:r w:rsidRPr="00C760EF">
        <w:rPr>
          <w:rFonts w:cs="Arial"/>
          <w:i/>
          <w:iCs/>
        </w:rPr>
        <w:t>Montane Heath and Thicket of the South West Botanical Province, above approximately 900m above sea level (Eastern Stirling Range Montane Heath and Thicket Community</w:t>
      </w:r>
      <w:r>
        <w:rPr>
          <w:rFonts w:cs="Arial"/>
          <w:i/>
          <w:iCs/>
        </w:rPr>
        <w:t>)</w:t>
      </w:r>
      <w:r w:rsidRPr="00C760EF">
        <w:rPr>
          <w:rFonts w:cs="Arial"/>
        </w:rPr>
        <w:t xml:space="preserve"> Viewed 26 September 2020. Available at:</w:t>
      </w:r>
      <w:r>
        <w:rPr>
          <w:rFonts w:cs="Arial"/>
        </w:rPr>
        <w:br/>
      </w:r>
      <w:hyperlink r:id="rId32" w:history="1">
        <w:r w:rsidRPr="000D4F95">
          <w:rPr>
            <w:rStyle w:val="Hyperlink"/>
            <w:rFonts w:cs="Arial"/>
          </w:rPr>
          <w:t>https://www.dpaw.wa.gov.au/images/documents/plants-animals/threatened-species/recovery_plans/Approved_interim_recovery_plans_/communities/montane_irp52.pdf</w:t>
        </w:r>
      </w:hyperlink>
      <w:r>
        <w:rPr>
          <w:rStyle w:val="Hyperlink"/>
          <w:rFonts w:cs="Arial"/>
        </w:rPr>
        <w:t>.</w:t>
      </w:r>
    </w:p>
    <w:p w14:paraId="3AA80C9D" w14:textId="77777777" w:rsidR="00FA65F9" w:rsidRDefault="00FA65F9" w:rsidP="00FA65F9">
      <w:pPr>
        <w:ind w:left="720" w:right="-284" w:hanging="720"/>
        <w:rPr>
          <w:rStyle w:val="Hyperlink"/>
        </w:rPr>
      </w:pPr>
      <w:r>
        <w:lastRenderedPageBreak/>
        <w:t xml:space="preserve">DPAW (Department of Parks and Wildlife) (2014) </w:t>
      </w:r>
      <w:r>
        <w:rPr>
          <w:i/>
          <w:iCs/>
        </w:rPr>
        <w:t>Phosphite and Phytophthora Dieback</w:t>
      </w:r>
      <w:r>
        <w:t xml:space="preserve">. Viewed 12 October 2020. Available on the internet at: </w:t>
      </w:r>
      <w:hyperlink r:id="rId33" w:history="1">
        <w:r>
          <w:rPr>
            <w:rStyle w:val="Hyperlink"/>
          </w:rPr>
          <w:t>https://www.dpaw.wa.gov.au/management/pests-diseases/232-phosphite-and-phytophthora-dieback</w:t>
        </w:r>
      </w:hyperlink>
      <w:r>
        <w:rPr>
          <w:rStyle w:val="Hyperlink"/>
        </w:rPr>
        <w:t>.</w:t>
      </w:r>
    </w:p>
    <w:p w14:paraId="5BF8B382" w14:textId="77777777" w:rsidR="00FA65F9" w:rsidRPr="0045187C" w:rsidRDefault="00FA65F9" w:rsidP="00FA65F9">
      <w:pPr>
        <w:ind w:left="720" w:right="-284" w:hanging="720"/>
        <w:rPr>
          <w:rStyle w:val="Hyperlink"/>
          <w:color w:val="000000" w:themeColor="text1"/>
        </w:rPr>
      </w:pPr>
      <w:r w:rsidRPr="0045187C">
        <w:rPr>
          <w:rFonts w:cs="Arial"/>
          <w:color w:val="000000" w:themeColor="text1"/>
          <w:shd w:val="clear" w:color="auto" w:fill="FFFFFF"/>
        </w:rPr>
        <w:t>Enright NJ &amp; Lamont BB (1989</w:t>
      </w:r>
      <w:r>
        <w:rPr>
          <w:rFonts w:cs="Arial"/>
          <w:color w:val="000000" w:themeColor="text1"/>
          <w:shd w:val="clear" w:color="auto" w:fill="FFFFFF"/>
        </w:rPr>
        <w:t>)</w:t>
      </w:r>
      <w:r w:rsidRPr="0045187C">
        <w:rPr>
          <w:rFonts w:cs="Arial"/>
          <w:color w:val="000000" w:themeColor="text1"/>
          <w:shd w:val="clear" w:color="auto" w:fill="FFFFFF"/>
        </w:rPr>
        <w:t xml:space="preserve"> Seed banks, fire season, safe sites and seedling recruitment in five co-occurring Banksia species. </w:t>
      </w:r>
      <w:r w:rsidRPr="0045187C">
        <w:rPr>
          <w:rFonts w:cs="Arial"/>
          <w:i/>
          <w:iCs/>
          <w:color w:val="000000" w:themeColor="text1"/>
          <w:shd w:val="clear" w:color="auto" w:fill="FFFFFF"/>
        </w:rPr>
        <w:t xml:space="preserve">The Journal of Ecology </w:t>
      </w:r>
      <w:r w:rsidRPr="0045187C">
        <w:rPr>
          <w:rFonts w:cs="Arial"/>
          <w:color w:val="000000" w:themeColor="text1"/>
          <w:shd w:val="clear" w:color="auto" w:fill="FFFFFF"/>
        </w:rPr>
        <w:t>77,1111–1122.</w:t>
      </w:r>
    </w:p>
    <w:p w14:paraId="6F0B5F36" w14:textId="77777777" w:rsidR="00FA65F9" w:rsidRPr="00C760EF" w:rsidRDefault="00FA65F9" w:rsidP="00FA65F9">
      <w:pPr>
        <w:ind w:left="720" w:right="-284" w:hanging="720"/>
        <w:rPr>
          <w:rFonts w:cs="Arial"/>
        </w:rPr>
      </w:pPr>
      <w:r w:rsidRPr="00C760EF">
        <w:rPr>
          <w:rFonts w:cs="Arial"/>
        </w:rPr>
        <w:t>FloraBase—the Western Australian Flora (2020</w:t>
      </w:r>
      <w:r>
        <w:rPr>
          <w:rFonts w:cs="Arial"/>
        </w:rPr>
        <w:t>)</w:t>
      </w:r>
      <w:r w:rsidRPr="00C760EF">
        <w:rPr>
          <w:rFonts w:cs="Arial"/>
        </w:rPr>
        <w:t xml:space="preserve"> Banksia montana</w:t>
      </w:r>
      <w:r w:rsidRPr="00C760EF">
        <w:rPr>
          <w:rFonts w:cs="Arial"/>
          <w:i/>
          <w:iCs/>
        </w:rPr>
        <w:t xml:space="preserve"> (A.S. George) A.R. Mast &amp; K.R. Thi</w:t>
      </w:r>
      <w:r>
        <w:rPr>
          <w:rFonts w:cs="Arial"/>
          <w:i/>
          <w:iCs/>
        </w:rPr>
        <w:t>e</w:t>
      </w:r>
      <w:r w:rsidRPr="00C760EF">
        <w:rPr>
          <w:rFonts w:cs="Arial"/>
          <w:i/>
          <w:iCs/>
        </w:rPr>
        <w:t>le.</w:t>
      </w:r>
      <w:r w:rsidRPr="00C760EF">
        <w:rPr>
          <w:rFonts w:cs="Arial"/>
        </w:rPr>
        <w:t xml:space="preserve"> Department of Biodiversity, Conservation and Attractions.</w:t>
      </w:r>
      <w:r>
        <w:rPr>
          <w:rFonts w:cs="Arial"/>
        </w:rPr>
        <w:t xml:space="preserve"> Viewed 1 October 2020.</w:t>
      </w:r>
      <w:r w:rsidRPr="00C760EF">
        <w:rPr>
          <w:rFonts w:cs="Arial"/>
        </w:rPr>
        <w:t xml:space="preserve"> Available</w:t>
      </w:r>
      <w:r>
        <w:rPr>
          <w:rFonts w:cs="Arial"/>
        </w:rPr>
        <w:t xml:space="preserve"> on the internet</w:t>
      </w:r>
      <w:r w:rsidRPr="00C760EF">
        <w:rPr>
          <w:rFonts w:cs="Arial"/>
        </w:rPr>
        <w:t xml:space="preserve"> </w:t>
      </w:r>
      <w:r>
        <w:rPr>
          <w:rFonts w:cs="Arial"/>
        </w:rPr>
        <w:t>at:</w:t>
      </w:r>
      <w:r>
        <w:rPr>
          <w:rFonts w:cs="Arial"/>
        </w:rPr>
        <w:br/>
        <w:t xml:space="preserve">      </w:t>
      </w:r>
      <w:hyperlink r:id="rId34" w:history="1">
        <w:r w:rsidRPr="00DE0725">
          <w:rPr>
            <w:rStyle w:val="Hyperlink"/>
          </w:rPr>
          <w:t>https://florabase.dpaw.wa.gov.au/browse/profile/32210</w:t>
        </w:r>
      </w:hyperlink>
      <w:r>
        <w:rPr>
          <w:rStyle w:val="Hyperlink"/>
        </w:rPr>
        <w:t>.</w:t>
      </w:r>
    </w:p>
    <w:p w14:paraId="2250846B" w14:textId="77777777" w:rsidR="00FA65F9" w:rsidRDefault="00FA65F9" w:rsidP="00FA65F9">
      <w:pPr>
        <w:ind w:left="720" w:right="-284" w:hanging="720"/>
        <w:rPr>
          <w:rFonts w:cs="Arial"/>
        </w:rPr>
      </w:pPr>
      <w:r w:rsidRPr="00C760EF">
        <w:rPr>
          <w:rFonts w:cs="Arial"/>
        </w:rPr>
        <w:t>George AS (1996</w:t>
      </w:r>
      <w:r>
        <w:rPr>
          <w:rFonts w:cs="Arial"/>
        </w:rPr>
        <w:t>)</w:t>
      </w:r>
      <w:r w:rsidRPr="00C760EF">
        <w:rPr>
          <w:rFonts w:cs="Arial"/>
        </w:rPr>
        <w:t xml:space="preserve"> New taxa and a new infrageneric classification in </w:t>
      </w:r>
      <w:r w:rsidRPr="00C760EF">
        <w:rPr>
          <w:rFonts w:cs="Arial"/>
          <w:i/>
          <w:iCs/>
        </w:rPr>
        <w:t>Dryandra R. Br</w:t>
      </w:r>
      <w:r w:rsidRPr="00C760EF">
        <w:rPr>
          <w:rFonts w:cs="Arial"/>
        </w:rPr>
        <w:t>. (</w:t>
      </w:r>
      <w:r w:rsidRPr="00C760EF">
        <w:rPr>
          <w:rFonts w:cs="Arial"/>
          <w:i/>
          <w:iCs/>
        </w:rPr>
        <w:t>Proteaceae: Grevilleoideae</w:t>
      </w:r>
      <w:r>
        <w:rPr>
          <w:rFonts w:cs="Arial"/>
        </w:rPr>
        <w:t>)</w:t>
      </w:r>
      <w:r w:rsidRPr="00C760EF">
        <w:rPr>
          <w:rFonts w:cs="Arial"/>
        </w:rPr>
        <w:t xml:space="preserve"> </w:t>
      </w:r>
      <w:r w:rsidRPr="00C760EF">
        <w:rPr>
          <w:rFonts w:cs="Arial"/>
          <w:i/>
          <w:iCs/>
        </w:rPr>
        <w:t>Nuytsia</w:t>
      </w:r>
      <w:r w:rsidRPr="00C760EF">
        <w:rPr>
          <w:rFonts w:cs="Arial"/>
        </w:rPr>
        <w:t xml:space="preserve"> 10, 313</w:t>
      </w:r>
      <w:r>
        <w:rPr>
          <w:rFonts w:cs="Arial"/>
        </w:rPr>
        <w:t>–</w:t>
      </w:r>
      <w:r w:rsidRPr="00C760EF">
        <w:rPr>
          <w:rFonts w:cs="Arial"/>
        </w:rPr>
        <w:t>408.</w:t>
      </w:r>
    </w:p>
    <w:p w14:paraId="05F4C2A2" w14:textId="77777777" w:rsidR="00FA65F9" w:rsidRDefault="00FA65F9" w:rsidP="00FA65F9">
      <w:pPr>
        <w:ind w:left="720" w:right="-284" w:hanging="720"/>
        <w:rPr>
          <w:rFonts w:cs="Arial"/>
        </w:rPr>
      </w:pPr>
      <w:r>
        <w:rPr>
          <w:rFonts w:cs="Arial"/>
        </w:rPr>
        <w:t xml:space="preserve">Gilfillan S, Barrett S, Hartley R &amp; Yates C </w:t>
      </w:r>
      <w:r w:rsidRPr="00C760EF">
        <w:rPr>
          <w:rFonts w:cs="Arial"/>
        </w:rPr>
        <w:t>(20</w:t>
      </w:r>
      <w:r>
        <w:rPr>
          <w:rFonts w:cs="Arial"/>
        </w:rPr>
        <w:t>08)</w:t>
      </w:r>
      <w:r w:rsidRPr="00C760EF">
        <w:rPr>
          <w:rFonts w:cs="Arial"/>
        </w:rPr>
        <w:t xml:space="preserve"> </w:t>
      </w:r>
      <w:r>
        <w:rPr>
          <w:rFonts w:cs="Arial"/>
        </w:rPr>
        <w:t>Stirling Range dryandra (</w:t>
      </w:r>
      <w:r>
        <w:rPr>
          <w:rFonts w:cs="Arial"/>
          <w:i/>
          <w:iCs/>
        </w:rPr>
        <w:t>Dryandra montana</w:t>
      </w:r>
      <w:r>
        <w:rPr>
          <w:rFonts w:cs="Arial"/>
        </w:rPr>
        <w:t>) Recovery Plan. Viewed: 30 September 2020. Available on the internet at:</w:t>
      </w:r>
      <w:r>
        <w:br/>
        <w:t xml:space="preserve">     </w:t>
      </w:r>
      <w:hyperlink r:id="rId35" w:history="1">
        <w:r w:rsidRPr="00A9071B">
          <w:rPr>
            <w:rStyle w:val="Hyperlink"/>
          </w:rPr>
          <w:t>https://www.environment.gov.au/system/files/resources/2ad52ee4-0334-451c-beea-a2f2743c6bc7/files/dryandra-montana.pdf</w:t>
        </w:r>
      </w:hyperlink>
      <w:r>
        <w:rPr>
          <w:rStyle w:val="Hyperlink"/>
        </w:rPr>
        <w:t>.</w:t>
      </w:r>
    </w:p>
    <w:p w14:paraId="19DB7873" w14:textId="77777777" w:rsidR="00FA65F9" w:rsidRPr="00C760EF" w:rsidRDefault="00FA65F9" w:rsidP="00FA65F9">
      <w:pPr>
        <w:ind w:left="720" w:right="-284" w:hanging="720"/>
        <w:rPr>
          <w:rFonts w:cs="Arial"/>
        </w:rPr>
      </w:pPr>
      <w:r w:rsidRPr="00C760EF">
        <w:rPr>
          <w:rFonts w:cs="Arial"/>
        </w:rPr>
        <w:t>Gill AM &amp; Nichols AO (1989</w:t>
      </w:r>
      <w:r>
        <w:rPr>
          <w:rFonts w:cs="Arial"/>
        </w:rPr>
        <w:t>)</w:t>
      </w:r>
      <w:r w:rsidRPr="00C760EF">
        <w:rPr>
          <w:rFonts w:cs="Arial"/>
        </w:rPr>
        <w:t xml:space="preserve"> </w:t>
      </w:r>
      <w:r w:rsidRPr="00C760EF">
        <w:rPr>
          <w:rFonts w:cs="Arial"/>
          <w:i/>
          <w:iCs/>
        </w:rPr>
        <w:t>Monitoring fire prone flora in reserves for nature conservation. In: "Fire Management on Nature Conservation Lands". Occasional Paper 1/89</w:t>
      </w:r>
      <w:r w:rsidRPr="00C760EF">
        <w:rPr>
          <w:rFonts w:cs="Arial"/>
        </w:rPr>
        <w:t>. Department of Conservation and Land Management, Perth, Western Australia.</w:t>
      </w:r>
    </w:p>
    <w:p w14:paraId="13A8A514" w14:textId="77777777" w:rsidR="00FA65F9" w:rsidRDefault="00FA65F9" w:rsidP="00FA65F9">
      <w:pPr>
        <w:ind w:left="720" w:right="-284" w:hanging="720"/>
        <w:rPr>
          <w:rFonts w:cs="Arial"/>
        </w:rPr>
      </w:pPr>
      <w:r w:rsidRPr="00C760EF">
        <w:rPr>
          <w:rFonts w:cs="Arial"/>
        </w:rPr>
        <w:t>Gillen K &amp; Watson JR (1993</w:t>
      </w:r>
      <w:r>
        <w:rPr>
          <w:rFonts w:cs="Arial"/>
        </w:rPr>
        <w:t>)</w:t>
      </w:r>
      <w:r w:rsidRPr="00C760EF">
        <w:rPr>
          <w:rFonts w:cs="Arial"/>
        </w:rPr>
        <w:t xml:space="preserve"> Controlling </w:t>
      </w:r>
      <w:r w:rsidRPr="00C760EF">
        <w:rPr>
          <w:rFonts w:cs="Arial"/>
          <w:i/>
          <w:iCs/>
        </w:rPr>
        <w:t>Phytophthora cinnamomi</w:t>
      </w:r>
      <w:r w:rsidRPr="00C760EF">
        <w:rPr>
          <w:rFonts w:cs="Arial"/>
        </w:rPr>
        <w:t xml:space="preserve"> in the mountains of south Western Australia. </w:t>
      </w:r>
      <w:r w:rsidRPr="00C760EF">
        <w:rPr>
          <w:rFonts w:cs="Arial"/>
          <w:i/>
          <w:iCs/>
        </w:rPr>
        <w:t>Australian Ranger, 27</w:t>
      </w:r>
      <w:r w:rsidRPr="00C760EF">
        <w:rPr>
          <w:rFonts w:cs="Arial"/>
        </w:rPr>
        <w:t>, 18</w:t>
      </w:r>
      <w:r>
        <w:rPr>
          <w:rFonts w:cs="Arial"/>
        </w:rPr>
        <w:t>–</w:t>
      </w:r>
      <w:r w:rsidRPr="00C760EF">
        <w:rPr>
          <w:rFonts w:cs="Arial"/>
        </w:rPr>
        <w:t>20.</w:t>
      </w:r>
    </w:p>
    <w:p w14:paraId="47D1A6D0" w14:textId="77777777" w:rsidR="00FA65F9" w:rsidRDefault="00FA65F9" w:rsidP="00FA65F9">
      <w:pPr>
        <w:ind w:left="720" w:right="-284" w:hanging="720"/>
        <w:rPr>
          <w:rFonts w:cs="Arial"/>
        </w:rPr>
      </w:pPr>
      <w:r w:rsidRPr="00C760EF">
        <w:rPr>
          <w:rFonts w:cs="Arial"/>
        </w:rPr>
        <w:t>Gullan PJ, Moir ML &amp; Leng MC (2013</w:t>
      </w:r>
      <w:r>
        <w:rPr>
          <w:rFonts w:cs="Arial"/>
        </w:rPr>
        <w:t>)</w:t>
      </w:r>
      <w:r w:rsidRPr="00C760EF">
        <w:rPr>
          <w:rFonts w:cs="Arial"/>
        </w:rPr>
        <w:t xml:space="preserve"> A new species of mealybug (</w:t>
      </w:r>
      <w:r w:rsidRPr="00C760EF">
        <w:rPr>
          <w:rFonts w:cs="Arial"/>
          <w:i/>
          <w:iCs/>
        </w:rPr>
        <w:t>Hemiptera: Pseudococcidea</w:t>
      </w:r>
      <w:r w:rsidRPr="00C760EF">
        <w:rPr>
          <w:rFonts w:cs="Arial"/>
        </w:rPr>
        <w:t xml:space="preserve">) from critically endangered Banksia montana in Western Australia. </w:t>
      </w:r>
      <w:r w:rsidRPr="00C760EF">
        <w:rPr>
          <w:rFonts w:cs="Arial"/>
          <w:i/>
          <w:iCs/>
        </w:rPr>
        <w:t>Records of the Western Australian Museum</w:t>
      </w:r>
      <w:r w:rsidRPr="00C760EF">
        <w:rPr>
          <w:rFonts w:cs="Arial"/>
        </w:rPr>
        <w:t xml:space="preserve"> </w:t>
      </w:r>
      <w:r w:rsidRPr="00C760EF">
        <w:rPr>
          <w:rFonts w:cs="Arial"/>
          <w:i/>
          <w:iCs/>
        </w:rPr>
        <w:t>28</w:t>
      </w:r>
      <w:r w:rsidRPr="00C760EF">
        <w:rPr>
          <w:rFonts w:cs="Arial"/>
        </w:rPr>
        <w:t>, 13</w:t>
      </w:r>
      <w:r>
        <w:rPr>
          <w:rFonts w:cs="Arial"/>
        </w:rPr>
        <w:t>–</w:t>
      </w:r>
      <w:r w:rsidRPr="00C760EF">
        <w:rPr>
          <w:rFonts w:cs="Arial"/>
        </w:rPr>
        <w:t>20.</w:t>
      </w:r>
    </w:p>
    <w:p w14:paraId="50F95C64" w14:textId="49A48C53" w:rsidR="00FA65F9" w:rsidRDefault="00FA65F9" w:rsidP="00FA65F9">
      <w:pPr>
        <w:ind w:left="720" w:right="-284" w:hanging="720"/>
        <w:rPr>
          <w:rFonts w:cs="Arial"/>
        </w:rPr>
      </w:pPr>
      <w:r w:rsidRPr="00775781">
        <w:rPr>
          <w:rFonts w:cs="Arial"/>
        </w:rPr>
        <w:t xml:space="preserve">Hopper SD, Lambers H, Silveira FAO &amp; Fiedler PL (2021) OCBIL theory examined: reassessing evolution, ecology and conservation in the world’s ancient, climatically buffered and infertile landscapes. </w:t>
      </w:r>
      <w:r w:rsidRPr="00291B84">
        <w:rPr>
          <w:rFonts w:cs="Arial"/>
          <w:i/>
          <w:iCs/>
        </w:rPr>
        <w:t>Biological Journal of the Linnean Society</w:t>
      </w:r>
      <w:r w:rsidRPr="00775781">
        <w:rPr>
          <w:rFonts w:cs="Arial"/>
        </w:rPr>
        <w:t xml:space="preserve"> 133, 266-296.</w:t>
      </w:r>
    </w:p>
    <w:p w14:paraId="75A0F4A0" w14:textId="27AD9896" w:rsidR="00BE125D" w:rsidRPr="007D5FC8" w:rsidRDefault="00BE125D" w:rsidP="00BE125D">
      <w:pPr>
        <w:ind w:left="680" w:hanging="720"/>
      </w:pPr>
      <w:bookmarkStart w:id="12" w:name="_Hlk88491673"/>
      <w:r w:rsidRPr="007D5FC8">
        <w:t xml:space="preserve">IUCN (2019) </w:t>
      </w:r>
      <w:r w:rsidRPr="007D5FC8">
        <w:rPr>
          <w:i/>
          <w:iCs/>
        </w:rPr>
        <w:t>Guidelines for Using the IUCN Red List Categories and Criteria. Version 14.</w:t>
      </w:r>
      <w:r w:rsidRPr="007D5FC8">
        <w:t xml:space="preserve"> Prepared by the Standards and Petitions Committee. Viewed: </w:t>
      </w:r>
      <w:r>
        <w:t>17 November</w:t>
      </w:r>
      <w:r w:rsidRPr="007D5FC8">
        <w:t xml:space="preserve"> 2021. Available on the internet at: </w:t>
      </w:r>
      <w:hyperlink r:id="rId36" w:history="1">
        <w:r w:rsidRPr="007D5FC8">
          <w:rPr>
            <w:rStyle w:val="Hyperlink"/>
          </w:rPr>
          <w:t>http://www.iucnredlist.org/documents/RedListGuidelines.pdf</w:t>
        </w:r>
      </w:hyperlink>
      <w:r w:rsidRPr="007D5FC8">
        <w:t>.</w:t>
      </w:r>
    </w:p>
    <w:bookmarkEnd w:id="12"/>
    <w:p w14:paraId="095A5893" w14:textId="77777777" w:rsidR="00FA65F9" w:rsidRDefault="00FA65F9" w:rsidP="00FA65F9">
      <w:pPr>
        <w:ind w:left="720" w:right="-284" w:hanging="720"/>
        <w:rPr>
          <w:rFonts w:cs="Arial"/>
        </w:rPr>
      </w:pPr>
      <w:r w:rsidRPr="00C760EF">
        <w:rPr>
          <w:rFonts w:cs="Arial"/>
        </w:rPr>
        <w:t>Keith D (1996</w:t>
      </w:r>
      <w:r>
        <w:rPr>
          <w:rFonts w:cs="Arial"/>
        </w:rPr>
        <w:t>)</w:t>
      </w:r>
      <w:r w:rsidRPr="00C760EF">
        <w:rPr>
          <w:rFonts w:cs="Arial"/>
        </w:rPr>
        <w:t xml:space="preserve"> Fire-driven extinction of plant populations: a synthesis of theory and review of evidence from Australian vegetation </w:t>
      </w:r>
      <w:r w:rsidRPr="00C760EF">
        <w:rPr>
          <w:rFonts w:cs="Arial"/>
          <w:i/>
          <w:iCs/>
        </w:rPr>
        <w:t>Proceedings of the Linnean Society of New South Wales</w:t>
      </w:r>
      <w:r w:rsidRPr="00C760EF">
        <w:rPr>
          <w:rFonts w:cs="Arial"/>
        </w:rPr>
        <w:t xml:space="preserve"> 116</w:t>
      </w:r>
      <w:r w:rsidRPr="00C760EF">
        <w:rPr>
          <w:rFonts w:cs="Arial"/>
          <w:i/>
          <w:iCs/>
        </w:rPr>
        <w:t>,</w:t>
      </w:r>
      <w:r w:rsidRPr="00C760EF">
        <w:rPr>
          <w:rFonts w:cs="Arial"/>
        </w:rPr>
        <w:t xml:space="preserve"> 37</w:t>
      </w:r>
      <w:r>
        <w:rPr>
          <w:rFonts w:cs="Arial"/>
        </w:rPr>
        <w:t>–</w:t>
      </w:r>
      <w:r w:rsidRPr="00C760EF">
        <w:rPr>
          <w:rFonts w:cs="Arial"/>
        </w:rPr>
        <w:t xml:space="preserve">78. </w:t>
      </w:r>
    </w:p>
    <w:p w14:paraId="51DEECF1" w14:textId="77777777" w:rsidR="00FA65F9" w:rsidRPr="00C760EF" w:rsidRDefault="00FA65F9" w:rsidP="00FA65F9">
      <w:pPr>
        <w:ind w:left="720" w:right="-284" w:hanging="720"/>
        <w:rPr>
          <w:rFonts w:cs="Arial"/>
        </w:rPr>
      </w:pPr>
      <w:r>
        <w:rPr>
          <w:rFonts w:cs="Arial"/>
        </w:rPr>
        <w:t xml:space="preserve">Kenny BJ (2003) </w:t>
      </w:r>
      <w:r w:rsidRPr="00C55891">
        <w:rPr>
          <w:rFonts w:cs="Arial"/>
          <w:i/>
          <w:iCs/>
        </w:rPr>
        <w:t>Fire-related germination cues for soil-stored seedbanks of fire-prone habitats in the Sydney region, Australia</w:t>
      </w:r>
      <w:r>
        <w:rPr>
          <w:rFonts w:cs="Arial"/>
        </w:rPr>
        <w:t>. Unpublished Doctor of Philosophy thesis, University of Technology, Sydney.</w:t>
      </w:r>
    </w:p>
    <w:p w14:paraId="345F2C22" w14:textId="77777777" w:rsidR="00FA65F9" w:rsidRDefault="00FA65F9" w:rsidP="00FA65F9">
      <w:pPr>
        <w:ind w:left="720" w:right="-284" w:hanging="720"/>
        <w:rPr>
          <w:rFonts w:cs="Arial"/>
        </w:rPr>
      </w:pPr>
      <w:r w:rsidRPr="00C760EF">
        <w:rPr>
          <w:rFonts w:cs="Arial"/>
        </w:rPr>
        <w:t xml:space="preserve">Ladd PG, Alkema AJ </w:t>
      </w:r>
      <w:r>
        <w:rPr>
          <w:rFonts w:cs="Arial"/>
        </w:rPr>
        <w:t>&amp;</w:t>
      </w:r>
      <w:r w:rsidRPr="00C760EF">
        <w:rPr>
          <w:rFonts w:cs="Arial"/>
        </w:rPr>
        <w:t xml:space="preserve"> Thomson GJ (1996</w:t>
      </w:r>
      <w:r>
        <w:rPr>
          <w:rFonts w:cs="Arial"/>
        </w:rPr>
        <w:t>)</w:t>
      </w:r>
      <w:r w:rsidRPr="00C760EF">
        <w:rPr>
          <w:rFonts w:cs="Arial"/>
        </w:rPr>
        <w:t xml:space="preserve"> Pollen presenter morphology and anatomy in Banksia and Dryandra. </w:t>
      </w:r>
      <w:r w:rsidRPr="00C760EF">
        <w:rPr>
          <w:rFonts w:cs="Arial"/>
          <w:i/>
        </w:rPr>
        <w:t>Australian Journal of Botany</w:t>
      </w:r>
      <w:r w:rsidRPr="00C760EF">
        <w:rPr>
          <w:rFonts w:cs="Arial"/>
        </w:rPr>
        <w:t xml:space="preserve"> 44, 447–471.</w:t>
      </w:r>
    </w:p>
    <w:p w14:paraId="422CEFFD" w14:textId="77777777" w:rsidR="00FA65F9" w:rsidRPr="00775781" w:rsidRDefault="00FA65F9" w:rsidP="00FA65F9">
      <w:pPr>
        <w:ind w:left="720" w:right="-284" w:hanging="720"/>
        <w:rPr>
          <w:rFonts w:cs="Arial"/>
        </w:rPr>
      </w:pPr>
      <w:r w:rsidRPr="00775781">
        <w:rPr>
          <w:rFonts w:cs="Arial"/>
        </w:rPr>
        <w:lastRenderedPageBreak/>
        <w:t xml:space="preserve">Lambers H, Ahmedi I, Berkowitz O, Dunne C, Finnegan PM, Hardy GESJ, Jost R, Laliberté E, Pearse SJ &amp; Teste FP (2013) Phosphorus nutrition of phosphorus-sensitive Australian native plants: threats to plant communities in a global biodiversity hotspot. </w:t>
      </w:r>
      <w:r w:rsidRPr="00C01DA3">
        <w:rPr>
          <w:rFonts w:cs="Arial"/>
          <w:i/>
          <w:iCs/>
        </w:rPr>
        <w:t>Conservation Physiology</w:t>
      </w:r>
      <w:r w:rsidRPr="00775781">
        <w:rPr>
          <w:rFonts w:cs="Arial"/>
        </w:rPr>
        <w:t xml:space="preserve"> 1, cot010.</w:t>
      </w:r>
    </w:p>
    <w:p w14:paraId="50FF9C5E" w14:textId="77777777" w:rsidR="00FA65F9" w:rsidRDefault="00FA65F9" w:rsidP="00FA65F9">
      <w:pPr>
        <w:ind w:left="720" w:right="-284" w:hanging="720"/>
        <w:rPr>
          <w:rFonts w:cs="Arial"/>
        </w:rPr>
      </w:pPr>
      <w:r w:rsidRPr="00C760EF">
        <w:rPr>
          <w:rFonts w:cs="Arial"/>
        </w:rPr>
        <w:t>Leigh J, Wimbush D, Wood D, Holgate M, Slee A, Stanger M &amp; Forrester R (1987</w:t>
      </w:r>
      <w:r>
        <w:rPr>
          <w:rFonts w:cs="Arial"/>
        </w:rPr>
        <w:t>)</w:t>
      </w:r>
      <w:r w:rsidRPr="00C760EF">
        <w:rPr>
          <w:rFonts w:cs="Arial"/>
        </w:rPr>
        <w:t xml:space="preserve"> Effects of rabbit grazing and fire on a sub-alpine environment. I. herbaceous and shrubby vegetation. </w:t>
      </w:r>
      <w:r w:rsidRPr="00C760EF">
        <w:rPr>
          <w:rFonts w:cs="Arial"/>
          <w:i/>
        </w:rPr>
        <w:t>Australian Journal of Botany</w:t>
      </w:r>
      <w:r w:rsidRPr="00C760EF">
        <w:rPr>
          <w:rFonts w:cs="Arial"/>
        </w:rPr>
        <w:t xml:space="preserve"> 35, 433</w:t>
      </w:r>
      <w:r>
        <w:rPr>
          <w:rFonts w:cs="Arial"/>
        </w:rPr>
        <w:t>–</w:t>
      </w:r>
      <w:r w:rsidRPr="00C760EF">
        <w:rPr>
          <w:rFonts w:cs="Arial"/>
        </w:rPr>
        <w:t>464</w:t>
      </w:r>
      <w:r>
        <w:rPr>
          <w:rFonts w:cs="Arial"/>
        </w:rPr>
        <w:t>.</w:t>
      </w:r>
    </w:p>
    <w:p w14:paraId="791EABB8" w14:textId="77777777" w:rsidR="00FA65F9" w:rsidRPr="00CE5538" w:rsidRDefault="00FA65F9" w:rsidP="00FA65F9">
      <w:pPr>
        <w:ind w:left="720" w:right="-284" w:hanging="720"/>
        <w:rPr>
          <w:rFonts w:cs="Arial"/>
        </w:rPr>
      </w:pPr>
      <w:r>
        <w:rPr>
          <w:rFonts w:cs="Arial"/>
        </w:rPr>
        <w:t xml:space="preserve">Mast AR &amp; Thiele K (2007) The transfer of Dryandra R. Br. To Banksia Lf (Protoceae) </w:t>
      </w:r>
      <w:r>
        <w:rPr>
          <w:rFonts w:cs="Arial"/>
          <w:i/>
          <w:iCs/>
        </w:rPr>
        <w:t>Australian systematic Botany 20</w:t>
      </w:r>
      <w:r>
        <w:rPr>
          <w:rFonts w:cs="Arial"/>
        </w:rPr>
        <w:t>, 73-71.</w:t>
      </w:r>
    </w:p>
    <w:p w14:paraId="28AEAF6D" w14:textId="77777777" w:rsidR="00FA65F9" w:rsidRPr="00C760EF" w:rsidRDefault="00FA65F9" w:rsidP="00FA65F9">
      <w:pPr>
        <w:ind w:left="720" w:right="-284" w:hanging="720"/>
        <w:rPr>
          <w:rFonts w:cs="Arial"/>
        </w:rPr>
      </w:pPr>
      <w:r w:rsidRPr="00C760EF">
        <w:rPr>
          <w:rFonts w:cs="Arial"/>
        </w:rPr>
        <w:t>McCredie TA, Dixon KW &amp; Sivasithamparam K (1985</w:t>
      </w:r>
      <w:r>
        <w:rPr>
          <w:rFonts w:cs="Arial"/>
        </w:rPr>
        <w:t>)</w:t>
      </w:r>
      <w:r w:rsidRPr="00C760EF">
        <w:rPr>
          <w:rFonts w:cs="Arial"/>
        </w:rPr>
        <w:t xml:space="preserve"> Variability in the resistance of Banksia L.f. species to </w:t>
      </w:r>
      <w:r w:rsidRPr="00C760EF">
        <w:rPr>
          <w:rFonts w:cs="Arial"/>
          <w:i/>
          <w:iCs/>
        </w:rPr>
        <w:t>Phytophthora cinnamomi</w:t>
      </w:r>
      <w:r w:rsidRPr="00C760EF">
        <w:rPr>
          <w:rFonts w:cs="Arial"/>
        </w:rPr>
        <w:t xml:space="preserve"> Rands. </w:t>
      </w:r>
      <w:r w:rsidRPr="00C760EF">
        <w:rPr>
          <w:rFonts w:cs="Arial"/>
          <w:i/>
        </w:rPr>
        <w:t>Australian Journal of Botany</w:t>
      </w:r>
      <w:r w:rsidRPr="00C760EF">
        <w:rPr>
          <w:rFonts w:cs="Arial"/>
        </w:rPr>
        <w:t xml:space="preserve"> 33, 629</w:t>
      </w:r>
      <w:r>
        <w:rPr>
          <w:rFonts w:cs="Arial"/>
        </w:rPr>
        <w:t>–</w:t>
      </w:r>
      <w:r w:rsidRPr="00C760EF">
        <w:rPr>
          <w:rFonts w:cs="Arial"/>
        </w:rPr>
        <w:t>637.</w:t>
      </w:r>
    </w:p>
    <w:p w14:paraId="508CAC8F" w14:textId="77777777" w:rsidR="00FA65F9" w:rsidRPr="00C760EF" w:rsidRDefault="00FA65F9" w:rsidP="00FA65F9">
      <w:pPr>
        <w:ind w:left="720" w:right="-284" w:hanging="720"/>
        <w:rPr>
          <w:rFonts w:cs="Arial"/>
        </w:rPr>
      </w:pPr>
      <w:r w:rsidRPr="00C760EF">
        <w:rPr>
          <w:rFonts w:cs="Arial"/>
        </w:rPr>
        <w:t>Moir ML, Coates DJ, Kensington WJ, Barrett S</w:t>
      </w:r>
      <w:r>
        <w:rPr>
          <w:rFonts w:cs="Arial"/>
        </w:rPr>
        <w:t xml:space="preserve"> &amp;</w:t>
      </w:r>
      <w:r w:rsidRPr="00C760EF">
        <w:rPr>
          <w:rFonts w:cs="Arial"/>
        </w:rPr>
        <w:t xml:space="preserve"> Taylor GS (2016</w:t>
      </w:r>
      <w:r>
        <w:rPr>
          <w:rFonts w:cs="Arial"/>
        </w:rPr>
        <w:t>)</w:t>
      </w:r>
      <w:r w:rsidRPr="00C760EF">
        <w:rPr>
          <w:rFonts w:cs="Arial"/>
        </w:rPr>
        <w:t xml:space="preserve"> Concordance in evolutionary history of threatened plant and insect populations warrant unified conservation management approaches. </w:t>
      </w:r>
      <w:r w:rsidRPr="00C760EF">
        <w:rPr>
          <w:rFonts w:cs="Arial"/>
          <w:i/>
          <w:iCs/>
        </w:rPr>
        <w:t xml:space="preserve">Biological Conservation </w:t>
      </w:r>
      <w:r w:rsidRPr="00C760EF">
        <w:rPr>
          <w:rFonts w:cs="Arial"/>
        </w:rPr>
        <w:t>198, 135–144.</w:t>
      </w:r>
    </w:p>
    <w:p w14:paraId="3FC4BA1F" w14:textId="77777777" w:rsidR="00FA65F9" w:rsidRPr="00C760EF" w:rsidRDefault="00FA65F9" w:rsidP="00FA65F9">
      <w:pPr>
        <w:ind w:left="720" w:right="-284" w:hanging="720"/>
        <w:rPr>
          <w:rFonts w:cs="Arial"/>
          <w:shd w:val="clear" w:color="auto" w:fill="FFFFFF"/>
        </w:rPr>
      </w:pPr>
      <w:r w:rsidRPr="00C760EF">
        <w:rPr>
          <w:rFonts w:cs="Arial"/>
          <w:shd w:val="clear" w:color="auto" w:fill="FFFFFF"/>
        </w:rPr>
        <w:t>Moir ML, Vesk PA, Brennan KE, Poulin R, Hughes L, Keith DA, McCarthy MA &amp; Coates DJ (2012a) Considering extinction of dependent species during translocation, ex situ conservation, and assisted migration of threatened hosts. </w:t>
      </w:r>
      <w:r w:rsidRPr="00C760EF">
        <w:rPr>
          <w:rFonts w:cs="Arial"/>
          <w:i/>
          <w:iCs/>
          <w:shd w:val="clear" w:color="auto" w:fill="FFFFFF"/>
        </w:rPr>
        <w:t>Conservation Biology</w:t>
      </w:r>
      <w:r w:rsidRPr="00C760EF">
        <w:rPr>
          <w:rFonts w:cs="Arial"/>
          <w:shd w:val="clear" w:color="auto" w:fill="FFFFFF"/>
        </w:rPr>
        <w:t> </w:t>
      </w:r>
      <w:r w:rsidRPr="00C760EF">
        <w:rPr>
          <w:rFonts w:cs="Arial"/>
          <w:i/>
          <w:iCs/>
          <w:shd w:val="clear" w:color="auto" w:fill="FFFFFF"/>
        </w:rPr>
        <w:t>26</w:t>
      </w:r>
      <w:r w:rsidRPr="00C760EF">
        <w:rPr>
          <w:rFonts w:cs="Arial"/>
          <w:shd w:val="clear" w:color="auto" w:fill="FFFFFF"/>
        </w:rPr>
        <w:t>,</w:t>
      </w:r>
      <w:r>
        <w:rPr>
          <w:rFonts w:cs="Arial"/>
          <w:shd w:val="clear" w:color="auto" w:fill="FFFFFF"/>
        </w:rPr>
        <w:t xml:space="preserve"> </w:t>
      </w:r>
      <w:r w:rsidRPr="00C760EF">
        <w:rPr>
          <w:rFonts w:cs="Arial"/>
          <w:shd w:val="clear" w:color="auto" w:fill="FFFFFF"/>
        </w:rPr>
        <w:t>199-207.</w:t>
      </w:r>
    </w:p>
    <w:p w14:paraId="79251EBC" w14:textId="77777777" w:rsidR="00FA65F9" w:rsidRPr="00C760EF" w:rsidRDefault="00FA65F9" w:rsidP="00FA65F9">
      <w:pPr>
        <w:ind w:left="720" w:right="-284" w:hanging="720"/>
        <w:rPr>
          <w:rFonts w:cs="Arial"/>
          <w:shd w:val="clear" w:color="auto" w:fill="FFFFFF"/>
        </w:rPr>
      </w:pPr>
      <w:r w:rsidRPr="00C760EF">
        <w:rPr>
          <w:rFonts w:cs="Arial"/>
          <w:shd w:val="clear" w:color="auto" w:fill="FFFFFF"/>
        </w:rPr>
        <w:t>Moir ML, Vesk PA, Brennan KE, Hughes, L, Keith DA, McCarthy, MA, Coates, DJ &amp; Barrett S (2012b</w:t>
      </w:r>
      <w:r>
        <w:rPr>
          <w:rFonts w:cs="Arial"/>
          <w:shd w:val="clear" w:color="auto" w:fill="FFFFFF"/>
        </w:rPr>
        <w:t>)</w:t>
      </w:r>
      <w:r w:rsidRPr="00C760EF">
        <w:rPr>
          <w:rFonts w:cs="Arial"/>
          <w:shd w:val="clear" w:color="auto" w:fill="FFFFFF"/>
        </w:rPr>
        <w:t xml:space="preserve"> A preliminary assessment of changes in plant-dwelling insects when threatened plants are translocated. </w:t>
      </w:r>
      <w:r w:rsidRPr="00C760EF">
        <w:rPr>
          <w:rFonts w:cs="Arial"/>
          <w:i/>
          <w:iCs/>
          <w:shd w:val="clear" w:color="auto" w:fill="FFFFFF"/>
        </w:rPr>
        <w:t>Journal of Insect Conservation</w:t>
      </w:r>
      <w:r w:rsidRPr="00C760EF">
        <w:rPr>
          <w:rFonts w:cs="Arial"/>
          <w:shd w:val="clear" w:color="auto" w:fill="FFFFFF"/>
        </w:rPr>
        <w:t> 16, 367</w:t>
      </w:r>
      <w:r>
        <w:rPr>
          <w:rFonts w:cs="Arial"/>
          <w:shd w:val="clear" w:color="auto" w:fill="FFFFFF"/>
        </w:rPr>
        <w:t>–</w:t>
      </w:r>
      <w:r w:rsidRPr="00C760EF">
        <w:rPr>
          <w:rFonts w:cs="Arial"/>
          <w:shd w:val="clear" w:color="auto" w:fill="FFFFFF"/>
        </w:rPr>
        <w:t>377.</w:t>
      </w:r>
    </w:p>
    <w:p w14:paraId="20190C95" w14:textId="77777777" w:rsidR="00FA65F9" w:rsidRDefault="00FA65F9" w:rsidP="00FA65F9">
      <w:pPr>
        <w:ind w:left="720" w:right="-284" w:hanging="720"/>
        <w:rPr>
          <w:rFonts w:cs="Arial"/>
        </w:rPr>
      </w:pPr>
      <w:r w:rsidRPr="00C760EF">
        <w:rPr>
          <w:rFonts w:cs="Arial"/>
        </w:rPr>
        <w:t>Moore N, Barrett S, Howard K, Craig MD, Bowen B, Shearer B</w:t>
      </w:r>
      <w:r>
        <w:rPr>
          <w:rFonts w:cs="Arial"/>
        </w:rPr>
        <w:t xml:space="preserve"> &amp;</w:t>
      </w:r>
      <w:r w:rsidRPr="00C760EF">
        <w:rPr>
          <w:rFonts w:cs="Arial"/>
        </w:rPr>
        <w:t xml:space="preserve"> Hardy G (2015</w:t>
      </w:r>
      <w:r>
        <w:rPr>
          <w:rFonts w:cs="Arial"/>
        </w:rPr>
        <w:t>)</w:t>
      </w:r>
      <w:r w:rsidRPr="00C760EF">
        <w:rPr>
          <w:rFonts w:cs="Arial"/>
        </w:rPr>
        <w:t xml:space="preserve"> Time since fire and average fire interval are the best predictors of </w:t>
      </w:r>
      <w:r w:rsidRPr="00C760EF">
        <w:rPr>
          <w:rFonts w:cs="Arial"/>
          <w:i/>
        </w:rPr>
        <w:t>Phytophthora cinnamomi</w:t>
      </w:r>
      <w:r w:rsidRPr="00C760EF">
        <w:rPr>
          <w:rFonts w:cs="Arial"/>
        </w:rPr>
        <w:t xml:space="preserve"> activity in heathlands of south-western Australia. </w:t>
      </w:r>
      <w:r w:rsidRPr="00C760EF">
        <w:rPr>
          <w:rFonts w:cs="Arial"/>
          <w:i/>
          <w:iCs/>
        </w:rPr>
        <w:t>Australian Journal of Botany 62</w:t>
      </w:r>
      <w:r>
        <w:rPr>
          <w:rFonts w:cs="Arial"/>
          <w:i/>
          <w:iCs/>
        </w:rPr>
        <w:t>,</w:t>
      </w:r>
      <w:r w:rsidRPr="00C760EF">
        <w:rPr>
          <w:rFonts w:cs="Arial"/>
        </w:rPr>
        <w:t xml:space="preserve"> 587</w:t>
      </w:r>
      <w:r>
        <w:rPr>
          <w:rFonts w:cs="Arial"/>
        </w:rPr>
        <w:t>–</w:t>
      </w:r>
      <w:r w:rsidRPr="00C760EF">
        <w:rPr>
          <w:rFonts w:cs="Arial"/>
        </w:rPr>
        <w:t>593.</w:t>
      </w:r>
    </w:p>
    <w:p w14:paraId="7C047463" w14:textId="0F2942CF" w:rsidR="00FA65F9" w:rsidRDefault="00FA65F9" w:rsidP="00FA65F9">
      <w:pPr>
        <w:ind w:left="720" w:right="-284" w:hanging="720"/>
        <w:rPr>
          <w:rFonts w:cs="Arial"/>
        </w:rPr>
      </w:pPr>
      <w:r w:rsidRPr="002709DC">
        <w:rPr>
          <w:rFonts w:cs="Arial"/>
        </w:rPr>
        <w:t>Monks L</w:t>
      </w:r>
      <w:r>
        <w:rPr>
          <w:rFonts w:cs="Arial"/>
        </w:rPr>
        <w:t>,</w:t>
      </w:r>
      <w:r w:rsidRPr="002709DC">
        <w:rPr>
          <w:rFonts w:cs="Arial"/>
        </w:rPr>
        <w:t xml:space="preserve"> Barret</w:t>
      </w:r>
      <w:r>
        <w:rPr>
          <w:rFonts w:cs="Arial"/>
        </w:rPr>
        <w:t>t</w:t>
      </w:r>
      <w:r w:rsidRPr="002709DC">
        <w:rPr>
          <w:rFonts w:cs="Arial"/>
        </w:rPr>
        <w:t xml:space="preserve"> S</w:t>
      </w:r>
      <w:r>
        <w:rPr>
          <w:rFonts w:cs="Arial"/>
        </w:rPr>
        <w:t xml:space="preserve">, </w:t>
      </w:r>
      <w:r w:rsidRPr="002709DC">
        <w:rPr>
          <w:rFonts w:cs="Arial"/>
        </w:rPr>
        <w:t>Beecham B, Byrne M, Chant A, Coates D</w:t>
      </w:r>
      <w:r>
        <w:rPr>
          <w:rFonts w:cs="Arial"/>
        </w:rPr>
        <w:t>,</w:t>
      </w:r>
      <w:r w:rsidRPr="002709DC">
        <w:rPr>
          <w:rFonts w:cs="Arial"/>
        </w:rPr>
        <w:t xml:space="preserve"> Cochrane J</w:t>
      </w:r>
      <w:r>
        <w:rPr>
          <w:rFonts w:cs="Arial"/>
        </w:rPr>
        <w:t>A,</w:t>
      </w:r>
      <w:r w:rsidRPr="002709DC">
        <w:rPr>
          <w:rFonts w:cs="Arial"/>
        </w:rPr>
        <w:t xml:space="preserve"> Crawford A</w:t>
      </w:r>
      <w:r>
        <w:rPr>
          <w:rFonts w:cs="Arial"/>
        </w:rPr>
        <w:t>,</w:t>
      </w:r>
      <w:r w:rsidRPr="002709DC">
        <w:rPr>
          <w:rFonts w:cs="Arial"/>
        </w:rPr>
        <w:t xml:space="preserve"> Dillon R </w:t>
      </w:r>
      <w:r>
        <w:rPr>
          <w:rFonts w:cs="Arial"/>
        </w:rPr>
        <w:t>&amp;</w:t>
      </w:r>
      <w:r w:rsidRPr="002709DC">
        <w:rPr>
          <w:rFonts w:cs="Arial"/>
        </w:rPr>
        <w:t xml:space="preserve"> Yates C (2019</w:t>
      </w:r>
      <w:r>
        <w:rPr>
          <w:rFonts w:cs="Arial"/>
        </w:rPr>
        <w:t>)</w:t>
      </w:r>
      <w:r w:rsidRPr="002709DC">
        <w:rPr>
          <w:rFonts w:cs="Arial"/>
        </w:rPr>
        <w:t xml:space="preserve"> Recovery of threatened plant species and their habitats in the biodiversity hotspot of the southwest Australian floristic region. </w:t>
      </w:r>
      <w:r w:rsidRPr="002709DC">
        <w:rPr>
          <w:rFonts w:cs="Arial"/>
          <w:i/>
          <w:iCs/>
        </w:rPr>
        <w:t>Plant Diversity</w:t>
      </w:r>
      <w:r w:rsidRPr="002709DC">
        <w:rPr>
          <w:rFonts w:cs="Arial"/>
        </w:rPr>
        <w:t xml:space="preserve"> 41, 59</w:t>
      </w:r>
      <w:r>
        <w:rPr>
          <w:rFonts w:cs="Arial"/>
        </w:rPr>
        <w:t>–</w:t>
      </w:r>
      <w:r w:rsidRPr="002709DC">
        <w:rPr>
          <w:rFonts w:cs="Arial"/>
        </w:rPr>
        <w:t>74.</w:t>
      </w:r>
    </w:p>
    <w:p w14:paraId="3CF4A929" w14:textId="67C73518" w:rsidR="00076EFA" w:rsidRPr="00C760EF" w:rsidRDefault="00076EFA" w:rsidP="00FA65F9">
      <w:pPr>
        <w:ind w:left="720" w:right="-284" w:hanging="720"/>
        <w:rPr>
          <w:rFonts w:cs="Arial"/>
        </w:rPr>
      </w:pPr>
      <w:r>
        <w:rPr>
          <w:rFonts w:cs="Arial"/>
        </w:rPr>
        <w:t xml:space="preserve">Office of Bushfire Risk Management (2018) Report of the circumstances that led to the escapes of planned burns in the South West and Great Southern Regions of Western Australia on 24 and 25 May 2018. Office of Bushfire Risk Management, Perth. </w:t>
      </w:r>
    </w:p>
    <w:p w14:paraId="51F1E603" w14:textId="77777777" w:rsidR="00FA65F9" w:rsidRPr="003F2413" w:rsidRDefault="00FA65F9" w:rsidP="00FA65F9">
      <w:pPr>
        <w:ind w:left="720" w:right="-284" w:hanging="720"/>
        <w:rPr>
          <w:rFonts w:cs="Arial"/>
          <w:shd w:val="clear" w:color="auto" w:fill="FFFFFF"/>
        </w:rPr>
      </w:pPr>
      <w:r w:rsidRPr="003F2413">
        <w:rPr>
          <w:rFonts w:cs="Arial"/>
          <w:shd w:val="clear" w:color="auto" w:fill="FFFFFF"/>
        </w:rPr>
        <w:t>Rathbone DA &amp; Barrett S (2017</w:t>
      </w:r>
      <w:r>
        <w:rPr>
          <w:rFonts w:cs="Arial"/>
          <w:shd w:val="clear" w:color="auto" w:fill="FFFFFF"/>
        </w:rPr>
        <w:t>)</w:t>
      </w:r>
      <w:r w:rsidRPr="003F2413">
        <w:rPr>
          <w:rFonts w:cs="Arial"/>
          <w:shd w:val="clear" w:color="auto" w:fill="FFFFFF"/>
        </w:rPr>
        <w:t xml:space="preserve"> Vertebrate browsing impacts in a threatened montane plant community and implications for management. </w:t>
      </w:r>
      <w:r w:rsidRPr="003F2413">
        <w:rPr>
          <w:rFonts w:cs="Arial"/>
          <w:i/>
          <w:iCs/>
          <w:shd w:val="clear" w:color="auto" w:fill="FFFFFF"/>
        </w:rPr>
        <w:t>Ecological Management &amp; Restoration</w:t>
      </w:r>
      <w:r w:rsidRPr="003F2413">
        <w:rPr>
          <w:rFonts w:cs="Arial"/>
          <w:shd w:val="clear" w:color="auto" w:fill="FFFFFF"/>
        </w:rPr>
        <w:t> 18, 164-171.</w:t>
      </w:r>
    </w:p>
    <w:p w14:paraId="4811D83B" w14:textId="77777777" w:rsidR="00FA65F9" w:rsidRDefault="00FA65F9" w:rsidP="00FA65F9">
      <w:pPr>
        <w:ind w:left="720" w:right="-284" w:hanging="720"/>
      </w:pPr>
      <w:r>
        <w:t xml:space="preserve">Rossetto M, Jia-Yee SY, Lemmon J, Bain D, Bragg J, Hogbin P, Gallagher R, Rutherford S, Summerell B, Wilson T (2021) A conservation genomics workflow to guide practical management actions. </w:t>
      </w:r>
      <w:r w:rsidRPr="20583809">
        <w:rPr>
          <w:i/>
          <w:iCs/>
        </w:rPr>
        <w:t>Global Ecology and Conservation</w:t>
      </w:r>
      <w:r>
        <w:t xml:space="preserve"> 26: e01492.</w:t>
      </w:r>
    </w:p>
    <w:p w14:paraId="162643AE" w14:textId="77777777" w:rsidR="00FA65F9" w:rsidRPr="003F2413" w:rsidRDefault="00FA65F9" w:rsidP="00FA65F9">
      <w:pPr>
        <w:ind w:left="720" w:right="-284" w:hanging="720"/>
        <w:rPr>
          <w:rFonts w:cs="Arial"/>
        </w:rPr>
      </w:pPr>
      <w:r w:rsidRPr="003F2413">
        <w:rPr>
          <w:rFonts w:cs="Arial"/>
          <w:shd w:val="clear" w:color="auto" w:fill="FFFFFF"/>
        </w:rPr>
        <w:t>Shearer BL, Crane CE, Cochrane JA &amp; Dunne CP (2013</w:t>
      </w:r>
      <w:r>
        <w:rPr>
          <w:rFonts w:cs="Arial"/>
          <w:shd w:val="clear" w:color="auto" w:fill="FFFFFF"/>
        </w:rPr>
        <w:t>)</w:t>
      </w:r>
      <w:r w:rsidRPr="003F2413">
        <w:rPr>
          <w:rFonts w:cs="Arial"/>
          <w:shd w:val="clear" w:color="auto" w:fill="FFFFFF"/>
        </w:rPr>
        <w:t xml:space="preserve"> Variation in susceptibility of threatened flora to </w:t>
      </w:r>
      <w:r w:rsidRPr="003F2413">
        <w:rPr>
          <w:rFonts w:cs="Arial"/>
          <w:i/>
          <w:iCs/>
          <w:shd w:val="clear" w:color="auto" w:fill="FFFFFF"/>
        </w:rPr>
        <w:t>Phytophthora cinnamomi</w:t>
      </w:r>
      <w:r w:rsidRPr="003F2413">
        <w:rPr>
          <w:rFonts w:cs="Arial"/>
          <w:shd w:val="clear" w:color="auto" w:fill="FFFFFF"/>
        </w:rPr>
        <w:t>. </w:t>
      </w:r>
      <w:r w:rsidRPr="003F2413">
        <w:rPr>
          <w:rFonts w:cs="Arial"/>
          <w:i/>
          <w:iCs/>
          <w:shd w:val="clear" w:color="auto" w:fill="FFFFFF"/>
        </w:rPr>
        <w:t>Australasian Plant Pathology</w:t>
      </w:r>
      <w:r w:rsidRPr="003F2413">
        <w:rPr>
          <w:rFonts w:cs="Arial"/>
          <w:shd w:val="clear" w:color="auto" w:fill="FFFFFF"/>
        </w:rPr>
        <w:t xml:space="preserve"> 42, 491–502.</w:t>
      </w:r>
      <w:r w:rsidRPr="003F2413" w:rsidDel="006E1104">
        <w:rPr>
          <w:rFonts w:cs="Arial"/>
        </w:rPr>
        <w:t xml:space="preserve"> </w:t>
      </w:r>
    </w:p>
    <w:p w14:paraId="54FF2B06" w14:textId="77777777" w:rsidR="00FA65F9" w:rsidRPr="004E6CED" w:rsidRDefault="00FA65F9" w:rsidP="00FA65F9">
      <w:pPr>
        <w:ind w:left="720" w:right="-284" w:hanging="720"/>
        <w:rPr>
          <w:rFonts w:cs="Arial"/>
          <w:i/>
          <w:iCs/>
        </w:rPr>
      </w:pPr>
      <w:r>
        <w:rPr>
          <w:rFonts w:cs="Arial"/>
        </w:rPr>
        <w:lastRenderedPageBreak/>
        <w:t xml:space="preserve">Silcock J, Collingwood T, Llorens T, Fensham R (2021) </w:t>
      </w:r>
      <w:r w:rsidRPr="00B64973">
        <w:rPr>
          <w:rFonts w:cs="Arial"/>
          <w:i/>
          <w:iCs/>
        </w:rPr>
        <w:t>Action Plan for Australia’s</w:t>
      </w:r>
      <w:r>
        <w:rPr>
          <w:rFonts w:cs="Arial"/>
        </w:rPr>
        <w:t xml:space="preserve"> </w:t>
      </w:r>
      <w:r>
        <w:rPr>
          <w:rFonts w:cs="Arial"/>
          <w:i/>
          <w:iCs/>
        </w:rPr>
        <w:t>Imperilled Plants</w:t>
      </w:r>
      <w:r>
        <w:rPr>
          <w:rFonts w:cs="Arial"/>
        </w:rPr>
        <w:t>. NESP Threatened Species Recovery Hub, Brisbane.</w:t>
      </w:r>
      <w:r>
        <w:rPr>
          <w:rFonts w:cs="Arial"/>
          <w:i/>
          <w:iCs/>
        </w:rPr>
        <w:t xml:space="preserve"> </w:t>
      </w:r>
    </w:p>
    <w:p w14:paraId="5C226397" w14:textId="77777777" w:rsidR="00FA65F9" w:rsidRPr="00C760EF" w:rsidRDefault="00FA65F9" w:rsidP="00FA65F9">
      <w:pPr>
        <w:ind w:left="720" w:right="-284" w:hanging="720"/>
        <w:rPr>
          <w:rFonts w:cs="Arial"/>
        </w:rPr>
      </w:pPr>
      <w:r w:rsidRPr="00C760EF">
        <w:rPr>
          <w:rFonts w:cs="Arial"/>
        </w:rPr>
        <w:t>Westwood JO (1840</w:t>
      </w:r>
      <w:r>
        <w:rPr>
          <w:rFonts w:cs="Arial"/>
        </w:rPr>
        <w:t>)</w:t>
      </w:r>
      <w:r w:rsidRPr="00C760EF">
        <w:rPr>
          <w:rFonts w:cs="Arial"/>
        </w:rPr>
        <w:t xml:space="preserve"> Observations on the genus </w:t>
      </w:r>
      <w:r w:rsidRPr="00C760EF">
        <w:rPr>
          <w:rFonts w:cs="Arial"/>
          <w:i/>
          <w:iCs/>
        </w:rPr>
        <w:t>Typhlopon</w:t>
      </w:r>
      <w:r w:rsidRPr="00C760EF">
        <w:rPr>
          <w:rFonts w:cs="Arial"/>
        </w:rPr>
        <w:t xml:space="preserve"> with descriptions of several exotic species of ants. </w:t>
      </w:r>
      <w:r w:rsidRPr="00C760EF">
        <w:rPr>
          <w:rFonts w:cs="Arial"/>
          <w:i/>
          <w:iCs/>
        </w:rPr>
        <w:t>Annals and Magazine of Natural History</w:t>
      </w:r>
      <w:r w:rsidRPr="00C760EF">
        <w:rPr>
          <w:rFonts w:cs="Arial"/>
        </w:rPr>
        <w:t xml:space="preserve"> 6, 81–89.</w:t>
      </w:r>
    </w:p>
    <w:p w14:paraId="2E536C9A" w14:textId="77777777" w:rsidR="00FA65F9" w:rsidRPr="00C760EF" w:rsidRDefault="00FA65F9" w:rsidP="00FA65F9">
      <w:pPr>
        <w:ind w:left="720" w:right="-284" w:hanging="720"/>
        <w:rPr>
          <w:rFonts w:cs="Arial"/>
        </w:rPr>
      </w:pPr>
      <w:r w:rsidRPr="00C760EF">
        <w:rPr>
          <w:rFonts w:cs="Arial"/>
        </w:rPr>
        <w:t>Whelan RJ (1995</w:t>
      </w:r>
      <w:r>
        <w:rPr>
          <w:rFonts w:cs="Arial"/>
        </w:rPr>
        <w:t>)</w:t>
      </w:r>
      <w:r w:rsidRPr="00C760EF">
        <w:rPr>
          <w:rFonts w:cs="Arial"/>
        </w:rPr>
        <w:t xml:space="preserve"> </w:t>
      </w:r>
      <w:r w:rsidRPr="000C2D18">
        <w:rPr>
          <w:rFonts w:cs="Arial"/>
          <w:i/>
          <w:iCs/>
        </w:rPr>
        <w:t>The ecology of fire</w:t>
      </w:r>
      <w:r w:rsidRPr="00C760EF">
        <w:rPr>
          <w:rFonts w:cs="Arial"/>
        </w:rPr>
        <w:t xml:space="preserve">. </w:t>
      </w:r>
      <w:r w:rsidRPr="000C2D18">
        <w:rPr>
          <w:rFonts w:cs="Arial"/>
          <w:iCs/>
        </w:rPr>
        <w:t>Cambridge University Press</w:t>
      </w:r>
      <w:r w:rsidRPr="00C760EF">
        <w:rPr>
          <w:rFonts w:cs="Arial"/>
        </w:rPr>
        <w:t>, Cambridge.</w:t>
      </w:r>
    </w:p>
    <w:p w14:paraId="517A1421" w14:textId="77777777" w:rsidR="00FA65F9" w:rsidRDefault="00FA65F9" w:rsidP="00FA65F9">
      <w:pPr>
        <w:ind w:left="720" w:right="-284" w:hanging="720"/>
        <w:rPr>
          <w:rFonts w:cs="Arial"/>
        </w:rPr>
      </w:pPr>
      <w:r w:rsidRPr="00C760EF">
        <w:rPr>
          <w:rFonts w:cs="Arial"/>
        </w:rPr>
        <w:t>Wills RT (1993</w:t>
      </w:r>
      <w:r>
        <w:rPr>
          <w:rFonts w:cs="Arial"/>
        </w:rPr>
        <w:t>)</w:t>
      </w:r>
      <w:r w:rsidRPr="00C760EF">
        <w:rPr>
          <w:rFonts w:cs="Arial"/>
        </w:rPr>
        <w:t xml:space="preserve"> The ecological impact of </w:t>
      </w:r>
      <w:r w:rsidRPr="00C760EF">
        <w:rPr>
          <w:rFonts w:cs="Arial"/>
          <w:i/>
          <w:iCs/>
        </w:rPr>
        <w:t>Phytophthora cinnamomi</w:t>
      </w:r>
      <w:r w:rsidRPr="00C760EF">
        <w:rPr>
          <w:rFonts w:cs="Arial"/>
        </w:rPr>
        <w:t xml:space="preserve"> in the Stirling Range National Park, Western Australia. </w:t>
      </w:r>
      <w:r w:rsidRPr="00C760EF">
        <w:rPr>
          <w:rFonts w:cs="Arial"/>
          <w:i/>
        </w:rPr>
        <w:t>Australian Journal of Ecology</w:t>
      </w:r>
      <w:r w:rsidRPr="00C760EF">
        <w:rPr>
          <w:rFonts w:cs="Arial"/>
        </w:rPr>
        <w:t xml:space="preserve"> 18, 145</w:t>
      </w:r>
      <w:r>
        <w:rPr>
          <w:rFonts w:cs="Arial"/>
        </w:rPr>
        <w:t>–</w:t>
      </w:r>
      <w:r w:rsidRPr="00C760EF">
        <w:rPr>
          <w:rFonts w:cs="Arial"/>
        </w:rPr>
        <w:t>159.</w:t>
      </w:r>
    </w:p>
    <w:p w14:paraId="53631B11" w14:textId="77777777" w:rsidR="00FA65F9" w:rsidRDefault="00FA65F9" w:rsidP="00FA65F9"/>
    <w:p w14:paraId="1C12364B" w14:textId="77777777" w:rsidR="00FA65F9" w:rsidRDefault="00FA65F9" w:rsidP="00FA65F9">
      <w:pPr>
        <w:pStyle w:val="Heading2"/>
        <w:pageBreakBefore/>
        <w:ind w:left="720" w:hanging="720"/>
      </w:pPr>
      <w:r>
        <w:lastRenderedPageBreak/>
        <w:t xml:space="preserve">Attachment A: Listing Assessment for </w:t>
      </w:r>
      <w:r>
        <w:rPr>
          <w:i/>
          <w:iCs/>
        </w:rPr>
        <w:t>Banksia montana</w:t>
      </w:r>
    </w:p>
    <w:p w14:paraId="01B989EE" w14:textId="77777777" w:rsidR="00FA65F9" w:rsidRDefault="00FA65F9" w:rsidP="00FA65F9">
      <w:pPr>
        <w:pStyle w:val="Heading3"/>
        <w:ind w:left="964" w:hanging="964"/>
        <w:rPr>
          <w:lang w:eastAsia="ja-JP"/>
        </w:rPr>
      </w:pPr>
      <w:r>
        <w:rPr>
          <w:lang w:eastAsia="ja-JP"/>
        </w:rPr>
        <w:t>Reason for assessment</w:t>
      </w:r>
    </w:p>
    <w:p w14:paraId="45ED2928" w14:textId="77777777" w:rsidR="00FA65F9" w:rsidRDefault="00FA65F9" w:rsidP="00FA65F9">
      <w:pPr>
        <w:rPr>
          <w:lang w:eastAsia="ja-JP"/>
        </w:rPr>
      </w:pPr>
      <w:r w:rsidRPr="00717B03">
        <w:t>This assessment follows</w:t>
      </w:r>
      <w:r w:rsidRPr="00717B03">
        <w:rPr>
          <w:lang w:eastAsia="ja-JP"/>
        </w:rPr>
        <w:t xml:space="preserve"> prioritisation of a nomination from th</w:t>
      </w:r>
      <w:r w:rsidRPr="005075DF">
        <w:rPr>
          <w:lang w:eastAsia="ja-JP"/>
        </w:rPr>
        <w:t>e</w:t>
      </w:r>
      <w:r w:rsidRPr="00983078">
        <w:rPr>
          <w:lang w:eastAsia="ja-JP"/>
        </w:rPr>
        <w:t xml:space="preserve"> TSSC</w:t>
      </w:r>
      <w:r w:rsidRPr="005075DF">
        <w:rPr>
          <w:lang w:eastAsia="ja-JP"/>
        </w:rPr>
        <w:t>.</w:t>
      </w:r>
    </w:p>
    <w:p w14:paraId="3650B821" w14:textId="77777777" w:rsidR="00FA65F9" w:rsidRDefault="00FA65F9" w:rsidP="00FA65F9">
      <w:pPr>
        <w:pStyle w:val="Heading3"/>
        <w:ind w:left="964" w:hanging="964"/>
        <w:rPr>
          <w:lang w:eastAsia="ja-JP"/>
        </w:rPr>
      </w:pPr>
      <w:r>
        <w:rPr>
          <w:lang w:eastAsia="ja-JP"/>
        </w:rPr>
        <w:t>Assessment of eligibility for listing</w:t>
      </w:r>
    </w:p>
    <w:p w14:paraId="51B4973D" w14:textId="77777777" w:rsidR="00FA65F9" w:rsidRDefault="00FA65F9" w:rsidP="00FA65F9">
      <w:pPr>
        <w:rPr>
          <w:lang w:eastAsia="ja-JP"/>
        </w:rPr>
      </w:pPr>
      <w:r>
        <w:rPr>
          <w:lang w:eastAsia="ja-JP"/>
        </w:rPr>
        <w:t xml:space="preserve">This assessment uses the criteria set out in the </w:t>
      </w:r>
      <w:hyperlink r:id="rId37" w:history="1">
        <w:r w:rsidRPr="00C77CE3">
          <w:rPr>
            <w:rStyle w:val="Hyperlink"/>
            <w:lang w:eastAsia="ja-JP"/>
          </w:rPr>
          <w:t>EPBC Regulations</w:t>
        </w:r>
      </w:hyperlink>
      <w:r>
        <w:rPr>
          <w:lang w:eastAsia="ja-JP"/>
        </w:rPr>
        <w:t xml:space="preserve">. The thresholds used correspond with those in the </w:t>
      </w:r>
      <w:hyperlink r:id="rId38"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81AE36B" w14:textId="77777777" w:rsidR="00FA65F9" w:rsidRDefault="00FA65F9" w:rsidP="00FA65F9">
      <w:pPr>
        <w:pStyle w:val="Heading3"/>
        <w:rPr>
          <w:lang w:eastAsia="ja-JP"/>
        </w:rPr>
      </w:pPr>
      <w:r>
        <w:rPr>
          <w:lang w:eastAsia="ja-JP"/>
        </w:rPr>
        <w:t>Key assessment parameters</w:t>
      </w:r>
    </w:p>
    <w:p w14:paraId="5A9334B2" w14:textId="77777777" w:rsidR="00FA65F9" w:rsidRDefault="00FA65F9" w:rsidP="00FA65F9">
      <w:pPr>
        <w:rPr>
          <w:lang w:eastAsia="ja-JP"/>
        </w:rPr>
      </w:pPr>
      <w:r>
        <w:rPr>
          <w:lang w:eastAsia="ja-JP"/>
        </w:rPr>
        <w:t>Table 4 includes the key assessment parameters used in the assessment of eligibility for listing against the criteria.</w:t>
      </w:r>
    </w:p>
    <w:p w14:paraId="5C596CAD" w14:textId="77777777" w:rsidR="00FA65F9" w:rsidRPr="0045413B" w:rsidRDefault="00FA65F9" w:rsidP="00FA65F9">
      <w:pPr>
        <w:rPr>
          <w:rFonts w:asciiTheme="minorHAnsi" w:hAnsiTheme="minorHAnsi" w:cstheme="minorHAnsi"/>
          <w:b/>
          <w:bCs/>
          <w:sz w:val="24"/>
          <w:szCs w:val="24"/>
        </w:rPr>
      </w:pPr>
      <w:r w:rsidRPr="0045413B">
        <w:rPr>
          <w:rFonts w:asciiTheme="minorHAnsi" w:hAnsiTheme="minorHAnsi" w:cstheme="minorHAnsi"/>
          <w:b/>
          <w:bCs/>
          <w:sz w:val="24"/>
          <w:szCs w:val="24"/>
        </w:rPr>
        <w:t>Table 4 Key assessment parameters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62"/>
        <w:gridCol w:w="1502"/>
        <w:gridCol w:w="1279"/>
        <w:gridCol w:w="1364"/>
        <w:gridCol w:w="3253"/>
      </w:tblGrid>
      <w:tr w:rsidR="00FA65F9" w:rsidRPr="00D20C80" w14:paraId="7CABFE7E" w14:textId="77777777" w:rsidTr="00D72EE4">
        <w:trPr>
          <w:tblHeader/>
        </w:trPr>
        <w:tc>
          <w:tcPr>
            <w:tcW w:w="1662" w:type="dxa"/>
          </w:tcPr>
          <w:p w14:paraId="6DAB04C8" w14:textId="77777777" w:rsidR="00FA65F9" w:rsidRPr="00D20C80" w:rsidRDefault="00FA65F9" w:rsidP="00D72EE4">
            <w:pPr>
              <w:pStyle w:val="TableHeading"/>
            </w:pPr>
            <w:r w:rsidRPr="00D20C80">
              <w:t>Metric</w:t>
            </w:r>
          </w:p>
        </w:tc>
        <w:tc>
          <w:tcPr>
            <w:tcW w:w="1502" w:type="dxa"/>
          </w:tcPr>
          <w:p w14:paraId="54E367FD" w14:textId="77777777" w:rsidR="00FA65F9" w:rsidRPr="00D20C80" w:rsidRDefault="00FA65F9" w:rsidP="00D72EE4">
            <w:pPr>
              <w:pStyle w:val="TableHeading"/>
            </w:pPr>
            <w:r w:rsidRPr="00D20C80">
              <w:t>Estimate</w:t>
            </w:r>
            <w:r>
              <w:t xml:space="preserve"> used in the assessment</w:t>
            </w:r>
          </w:p>
        </w:tc>
        <w:tc>
          <w:tcPr>
            <w:tcW w:w="1279" w:type="dxa"/>
          </w:tcPr>
          <w:p w14:paraId="33192E27" w14:textId="77777777" w:rsidR="00FA65F9" w:rsidRPr="00D20C80" w:rsidRDefault="00FA65F9" w:rsidP="00D72EE4">
            <w:pPr>
              <w:pStyle w:val="TableHeading"/>
            </w:pPr>
            <w:r w:rsidRPr="00D20C80">
              <w:t>Minimum</w:t>
            </w:r>
            <w:r>
              <w:t xml:space="preserve"> plausible value</w:t>
            </w:r>
          </w:p>
        </w:tc>
        <w:tc>
          <w:tcPr>
            <w:tcW w:w="1364" w:type="dxa"/>
          </w:tcPr>
          <w:p w14:paraId="680C4E74" w14:textId="77777777" w:rsidR="00FA65F9" w:rsidRPr="00D20C80" w:rsidRDefault="00FA65F9" w:rsidP="00D72EE4">
            <w:pPr>
              <w:pStyle w:val="TableHeading"/>
            </w:pPr>
            <w:r w:rsidRPr="00D20C80">
              <w:t>Maximum</w:t>
            </w:r>
            <w:r>
              <w:t xml:space="preserve"> plausible value</w:t>
            </w:r>
          </w:p>
        </w:tc>
        <w:tc>
          <w:tcPr>
            <w:tcW w:w="3253" w:type="dxa"/>
          </w:tcPr>
          <w:p w14:paraId="3B2AB280" w14:textId="77777777" w:rsidR="00FA65F9" w:rsidRPr="00D20C80" w:rsidRDefault="00FA65F9" w:rsidP="00D72EE4">
            <w:pPr>
              <w:pStyle w:val="TableHeading"/>
            </w:pPr>
            <w:r w:rsidRPr="00D20C80">
              <w:t>Justification</w:t>
            </w:r>
          </w:p>
          <w:p w14:paraId="700EA3BA" w14:textId="77777777" w:rsidR="00FA65F9" w:rsidRPr="00D20C80" w:rsidRDefault="00FA65F9" w:rsidP="00D72EE4">
            <w:pPr>
              <w:pStyle w:val="TableHeading"/>
            </w:pPr>
          </w:p>
        </w:tc>
      </w:tr>
      <w:tr w:rsidR="00FA65F9" w14:paraId="4BA943F7" w14:textId="77777777" w:rsidTr="00D72EE4">
        <w:tc>
          <w:tcPr>
            <w:tcW w:w="1662" w:type="dxa"/>
          </w:tcPr>
          <w:p w14:paraId="6D4F2593" w14:textId="77777777" w:rsidR="00FA65F9" w:rsidRDefault="00FA65F9" w:rsidP="00D72EE4">
            <w:pPr>
              <w:pStyle w:val="TableText"/>
              <w:rPr>
                <w:rStyle w:val="Strong"/>
                <w:rFonts w:eastAsiaTheme="minorHAnsi" w:cstheme="minorBidi"/>
                <w:b w:val="0"/>
                <w:sz w:val="22"/>
                <w:szCs w:val="22"/>
                <w:lang w:eastAsia="en-US"/>
              </w:rPr>
            </w:pPr>
            <w:r w:rsidRPr="00D20C80">
              <w:rPr>
                <w:rStyle w:val="Strong"/>
                <w:bCs w:val="0"/>
              </w:rPr>
              <w:t>Number of mature individuals</w:t>
            </w:r>
          </w:p>
          <w:p w14:paraId="106177B5" w14:textId="77777777" w:rsidR="00FA65F9" w:rsidRPr="00D20C80" w:rsidRDefault="00FA65F9" w:rsidP="00D72EE4">
            <w:pPr>
              <w:pStyle w:val="TableText"/>
              <w:rPr>
                <w:rStyle w:val="Strong"/>
                <w:rFonts w:eastAsiaTheme="minorHAnsi" w:cstheme="minorBidi"/>
                <w:b w:val="0"/>
                <w:bCs w:val="0"/>
                <w:szCs w:val="22"/>
                <w:lang w:eastAsia="en-US"/>
              </w:rPr>
            </w:pPr>
          </w:p>
        </w:tc>
        <w:tc>
          <w:tcPr>
            <w:tcW w:w="1502" w:type="dxa"/>
            <w:shd w:val="clear" w:color="auto" w:fill="auto"/>
          </w:tcPr>
          <w:p w14:paraId="063A259C" w14:textId="77777777" w:rsidR="00FA65F9" w:rsidRDefault="00FA65F9" w:rsidP="00D72EE4">
            <w:pPr>
              <w:pStyle w:val="TableText"/>
            </w:pPr>
            <w:r>
              <w:t>85</w:t>
            </w:r>
          </w:p>
        </w:tc>
        <w:tc>
          <w:tcPr>
            <w:tcW w:w="1279" w:type="dxa"/>
            <w:shd w:val="clear" w:color="auto" w:fill="auto"/>
          </w:tcPr>
          <w:p w14:paraId="7FC196C1" w14:textId="77777777" w:rsidR="00FA65F9" w:rsidRDefault="00FA65F9" w:rsidP="00D72EE4">
            <w:pPr>
              <w:pStyle w:val="TableText"/>
            </w:pPr>
            <w:r>
              <w:t>48</w:t>
            </w:r>
          </w:p>
        </w:tc>
        <w:tc>
          <w:tcPr>
            <w:tcW w:w="1364" w:type="dxa"/>
            <w:shd w:val="clear" w:color="auto" w:fill="auto"/>
          </w:tcPr>
          <w:p w14:paraId="40C15616" w14:textId="77777777" w:rsidR="00FA65F9" w:rsidRDefault="00FA65F9" w:rsidP="00D72EE4">
            <w:pPr>
              <w:pStyle w:val="TableText"/>
            </w:pPr>
            <w:r>
              <w:t>150</w:t>
            </w:r>
          </w:p>
        </w:tc>
        <w:tc>
          <w:tcPr>
            <w:tcW w:w="3253" w:type="dxa"/>
            <w:shd w:val="clear" w:color="auto" w:fill="auto"/>
          </w:tcPr>
          <w:p w14:paraId="54105A17" w14:textId="2C071C20" w:rsidR="00FA65F9" w:rsidRDefault="00FA65F9" w:rsidP="00D72EE4">
            <w:pPr>
              <w:pStyle w:val="TableText"/>
            </w:pPr>
            <w:r>
              <w:t xml:space="preserve">There are 0 mature individuals in known wild subpopulations, and it is considered unlikely that any currently unknown subpopulations exist (S Barrett pers comm 2020, cited in Silcock et al. 2021). </w:t>
            </w:r>
            <w:r w:rsidRPr="005958B5">
              <w:t xml:space="preserve">However, as </w:t>
            </w:r>
            <w:r>
              <w:t xml:space="preserve">Stirling Range dryandra </w:t>
            </w:r>
            <w:r w:rsidRPr="005958B5">
              <w:t>is an obligate seeder, it is killed by fire and recruits from soil-stored seed.</w:t>
            </w:r>
          </w:p>
          <w:p w14:paraId="125D04DE" w14:textId="77777777" w:rsidR="00FA65F9" w:rsidRDefault="00FA65F9" w:rsidP="00D72EE4">
            <w:pPr>
              <w:pStyle w:val="TableText"/>
            </w:pPr>
            <w:r w:rsidRPr="00236831">
              <w:t xml:space="preserve">To appropriately determine the true impact of </w:t>
            </w:r>
            <w:r>
              <w:t>recent fire</w:t>
            </w:r>
            <w:r w:rsidRPr="00236831">
              <w:t>, the number seedlings that survive to become mature individuals at the same life stage as those destroyed by the fires must be projected, based on seedling survival rates, rates of adult senescence and with knowledge of the pre-fire history of all sites</w:t>
            </w:r>
            <w:r>
              <w:t xml:space="preserve">. </w:t>
            </w:r>
          </w:p>
          <w:p w14:paraId="15906A54" w14:textId="77777777" w:rsidR="00FA65F9" w:rsidRDefault="00FA65F9" w:rsidP="00D72EE4">
            <w:pPr>
              <w:pStyle w:val="TableText"/>
            </w:pPr>
            <w:r>
              <w:t xml:space="preserve">It is assumed that many plants were above 25 years old before the 2018 fires, as most plants were alive in 1996 (Gilfillan et al. 2008). </w:t>
            </w:r>
          </w:p>
          <w:p w14:paraId="604BDC66" w14:textId="77777777" w:rsidR="00FA65F9" w:rsidRDefault="00FA65F9" w:rsidP="00D72EE4">
            <w:pPr>
              <w:pStyle w:val="TableText"/>
            </w:pPr>
            <w:r>
              <w:t>To calculate survival rates, survival of seedlings recruited by the 2000 fire was used. T</w:t>
            </w:r>
            <w:r w:rsidRPr="005F0659">
              <w:t xml:space="preserve">he 2000 fire stimulated recruitment of 30 </w:t>
            </w:r>
            <w:r>
              <w:t>seedlings</w:t>
            </w:r>
            <w:r w:rsidRPr="005F0659">
              <w:t>, of which four were alive before the 2018 fires (S Barrett 2020. pers comm 25 September). This indicates seedling survival of 13 percent over 18 years</w:t>
            </w:r>
            <w:r>
              <w:t xml:space="preserve">. </w:t>
            </w:r>
            <w:r w:rsidRPr="00123060">
              <w:t xml:space="preserve">Assuming exponential decay, </w:t>
            </w:r>
            <w:r>
              <w:t xml:space="preserve">the seedling survival can be calculated as: ln(0.13)/18 </w:t>
            </w:r>
            <w:r w:rsidRPr="00123060">
              <w:t>=</w:t>
            </w:r>
            <w:r>
              <w:t xml:space="preserve"> </w:t>
            </w:r>
            <w:r w:rsidRPr="00123060">
              <w:t>-0.11335</w:t>
            </w:r>
            <w:r>
              <w:t xml:space="preserve">. </w:t>
            </w:r>
          </w:p>
          <w:p w14:paraId="5953249F" w14:textId="0C045344" w:rsidR="00FA65F9" w:rsidRDefault="00FA65F9" w:rsidP="00D72EE4">
            <w:pPr>
              <w:pStyle w:val="TableText"/>
            </w:pPr>
            <w:r w:rsidRPr="00114F1D">
              <w:t xml:space="preserve">The number of seedlings that are estimated to have germinated after the 2018 fire is &gt;1000 (S Barret 2020. pers comm 25 September). Subsequent information </w:t>
            </w:r>
            <w:r>
              <w:t>noted</w:t>
            </w:r>
            <w:r w:rsidRPr="00114F1D">
              <w:t xml:space="preserve"> that, as of 2020, </w:t>
            </w:r>
            <w:r w:rsidRPr="00114F1D">
              <w:lastRenderedPageBreak/>
              <w:t>there were 857 juveniles, which equalled approximately 60% of the seedlings</w:t>
            </w:r>
            <w:r>
              <w:t xml:space="preserve"> </w:t>
            </w:r>
            <w:r w:rsidRPr="00114F1D">
              <w:t>alive in 2019 (S Barret</w:t>
            </w:r>
            <w:r w:rsidR="00EB30AE">
              <w:t>t</w:t>
            </w:r>
            <w:r w:rsidRPr="00114F1D">
              <w:t xml:space="preserve"> 2020. pers comm 25 September). This suggests that at least 1430 seedlings were germinated after the 2018 fire (857/0.6). Further monitoring from 2021 revealed 725 juveniles from the 2018 </w:t>
            </w:r>
            <w:r w:rsidR="00EB30AE">
              <w:t xml:space="preserve">fire </w:t>
            </w:r>
            <w:r w:rsidRPr="00114F1D">
              <w:t>were extant and 22 seedlings that had germinated after the 2019 fire were present</w:t>
            </w:r>
            <w:r>
              <w:t>, bringing the total number of seedlings germinated by both fires to 1452</w:t>
            </w:r>
            <w:r w:rsidRPr="00114F1D">
              <w:t>.</w:t>
            </w:r>
            <w:r>
              <w:t xml:space="preserve"> </w:t>
            </w:r>
          </w:p>
          <w:p w14:paraId="65B0D35B" w14:textId="77777777" w:rsidR="00FA65F9" w:rsidRDefault="00FA65F9" w:rsidP="00D72EE4">
            <w:pPr>
              <w:pStyle w:val="TableText"/>
            </w:pPr>
            <w:r>
              <w:t>Using the above equation, and assuming that a total of 1452 seedlings germinated after both fires (combined), the</w:t>
            </w:r>
            <w:r w:rsidRPr="00123060">
              <w:t xml:space="preserve"> number of mature individuals </w:t>
            </w:r>
            <w:r>
              <w:t>is projected to be 85</w:t>
            </w:r>
            <w:r w:rsidRPr="00123060">
              <w:t xml:space="preserve"> (</w:t>
            </w:r>
            <w:r>
              <w:t>48</w:t>
            </w:r>
            <w:r w:rsidRPr="00123060">
              <w:t>-</w:t>
            </w:r>
            <w:r>
              <w:t>150)</w:t>
            </w:r>
            <w:r w:rsidRPr="00123060">
              <w:t xml:space="preserve"> at </w:t>
            </w:r>
            <w:r>
              <w:t>a future age</w:t>
            </w:r>
            <w:r w:rsidRPr="00123060">
              <w:t xml:space="preserve"> of </w:t>
            </w:r>
            <w:r>
              <w:t>25</w:t>
            </w:r>
            <w:r w:rsidRPr="00123060">
              <w:t xml:space="preserve"> </w:t>
            </w:r>
            <w:r>
              <w:t>years (20</w:t>
            </w:r>
            <w:r w:rsidRPr="00123060">
              <w:t>-</w:t>
            </w:r>
            <w:r>
              <w:t>30</w:t>
            </w:r>
            <w:r w:rsidRPr="00123060">
              <w:t xml:space="preserve"> y</w:t>
            </w:r>
            <w:r>
              <w:t>ear</w:t>
            </w:r>
            <w:r w:rsidRPr="00123060">
              <w:t xml:space="preserve"> bound)</w:t>
            </w:r>
            <w:r>
              <w:t xml:space="preserve"> comparable to the likely age of mature individuals prior to the 2018 fire. </w:t>
            </w:r>
          </w:p>
        </w:tc>
      </w:tr>
      <w:tr w:rsidR="00FA65F9" w14:paraId="31B1ABD1" w14:textId="77777777" w:rsidTr="00D72EE4">
        <w:tc>
          <w:tcPr>
            <w:tcW w:w="1662" w:type="dxa"/>
          </w:tcPr>
          <w:p w14:paraId="37A148E0"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lastRenderedPageBreak/>
              <w:t>Trend</w:t>
            </w:r>
          </w:p>
        </w:tc>
        <w:tc>
          <w:tcPr>
            <w:tcW w:w="4145" w:type="dxa"/>
            <w:gridSpan w:val="3"/>
            <w:shd w:val="clear" w:color="auto" w:fill="auto"/>
          </w:tcPr>
          <w:p w14:paraId="417593AA" w14:textId="77777777" w:rsidR="00FA65F9" w:rsidRDefault="00FA65F9" w:rsidP="00D72EE4">
            <w:pPr>
              <w:pStyle w:val="TableText"/>
            </w:pPr>
            <w:r>
              <w:t>Decreasing</w:t>
            </w:r>
          </w:p>
          <w:p w14:paraId="56AEB5E0" w14:textId="77777777" w:rsidR="00FA65F9" w:rsidRDefault="00FA65F9" w:rsidP="00D72EE4">
            <w:pPr>
              <w:pStyle w:val="TableText"/>
            </w:pPr>
          </w:p>
        </w:tc>
        <w:tc>
          <w:tcPr>
            <w:tcW w:w="3253" w:type="dxa"/>
            <w:shd w:val="clear" w:color="auto" w:fill="auto"/>
          </w:tcPr>
          <w:p w14:paraId="07843968" w14:textId="77777777" w:rsidR="00FA65F9" w:rsidRDefault="00FA65F9" w:rsidP="00D72EE4">
            <w:pPr>
              <w:pStyle w:val="TableText"/>
              <w:rPr>
                <w:rFonts w:cs="Arial"/>
              </w:rPr>
            </w:pPr>
            <w:r>
              <w:rPr>
                <w:rFonts w:cs="Arial"/>
              </w:rPr>
              <w:t>Stirling Range dryandra</w:t>
            </w:r>
            <w:r w:rsidRPr="005D757B">
              <w:rPr>
                <w:rFonts w:cs="Arial"/>
              </w:rPr>
              <w:t xml:space="preserve"> was first discovered in 1964</w:t>
            </w:r>
            <w:r>
              <w:rPr>
                <w:rFonts w:cs="Arial"/>
              </w:rPr>
              <w:t>. B</w:t>
            </w:r>
            <w:r w:rsidRPr="005D757B">
              <w:rPr>
                <w:rFonts w:cs="Arial"/>
              </w:rPr>
              <w:t xml:space="preserve">y 2000, </w:t>
            </w:r>
            <w:r>
              <w:rPr>
                <w:rFonts w:cs="Arial"/>
              </w:rPr>
              <w:t>there were</w:t>
            </w:r>
            <w:r w:rsidRPr="005D757B">
              <w:rPr>
                <w:rFonts w:cs="Arial"/>
              </w:rPr>
              <w:t xml:space="preserve"> 137 mature individuals and 39 juveniles over four subpopulations remaining</w:t>
            </w:r>
            <w:r>
              <w:rPr>
                <w:rFonts w:cs="Arial"/>
              </w:rPr>
              <w:t xml:space="preserve">. A </w:t>
            </w:r>
            <w:r w:rsidRPr="005D757B">
              <w:rPr>
                <w:rFonts w:cs="Arial"/>
              </w:rPr>
              <w:t xml:space="preserve">fire in spring 2000 reduced the original population </w:t>
            </w:r>
            <w:r>
              <w:rPr>
                <w:rFonts w:cs="Arial"/>
              </w:rPr>
              <w:t xml:space="preserve">to </w:t>
            </w:r>
            <w:r w:rsidRPr="005D757B">
              <w:rPr>
                <w:rFonts w:cs="Arial"/>
              </w:rPr>
              <w:t>55 mature individuals (DAWE 2017</w:t>
            </w:r>
            <w:r>
              <w:rPr>
                <w:rFonts w:cs="Arial"/>
              </w:rPr>
              <w:t>; Silcock et al. 2021</w:t>
            </w:r>
            <w:r w:rsidRPr="005D757B">
              <w:rPr>
                <w:rFonts w:cs="Arial"/>
              </w:rPr>
              <w:t>).</w:t>
            </w:r>
            <w:r>
              <w:rPr>
                <w:rFonts w:cs="Arial"/>
              </w:rPr>
              <w:t xml:space="preserve"> </w:t>
            </w:r>
            <w:r w:rsidRPr="005D757B">
              <w:rPr>
                <w:rFonts w:cs="Arial"/>
              </w:rPr>
              <w:t>Bushfires in May 2018 and December 2019 led to 100</w:t>
            </w:r>
            <w:r>
              <w:rPr>
                <w:rFonts w:cs="Arial"/>
              </w:rPr>
              <w:t>%</w:t>
            </w:r>
            <w:r w:rsidRPr="005D757B">
              <w:rPr>
                <w:rFonts w:cs="Arial"/>
              </w:rPr>
              <w:t xml:space="preserve"> mortality of all known mature </w:t>
            </w:r>
            <w:r>
              <w:rPr>
                <w:rFonts w:cs="Arial"/>
              </w:rPr>
              <w:t>individuals.</w:t>
            </w:r>
            <w:r w:rsidRPr="005D757B">
              <w:rPr>
                <w:rFonts w:cs="Arial"/>
              </w:rPr>
              <w:t xml:space="preserve"> </w:t>
            </w:r>
            <w:r>
              <w:rPr>
                <w:rFonts w:cs="Arial"/>
              </w:rPr>
              <w:t xml:space="preserve">Natural </w:t>
            </w:r>
            <w:r w:rsidRPr="005D757B">
              <w:rPr>
                <w:rFonts w:cs="Arial"/>
              </w:rPr>
              <w:t xml:space="preserve">subpopulations are currently comprised entirely of juvenile plants. </w:t>
            </w:r>
          </w:p>
          <w:p w14:paraId="769AF4E3" w14:textId="77777777" w:rsidR="00FA65F9" w:rsidRPr="001F626A" w:rsidRDefault="00FA65F9" w:rsidP="00D72EE4">
            <w:pPr>
              <w:pStyle w:val="TableText"/>
              <w:rPr>
                <w:rFonts w:cs="Arial"/>
              </w:rPr>
            </w:pPr>
            <w:r>
              <w:rPr>
                <w:rFonts w:cs="Arial"/>
              </w:rPr>
              <w:t xml:space="preserve">Mature individuals are currently only found in ex situ subpopulations. </w:t>
            </w:r>
            <w:r w:rsidRPr="005D757B">
              <w:rPr>
                <w:rFonts w:cs="Arial"/>
              </w:rPr>
              <w:t>As of 2019/20, 65 and two plants were surviving in each</w:t>
            </w:r>
            <w:r>
              <w:rPr>
                <w:rFonts w:cs="Arial"/>
              </w:rPr>
              <w:t xml:space="preserve"> seed</w:t>
            </w:r>
            <w:r w:rsidRPr="005D757B">
              <w:rPr>
                <w:rFonts w:cs="Arial"/>
              </w:rPr>
              <w:t xml:space="preserve"> orchard respectively</w:t>
            </w:r>
            <w:r>
              <w:rPr>
                <w:rFonts w:cs="Arial"/>
              </w:rPr>
              <w:t xml:space="preserve"> </w:t>
            </w:r>
            <w:r w:rsidRPr="005D757B">
              <w:rPr>
                <w:rFonts w:cs="Arial"/>
              </w:rPr>
              <w:t xml:space="preserve">(Silcock et al. 2021). </w:t>
            </w:r>
          </w:p>
        </w:tc>
      </w:tr>
      <w:tr w:rsidR="00FA65F9" w14:paraId="3DDC3A57" w14:textId="77777777" w:rsidTr="00D72EE4">
        <w:tc>
          <w:tcPr>
            <w:tcW w:w="1662" w:type="dxa"/>
          </w:tcPr>
          <w:p w14:paraId="08193471" w14:textId="77777777" w:rsidR="00FA65F9" w:rsidRPr="00D20C80" w:rsidRDefault="00FA65F9" w:rsidP="00D72EE4">
            <w:pPr>
              <w:pStyle w:val="TableText"/>
              <w:rPr>
                <w:rStyle w:val="Strong"/>
                <w:rFonts w:eastAsiaTheme="minorHAnsi" w:cstheme="minorBidi"/>
                <w:b w:val="0"/>
                <w:bCs w:val="0"/>
                <w:sz w:val="22"/>
                <w:szCs w:val="22"/>
                <w:lang w:eastAsia="en-US"/>
              </w:rPr>
            </w:pPr>
            <w:r w:rsidRPr="00D20C80">
              <w:rPr>
                <w:rStyle w:val="Strong"/>
                <w:bCs w:val="0"/>
              </w:rPr>
              <w:t>Generation time (years)</w:t>
            </w:r>
          </w:p>
        </w:tc>
        <w:tc>
          <w:tcPr>
            <w:tcW w:w="1502" w:type="dxa"/>
            <w:shd w:val="clear" w:color="auto" w:fill="auto"/>
          </w:tcPr>
          <w:p w14:paraId="49FD796A" w14:textId="77777777" w:rsidR="00FA65F9" w:rsidRDefault="00FA65F9" w:rsidP="00D72EE4">
            <w:pPr>
              <w:pStyle w:val="TableText"/>
            </w:pPr>
            <w:r>
              <w:t>20–30 years</w:t>
            </w:r>
          </w:p>
        </w:tc>
        <w:tc>
          <w:tcPr>
            <w:tcW w:w="1279" w:type="dxa"/>
            <w:shd w:val="clear" w:color="auto" w:fill="auto"/>
          </w:tcPr>
          <w:p w14:paraId="1C27B159" w14:textId="77777777" w:rsidR="00FA65F9" w:rsidRDefault="00FA65F9" w:rsidP="00D72EE4">
            <w:pPr>
              <w:pStyle w:val="TableText"/>
            </w:pPr>
            <w:r>
              <w:t>10 years</w:t>
            </w:r>
          </w:p>
        </w:tc>
        <w:tc>
          <w:tcPr>
            <w:tcW w:w="1364" w:type="dxa"/>
            <w:shd w:val="clear" w:color="auto" w:fill="auto"/>
          </w:tcPr>
          <w:p w14:paraId="39CB7501" w14:textId="77777777" w:rsidR="00FA65F9" w:rsidRDefault="00FA65F9" w:rsidP="00D72EE4">
            <w:pPr>
              <w:pStyle w:val="TableText"/>
            </w:pPr>
            <w:r>
              <w:t>30–40 years</w:t>
            </w:r>
          </w:p>
        </w:tc>
        <w:tc>
          <w:tcPr>
            <w:tcW w:w="3253" w:type="dxa"/>
            <w:shd w:val="clear" w:color="auto" w:fill="auto"/>
          </w:tcPr>
          <w:p w14:paraId="4D5480C1" w14:textId="77777777" w:rsidR="00FA65F9" w:rsidRDefault="00FA65F9" w:rsidP="00D72EE4">
            <w:pPr>
              <w:pStyle w:val="TableText"/>
            </w:pPr>
            <w:r w:rsidRPr="0045413B">
              <w:t>The generation time of the species is considered to be approximately 20–30 years. The lower bound of 20 years was calculated using the IUCN Generation Length calculator, with fecundity set at 0 from 1–9 years and assumed to be consistent from 10–30 years. Survival was also assumed to be constant throughout its reproductive period (10–30 years) (IUCN 2019). The upper bound of 30 years was calculated as above, except with fecundity and survival constant from 10–50 years. Generation length in Silcock et al. (2021) was estimated at &gt;10 years and is considered a minimum estimate.</w:t>
            </w:r>
          </w:p>
        </w:tc>
      </w:tr>
      <w:tr w:rsidR="00FA65F9" w14:paraId="021A8358" w14:textId="77777777" w:rsidTr="00D72EE4">
        <w:tc>
          <w:tcPr>
            <w:tcW w:w="1662" w:type="dxa"/>
          </w:tcPr>
          <w:p w14:paraId="44B6E75C"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t>Extent of occurrence</w:t>
            </w:r>
          </w:p>
          <w:p w14:paraId="37D68066" w14:textId="77777777" w:rsidR="00FA65F9" w:rsidRPr="00D20C80" w:rsidRDefault="00FA65F9" w:rsidP="00D72EE4">
            <w:pPr>
              <w:pStyle w:val="TableText"/>
              <w:rPr>
                <w:rStyle w:val="Strong"/>
                <w:rFonts w:eastAsiaTheme="minorHAnsi" w:cstheme="minorBidi"/>
                <w:b w:val="0"/>
                <w:bCs w:val="0"/>
                <w:szCs w:val="22"/>
                <w:lang w:eastAsia="en-US"/>
              </w:rPr>
            </w:pPr>
          </w:p>
        </w:tc>
        <w:tc>
          <w:tcPr>
            <w:tcW w:w="1502" w:type="dxa"/>
            <w:shd w:val="clear" w:color="auto" w:fill="auto"/>
          </w:tcPr>
          <w:p w14:paraId="3B08A9F0" w14:textId="77777777" w:rsidR="00FA65F9" w:rsidRPr="001B2E6F" w:rsidRDefault="00FA65F9" w:rsidP="00D72EE4">
            <w:pPr>
              <w:pStyle w:val="TableText"/>
            </w:pPr>
            <w:r w:rsidRPr="001B2E6F">
              <w:rPr>
                <w:rFonts w:cs="Arial"/>
              </w:rPr>
              <w:t>3</w:t>
            </w:r>
            <w:r>
              <w:rPr>
                <w:rFonts w:cs="Arial"/>
              </w:rPr>
              <w:t>2</w:t>
            </w:r>
            <w:r w:rsidRPr="001B2E6F">
              <w:rPr>
                <w:rFonts w:cs="Arial"/>
              </w:rPr>
              <w:t xml:space="preserve"> km</w:t>
            </w:r>
            <w:r w:rsidRPr="001B2E6F">
              <w:rPr>
                <w:rFonts w:cs="Arial"/>
                <w:vertAlign w:val="superscript"/>
              </w:rPr>
              <w:t>2</w:t>
            </w:r>
          </w:p>
        </w:tc>
        <w:tc>
          <w:tcPr>
            <w:tcW w:w="1279" w:type="dxa"/>
            <w:shd w:val="clear" w:color="auto" w:fill="auto"/>
          </w:tcPr>
          <w:p w14:paraId="566C30B5" w14:textId="77777777" w:rsidR="00FA65F9" w:rsidRPr="001B2E6F" w:rsidRDefault="00FA65F9" w:rsidP="00D72EE4">
            <w:pPr>
              <w:pStyle w:val="TableText"/>
              <w:rPr>
                <w:rFonts w:cs="Arial"/>
                <w:vertAlign w:val="superscript"/>
              </w:rPr>
            </w:pPr>
            <w:r w:rsidRPr="22E3ABD1">
              <w:rPr>
                <w:rFonts w:cs="Arial"/>
              </w:rPr>
              <w:t>3</w:t>
            </w:r>
            <w:r>
              <w:rPr>
                <w:rFonts w:cs="Arial"/>
              </w:rPr>
              <w:t>2</w:t>
            </w:r>
            <w:r w:rsidRPr="22E3ABD1">
              <w:rPr>
                <w:rFonts w:cs="Arial"/>
              </w:rPr>
              <w:t xml:space="preserve"> km</w:t>
            </w:r>
            <w:r w:rsidRPr="22E3ABD1">
              <w:rPr>
                <w:rFonts w:cs="Arial"/>
                <w:vertAlign w:val="superscript"/>
              </w:rPr>
              <w:t>2</w:t>
            </w:r>
          </w:p>
        </w:tc>
        <w:tc>
          <w:tcPr>
            <w:tcW w:w="1364" w:type="dxa"/>
            <w:shd w:val="clear" w:color="auto" w:fill="auto"/>
          </w:tcPr>
          <w:p w14:paraId="0F956566" w14:textId="77777777" w:rsidR="00FA65F9" w:rsidRPr="001B2E6F" w:rsidRDefault="00FA65F9" w:rsidP="00D72EE4">
            <w:pPr>
              <w:pStyle w:val="TableText"/>
              <w:rPr>
                <w:rFonts w:cs="Arial"/>
                <w:vertAlign w:val="superscript"/>
              </w:rPr>
            </w:pPr>
            <w:r>
              <w:rPr>
                <w:rFonts w:cs="Arial"/>
              </w:rPr>
              <w:t>3</w:t>
            </w:r>
            <w:r w:rsidRPr="22E3ABD1">
              <w:rPr>
                <w:rFonts w:cs="Arial"/>
              </w:rPr>
              <w:t>2 km</w:t>
            </w:r>
            <w:r w:rsidRPr="22E3ABD1">
              <w:rPr>
                <w:rFonts w:cs="Arial"/>
                <w:vertAlign w:val="superscript"/>
              </w:rPr>
              <w:t>2</w:t>
            </w:r>
          </w:p>
        </w:tc>
        <w:tc>
          <w:tcPr>
            <w:tcW w:w="3253" w:type="dxa"/>
            <w:shd w:val="clear" w:color="auto" w:fill="auto"/>
          </w:tcPr>
          <w:p w14:paraId="715FC521" w14:textId="77777777" w:rsidR="00FA65F9" w:rsidRPr="001B2E6F" w:rsidRDefault="00FA65F9" w:rsidP="00D72EE4">
            <w:pPr>
              <w:pStyle w:val="TableText"/>
              <w:rPr>
                <w:rFonts w:cs="Arial"/>
              </w:rPr>
            </w:pPr>
            <w:r w:rsidRPr="001B2E6F">
              <w:rPr>
                <w:rFonts w:cs="Arial"/>
              </w:rPr>
              <w:t>The extent of occurrence (EOO) is estimated at 3</w:t>
            </w:r>
            <w:r>
              <w:rPr>
                <w:rFonts w:cs="Arial"/>
              </w:rPr>
              <w:t>2</w:t>
            </w:r>
            <w:r w:rsidRPr="001B2E6F">
              <w:rPr>
                <w:rFonts w:cs="Arial"/>
              </w:rPr>
              <w:t xml:space="preserve"> km</w:t>
            </w:r>
            <w:r w:rsidRPr="001B2E6F">
              <w:rPr>
                <w:rFonts w:cs="Arial"/>
                <w:vertAlign w:val="superscript"/>
              </w:rPr>
              <w:t>2</w:t>
            </w:r>
            <w:r w:rsidRPr="001B2E6F">
              <w:rPr>
                <w:rFonts w:cs="Arial"/>
              </w:rPr>
              <w:t xml:space="preserve">.  </w:t>
            </w:r>
            <w:r w:rsidRPr="001B2E6F">
              <w:t>This figure is based on the mapping of point records from 20</w:t>
            </w:r>
            <w:r>
              <w:t>18</w:t>
            </w:r>
            <w:r w:rsidRPr="001B2E6F">
              <w:t xml:space="preserve">–2020 obtained from state governments, museums and CSIRO. </w:t>
            </w:r>
            <w:r>
              <w:t xml:space="preserve">This period was used as only four </w:t>
            </w:r>
            <w:r>
              <w:lastRenderedPageBreak/>
              <w:t xml:space="preserve">subpopulations are considered extant, and using records over a longer period would not be accurate. The maximum and minimum EOO are the same as the most plausible estimate, as it is unlikely other subpopulations exist. </w:t>
            </w:r>
            <w:r w:rsidRPr="001B2E6F">
              <w:t xml:space="preserve">The EOO was calculated using a minimum convex hull, based on the IUCN Red List Guidelines (IUCN 2019). </w:t>
            </w:r>
          </w:p>
        </w:tc>
      </w:tr>
      <w:tr w:rsidR="00FA65F9" w14:paraId="3A6BBF0F" w14:textId="77777777" w:rsidTr="00D72EE4">
        <w:tc>
          <w:tcPr>
            <w:tcW w:w="1662" w:type="dxa"/>
          </w:tcPr>
          <w:p w14:paraId="4E2D804A"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lastRenderedPageBreak/>
              <w:t>Trend</w:t>
            </w:r>
          </w:p>
        </w:tc>
        <w:tc>
          <w:tcPr>
            <w:tcW w:w="4145" w:type="dxa"/>
            <w:gridSpan w:val="3"/>
            <w:shd w:val="clear" w:color="auto" w:fill="auto"/>
          </w:tcPr>
          <w:p w14:paraId="429F6F00" w14:textId="77777777" w:rsidR="00FA65F9" w:rsidRPr="001B2E6F" w:rsidRDefault="00FA65F9" w:rsidP="00D72EE4">
            <w:pPr>
              <w:pStyle w:val="TableText"/>
            </w:pPr>
            <w:r w:rsidRPr="001B2E6F">
              <w:t>Contracting</w:t>
            </w:r>
          </w:p>
          <w:p w14:paraId="797234DA" w14:textId="77777777" w:rsidR="00FA65F9" w:rsidRPr="001B2E6F" w:rsidRDefault="00FA65F9" w:rsidP="00D72EE4">
            <w:pPr>
              <w:pStyle w:val="TableText"/>
            </w:pPr>
          </w:p>
        </w:tc>
        <w:tc>
          <w:tcPr>
            <w:tcW w:w="3253" w:type="dxa"/>
            <w:shd w:val="clear" w:color="auto" w:fill="auto"/>
          </w:tcPr>
          <w:p w14:paraId="2D6297F1" w14:textId="77777777" w:rsidR="00FA65F9" w:rsidRPr="001B2E6F" w:rsidRDefault="00FA65F9" w:rsidP="00D72EE4">
            <w:pPr>
              <w:pStyle w:val="TableText"/>
            </w:pPr>
            <w:r w:rsidRPr="001B2E6F">
              <w:rPr>
                <w:rFonts w:cs="Arial"/>
              </w:rPr>
              <w:t>The EOO has declined due to the local extinction of the Coyanarup subpopulation.</w:t>
            </w:r>
            <w:r>
              <w:t xml:space="preserve"> </w:t>
            </w:r>
            <w:r w:rsidRPr="001B2E6F">
              <w:t>EOO may continue contracting if currently extant subpopulations become extinct. See Table 2 for further information.</w:t>
            </w:r>
          </w:p>
        </w:tc>
      </w:tr>
      <w:tr w:rsidR="00FA65F9" w14:paraId="692F6F56" w14:textId="77777777" w:rsidTr="00D72EE4">
        <w:tc>
          <w:tcPr>
            <w:tcW w:w="1662" w:type="dxa"/>
          </w:tcPr>
          <w:p w14:paraId="528D795D" w14:textId="77777777" w:rsidR="00FA65F9" w:rsidRDefault="00FA65F9" w:rsidP="00D72EE4">
            <w:pPr>
              <w:pStyle w:val="TableText"/>
              <w:rPr>
                <w:rStyle w:val="Strong"/>
                <w:rFonts w:eastAsiaTheme="minorHAnsi" w:cstheme="minorBidi"/>
                <w:b w:val="0"/>
                <w:sz w:val="22"/>
                <w:szCs w:val="22"/>
                <w:lang w:eastAsia="en-US"/>
              </w:rPr>
            </w:pPr>
            <w:r w:rsidRPr="00D20C80">
              <w:rPr>
                <w:rStyle w:val="Strong"/>
                <w:bCs w:val="0"/>
              </w:rPr>
              <w:t>Area of Occupancy</w:t>
            </w:r>
          </w:p>
          <w:p w14:paraId="1875D99A" w14:textId="77777777" w:rsidR="00FA65F9" w:rsidRPr="00D20C80" w:rsidRDefault="00FA65F9" w:rsidP="00D72EE4">
            <w:pPr>
              <w:pStyle w:val="TableText"/>
              <w:rPr>
                <w:rStyle w:val="Strong"/>
                <w:rFonts w:eastAsiaTheme="minorHAnsi" w:cstheme="minorBidi"/>
                <w:b w:val="0"/>
                <w:bCs w:val="0"/>
                <w:szCs w:val="22"/>
                <w:lang w:eastAsia="en-US"/>
              </w:rPr>
            </w:pPr>
          </w:p>
        </w:tc>
        <w:tc>
          <w:tcPr>
            <w:tcW w:w="1502" w:type="dxa"/>
            <w:shd w:val="clear" w:color="auto" w:fill="auto"/>
          </w:tcPr>
          <w:p w14:paraId="7C29A33C" w14:textId="77777777" w:rsidR="00FA65F9" w:rsidRPr="001B2E6F" w:rsidRDefault="00FA65F9" w:rsidP="00D72EE4">
            <w:pPr>
              <w:pStyle w:val="TableText"/>
              <w:rPr>
                <w:vertAlign w:val="superscript"/>
              </w:rPr>
            </w:pPr>
            <w:r>
              <w:t>16 km</w:t>
            </w:r>
            <w:r w:rsidRPr="22E3ABD1">
              <w:rPr>
                <w:vertAlign w:val="superscript"/>
              </w:rPr>
              <w:t>2</w:t>
            </w:r>
          </w:p>
        </w:tc>
        <w:tc>
          <w:tcPr>
            <w:tcW w:w="1279" w:type="dxa"/>
            <w:shd w:val="clear" w:color="auto" w:fill="auto"/>
          </w:tcPr>
          <w:p w14:paraId="64684123" w14:textId="77777777" w:rsidR="00FA65F9" w:rsidRPr="001B2E6F" w:rsidRDefault="00FA65F9" w:rsidP="00D72EE4">
            <w:pPr>
              <w:pStyle w:val="TableText"/>
            </w:pPr>
            <w:r>
              <w:t>16</w:t>
            </w:r>
            <w:r w:rsidRPr="001B2E6F">
              <w:t xml:space="preserve"> km</w:t>
            </w:r>
            <w:r w:rsidRPr="001B2E6F">
              <w:rPr>
                <w:vertAlign w:val="superscript"/>
              </w:rPr>
              <w:t>2</w:t>
            </w:r>
          </w:p>
        </w:tc>
        <w:tc>
          <w:tcPr>
            <w:tcW w:w="1364" w:type="dxa"/>
            <w:shd w:val="clear" w:color="auto" w:fill="auto"/>
          </w:tcPr>
          <w:p w14:paraId="0E97BDCD" w14:textId="77777777" w:rsidR="00FA65F9" w:rsidRPr="001B2E6F" w:rsidRDefault="00FA65F9" w:rsidP="00D72EE4">
            <w:pPr>
              <w:pStyle w:val="TableText"/>
            </w:pPr>
            <w:r w:rsidRPr="001B2E6F">
              <w:t>2</w:t>
            </w:r>
            <w:r>
              <w:t>4</w:t>
            </w:r>
            <w:r w:rsidRPr="001B2E6F">
              <w:t xml:space="preserve"> km</w:t>
            </w:r>
            <w:r w:rsidRPr="001B2E6F">
              <w:rPr>
                <w:vertAlign w:val="superscript"/>
              </w:rPr>
              <w:t>2</w:t>
            </w:r>
          </w:p>
        </w:tc>
        <w:tc>
          <w:tcPr>
            <w:tcW w:w="3253" w:type="dxa"/>
            <w:shd w:val="clear" w:color="auto" w:fill="auto"/>
          </w:tcPr>
          <w:p w14:paraId="6E590C08" w14:textId="77777777" w:rsidR="00FA65F9" w:rsidRPr="001B2E6F" w:rsidRDefault="00FA65F9" w:rsidP="00D72EE4">
            <w:pPr>
              <w:pStyle w:val="TableText"/>
            </w:pPr>
            <w:r w:rsidRPr="001B2E6F">
              <w:rPr>
                <w:rFonts w:cs="Arial"/>
              </w:rPr>
              <w:t xml:space="preserve">The AOO is estimated at </w:t>
            </w:r>
            <w:r>
              <w:rPr>
                <w:rFonts w:cs="Arial"/>
              </w:rPr>
              <w:t>16</w:t>
            </w:r>
            <w:r w:rsidRPr="001B2E6F">
              <w:rPr>
                <w:rFonts w:cs="Arial"/>
              </w:rPr>
              <w:t xml:space="preserve"> km</w:t>
            </w:r>
            <w:r w:rsidRPr="001B2E6F">
              <w:rPr>
                <w:rFonts w:cs="Arial"/>
                <w:vertAlign w:val="superscript"/>
              </w:rPr>
              <w:t>2</w:t>
            </w:r>
            <w:r w:rsidRPr="001B2E6F">
              <w:rPr>
                <w:rFonts w:cs="Arial"/>
                <w:vertAlign w:val="subscript"/>
              </w:rPr>
              <w:t>.</w:t>
            </w:r>
            <w:r w:rsidRPr="001B2E6F">
              <w:rPr>
                <w:rFonts w:cs="Arial"/>
              </w:rPr>
              <w:t xml:space="preserve"> </w:t>
            </w:r>
            <w:r w:rsidRPr="001B2E6F">
              <w:t>This figure is based on the mapping of point records from</w:t>
            </w:r>
            <w:r>
              <w:t xml:space="preserve">2018–2020 </w:t>
            </w:r>
            <w:r w:rsidRPr="001B2E6F">
              <w:t>obtained from state governments, museums and CSIRO.</w:t>
            </w:r>
            <w:r>
              <w:t xml:space="preserve"> This period was used as only four subpopulations are considered extant and using records over a longer period would not be accurate. The maximum plausible value is if extinct subpopulations are included. </w:t>
            </w:r>
            <w:r w:rsidRPr="001B2E6F">
              <w:t xml:space="preserve"> The AOO is calculated using a 2x2 km grid cell method, based on the IUCN Red List Guidelines (IUCN 2019). </w:t>
            </w:r>
          </w:p>
        </w:tc>
      </w:tr>
      <w:tr w:rsidR="00FA65F9" w14:paraId="3D24044E" w14:textId="77777777" w:rsidTr="00D72EE4">
        <w:tc>
          <w:tcPr>
            <w:tcW w:w="1662" w:type="dxa"/>
          </w:tcPr>
          <w:p w14:paraId="5BCF2DC0"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t>Trend</w:t>
            </w:r>
          </w:p>
        </w:tc>
        <w:tc>
          <w:tcPr>
            <w:tcW w:w="4145" w:type="dxa"/>
            <w:gridSpan w:val="3"/>
            <w:shd w:val="clear" w:color="auto" w:fill="auto"/>
          </w:tcPr>
          <w:p w14:paraId="361B1417" w14:textId="77777777" w:rsidR="00FA65F9" w:rsidRDefault="00FA65F9" w:rsidP="00D72EE4">
            <w:pPr>
              <w:pStyle w:val="TableText"/>
            </w:pPr>
            <w:r w:rsidRPr="006F0952">
              <w:t xml:space="preserve">Contracting </w:t>
            </w:r>
          </w:p>
        </w:tc>
        <w:tc>
          <w:tcPr>
            <w:tcW w:w="3253" w:type="dxa"/>
            <w:shd w:val="clear" w:color="auto" w:fill="auto"/>
          </w:tcPr>
          <w:p w14:paraId="47DE7B11" w14:textId="77777777" w:rsidR="00FA65F9" w:rsidRDefault="00FA65F9" w:rsidP="00D72EE4">
            <w:pPr>
              <w:pStyle w:val="TableText"/>
            </w:pPr>
            <w:r>
              <w:rPr>
                <w:rFonts w:cs="Arial"/>
              </w:rPr>
              <w:t xml:space="preserve">The EOO has declined due to the local extinction of the </w:t>
            </w:r>
            <w:r w:rsidRPr="005934A4">
              <w:rPr>
                <w:rFonts w:cs="Arial"/>
              </w:rPr>
              <w:t xml:space="preserve">Coyanarup </w:t>
            </w:r>
            <w:r>
              <w:rPr>
                <w:rFonts w:cs="Arial"/>
              </w:rPr>
              <w:t xml:space="preserve">subpopulation. </w:t>
            </w:r>
            <w:r>
              <w:rPr>
                <w:rFonts w:cs="Arial"/>
              </w:rPr>
              <w:br/>
            </w:r>
            <w:r>
              <w:br/>
              <w:t>EOO may continue contracting if currently extant subpopulations become extinct. See Table 2 for further information.</w:t>
            </w:r>
          </w:p>
        </w:tc>
      </w:tr>
      <w:tr w:rsidR="00FA65F9" w14:paraId="43BA80E2" w14:textId="77777777" w:rsidTr="00D72EE4">
        <w:tc>
          <w:tcPr>
            <w:tcW w:w="1662" w:type="dxa"/>
          </w:tcPr>
          <w:p w14:paraId="29C608F7" w14:textId="77777777" w:rsidR="00FA65F9" w:rsidRDefault="00FA65F9" w:rsidP="00D72EE4">
            <w:pPr>
              <w:pStyle w:val="TableText"/>
              <w:rPr>
                <w:rStyle w:val="Strong"/>
                <w:rFonts w:eastAsiaTheme="minorHAnsi" w:cstheme="minorBidi"/>
                <w:b w:val="0"/>
                <w:sz w:val="22"/>
                <w:szCs w:val="22"/>
                <w:lang w:eastAsia="en-US"/>
              </w:rPr>
            </w:pPr>
            <w:r w:rsidRPr="00D20C80">
              <w:rPr>
                <w:rStyle w:val="Strong"/>
                <w:bCs w:val="0"/>
              </w:rPr>
              <w:t xml:space="preserve">Number of </w:t>
            </w:r>
            <w:r>
              <w:rPr>
                <w:rStyle w:val="Strong"/>
                <w:bCs w:val="0"/>
              </w:rPr>
              <w:t>subpopulation</w:t>
            </w:r>
            <w:r w:rsidRPr="00D20C80">
              <w:rPr>
                <w:rStyle w:val="Strong"/>
                <w:bCs w:val="0"/>
              </w:rPr>
              <w:t>s</w:t>
            </w:r>
          </w:p>
          <w:p w14:paraId="2D52C366" w14:textId="77777777" w:rsidR="00FA65F9" w:rsidRPr="00D20C80" w:rsidRDefault="00FA65F9" w:rsidP="00D72EE4">
            <w:pPr>
              <w:pStyle w:val="TableText"/>
              <w:rPr>
                <w:rStyle w:val="Strong"/>
                <w:rFonts w:eastAsiaTheme="minorHAnsi" w:cstheme="minorBidi"/>
                <w:b w:val="0"/>
                <w:bCs w:val="0"/>
                <w:szCs w:val="22"/>
                <w:lang w:eastAsia="en-US"/>
              </w:rPr>
            </w:pPr>
          </w:p>
        </w:tc>
        <w:tc>
          <w:tcPr>
            <w:tcW w:w="1502" w:type="dxa"/>
            <w:shd w:val="clear" w:color="auto" w:fill="auto"/>
          </w:tcPr>
          <w:p w14:paraId="5B1EE776" w14:textId="77777777" w:rsidR="00FA65F9" w:rsidRDefault="00FA65F9" w:rsidP="00D72EE4">
            <w:pPr>
              <w:pStyle w:val="TableText"/>
            </w:pPr>
            <w:r>
              <w:t>4</w:t>
            </w:r>
          </w:p>
        </w:tc>
        <w:tc>
          <w:tcPr>
            <w:tcW w:w="1279" w:type="dxa"/>
            <w:shd w:val="clear" w:color="auto" w:fill="auto"/>
          </w:tcPr>
          <w:p w14:paraId="4BA277AD" w14:textId="77777777" w:rsidR="00FA65F9" w:rsidRDefault="00FA65F9" w:rsidP="00D72EE4">
            <w:pPr>
              <w:pStyle w:val="TableText"/>
            </w:pPr>
            <w:r>
              <w:t>4</w:t>
            </w:r>
          </w:p>
        </w:tc>
        <w:tc>
          <w:tcPr>
            <w:tcW w:w="1364" w:type="dxa"/>
            <w:shd w:val="clear" w:color="auto" w:fill="auto"/>
          </w:tcPr>
          <w:p w14:paraId="32D61193" w14:textId="77777777" w:rsidR="00FA65F9" w:rsidRDefault="00FA65F9" w:rsidP="00D72EE4">
            <w:pPr>
              <w:pStyle w:val="TableText"/>
            </w:pPr>
            <w:r>
              <w:t>4</w:t>
            </w:r>
          </w:p>
        </w:tc>
        <w:tc>
          <w:tcPr>
            <w:tcW w:w="3253" w:type="dxa"/>
            <w:shd w:val="clear" w:color="auto" w:fill="auto"/>
          </w:tcPr>
          <w:p w14:paraId="596CF331" w14:textId="77777777" w:rsidR="00FA65F9" w:rsidRDefault="00FA65F9" w:rsidP="00D72EE4">
            <w:pPr>
              <w:pStyle w:val="TableText"/>
            </w:pPr>
            <w:r w:rsidRPr="00D909C0">
              <w:t>Th</w:t>
            </w:r>
            <w:r>
              <w:t>e species is currently</w:t>
            </w:r>
            <w:r w:rsidRPr="00D909C0">
              <w:t xml:space="preserve"> </w:t>
            </w:r>
            <w:r>
              <w:t xml:space="preserve">known from </w:t>
            </w:r>
            <w:r w:rsidRPr="00B721E1">
              <w:t>Bluff Knoll, East Bluff, Pyungoorup and Isongerup on the eastern Stirling Range</w:t>
            </w:r>
            <w:r>
              <w:t xml:space="preserve">. </w:t>
            </w:r>
          </w:p>
        </w:tc>
      </w:tr>
      <w:tr w:rsidR="00FA65F9" w14:paraId="11B7532E" w14:textId="77777777" w:rsidTr="00D72EE4">
        <w:tc>
          <w:tcPr>
            <w:tcW w:w="1662" w:type="dxa"/>
          </w:tcPr>
          <w:p w14:paraId="64EF2F06"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t>Trend</w:t>
            </w:r>
          </w:p>
        </w:tc>
        <w:tc>
          <w:tcPr>
            <w:tcW w:w="4145" w:type="dxa"/>
            <w:gridSpan w:val="3"/>
            <w:shd w:val="clear" w:color="auto" w:fill="auto"/>
          </w:tcPr>
          <w:p w14:paraId="46EBD99D" w14:textId="77777777" w:rsidR="00FA65F9" w:rsidRDefault="00FA65F9" w:rsidP="00D72EE4">
            <w:pPr>
              <w:pStyle w:val="TableText"/>
            </w:pPr>
            <w:r>
              <w:t>declining</w:t>
            </w:r>
          </w:p>
        </w:tc>
        <w:tc>
          <w:tcPr>
            <w:tcW w:w="3253" w:type="dxa"/>
            <w:shd w:val="clear" w:color="auto" w:fill="auto"/>
          </w:tcPr>
          <w:p w14:paraId="61082D1B" w14:textId="77777777" w:rsidR="00FA65F9" w:rsidRPr="001B7D1F" w:rsidRDefault="00FA65F9" w:rsidP="00D72EE4">
            <w:pPr>
              <w:pStyle w:val="TableText"/>
            </w:pPr>
            <w:r>
              <w:t xml:space="preserve">The number of subpopulations has declined since the species was discovered in 1964 due to the extinction of the </w:t>
            </w:r>
            <w:r w:rsidRPr="005934A4">
              <w:rPr>
                <w:rFonts w:cs="Arial"/>
              </w:rPr>
              <w:t xml:space="preserve">Coyanarup </w:t>
            </w:r>
            <w:r>
              <w:t>subpopulation.</w:t>
            </w:r>
          </w:p>
        </w:tc>
      </w:tr>
      <w:tr w:rsidR="00FA65F9" w14:paraId="2109C154" w14:textId="77777777" w:rsidTr="00D72EE4">
        <w:tc>
          <w:tcPr>
            <w:tcW w:w="1662" w:type="dxa"/>
          </w:tcPr>
          <w:p w14:paraId="40FED48B" w14:textId="77777777" w:rsidR="00FA65F9" w:rsidRPr="00D20C80" w:rsidRDefault="00FA65F9" w:rsidP="00D72EE4">
            <w:pPr>
              <w:pStyle w:val="TableText"/>
              <w:rPr>
                <w:rStyle w:val="Strong"/>
                <w:rFonts w:eastAsiaTheme="minorHAnsi" w:cstheme="minorBidi"/>
                <w:b w:val="0"/>
                <w:bCs w:val="0"/>
                <w:szCs w:val="22"/>
                <w:lang w:eastAsia="en-US"/>
              </w:rPr>
            </w:pPr>
            <w:r w:rsidRPr="00D20C80">
              <w:rPr>
                <w:rStyle w:val="Strong"/>
                <w:bCs w:val="0"/>
              </w:rPr>
              <w:t xml:space="preserve">Basis of assessment of </w:t>
            </w:r>
            <w:r>
              <w:rPr>
                <w:rStyle w:val="Strong"/>
                <w:bCs w:val="0"/>
              </w:rPr>
              <w:t>population</w:t>
            </w:r>
            <w:r w:rsidRPr="00D20C80">
              <w:rPr>
                <w:rStyle w:val="Strong"/>
                <w:bCs w:val="0"/>
              </w:rPr>
              <w:t xml:space="preserve"> number</w:t>
            </w:r>
          </w:p>
        </w:tc>
        <w:tc>
          <w:tcPr>
            <w:tcW w:w="7398" w:type="dxa"/>
            <w:gridSpan w:val="4"/>
            <w:shd w:val="clear" w:color="auto" w:fill="auto"/>
          </w:tcPr>
          <w:p w14:paraId="0B2CA141" w14:textId="77777777" w:rsidR="00FA65F9" w:rsidRDefault="00FA65F9" w:rsidP="00D72EE4">
            <w:pPr>
              <w:pStyle w:val="TableText"/>
            </w:pPr>
            <w:r>
              <w:t xml:space="preserve">There are four known subpopulations, and it is considered unlikely there are any currently unknown subpopulations (S Barrett pers comm 2020, cited in Silcock et al. 2021). </w:t>
            </w:r>
          </w:p>
          <w:p w14:paraId="4A32FC66" w14:textId="77777777" w:rsidR="00FA65F9" w:rsidRDefault="00FA65F9" w:rsidP="00D72EE4">
            <w:pPr>
              <w:pStyle w:val="TableText"/>
            </w:pPr>
          </w:p>
        </w:tc>
      </w:tr>
      <w:tr w:rsidR="00FA65F9" w14:paraId="5294CCB5" w14:textId="77777777" w:rsidTr="00D72EE4">
        <w:tc>
          <w:tcPr>
            <w:tcW w:w="1662" w:type="dxa"/>
          </w:tcPr>
          <w:p w14:paraId="0E4A790D" w14:textId="77777777" w:rsidR="00FA65F9" w:rsidRDefault="00FA65F9" w:rsidP="00D72EE4">
            <w:pPr>
              <w:pStyle w:val="TableText"/>
              <w:rPr>
                <w:rStyle w:val="Strong"/>
                <w:rFonts w:eastAsiaTheme="minorHAnsi" w:cstheme="minorBidi"/>
                <w:b w:val="0"/>
                <w:sz w:val="22"/>
                <w:szCs w:val="22"/>
                <w:lang w:eastAsia="en-US"/>
              </w:rPr>
            </w:pPr>
            <w:r w:rsidRPr="00D20C80">
              <w:rPr>
                <w:rStyle w:val="Strong"/>
                <w:bCs w:val="0"/>
              </w:rPr>
              <w:t>No. locations</w:t>
            </w:r>
          </w:p>
          <w:p w14:paraId="5A12B0C7" w14:textId="77777777" w:rsidR="00FA65F9" w:rsidRPr="00DD47BD" w:rsidRDefault="00FA65F9" w:rsidP="00D72EE4">
            <w:pPr>
              <w:pStyle w:val="TableText"/>
              <w:rPr>
                <w:rStyle w:val="Strong"/>
                <w:rFonts w:eastAsiaTheme="minorHAnsi" w:cstheme="minorBidi"/>
                <w:b w:val="0"/>
                <w:bCs w:val="0"/>
                <w:szCs w:val="22"/>
                <w:lang w:eastAsia="en-US"/>
              </w:rPr>
            </w:pPr>
          </w:p>
        </w:tc>
        <w:tc>
          <w:tcPr>
            <w:tcW w:w="1502" w:type="dxa"/>
            <w:shd w:val="clear" w:color="auto" w:fill="auto"/>
          </w:tcPr>
          <w:p w14:paraId="1A149FF5" w14:textId="77777777" w:rsidR="00FA65F9" w:rsidRDefault="00FA65F9" w:rsidP="00D72EE4">
            <w:pPr>
              <w:pStyle w:val="TableText"/>
            </w:pPr>
            <w:r>
              <w:t>1</w:t>
            </w:r>
          </w:p>
        </w:tc>
        <w:tc>
          <w:tcPr>
            <w:tcW w:w="1279" w:type="dxa"/>
            <w:shd w:val="clear" w:color="auto" w:fill="auto"/>
          </w:tcPr>
          <w:p w14:paraId="24492F6E" w14:textId="77777777" w:rsidR="00FA65F9" w:rsidRDefault="00FA65F9" w:rsidP="00D72EE4">
            <w:pPr>
              <w:pStyle w:val="TableText"/>
            </w:pPr>
            <w:r>
              <w:t>1</w:t>
            </w:r>
          </w:p>
        </w:tc>
        <w:tc>
          <w:tcPr>
            <w:tcW w:w="1364" w:type="dxa"/>
            <w:shd w:val="clear" w:color="auto" w:fill="auto"/>
          </w:tcPr>
          <w:p w14:paraId="26AD55FF" w14:textId="77777777" w:rsidR="00FA65F9" w:rsidRDefault="00FA65F9" w:rsidP="00D72EE4">
            <w:pPr>
              <w:pStyle w:val="TableText"/>
            </w:pPr>
            <w:r>
              <w:t>2</w:t>
            </w:r>
          </w:p>
        </w:tc>
        <w:tc>
          <w:tcPr>
            <w:tcW w:w="3253" w:type="dxa"/>
            <w:shd w:val="clear" w:color="auto" w:fill="auto"/>
          </w:tcPr>
          <w:p w14:paraId="62C8D29A" w14:textId="77777777" w:rsidR="00FA65F9" w:rsidRDefault="00FA65F9" w:rsidP="00D72EE4">
            <w:pPr>
              <w:pStyle w:val="TableText"/>
            </w:pPr>
            <w:r w:rsidRPr="00EF04E6">
              <w:t>The number of locations is</w:t>
            </w:r>
            <w:r>
              <w:t xml:space="preserve"> estimated at one. A single large bushfire event could impact all extant Stirling Range dryandra subpopulations. All subpopulations are found within a restricted extent of occurrence, and previous bushfire events have impacted a large proportion of this range. With climate change increasing the scale of bushfires, it is plausible that all subpopulations of the species </w:t>
            </w:r>
            <w:r>
              <w:lastRenderedPageBreak/>
              <w:t xml:space="preserve">may be impacted by one large fire event. </w:t>
            </w:r>
          </w:p>
          <w:p w14:paraId="4D445C46" w14:textId="77777777" w:rsidR="00FA65F9" w:rsidRDefault="00FA65F9" w:rsidP="00D72EE4">
            <w:pPr>
              <w:pStyle w:val="TableText"/>
            </w:pPr>
            <w:r>
              <w:t xml:space="preserve">The maximum plausible number of locations is 2, as separate fires in 2018 and 2019 impacted all known natural subpopulations.  </w:t>
            </w:r>
          </w:p>
        </w:tc>
      </w:tr>
      <w:tr w:rsidR="00FA65F9" w14:paraId="2CA27D86" w14:textId="77777777" w:rsidTr="00D72EE4">
        <w:tc>
          <w:tcPr>
            <w:tcW w:w="1662" w:type="dxa"/>
          </w:tcPr>
          <w:p w14:paraId="317E2F72" w14:textId="77777777" w:rsidR="00FA65F9" w:rsidRPr="00D20C80" w:rsidRDefault="00FA65F9" w:rsidP="00D72EE4">
            <w:pPr>
              <w:pStyle w:val="TableText"/>
              <w:rPr>
                <w:rStyle w:val="Strong"/>
                <w:rFonts w:eastAsiaTheme="minorHAnsi" w:cstheme="minorBidi"/>
                <w:b w:val="0"/>
                <w:sz w:val="22"/>
                <w:szCs w:val="22"/>
                <w:lang w:eastAsia="en-US"/>
              </w:rPr>
            </w:pPr>
            <w:r w:rsidRPr="00D20C80">
              <w:rPr>
                <w:rStyle w:val="Strong"/>
                <w:bCs w:val="0"/>
              </w:rPr>
              <w:lastRenderedPageBreak/>
              <w:t>Trend</w:t>
            </w:r>
          </w:p>
        </w:tc>
        <w:tc>
          <w:tcPr>
            <w:tcW w:w="4145" w:type="dxa"/>
            <w:gridSpan w:val="3"/>
            <w:shd w:val="clear" w:color="auto" w:fill="auto"/>
          </w:tcPr>
          <w:p w14:paraId="50EEED46" w14:textId="77777777" w:rsidR="00FA65F9" w:rsidRDefault="00FA65F9" w:rsidP="00D72EE4">
            <w:pPr>
              <w:pStyle w:val="TableText"/>
            </w:pPr>
            <w:r w:rsidRPr="00E2710D">
              <w:t>Contracting</w:t>
            </w:r>
          </w:p>
        </w:tc>
        <w:tc>
          <w:tcPr>
            <w:tcW w:w="3253" w:type="dxa"/>
            <w:shd w:val="clear" w:color="auto" w:fill="auto"/>
          </w:tcPr>
          <w:p w14:paraId="79116D7E" w14:textId="77777777" w:rsidR="00FA65F9" w:rsidRDefault="00FA65F9" w:rsidP="00D72EE4">
            <w:pPr>
              <w:pStyle w:val="TableText"/>
            </w:pPr>
            <w:r w:rsidRPr="00BF0F53">
              <w:t xml:space="preserve">The intensity, frequency and scale of catastrophic bushfires will likely increase due to climate change. </w:t>
            </w:r>
            <w:r>
              <w:t>Therefore,</w:t>
            </w:r>
            <w:r w:rsidRPr="00BF0F53">
              <w:t xml:space="preserve"> the number of locations in which a single bushfire can rapidly affect all individuals will likely </w:t>
            </w:r>
            <w:r>
              <w:t>de</w:t>
            </w:r>
            <w:r w:rsidRPr="00BF0F53">
              <w:t>crease.</w:t>
            </w:r>
          </w:p>
        </w:tc>
      </w:tr>
      <w:tr w:rsidR="00FA65F9" w14:paraId="17E40345" w14:textId="77777777" w:rsidTr="00D72EE4">
        <w:tc>
          <w:tcPr>
            <w:tcW w:w="1662" w:type="dxa"/>
          </w:tcPr>
          <w:p w14:paraId="70B6562B" w14:textId="77777777" w:rsidR="00FA65F9" w:rsidRPr="00D20C80" w:rsidRDefault="00FA65F9" w:rsidP="00D72EE4">
            <w:pPr>
              <w:pStyle w:val="TableText"/>
              <w:rPr>
                <w:rStyle w:val="Strong"/>
                <w:rFonts w:eastAsiaTheme="minorHAnsi" w:cstheme="minorBidi"/>
                <w:b w:val="0"/>
                <w:sz w:val="22"/>
                <w:szCs w:val="22"/>
                <w:lang w:eastAsia="en-US"/>
              </w:rPr>
            </w:pPr>
            <w:bookmarkStart w:id="13" w:name="_Hlk51878889"/>
            <w:r w:rsidRPr="00D20C80">
              <w:rPr>
                <w:rStyle w:val="Strong"/>
                <w:bCs w:val="0"/>
              </w:rPr>
              <w:t>Basis of assessment of location number</w:t>
            </w:r>
            <w:bookmarkEnd w:id="13"/>
          </w:p>
        </w:tc>
        <w:tc>
          <w:tcPr>
            <w:tcW w:w="7398" w:type="dxa"/>
            <w:gridSpan w:val="4"/>
            <w:shd w:val="clear" w:color="auto" w:fill="auto"/>
          </w:tcPr>
          <w:p w14:paraId="1E149D52" w14:textId="77777777" w:rsidR="00FA65F9" w:rsidRPr="00E2710D" w:rsidRDefault="00FA65F9" w:rsidP="00D72EE4">
            <w:pPr>
              <w:pStyle w:val="TableText"/>
            </w:pPr>
            <w:r w:rsidRPr="00EF04E6">
              <w:t>The number of locations is</w:t>
            </w:r>
            <w:r>
              <w:t xml:space="preserve"> estimated at one, as a large bushfire event could impact all extant Stirling Range dryandra subpopulations.</w:t>
            </w:r>
          </w:p>
        </w:tc>
      </w:tr>
      <w:tr w:rsidR="00FA65F9" w14:paraId="21612175" w14:textId="77777777" w:rsidTr="00D72EE4">
        <w:tc>
          <w:tcPr>
            <w:tcW w:w="1662" w:type="dxa"/>
          </w:tcPr>
          <w:p w14:paraId="215E358D" w14:textId="77777777" w:rsidR="00FA65F9" w:rsidRDefault="00FA65F9" w:rsidP="00D72EE4">
            <w:pPr>
              <w:pStyle w:val="TableText"/>
              <w:rPr>
                <w:rStyle w:val="Strong"/>
                <w:rFonts w:eastAsiaTheme="minorHAnsi" w:cstheme="minorBidi"/>
                <w:b w:val="0"/>
                <w:bCs w:val="0"/>
                <w:sz w:val="22"/>
                <w:szCs w:val="22"/>
                <w:lang w:eastAsia="en-US"/>
              </w:rPr>
            </w:pPr>
            <w:r w:rsidRPr="00D20C80">
              <w:rPr>
                <w:rStyle w:val="Strong"/>
                <w:bCs w:val="0"/>
              </w:rPr>
              <w:t>Fragmentation</w:t>
            </w:r>
          </w:p>
          <w:p w14:paraId="363920A4" w14:textId="77777777" w:rsidR="00FA65F9" w:rsidRPr="00D20C80" w:rsidRDefault="00FA65F9" w:rsidP="00D72EE4">
            <w:pPr>
              <w:pStyle w:val="TableText"/>
              <w:rPr>
                <w:rStyle w:val="Strong"/>
                <w:rFonts w:eastAsiaTheme="minorHAnsi" w:cstheme="minorBidi"/>
                <w:b w:val="0"/>
                <w:bCs w:val="0"/>
                <w:szCs w:val="22"/>
                <w:lang w:eastAsia="en-US"/>
              </w:rPr>
            </w:pPr>
          </w:p>
        </w:tc>
        <w:tc>
          <w:tcPr>
            <w:tcW w:w="7398" w:type="dxa"/>
            <w:gridSpan w:val="4"/>
            <w:shd w:val="clear" w:color="auto" w:fill="auto"/>
          </w:tcPr>
          <w:p w14:paraId="48A5F2D1" w14:textId="77777777" w:rsidR="00FA65F9" w:rsidRDefault="00FA65F9" w:rsidP="00D72EE4">
            <w:pPr>
              <w:pStyle w:val="TableText"/>
            </w:pPr>
            <w:r>
              <w:t xml:space="preserve">The population is severely fragmented. Each subpopulation is isolated, and genetic exchange between subpopulations is not occurring. It is likely that less than 50% of the AOO is in habitat patches that are not supporting minimum viable population, and other assessments have considered the species to be severely fragmented (Silcock et al. 2021). </w:t>
            </w:r>
          </w:p>
        </w:tc>
      </w:tr>
      <w:tr w:rsidR="00FA65F9" w14:paraId="74DC2D46" w14:textId="77777777" w:rsidTr="00D72EE4">
        <w:tc>
          <w:tcPr>
            <w:tcW w:w="1662" w:type="dxa"/>
          </w:tcPr>
          <w:p w14:paraId="264D3DB4" w14:textId="77777777" w:rsidR="00FA65F9" w:rsidRDefault="00FA65F9" w:rsidP="00D72EE4">
            <w:pPr>
              <w:pStyle w:val="TableText"/>
              <w:rPr>
                <w:rStyle w:val="Strong"/>
                <w:rFonts w:eastAsiaTheme="minorHAnsi" w:cstheme="minorBidi"/>
                <w:b w:val="0"/>
                <w:sz w:val="22"/>
                <w:szCs w:val="22"/>
                <w:lang w:eastAsia="en-US"/>
              </w:rPr>
            </w:pPr>
            <w:r w:rsidRPr="00D20C80">
              <w:rPr>
                <w:rStyle w:val="Strong"/>
                <w:bCs w:val="0"/>
              </w:rPr>
              <w:t>Fluctuations</w:t>
            </w:r>
          </w:p>
          <w:p w14:paraId="7C44DEB4" w14:textId="77777777" w:rsidR="00FA65F9" w:rsidRPr="00D20C80" w:rsidRDefault="00FA65F9" w:rsidP="00D72EE4">
            <w:pPr>
              <w:pStyle w:val="TableText"/>
              <w:rPr>
                <w:rStyle w:val="Strong"/>
                <w:rFonts w:eastAsiaTheme="minorHAnsi" w:cstheme="minorBidi"/>
                <w:b w:val="0"/>
                <w:bCs w:val="0"/>
                <w:szCs w:val="22"/>
                <w:lang w:eastAsia="en-US"/>
              </w:rPr>
            </w:pPr>
          </w:p>
        </w:tc>
        <w:tc>
          <w:tcPr>
            <w:tcW w:w="7398" w:type="dxa"/>
            <w:gridSpan w:val="4"/>
            <w:shd w:val="clear" w:color="auto" w:fill="auto"/>
          </w:tcPr>
          <w:p w14:paraId="7920A80F" w14:textId="77777777" w:rsidR="00FA65F9" w:rsidRDefault="00FA65F9" w:rsidP="00D72EE4">
            <w:pPr>
              <w:pStyle w:val="TableText"/>
            </w:pPr>
            <w:r w:rsidRPr="00603C16">
              <w:rPr>
                <w:rFonts w:cs="Arial"/>
              </w:rPr>
              <w:t xml:space="preserve">Extreme fluctuations are </w:t>
            </w:r>
            <w:r>
              <w:rPr>
                <w:rFonts w:cs="Arial"/>
              </w:rPr>
              <w:t>likely,</w:t>
            </w:r>
            <w:r w:rsidRPr="00603C16">
              <w:rPr>
                <w:rFonts w:cs="Arial"/>
              </w:rPr>
              <w:t xml:space="preserve"> as </w:t>
            </w:r>
            <w:r>
              <w:rPr>
                <w:rFonts w:cs="Arial"/>
              </w:rPr>
              <w:t>most of the canopy s</w:t>
            </w:r>
            <w:r w:rsidRPr="00603C16">
              <w:rPr>
                <w:rFonts w:cs="Arial"/>
              </w:rPr>
              <w:t xml:space="preserve">tored </w:t>
            </w:r>
            <w:r>
              <w:rPr>
                <w:rFonts w:cs="Arial"/>
              </w:rPr>
              <w:t xml:space="preserve">seed can be </w:t>
            </w:r>
            <w:r w:rsidRPr="00603C16">
              <w:rPr>
                <w:rFonts w:cs="Arial"/>
              </w:rPr>
              <w:t>exhausted in a single fire (</w:t>
            </w:r>
            <w:r>
              <w:rPr>
                <w:rFonts w:cs="Arial"/>
              </w:rPr>
              <w:t xml:space="preserve">IUCN 2019; Silcock et al. 2021). </w:t>
            </w:r>
          </w:p>
        </w:tc>
      </w:tr>
    </w:tbl>
    <w:p w14:paraId="3DC1D0F0" w14:textId="77777777" w:rsidR="00FA65F9" w:rsidRDefault="00FA65F9" w:rsidP="00FA65F9">
      <w:pPr>
        <w:pStyle w:val="Caption"/>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FA65F9" w:rsidRPr="00556843" w14:paraId="7E751C3F" w14:textId="77777777" w:rsidTr="00D72EE4">
        <w:trPr>
          <w:cantSplit/>
          <w:trHeight w:val="606"/>
        </w:trPr>
        <w:tc>
          <w:tcPr>
            <w:tcW w:w="9975" w:type="dxa"/>
            <w:gridSpan w:val="6"/>
            <w:shd w:val="clear" w:color="auto" w:fill="595959" w:themeFill="text1" w:themeFillTint="A6"/>
            <w:vAlign w:val="center"/>
          </w:tcPr>
          <w:p w14:paraId="4F79606D" w14:textId="77777777" w:rsidR="00FA65F9" w:rsidRPr="008B78CE" w:rsidRDefault="00FA65F9" w:rsidP="00D72EE4">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FA65F9" w:rsidRPr="00556843" w14:paraId="206EE63F" w14:textId="77777777" w:rsidTr="00D72EE4">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DC9973E" w14:textId="77777777" w:rsidR="00FA65F9" w:rsidRPr="00556843" w:rsidRDefault="00FA65F9" w:rsidP="00D72EE4">
            <w:pPr>
              <w:keepNext/>
              <w:rPr>
                <w:rFonts w:ascii="Arial" w:hAnsi="Arial" w:cs="Arial"/>
                <w:szCs w:val="18"/>
              </w:rPr>
            </w:pPr>
            <w:r w:rsidRPr="0050535B">
              <w:rPr>
                <w:rFonts w:ascii="Arial" w:hAnsi="Arial" w:cs="Arial"/>
                <w:color w:val="FFFFFF" w:themeColor="background1"/>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9BC1730" w14:textId="77777777" w:rsidR="00FA65F9" w:rsidRPr="00936152" w:rsidRDefault="00FA65F9" w:rsidP="00D72EE4">
            <w:pPr>
              <w:pStyle w:val="TableText"/>
              <w:keepNext/>
              <w:rPr>
                <w:rStyle w:val="Strong"/>
              </w:rPr>
            </w:pPr>
            <w:r w:rsidRPr="00936152">
              <w:rPr>
                <w:rStyle w:val="Strong"/>
              </w:rPr>
              <w:t>Critically Endangered</w:t>
            </w:r>
          </w:p>
          <w:p w14:paraId="6FD27B67" w14:textId="77777777" w:rsidR="00FA65F9" w:rsidRPr="00936152" w:rsidRDefault="00FA65F9" w:rsidP="00D72EE4">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78D51EFE" w14:textId="77777777" w:rsidR="00FA65F9" w:rsidRPr="00936152" w:rsidRDefault="00FA65F9" w:rsidP="00D72EE4">
            <w:pPr>
              <w:pStyle w:val="TableText"/>
              <w:keepNext/>
              <w:rPr>
                <w:rStyle w:val="Strong"/>
              </w:rPr>
            </w:pPr>
            <w:r w:rsidRPr="00936152">
              <w:rPr>
                <w:rStyle w:val="Strong"/>
              </w:rPr>
              <w:t>Endangered</w:t>
            </w:r>
          </w:p>
          <w:p w14:paraId="2312EACA" w14:textId="77777777" w:rsidR="00FA65F9" w:rsidRPr="00936152" w:rsidRDefault="00FA65F9" w:rsidP="00D72EE4">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7C60C3E" w14:textId="77777777" w:rsidR="00FA65F9" w:rsidRPr="00936152" w:rsidRDefault="00FA65F9" w:rsidP="00D72EE4">
            <w:pPr>
              <w:pStyle w:val="TableText"/>
              <w:keepNext/>
              <w:rPr>
                <w:rStyle w:val="Strong"/>
              </w:rPr>
            </w:pPr>
            <w:r w:rsidRPr="00936152">
              <w:rPr>
                <w:rStyle w:val="Strong"/>
              </w:rPr>
              <w:t>Vulnerable</w:t>
            </w:r>
          </w:p>
          <w:p w14:paraId="73D07D96" w14:textId="77777777" w:rsidR="00FA65F9" w:rsidRPr="00936152" w:rsidRDefault="00FA65F9" w:rsidP="00D72EE4">
            <w:pPr>
              <w:pStyle w:val="TableText"/>
              <w:keepNext/>
              <w:rPr>
                <w:rStyle w:val="Strong"/>
              </w:rPr>
            </w:pPr>
            <w:r w:rsidRPr="00936152">
              <w:rPr>
                <w:rStyle w:val="Strong"/>
              </w:rPr>
              <w:t>Substantial reduction</w:t>
            </w:r>
          </w:p>
        </w:tc>
      </w:tr>
      <w:tr w:rsidR="00FA65F9" w:rsidRPr="00556843" w14:paraId="6C6D3321" w14:textId="77777777" w:rsidTr="00D72EE4">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983B103" w14:textId="77777777" w:rsidR="00FA65F9" w:rsidRPr="00936152" w:rsidRDefault="00FA65F9" w:rsidP="00D72EE4">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C2AADC9" w14:textId="77777777" w:rsidR="00FA65F9" w:rsidRPr="00556843" w:rsidRDefault="00FA65F9" w:rsidP="00D72EE4">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7C59CEDC" w14:textId="77777777" w:rsidR="00FA65F9" w:rsidRPr="00556843" w:rsidRDefault="00FA65F9" w:rsidP="00D72EE4">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C61BBC5" w14:textId="77777777" w:rsidR="00FA65F9" w:rsidRPr="00556843" w:rsidRDefault="00FA65F9" w:rsidP="00D72EE4">
            <w:pPr>
              <w:pStyle w:val="TableText"/>
              <w:keepNext/>
            </w:pPr>
            <w:r w:rsidRPr="00556843">
              <w:t>≥ 50%</w:t>
            </w:r>
          </w:p>
        </w:tc>
      </w:tr>
      <w:tr w:rsidR="00FA65F9" w:rsidRPr="00556843" w14:paraId="4C0369BF" w14:textId="77777777" w:rsidTr="00D72EE4">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44F6C87" w14:textId="77777777" w:rsidR="00FA65F9" w:rsidRPr="00936152" w:rsidRDefault="00FA65F9" w:rsidP="00D72EE4">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6603547A" w14:textId="77777777" w:rsidR="00FA65F9" w:rsidRPr="00556843" w:rsidRDefault="00FA65F9" w:rsidP="00D72EE4">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8CCB991" w14:textId="77777777" w:rsidR="00FA65F9" w:rsidRPr="00556843" w:rsidRDefault="00FA65F9" w:rsidP="00D72EE4">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50F7C312" w14:textId="77777777" w:rsidR="00FA65F9" w:rsidRPr="00556843" w:rsidRDefault="00FA65F9" w:rsidP="00D72EE4">
            <w:pPr>
              <w:pStyle w:val="TableText"/>
              <w:keepNext/>
            </w:pPr>
            <w:r w:rsidRPr="00556843">
              <w:t>≥ 30%</w:t>
            </w:r>
          </w:p>
        </w:tc>
      </w:tr>
      <w:tr w:rsidR="00FA65F9" w:rsidRPr="00556843" w14:paraId="6A2CAD9C" w14:textId="77777777" w:rsidTr="00D72EE4">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39FCA6EB" w14:textId="77777777" w:rsidR="00FA65F9" w:rsidRPr="00556843" w:rsidRDefault="00FA65F9" w:rsidP="00D72EE4">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2C9C59BE" w14:textId="77777777" w:rsidR="00FA65F9" w:rsidRPr="00556843" w:rsidRDefault="00FA65F9" w:rsidP="00D72EE4">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052B95BC" w14:textId="77777777" w:rsidR="00FA65F9" w:rsidRPr="00556843" w:rsidRDefault="00FA65F9" w:rsidP="00D72EE4">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741BFA40" w14:textId="77777777" w:rsidR="00FA65F9" w:rsidRPr="00556843" w:rsidRDefault="00FA65F9" w:rsidP="00D72EE4">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05C68DA" w14:textId="77777777" w:rsidR="00FA65F9" w:rsidRPr="00556843" w:rsidRDefault="00FA65F9" w:rsidP="00D72EE4">
            <w:pPr>
              <w:pStyle w:val="TableText"/>
              <w:spacing w:before="1800"/>
              <w:ind w:left="165"/>
            </w:pPr>
            <w:r w:rsidRPr="00556843">
              <w:rPr>
                <w:rFonts w:ascii="Arial" w:hAnsi="Arial" w:cs="Arial"/>
                <w:noProof/>
                <w:szCs w:val="18"/>
              </w:rPr>
              <mc:AlternateContent>
                <mc:Choice Requires="wps">
                  <w:drawing>
                    <wp:anchor distT="0" distB="0" distL="114300" distR="114300" simplePos="0" relativeHeight="251659264" behindDoc="0" locked="0" layoutInCell="1" allowOverlap="1" wp14:anchorId="3CEEDB2B" wp14:editId="325ACA0D">
                      <wp:simplePos x="0" y="0"/>
                      <wp:positionH relativeFrom="column">
                        <wp:posOffset>-207010</wp:posOffset>
                      </wp:positionH>
                      <wp:positionV relativeFrom="paragraph">
                        <wp:posOffset>19050</wp:posOffset>
                      </wp:positionV>
                      <wp:extent cx="295275" cy="2447925"/>
                      <wp:effectExtent l="0" t="0" r="28575" b="2857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EFA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" adj="868"/>
                  </w:pict>
                </mc:Fallback>
              </mc:AlternateContent>
            </w:r>
            <w:r>
              <w:t>B</w:t>
            </w:r>
            <w:r w:rsidRPr="00CE7C59">
              <w:t>ased on any of the following</w:t>
            </w:r>
          </w:p>
        </w:tc>
        <w:tc>
          <w:tcPr>
            <w:tcW w:w="2664" w:type="dxa"/>
            <w:gridSpan w:val="2"/>
            <w:tcBorders>
              <w:top w:val="nil"/>
              <w:left w:val="nil"/>
            </w:tcBorders>
          </w:tcPr>
          <w:p w14:paraId="242F59ED" w14:textId="77777777" w:rsidR="00FA65F9" w:rsidRPr="00556843" w:rsidRDefault="00FA65F9" w:rsidP="00D72EE4">
            <w:pPr>
              <w:pStyle w:val="TableText"/>
              <w:ind w:left="312" w:hanging="312"/>
            </w:pPr>
            <w:r w:rsidRPr="00556843">
              <w:t>(a)</w:t>
            </w:r>
            <w:r w:rsidRPr="00556843">
              <w:tab/>
              <w:t>direct observation [</w:t>
            </w:r>
            <w:r w:rsidRPr="00266DC5">
              <w:t>except A3</w:t>
            </w:r>
            <w:r w:rsidRPr="00556843">
              <w:t>]</w:t>
            </w:r>
          </w:p>
          <w:p w14:paraId="47998DC6" w14:textId="77777777" w:rsidR="00FA65F9" w:rsidRDefault="00FA65F9" w:rsidP="00D72EE4">
            <w:pPr>
              <w:pStyle w:val="TableText"/>
              <w:ind w:left="312" w:hanging="312"/>
            </w:pPr>
            <w:r w:rsidRPr="00556843">
              <w:t>(b)</w:t>
            </w:r>
            <w:r w:rsidRPr="00556843">
              <w:tab/>
              <w:t>an index of abundance appropriate to the taxon</w:t>
            </w:r>
          </w:p>
          <w:p w14:paraId="68E0B301" w14:textId="77777777" w:rsidR="00FA65F9" w:rsidRPr="00556843" w:rsidRDefault="00FA65F9" w:rsidP="00D72EE4">
            <w:pPr>
              <w:pStyle w:val="TableText"/>
              <w:ind w:left="312" w:hanging="312"/>
            </w:pPr>
            <w:r w:rsidRPr="00556843">
              <w:t>(c)</w:t>
            </w:r>
            <w:r w:rsidRPr="00556843">
              <w:tab/>
              <w:t>a decline in area of occupancy, extent of occurrence and/or quality of habitat</w:t>
            </w:r>
          </w:p>
          <w:p w14:paraId="0F40118C" w14:textId="77777777" w:rsidR="00FA65F9" w:rsidRPr="00556843" w:rsidRDefault="00FA65F9" w:rsidP="00D72EE4">
            <w:pPr>
              <w:pStyle w:val="TableText"/>
              <w:ind w:left="312" w:hanging="312"/>
            </w:pPr>
            <w:r w:rsidRPr="00556843">
              <w:t>(d)</w:t>
            </w:r>
            <w:r w:rsidRPr="00556843">
              <w:tab/>
              <w:t>actual or potential levels of exploitation</w:t>
            </w:r>
          </w:p>
          <w:p w14:paraId="27EDD5B8" w14:textId="77777777" w:rsidR="00FA65F9" w:rsidRPr="00556843" w:rsidRDefault="00FA65F9" w:rsidP="00D72EE4">
            <w:pPr>
              <w:pStyle w:val="TableText"/>
              <w:ind w:left="312" w:hanging="312"/>
            </w:pPr>
            <w:r w:rsidRPr="00556843">
              <w:t>(e)</w:t>
            </w:r>
            <w:r w:rsidRPr="00556843">
              <w:tab/>
              <w:t>the effects of introduced taxa, hybridization, pathogens, pollutants, competitors or parasites</w:t>
            </w:r>
          </w:p>
        </w:tc>
      </w:tr>
    </w:tbl>
    <w:p w14:paraId="4F0D3B99" w14:textId="77777777" w:rsidR="00FA65F9" w:rsidRDefault="00FA65F9" w:rsidP="00FA65F9">
      <w:pPr>
        <w:pStyle w:val="Heading3"/>
        <w:rPr>
          <w:lang w:eastAsia="ja-JP"/>
        </w:rPr>
      </w:pPr>
      <w:r>
        <w:rPr>
          <w:lang w:eastAsia="ja-JP"/>
        </w:rPr>
        <w:t>Criterion 1 evidence</w:t>
      </w:r>
    </w:p>
    <w:p w14:paraId="49B43512" w14:textId="77777777" w:rsidR="00FA65F9" w:rsidRPr="0071736B" w:rsidRDefault="00FA65F9" w:rsidP="00FA65F9">
      <w:pPr>
        <w:rPr>
          <w:lang w:eastAsia="ja-JP"/>
        </w:rPr>
      </w:pPr>
      <w:r w:rsidRPr="008155CB">
        <w:rPr>
          <w:rStyle w:val="Strong"/>
        </w:rPr>
        <w:t xml:space="preserve">Eligible </w:t>
      </w:r>
      <w:r w:rsidRPr="0071736B">
        <w:rPr>
          <w:rStyle w:val="Strong"/>
        </w:rPr>
        <w:t>under Criteri</w:t>
      </w:r>
      <w:r>
        <w:rPr>
          <w:rStyle w:val="Strong"/>
        </w:rPr>
        <w:t>on</w:t>
      </w:r>
      <w:r w:rsidRPr="0071736B">
        <w:rPr>
          <w:rStyle w:val="Strong"/>
        </w:rPr>
        <w:t xml:space="preserve"> 1</w:t>
      </w:r>
      <w:r w:rsidRPr="0071736B">
        <w:rPr>
          <w:lang w:eastAsia="ja-JP"/>
        </w:rPr>
        <w:t xml:space="preserve"> </w:t>
      </w:r>
      <w:r>
        <w:rPr>
          <w:b/>
          <w:bCs/>
        </w:rPr>
        <w:t>A4ae Endangered</w:t>
      </w:r>
    </w:p>
    <w:p w14:paraId="2164E13C" w14:textId="77777777" w:rsidR="00FA65F9" w:rsidRDefault="00FA65F9" w:rsidP="00FA65F9">
      <w:pPr>
        <w:pStyle w:val="Caption"/>
        <w:spacing w:line="276" w:lineRule="auto"/>
        <w:rPr>
          <w:rFonts w:ascii="Cambria" w:hAnsi="Cambria"/>
          <w:b w:val="0"/>
          <w:bCs w:val="0"/>
          <w:sz w:val="22"/>
          <w:szCs w:val="22"/>
        </w:rPr>
      </w:pPr>
      <w:r w:rsidRPr="22E3ABD1">
        <w:rPr>
          <w:rFonts w:ascii="Cambria" w:hAnsi="Cambria"/>
          <w:b w:val="0"/>
          <w:bCs w:val="0"/>
          <w:color w:val="000000" w:themeColor="text1"/>
          <w:sz w:val="22"/>
          <w:szCs w:val="22"/>
        </w:rPr>
        <w:lastRenderedPageBreak/>
        <w:t xml:space="preserve">The generation time of the species is considered to be </w:t>
      </w:r>
      <w:r>
        <w:rPr>
          <w:rFonts w:ascii="Cambria" w:hAnsi="Cambria"/>
          <w:b w:val="0"/>
          <w:bCs w:val="0"/>
          <w:color w:val="000000" w:themeColor="text1"/>
          <w:sz w:val="22"/>
          <w:szCs w:val="22"/>
        </w:rPr>
        <w:t>20–30</w:t>
      </w:r>
      <w:r w:rsidRPr="22E3ABD1">
        <w:rPr>
          <w:rFonts w:ascii="Cambria" w:hAnsi="Cambria"/>
          <w:b w:val="0"/>
          <w:bCs w:val="0"/>
          <w:color w:val="000000" w:themeColor="text1"/>
          <w:sz w:val="22"/>
          <w:szCs w:val="22"/>
        </w:rPr>
        <w:t xml:space="preserve"> years (see Table 4). </w:t>
      </w:r>
      <w:r w:rsidRPr="22E3ABD1">
        <w:rPr>
          <w:rFonts w:ascii="Cambria" w:hAnsi="Cambria"/>
          <w:b w:val="0"/>
          <w:bCs w:val="0"/>
          <w:sz w:val="22"/>
          <w:szCs w:val="22"/>
        </w:rPr>
        <w:t xml:space="preserve">Three generations gives a timeframe of </w:t>
      </w:r>
      <w:r>
        <w:rPr>
          <w:rFonts w:ascii="Cambria" w:hAnsi="Cambria"/>
          <w:b w:val="0"/>
          <w:bCs w:val="0"/>
          <w:sz w:val="22"/>
          <w:szCs w:val="22"/>
        </w:rPr>
        <w:t>60</w:t>
      </w:r>
      <w:r w:rsidRPr="22E3ABD1">
        <w:rPr>
          <w:rFonts w:ascii="Cambria" w:hAnsi="Cambria"/>
          <w:b w:val="0"/>
          <w:bCs w:val="0"/>
          <w:sz w:val="22"/>
          <w:szCs w:val="22"/>
        </w:rPr>
        <w:t>–</w:t>
      </w:r>
      <w:r>
        <w:rPr>
          <w:rFonts w:ascii="Cambria" w:hAnsi="Cambria"/>
          <w:b w:val="0"/>
          <w:bCs w:val="0"/>
          <w:sz w:val="22"/>
          <w:szCs w:val="22"/>
        </w:rPr>
        <w:t>90</w:t>
      </w:r>
      <w:r w:rsidRPr="22E3ABD1">
        <w:rPr>
          <w:rFonts w:ascii="Cambria" w:hAnsi="Cambria"/>
          <w:b w:val="0"/>
          <w:bCs w:val="0"/>
          <w:sz w:val="22"/>
          <w:szCs w:val="22"/>
        </w:rPr>
        <w:t xml:space="preserve"> years for Criterion 1.</w:t>
      </w:r>
    </w:p>
    <w:p w14:paraId="362191A4" w14:textId="77777777" w:rsidR="00FA65F9" w:rsidRDefault="00FA65F9" w:rsidP="00FA65F9">
      <w:r>
        <w:t xml:space="preserve">The primary threats to natural subpopulations (fire and </w:t>
      </w:r>
      <w:r w:rsidRPr="22E3ABD1">
        <w:rPr>
          <w:i/>
          <w:iCs/>
        </w:rPr>
        <w:t xml:space="preserve">P. cinnamomi </w:t>
      </w:r>
      <w:r>
        <w:t>dieback) are known and have not ceased (Table 2). These threats have led to a 100 percent reduction of the number of mature individuals over a three-generation period (Table 2; Table 5).</w:t>
      </w:r>
      <w:r w:rsidRPr="00153B51">
        <w:t xml:space="preserve"> Given that at least three fires have impacted the species within the past 18-year minimum fire interval of the species, it is likely that additional fires will occur. If sequential fire events occur across multiple populations before juveniles can reach reproductive maturity and replenish the seed bank, population decline and extinction is possible, especially as all seed is usually consumed in one fire for species with canopy-stored seeds (IUCN 2019; Silcock et al. 2021). This is increasingly likely given that climate change is increasing the frequency of bushfires in the region (Barret &amp; Yates 2015), Indeed, this has already occurred to some extent, as the 2019 fire killed seedlings that had sprouted after the 2018 fire.</w:t>
      </w:r>
    </w:p>
    <w:p w14:paraId="40DD080F" w14:textId="77777777" w:rsidR="00FA65F9" w:rsidRDefault="00FA65F9" w:rsidP="00FA65F9">
      <w:r>
        <w:t xml:space="preserve">Fires in spring 2000 burnt the habitat of most subpopulations and reduced the original population of mature individuals by around 60 percent, without stimulating recruitment at previously burnt subpopulations (Barrett &amp; Yates 2015). Bushfires in May 2018 and December 2019 led to further decline in the number of mature individuals, and though over 1000 seedlings germinated after the 2018 fire, many perished in the 2019 fire and others have since died due to drought-related causes. As of Autumn 2021, 725 juveniles from the 2018 were extant, and 22 seedlings were also observed that had been recruited from the 2019 fire (DBCA 2021).  Known natural subpopulations are currently comprised entirely of juvenile and seedling plants and there are no mature individuals currently persisting in the wild.  Using these direct observations, there has been an overall population reduction from 137 mature individuals in 2000 to 0 mature individuals in 2021. </w:t>
      </w:r>
    </w:p>
    <w:p w14:paraId="7A8B0C39" w14:textId="40F61660" w:rsidR="00FA65F9" w:rsidRDefault="00FA65F9" w:rsidP="00FA65F9">
      <w:pPr>
        <w:rPr>
          <w:color w:val="000000" w:themeColor="text1"/>
        </w:rPr>
      </w:pPr>
      <w:r>
        <w:t>Though fires have led to a population reduction of 100 percent of mature individuals, the Stirling Range dryandra has a life history in which standing plants are killed by fire and recruitment occurs from canopy-stored seed. Therefore, observed mortality due to a single bushfire event may be considered a fluctuation in the age classes of affected populations, and not a true decline in the species’ population.</w:t>
      </w:r>
      <w:r>
        <w:rPr>
          <w:color w:val="000000" w:themeColor="text1"/>
        </w:rPr>
        <w:t xml:space="preserve"> To calculate the population decline of Stirling Range dryandra, </w:t>
      </w:r>
      <w:r w:rsidRPr="00857DB4">
        <w:t xml:space="preserve">the number seedlings that survive to become mature individuals at the same life stage as those destroyed by the </w:t>
      </w:r>
      <w:r>
        <w:t xml:space="preserve">2018 and 2019 </w:t>
      </w:r>
      <w:r w:rsidRPr="00857DB4">
        <w:t>fires must be projected</w:t>
      </w:r>
      <w:r>
        <w:t>, as this is a better estimate of true population size.</w:t>
      </w:r>
      <w:r w:rsidRPr="00F12849">
        <w:rPr>
          <w:color w:val="000000" w:themeColor="text1"/>
        </w:rPr>
        <w:t xml:space="preserve"> </w:t>
      </w:r>
      <w:r w:rsidRPr="22E3ABD1">
        <w:rPr>
          <w:color w:val="000000" w:themeColor="text1"/>
        </w:rPr>
        <w:t xml:space="preserve">In the </w:t>
      </w:r>
      <w:r>
        <w:rPr>
          <w:color w:val="000000" w:themeColor="text1"/>
        </w:rPr>
        <w:t>Stirling Range dryandra</w:t>
      </w:r>
      <w:r w:rsidRPr="22E3ABD1">
        <w:rPr>
          <w:color w:val="000000" w:themeColor="text1"/>
        </w:rPr>
        <w:t xml:space="preserve">, the 2000 fire stimulated recruitment of 30 plants, of which four were alive before the 2018 fires (S Barrett 2020. pers comm 25 September). </w:t>
      </w:r>
      <w:r w:rsidR="00EB30AE">
        <w:rPr>
          <w:color w:val="000000" w:themeColor="text1"/>
        </w:rPr>
        <w:t>Two plants</w:t>
      </w:r>
      <w:r w:rsidR="00EB30AE" w:rsidRPr="00EB30AE">
        <w:rPr>
          <w:color w:val="000000" w:themeColor="text1"/>
        </w:rPr>
        <w:t xml:space="preserve"> </w:t>
      </w:r>
      <w:r w:rsidR="00EB30AE">
        <w:rPr>
          <w:color w:val="000000" w:themeColor="text1"/>
        </w:rPr>
        <w:t>r</w:t>
      </w:r>
      <w:r w:rsidR="00EB30AE" w:rsidRPr="00EB30AE">
        <w:rPr>
          <w:color w:val="000000" w:themeColor="text1"/>
        </w:rPr>
        <w:t>eached maturity</w:t>
      </w:r>
      <w:r w:rsidR="00EB30AE">
        <w:rPr>
          <w:color w:val="000000" w:themeColor="text1"/>
        </w:rPr>
        <w:t xml:space="preserve"> and died prior to 2018, two became juveniles before dying, and the remainder died as seedlings.</w:t>
      </w:r>
      <w:r w:rsidR="00EB30AE" w:rsidRPr="00EB30AE">
        <w:rPr>
          <w:color w:val="000000" w:themeColor="text1"/>
        </w:rPr>
        <w:t xml:space="preserve"> </w:t>
      </w:r>
      <w:r w:rsidRPr="22E3ABD1">
        <w:rPr>
          <w:color w:val="000000" w:themeColor="text1"/>
        </w:rPr>
        <w:t>This indicates seedling survival of 13 percent over 18 years (less than three generations), excluding the impacts of fire</w:t>
      </w:r>
      <w:r>
        <w:rPr>
          <w:color w:val="000000" w:themeColor="text1"/>
        </w:rPr>
        <w:t xml:space="preserve">, </w:t>
      </w:r>
    </w:p>
    <w:p w14:paraId="4360F2AC" w14:textId="77777777" w:rsidR="00FA65F9" w:rsidRDefault="00FA65F9" w:rsidP="00FA65F9">
      <w:pPr>
        <w:rPr>
          <w:color w:val="000000" w:themeColor="text1"/>
        </w:rPr>
      </w:pPr>
      <w:r>
        <w:t>Using</w:t>
      </w:r>
      <w:r w:rsidRPr="00857DB4">
        <w:t xml:space="preserve"> survival rates</w:t>
      </w:r>
      <w:r>
        <w:t xml:space="preserve"> documented following the 2000 fire, based on the number of seedlings recorded in 2020 and 2021, the number of individuals projected to reach a similar age to plants that were extant prior to 2018 (25 years) is estimated at 85 (48–150) (Table 4). This suggests that population reduction of 38 percent will occur from 2000 (when there were 137 mature individuals) to 2044 (25 years after the 2019 fire, when there are projected to be 85 mature individuals). Extrapolations of this population decline should be undertaken cautiously as the population trajectory of the species is highly dependent on fire events and their frequency. For example, one fire may destroy a large proportion of the number of juveniles before they can </w:t>
      </w:r>
      <w:r>
        <w:lastRenderedPageBreak/>
        <w:t>produce seeds, which would substantially reduce the number of mature individuals in the future.</w:t>
      </w:r>
      <w:r>
        <w:rPr>
          <w:rFonts w:cs="Arial"/>
        </w:rPr>
        <w:t xml:space="preserve"> I</w:t>
      </w:r>
      <w:r w:rsidRPr="5690178A">
        <w:rPr>
          <w:rFonts w:cs="Arial"/>
        </w:rPr>
        <w:t xml:space="preserve">t is not known whether </w:t>
      </w:r>
      <w:r>
        <w:rPr>
          <w:rFonts w:cs="Arial"/>
        </w:rPr>
        <w:t>current recruits</w:t>
      </w:r>
      <w:r w:rsidRPr="5690178A">
        <w:rPr>
          <w:rFonts w:cs="Arial"/>
        </w:rPr>
        <w:t xml:space="preserve"> will survive to reproductive maturity due to ongoing threats (Silcock et al. 2021)</w:t>
      </w:r>
      <w:r>
        <w:rPr>
          <w:rFonts w:cs="Arial"/>
        </w:rPr>
        <w:t>, and</w:t>
      </w:r>
      <w:r w:rsidRPr="5690178A">
        <w:rPr>
          <w:rFonts w:cs="Arial"/>
        </w:rPr>
        <w:t xml:space="preserve"> </w:t>
      </w:r>
      <w:r>
        <w:rPr>
          <w:color w:val="000000" w:themeColor="text1"/>
        </w:rPr>
        <w:t>i</w:t>
      </w:r>
      <w:r w:rsidRPr="22E3ABD1">
        <w:rPr>
          <w:color w:val="000000" w:themeColor="text1"/>
        </w:rPr>
        <w:t xml:space="preserve">mpacts from frequent bushfires, </w:t>
      </w:r>
      <w:r w:rsidRPr="22E3ABD1">
        <w:rPr>
          <w:i/>
          <w:iCs/>
          <w:color w:val="000000" w:themeColor="text1"/>
        </w:rPr>
        <w:t xml:space="preserve">P. cinnamomi </w:t>
      </w:r>
      <w:r w:rsidRPr="22E3ABD1">
        <w:rPr>
          <w:color w:val="000000" w:themeColor="text1"/>
        </w:rPr>
        <w:t>dieback</w:t>
      </w:r>
      <w:r w:rsidRPr="22E3ABD1">
        <w:rPr>
          <w:i/>
          <w:iCs/>
          <w:color w:val="000000" w:themeColor="text1"/>
        </w:rPr>
        <w:t xml:space="preserve"> </w:t>
      </w:r>
      <w:r w:rsidRPr="22E3ABD1">
        <w:rPr>
          <w:color w:val="000000" w:themeColor="text1"/>
        </w:rPr>
        <w:t>and drought may reduce survival and growth of the recently recruited seedlings. Mortality of seedlings since the fires has already occurred and has been linked to drought conditions and the 2019 fire (S Barrett 2020, pers comm 25 September).</w:t>
      </w:r>
      <w:r>
        <w:rPr>
          <w:color w:val="000000" w:themeColor="text1"/>
        </w:rPr>
        <w:t xml:space="preserve"> </w:t>
      </w:r>
      <w:r w:rsidRPr="00EC0B2E">
        <w:rPr>
          <w:color w:val="000000" w:themeColor="text1"/>
        </w:rPr>
        <w:t xml:space="preserve">Therefore, the projected 38 percent population decline over the period 2000 to 2044 should be considered a minimum likely decline. </w:t>
      </w:r>
    </w:p>
    <w:p w14:paraId="794A9602" w14:textId="77777777" w:rsidR="00FA65F9" w:rsidRDefault="00FA65F9" w:rsidP="00FA65F9">
      <w:r w:rsidRPr="0045413B">
        <w:rPr>
          <w:color w:val="000000" w:themeColor="text1"/>
        </w:rPr>
        <w:t xml:space="preserve">The above caveats notwithstanding, </w:t>
      </w:r>
      <w:r w:rsidRPr="0045413B">
        <w:rPr>
          <w:rStyle w:val="Strong"/>
          <w:b w:val="0"/>
          <w:bCs w:val="0"/>
        </w:rPr>
        <w:t xml:space="preserve">using an average rate of decline of 0.86 percent per year (0.38/44 * 100) </w:t>
      </w:r>
      <w:r>
        <w:rPr>
          <w:rStyle w:val="Strong"/>
          <w:b w:val="0"/>
          <w:bCs w:val="0"/>
        </w:rPr>
        <w:t xml:space="preserve">population reduction over three generations can be estimated. Decline was assumed to be exponential, with a decay factor of 0.9914 (1 - 0.0086). Therefore, using the formula </w:t>
      </w:r>
      <w:r>
        <w:rPr>
          <w:rStyle w:val="Strong"/>
          <w:b w:val="0"/>
          <w:bCs w:val="0"/>
          <w:i/>
          <w:iCs/>
        </w:rPr>
        <w:t xml:space="preserve">1- </w:t>
      </w:r>
      <w:r w:rsidRPr="00EA525E">
        <w:rPr>
          <w:rStyle w:val="Strong"/>
          <w:b w:val="0"/>
          <w:bCs w:val="0"/>
          <w:i/>
          <w:iCs/>
        </w:rPr>
        <w:t>0.991</w:t>
      </w:r>
      <w:r>
        <w:rPr>
          <w:rStyle w:val="Strong"/>
          <w:b w:val="0"/>
          <w:bCs w:val="0"/>
          <w:i/>
          <w:iCs/>
        </w:rPr>
        <w:t>4</w:t>
      </w:r>
      <w:r w:rsidRPr="00EA525E">
        <w:rPr>
          <w:rStyle w:val="Strong"/>
          <w:b w:val="0"/>
          <w:bCs w:val="0"/>
          <w:i/>
          <w:iCs/>
        </w:rPr>
        <w:t xml:space="preserve"> ^ Number of Years</w:t>
      </w:r>
      <w:r>
        <w:rPr>
          <w:rStyle w:val="Strong"/>
          <w:b w:val="0"/>
          <w:bCs w:val="0"/>
        </w:rPr>
        <w:t>, the rate of population decline is projected to be 40 – 54 percent over three generations (60–90 years).</w:t>
      </w:r>
    </w:p>
    <w:tbl>
      <w:tblPr>
        <w:tblpPr w:leftFromText="180" w:rightFromText="180" w:vertAnchor="text" w:horzAnchor="margin" w:tblpY="369"/>
        <w:tblW w:w="9771" w:type="dxa"/>
        <w:tblCellMar>
          <w:left w:w="0" w:type="dxa"/>
          <w:right w:w="0" w:type="dxa"/>
        </w:tblCellMar>
        <w:tblLook w:val="04A0" w:firstRow="1" w:lastRow="0" w:firstColumn="1" w:lastColumn="0" w:noHBand="0" w:noVBand="1"/>
      </w:tblPr>
      <w:tblGrid>
        <w:gridCol w:w="1933"/>
        <w:gridCol w:w="3763"/>
        <w:gridCol w:w="2232"/>
        <w:gridCol w:w="1843"/>
      </w:tblGrid>
      <w:tr w:rsidR="00FA65F9" w14:paraId="21465DA8" w14:textId="77777777" w:rsidTr="00D72EE4">
        <w:trPr>
          <w:trHeight w:val="346"/>
        </w:trPr>
        <w:tc>
          <w:tcPr>
            <w:tcW w:w="19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3D69CFA6" w14:textId="77777777" w:rsidR="00FA65F9" w:rsidRDefault="00FA65F9" w:rsidP="00D72EE4">
            <w:pPr>
              <w:spacing w:line="252" w:lineRule="auto"/>
              <w:rPr>
                <w:b/>
                <w:bCs/>
                <w:sz w:val="18"/>
                <w:szCs w:val="18"/>
                <w:lang w:eastAsia="en-AU"/>
              </w:rPr>
            </w:pPr>
            <w:r>
              <w:rPr>
                <w:b/>
                <w:bCs/>
                <w:sz w:val="18"/>
                <w:szCs w:val="18"/>
                <w:lang w:eastAsia="en-AU"/>
              </w:rPr>
              <w:t>Year</w:t>
            </w:r>
          </w:p>
        </w:tc>
        <w:tc>
          <w:tcPr>
            <w:tcW w:w="3763" w:type="dxa"/>
            <w:tcBorders>
              <w:top w:val="single" w:sz="8" w:space="0" w:color="000000" w:themeColor="text1"/>
              <w:left w:val="nil"/>
              <w:bottom w:val="single" w:sz="8" w:space="0" w:color="000000" w:themeColor="text1"/>
              <w:right w:val="single" w:sz="8" w:space="0" w:color="000000" w:themeColor="text1"/>
            </w:tcBorders>
            <w:tcMar>
              <w:top w:w="80" w:type="dxa"/>
              <w:left w:w="80" w:type="dxa"/>
              <w:bottom w:w="0" w:type="dxa"/>
              <w:right w:w="115" w:type="dxa"/>
            </w:tcMar>
            <w:hideMark/>
          </w:tcPr>
          <w:p w14:paraId="1F4FF623" w14:textId="77777777" w:rsidR="00FA65F9" w:rsidRDefault="00FA65F9" w:rsidP="00D72EE4">
            <w:pPr>
              <w:spacing w:line="252" w:lineRule="auto"/>
              <w:rPr>
                <w:rFonts w:ascii="Calibri" w:hAnsi="Calibri"/>
                <w:b/>
                <w:bCs/>
                <w:sz w:val="18"/>
                <w:szCs w:val="18"/>
                <w:lang w:eastAsia="en-AU"/>
              </w:rPr>
            </w:pPr>
            <w:r>
              <w:rPr>
                <w:b/>
                <w:bCs/>
                <w:sz w:val="18"/>
                <w:szCs w:val="18"/>
                <w:lang w:eastAsia="en-AU"/>
              </w:rPr>
              <w:t>Number of mature individuals (juveniles)</w:t>
            </w:r>
          </w:p>
        </w:tc>
        <w:tc>
          <w:tcPr>
            <w:tcW w:w="2232" w:type="dxa"/>
            <w:tcBorders>
              <w:top w:val="single" w:sz="8" w:space="0" w:color="000000" w:themeColor="text1"/>
              <w:left w:val="nil"/>
              <w:bottom w:val="single" w:sz="8" w:space="0" w:color="000000" w:themeColor="text1"/>
              <w:right w:val="single" w:sz="8" w:space="0" w:color="000000" w:themeColor="text1"/>
            </w:tcBorders>
            <w:tcMar>
              <w:top w:w="80" w:type="dxa"/>
              <w:left w:w="80" w:type="dxa"/>
              <w:bottom w:w="0" w:type="dxa"/>
              <w:right w:w="115" w:type="dxa"/>
            </w:tcMar>
            <w:hideMark/>
          </w:tcPr>
          <w:p w14:paraId="59A26698" w14:textId="77777777" w:rsidR="00FA65F9" w:rsidRDefault="00FA65F9" w:rsidP="00D72EE4">
            <w:pPr>
              <w:spacing w:line="252" w:lineRule="auto"/>
              <w:rPr>
                <w:b/>
                <w:bCs/>
                <w:sz w:val="18"/>
                <w:szCs w:val="18"/>
                <w:lang w:eastAsia="en-AU"/>
              </w:rPr>
            </w:pPr>
            <w:r>
              <w:rPr>
                <w:b/>
                <w:bCs/>
                <w:sz w:val="18"/>
                <w:szCs w:val="18"/>
                <w:lang w:eastAsia="en-AU"/>
              </w:rPr>
              <w:t>Percentage of recorded number of mature individuals in 2000</w:t>
            </w:r>
          </w:p>
        </w:tc>
        <w:tc>
          <w:tcPr>
            <w:tcW w:w="1843" w:type="dxa"/>
            <w:tcBorders>
              <w:top w:val="single" w:sz="8" w:space="0" w:color="000000" w:themeColor="text1"/>
              <w:left w:val="nil"/>
              <w:bottom w:val="single" w:sz="8" w:space="0" w:color="000000" w:themeColor="text1"/>
              <w:right w:val="single" w:sz="8" w:space="0" w:color="000000" w:themeColor="text1"/>
            </w:tcBorders>
          </w:tcPr>
          <w:p w14:paraId="4646B2CE" w14:textId="77777777" w:rsidR="00FA65F9" w:rsidRDefault="00FA65F9" w:rsidP="00D72EE4">
            <w:pPr>
              <w:spacing w:line="252" w:lineRule="auto"/>
              <w:rPr>
                <w:b/>
                <w:bCs/>
                <w:sz w:val="18"/>
                <w:szCs w:val="18"/>
                <w:lang w:eastAsia="en-AU"/>
              </w:rPr>
            </w:pPr>
            <w:r>
              <w:rPr>
                <w:b/>
                <w:bCs/>
                <w:sz w:val="18"/>
                <w:szCs w:val="18"/>
                <w:lang w:eastAsia="en-AU"/>
              </w:rPr>
              <w:t>Source</w:t>
            </w:r>
          </w:p>
        </w:tc>
      </w:tr>
      <w:tr w:rsidR="00FA65F9" w14:paraId="67CED86E" w14:textId="77777777" w:rsidTr="00D72EE4">
        <w:trPr>
          <w:trHeight w:val="342"/>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2383C130" w14:textId="77777777" w:rsidR="00FA65F9" w:rsidRDefault="00FA65F9" w:rsidP="00D72EE4">
            <w:pPr>
              <w:spacing w:line="252" w:lineRule="auto"/>
              <w:rPr>
                <w:sz w:val="18"/>
                <w:szCs w:val="18"/>
                <w:lang w:eastAsia="en-AU"/>
              </w:rPr>
            </w:pPr>
            <w:r>
              <w:rPr>
                <w:sz w:val="18"/>
                <w:szCs w:val="18"/>
                <w:lang w:eastAsia="en-AU"/>
              </w:rPr>
              <w:t>2000</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10970909" w14:textId="77777777" w:rsidR="00FA65F9" w:rsidRDefault="00FA65F9" w:rsidP="00D72EE4">
            <w:pPr>
              <w:spacing w:line="252" w:lineRule="auto"/>
              <w:rPr>
                <w:sz w:val="18"/>
                <w:szCs w:val="18"/>
                <w:lang w:eastAsia="en-AU"/>
              </w:rPr>
            </w:pPr>
            <w:r>
              <w:rPr>
                <w:sz w:val="18"/>
                <w:szCs w:val="18"/>
                <w:lang w:eastAsia="en-AU"/>
              </w:rPr>
              <w:t>137 (39)</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0D425366" w14:textId="77777777" w:rsidR="00FA65F9" w:rsidRDefault="00FA65F9" w:rsidP="00D72EE4">
            <w:pPr>
              <w:spacing w:line="252" w:lineRule="auto"/>
              <w:rPr>
                <w:sz w:val="18"/>
                <w:szCs w:val="18"/>
                <w:lang w:eastAsia="en-AU"/>
              </w:rPr>
            </w:pPr>
            <w:r>
              <w:rPr>
                <w:sz w:val="18"/>
                <w:szCs w:val="18"/>
                <w:lang w:eastAsia="en-AU"/>
              </w:rPr>
              <w:t>100%</w:t>
            </w:r>
          </w:p>
        </w:tc>
        <w:tc>
          <w:tcPr>
            <w:tcW w:w="1843" w:type="dxa"/>
            <w:tcBorders>
              <w:top w:val="nil"/>
              <w:left w:val="nil"/>
              <w:bottom w:val="single" w:sz="8" w:space="0" w:color="000000" w:themeColor="text1"/>
              <w:right w:val="single" w:sz="8" w:space="0" w:color="000000" w:themeColor="text1"/>
            </w:tcBorders>
          </w:tcPr>
          <w:p w14:paraId="44861B37" w14:textId="77777777" w:rsidR="00FA65F9" w:rsidRDefault="00FA65F9" w:rsidP="00D72EE4">
            <w:pPr>
              <w:spacing w:line="252" w:lineRule="auto"/>
              <w:rPr>
                <w:sz w:val="18"/>
                <w:szCs w:val="18"/>
                <w:lang w:eastAsia="en-AU"/>
              </w:rPr>
            </w:pPr>
            <w:r>
              <w:rPr>
                <w:sz w:val="18"/>
                <w:szCs w:val="18"/>
                <w:lang w:eastAsia="en-AU"/>
              </w:rPr>
              <w:t>Gilfillan et al. 2008), DAWE (2017)</w:t>
            </w:r>
          </w:p>
        </w:tc>
      </w:tr>
      <w:tr w:rsidR="00FA65F9" w14:paraId="5173AF62" w14:textId="77777777" w:rsidTr="00D72EE4">
        <w:trPr>
          <w:trHeight w:val="386"/>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0551F0CC" w14:textId="77777777" w:rsidR="00FA65F9" w:rsidRDefault="00FA65F9" w:rsidP="00D72EE4">
            <w:pPr>
              <w:spacing w:line="252" w:lineRule="auto"/>
              <w:rPr>
                <w:sz w:val="18"/>
                <w:szCs w:val="18"/>
                <w:lang w:eastAsia="en-AU"/>
              </w:rPr>
            </w:pPr>
            <w:r>
              <w:rPr>
                <w:sz w:val="18"/>
                <w:szCs w:val="18"/>
                <w:lang w:eastAsia="en-AU"/>
              </w:rPr>
              <w:t>2001</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338F66C0" w14:textId="77777777" w:rsidR="00FA65F9" w:rsidRDefault="00FA65F9" w:rsidP="00D72EE4">
            <w:pPr>
              <w:spacing w:line="252" w:lineRule="auto"/>
              <w:rPr>
                <w:sz w:val="18"/>
                <w:szCs w:val="18"/>
                <w:lang w:eastAsia="en-AU"/>
              </w:rPr>
            </w:pPr>
            <w:r>
              <w:rPr>
                <w:sz w:val="18"/>
                <w:szCs w:val="18"/>
                <w:lang w:eastAsia="en-AU"/>
              </w:rPr>
              <w:t>51 – 55 (9)</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1F65A6C6" w14:textId="77777777" w:rsidR="00FA65F9" w:rsidRDefault="00FA65F9" w:rsidP="00D72EE4">
            <w:pPr>
              <w:spacing w:line="252" w:lineRule="auto"/>
              <w:rPr>
                <w:sz w:val="18"/>
                <w:szCs w:val="18"/>
                <w:lang w:eastAsia="en-AU"/>
              </w:rPr>
            </w:pPr>
            <w:r>
              <w:rPr>
                <w:sz w:val="18"/>
                <w:szCs w:val="18"/>
                <w:lang w:eastAsia="en-AU"/>
              </w:rPr>
              <w:t>37–40%</w:t>
            </w:r>
          </w:p>
        </w:tc>
        <w:tc>
          <w:tcPr>
            <w:tcW w:w="1843" w:type="dxa"/>
            <w:tcBorders>
              <w:top w:val="nil"/>
              <w:left w:val="nil"/>
              <w:bottom w:val="single" w:sz="8" w:space="0" w:color="000000" w:themeColor="text1"/>
              <w:right w:val="single" w:sz="8" w:space="0" w:color="000000" w:themeColor="text1"/>
            </w:tcBorders>
          </w:tcPr>
          <w:p w14:paraId="19BBB74C" w14:textId="77777777" w:rsidR="00FA65F9" w:rsidRDefault="00FA65F9" w:rsidP="00D72EE4">
            <w:pPr>
              <w:spacing w:line="252" w:lineRule="auto"/>
              <w:rPr>
                <w:sz w:val="18"/>
                <w:szCs w:val="18"/>
                <w:lang w:eastAsia="en-AU"/>
              </w:rPr>
            </w:pPr>
            <w:r>
              <w:rPr>
                <w:sz w:val="18"/>
                <w:szCs w:val="18"/>
                <w:lang w:eastAsia="en-AU"/>
              </w:rPr>
              <w:t>Gilfillan et al. 2008), DAWE (2017), Silcock et al. (2021)</w:t>
            </w:r>
          </w:p>
        </w:tc>
      </w:tr>
      <w:tr w:rsidR="00FA65F9" w14:paraId="19C96BAA" w14:textId="77777777" w:rsidTr="00D72EE4">
        <w:trPr>
          <w:trHeight w:val="386"/>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tcPr>
          <w:p w14:paraId="5E1C1519" w14:textId="77777777" w:rsidR="00FA65F9" w:rsidRDefault="00FA65F9" w:rsidP="00D72EE4">
            <w:pPr>
              <w:spacing w:line="252" w:lineRule="auto"/>
              <w:rPr>
                <w:sz w:val="18"/>
                <w:szCs w:val="18"/>
                <w:lang w:eastAsia="en-AU"/>
              </w:rPr>
            </w:pPr>
            <w:r>
              <w:rPr>
                <w:sz w:val="18"/>
                <w:szCs w:val="18"/>
                <w:lang w:eastAsia="en-AU"/>
              </w:rPr>
              <w:t>2004</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76623965" w14:textId="77777777" w:rsidR="00FA65F9" w:rsidRDefault="00FA65F9" w:rsidP="00D72EE4">
            <w:pPr>
              <w:spacing w:line="252" w:lineRule="auto"/>
              <w:rPr>
                <w:sz w:val="18"/>
                <w:szCs w:val="18"/>
                <w:lang w:eastAsia="en-AU"/>
              </w:rPr>
            </w:pPr>
            <w:r>
              <w:rPr>
                <w:sz w:val="18"/>
                <w:szCs w:val="18"/>
                <w:lang w:eastAsia="en-AU"/>
              </w:rPr>
              <w:t>45 (16)</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3140C550" w14:textId="77777777" w:rsidR="00FA65F9" w:rsidRDefault="00FA65F9" w:rsidP="00D72EE4">
            <w:pPr>
              <w:spacing w:line="252" w:lineRule="auto"/>
              <w:rPr>
                <w:sz w:val="18"/>
                <w:szCs w:val="18"/>
                <w:lang w:eastAsia="en-AU"/>
              </w:rPr>
            </w:pPr>
            <w:r>
              <w:rPr>
                <w:sz w:val="18"/>
                <w:szCs w:val="18"/>
                <w:lang w:eastAsia="en-AU"/>
              </w:rPr>
              <w:t>33%</w:t>
            </w:r>
          </w:p>
        </w:tc>
        <w:tc>
          <w:tcPr>
            <w:tcW w:w="1843" w:type="dxa"/>
            <w:tcBorders>
              <w:top w:val="nil"/>
              <w:left w:val="nil"/>
              <w:bottom w:val="single" w:sz="8" w:space="0" w:color="000000" w:themeColor="text1"/>
              <w:right w:val="single" w:sz="8" w:space="0" w:color="000000" w:themeColor="text1"/>
            </w:tcBorders>
          </w:tcPr>
          <w:p w14:paraId="1CDE5E03" w14:textId="77777777" w:rsidR="00FA65F9" w:rsidRDefault="00FA65F9" w:rsidP="00D72EE4">
            <w:pPr>
              <w:spacing w:line="252" w:lineRule="auto"/>
              <w:rPr>
                <w:sz w:val="18"/>
                <w:szCs w:val="18"/>
                <w:lang w:eastAsia="en-AU"/>
              </w:rPr>
            </w:pPr>
            <w:r>
              <w:rPr>
                <w:sz w:val="18"/>
                <w:szCs w:val="18"/>
                <w:lang w:eastAsia="en-AU"/>
              </w:rPr>
              <w:t>DBCA (2020), cited in Silcock et al. (2021)</w:t>
            </w:r>
          </w:p>
        </w:tc>
      </w:tr>
      <w:tr w:rsidR="00FA65F9" w14:paraId="4A49A949" w14:textId="77777777" w:rsidTr="00D72EE4">
        <w:trPr>
          <w:trHeight w:val="386"/>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tcPr>
          <w:p w14:paraId="5F3412AD" w14:textId="77777777" w:rsidR="00FA65F9" w:rsidRDefault="00FA65F9" w:rsidP="00D72EE4">
            <w:pPr>
              <w:spacing w:line="252" w:lineRule="auto"/>
              <w:rPr>
                <w:sz w:val="18"/>
                <w:szCs w:val="18"/>
                <w:lang w:eastAsia="en-AU"/>
              </w:rPr>
            </w:pPr>
            <w:r>
              <w:rPr>
                <w:sz w:val="18"/>
                <w:szCs w:val="18"/>
                <w:lang w:eastAsia="en-AU"/>
              </w:rPr>
              <w:t>2015</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6BBD6058" w14:textId="77777777" w:rsidR="00FA65F9" w:rsidRDefault="00FA65F9" w:rsidP="00D72EE4">
            <w:pPr>
              <w:spacing w:line="252" w:lineRule="auto"/>
              <w:rPr>
                <w:sz w:val="18"/>
                <w:szCs w:val="18"/>
                <w:lang w:eastAsia="en-AU"/>
              </w:rPr>
            </w:pPr>
            <w:r>
              <w:rPr>
                <w:sz w:val="18"/>
                <w:szCs w:val="18"/>
                <w:lang w:eastAsia="en-AU"/>
              </w:rPr>
              <w:t>40 (2)</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5B260694" w14:textId="77777777" w:rsidR="00FA65F9" w:rsidRDefault="00FA65F9" w:rsidP="00D72EE4">
            <w:pPr>
              <w:spacing w:line="252" w:lineRule="auto"/>
              <w:rPr>
                <w:sz w:val="18"/>
                <w:szCs w:val="18"/>
                <w:lang w:eastAsia="en-AU"/>
              </w:rPr>
            </w:pPr>
            <w:r>
              <w:rPr>
                <w:sz w:val="18"/>
                <w:szCs w:val="18"/>
                <w:lang w:eastAsia="en-AU"/>
              </w:rPr>
              <w:t>29%</w:t>
            </w:r>
          </w:p>
        </w:tc>
        <w:tc>
          <w:tcPr>
            <w:tcW w:w="1843" w:type="dxa"/>
            <w:tcBorders>
              <w:top w:val="nil"/>
              <w:left w:val="nil"/>
              <w:bottom w:val="single" w:sz="8" w:space="0" w:color="000000" w:themeColor="text1"/>
              <w:right w:val="single" w:sz="8" w:space="0" w:color="000000" w:themeColor="text1"/>
            </w:tcBorders>
          </w:tcPr>
          <w:p w14:paraId="5CD74A49" w14:textId="77777777" w:rsidR="00FA65F9" w:rsidRDefault="00FA65F9" w:rsidP="00D72EE4">
            <w:pPr>
              <w:spacing w:line="252" w:lineRule="auto"/>
              <w:rPr>
                <w:sz w:val="18"/>
                <w:szCs w:val="18"/>
                <w:lang w:eastAsia="en-AU"/>
              </w:rPr>
            </w:pPr>
            <w:r>
              <w:rPr>
                <w:sz w:val="18"/>
                <w:szCs w:val="18"/>
                <w:lang w:eastAsia="en-AU"/>
              </w:rPr>
              <w:t>DAWE (2017)</w:t>
            </w:r>
          </w:p>
        </w:tc>
      </w:tr>
      <w:tr w:rsidR="00FA65F9" w14:paraId="284B5F04" w14:textId="77777777" w:rsidTr="00D72EE4">
        <w:trPr>
          <w:trHeight w:val="386"/>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tcPr>
          <w:p w14:paraId="06F03C66" w14:textId="77777777" w:rsidR="00FA65F9" w:rsidRDefault="00FA65F9" w:rsidP="00D72EE4">
            <w:pPr>
              <w:spacing w:line="252" w:lineRule="auto"/>
              <w:rPr>
                <w:sz w:val="18"/>
                <w:szCs w:val="18"/>
                <w:lang w:eastAsia="en-AU"/>
              </w:rPr>
            </w:pPr>
            <w:r>
              <w:rPr>
                <w:sz w:val="18"/>
                <w:szCs w:val="18"/>
                <w:lang w:eastAsia="en-AU"/>
              </w:rPr>
              <w:t>2016</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4949D797" w14:textId="77777777" w:rsidR="00FA65F9" w:rsidRDefault="00FA65F9" w:rsidP="00D72EE4">
            <w:pPr>
              <w:spacing w:line="252" w:lineRule="auto"/>
              <w:rPr>
                <w:sz w:val="18"/>
                <w:szCs w:val="18"/>
                <w:lang w:eastAsia="en-AU"/>
              </w:rPr>
            </w:pPr>
            <w:r>
              <w:rPr>
                <w:sz w:val="18"/>
                <w:szCs w:val="18"/>
                <w:lang w:eastAsia="en-AU"/>
              </w:rPr>
              <w:t>34–41 (unknown)</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tcPr>
          <w:p w14:paraId="30E0A116" w14:textId="77777777" w:rsidR="00FA65F9" w:rsidRDefault="00FA65F9" w:rsidP="00D72EE4">
            <w:pPr>
              <w:spacing w:line="252" w:lineRule="auto"/>
              <w:rPr>
                <w:sz w:val="18"/>
                <w:szCs w:val="18"/>
                <w:lang w:eastAsia="en-AU"/>
              </w:rPr>
            </w:pPr>
            <w:r>
              <w:rPr>
                <w:sz w:val="18"/>
                <w:szCs w:val="18"/>
                <w:lang w:eastAsia="en-AU"/>
              </w:rPr>
              <w:t>25% – 30%</w:t>
            </w:r>
          </w:p>
        </w:tc>
        <w:tc>
          <w:tcPr>
            <w:tcW w:w="1843" w:type="dxa"/>
            <w:tcBorders>
              <w:top w:val="nil"/>
              <w:left w:val="nil"/>
              <w:bottom w:val="single" w:sz="8" w:space="0" w:color="000000" w:themeColor="text1"/>
              <w:right w:val="single" w:sz="8" w:space="0" w:color="000000" w:themeColor="text1"/>
            </w:tcBorders>
          </w:tcPr>
          <w:p w14:paraId="34908BAE" w14:textId="77777777" w:rsidR="00FA65F9" w:rsidRDefault="00FA65F9" w:rsidP="00D72EE4">
            <w:pPr>
              <w:spacing w:line="252" w:lineRule="auto"/>
              <w:rPr>
                <w:sz w:val="18"/>
                <w:szCs w:val="18"/>
                <w:lang w:eastAsia="en-AU"/>
              </w:rPr>
            </w:pPr>
            <w:r w:rsidRPr="00DD50EB">
              <w:rPr>
                <w:sz w:val="18"/>
                <w:szCs w:val="18"/>
                <w:lang w:eastAsia="en-AU"/>
              </w:rPr>
              <w:t>S Barrett 2020, pers comm 25 September</w:t>
            </w:r>
            <w:r>
              <w:rPr>
                <w:sz w:val="18"/>
                <w:szCs w:val="18"/>
                <w:lang w:eastAsia="en-AU"/>
              </w:rPr>
              <w:t>, Silcock et al. (2021)</w:t>
            </w:r>
          </w:p>
        </w:tc>
      </w:tr>
      <w:tr w:rsidR="00FA65F9" w14:paraId="0523795D" w14:textId="77777777" w:rsidTr="00D72EE4">
        <w:trPr>
          <w:trHeight w:val="340"/>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6E88D6E5" w14:textId="77777777" w:rsidR="00FA65F9" w:rsidRDefault="00FA65F9" w:rsidP="00D72EE4">
            <w:pPr>
              <w:spacing w:line="252" w:lineRule="auto"/>
              <w:rPr>
                <w:sz w:val="18"/>
                <w:szCs w:val="18"/>
                <w:lang w:eastAsia="en-AU"/>
              </w:rPr>
            </w:pPr>
            <w:r>
              <w:rPr>
                <w:sz w:val="18"/>
                <w:szCs w:val="18"/>
                <w:lang w:eastAsia="en-AU"/>
              </w:rPr>
              <w:t>2018 (pre 2018 fire)</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12A9031C" w14:textId="77777777" w:rsidR="00FA65F9" w:rsidRDefault="00FA65F9" w:rsidP="00D72EE4">
            <w:pPr>
              <w:spacing w:line="252" w:lineRule="auto"/>
              <w:rPr>
                <w:sz w:val="18"/>
                <w:szCs w:val="18"/>
                <w:lang w:eastAsia="en-AU"/>
              </w:rPr>
            </w:pPr>
            <w:r>
              <w:rPr>
                <w:sz w:val="18"/>
                <w:szCs w:val="18"/>
                <w:lang w:eastAsia="en-AU"/>
              </w:rPr>
              <w:t>34–41 (unknown)</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78E8FCA5" w14:textId="77777777" w:rsidR="00FA65F9" w:rsidRDefault="00FA65F9" w:rsidP="00D72EE4">
            <w:pPr>
              <w:spacing w:line="252" w:lineRule="auto"/>
              <w:rPr>
                <w:sz w:val="18"/>
                <w:szCs w:val="18"/>
                <w:lang w:eastAsia="en-AU"/>
              </w:rPr>
            </w:pPr>
            <w:r>
              <w:rPr>
                <w:sz w:val="18"/>
                <w:szCs w:val="18"/>
                <w:lang w:eastAsia="en-AU"/>
              </w:rPr>
              <w:t>25% – 30%</w:t>
            </w:r>
          </w:p>
        </w:tc>
        <w:tc>
          <w:tcPr>
            <w:tcW w:w="1843" w:type="dxa"/>
            <w:tcBorders>
              <w:top w:val="nil"/>
              <w:left w:val="nil"/>
              <w:bottom w:val="single" w:sz="8" w:space="0" w:color="000000" w:themeColor="text1"/>
              <w:right w:val="single" w:sz="8" w:space="0" w:color="000000" w:themeColor="text1"/>
            </w:tcBorders>
          </w:tcPr>
          <w:p w14:paraId="1D313DFB" w14:textId="77777777" w:rsidR="00FA65F9" w:rsidRDefault="00FA65F9" w:rsidP="00D72EE4">
            <w:pPr>
              <w:spacing w:line="252" w:lineRule="auto"/>
              <w:rPr>
                <w:sz w:val="18"/>
                <w:szCs w:val="18"/>
                <w:lang w:eastAsia="en-AU"/>
              </w:rPr>
            </w:pPr>
            <w:r w:rsidRPr="00DD50EB">
              <w:rPr>
                <w:sz w:val="18"/>
                <w:szCs w:val="18"/>
                <w:lang w:eastAsia="en-AU"/>
              </w:rPr>
              <w:t>S Barrett 2020, pers comm 25 September</w:t>
            </w:r>
            <w:r>
              <w:rPr>
                <w:sz w:val="18"/>
                <w:szCs w:val="18"/>
                <w:lang w:eastAsia="en-AU"/>
              </w:rPr>
              <w:t>, Silcock et al. 2021</w:t>
            </w:r>
          </w:p>
        </w:tc>
      </w:tr>
      <w:tr w:rsidR="00FA65F9" w14:paraId="24D0A6D6" w14:textId="77777777" w:rsidTr="00D72EE4">
        <w:trPr>
          <w:trHeight w:val="440"/>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3CF39A96" w14:textId="77777777" w:rsidR="00FA65F9" w:rsidRDefault="00FA65F9" w:rsidP="00D72EE4">
            <w:pPr>
              <w:spacing w:line="252" w:lineRule="auto"/>
              <w:rPr>
                <w:sz w:val="18"/>
                <w:szCs w:val="18"/>
                <w:lang w:eastAsia="en-AU"/>
              </w:rPr>
            </w:pPr>
            <w:r>
              <w:rPr>
                <w:sz w:val="18"/>
                <w:szCs w:val="18"/>
                <w:lang w:eastAsia="en-AU"/>
              </w:rPr>
              <w:t>2019 (pre 2019 fire)</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687E3000" w14:textId="77777777" w:rsidR="00FA65F9" w:rsidRDefault="00FA65F9" w:rsidP="00D72EE4">
            <w:pPr>
              <w:spacing w:line="252" w:lineRule="auto"/>
              <w:rPr>
                <w:sz w:val="18"/>
                <w:szCs w:val="18"/>
                <w:lang w:eastAsia="en-AU"/>
              </w:rPr>
            </w:pPr>
            <w:r>
              <w:rPr>
                <w:sz w:val="18"/>
                <w:szCs w:val="18"/>
                <w:lang w:eastAsia="en-AU"/>
              </w:rPr>
              <w:t>8 (&gt;1000 seedlings)</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4C046317" w14:textId="77777777" w:rsidR="00FA65F9" w:rsidRDefault="00FA65F9" w:rsidP="00D72EE4">
            <w:pPr>
              <w:spacing w:line="252" w:lineRule="auto"/>
              <w:rPr>
                <w:sz w:val="18"/>
                <w:szCs w:val="18"/>
                <w:lang w:eastAsia="en-AU"/>
              </w:rPr>
            </w:pPr>
            <w:r>
              <w:rPr>
                <w:sz w:val="18"/>
                <w:szCs w:val="18"/>
                <w:lang w:eastAsia="en-AU"/>
              </w:rPr>
              <w:t>6%</w:t>
            </w:r>
          </w:p>
        </w:tc>
        <w:tc>
          <w:tcPr>
            <w:tcW w:w="1843" w:type="dxa"/>
            <w:tcBorders>
              <w:top w:val="nil"/>
              <w:left w:val="nil"/>
              <w:bottom w:val="single" w:sz="8" w:space="0" w:color="000000" w:themeColor="text1"/>
              <w:right w:val="single" w:sz="8" w:space="0" w:color="000000" w:themeColor="text1"/>
            </w:tcBorders>
          </w:tcPr>
          <w:p w14:paraId="5F5A4331" w14:textId="77777777" w:rsidR="00FA65F9" w:rsidRDefault="00FA65F9" w:rsidP="00D72EE4">
            <w:pPr>
              <w:spacing w:line="252" w:lineRule="auto"/>
              <w:rPr>
                <w:sz w:val="18"/>
                <w:szCs w:val="18"/>
                <w:lang w:eastAsia="en-AU"/>
              </w:rPr>
            </w:pPr>
            <w:r w:rsidRPr="00DD50EB">
              <w:rPr>
                <w:sz w:val="18"/>
                <w:szCs w:val="18"/>
                <w:lang w:eastAsia="en-AU"/>
              </w:rPr>
              <w:t xml:space="preserve">S Barrett 2020, pers comm 25 </w:t>
            </w:r>
            <w:r>
              <w:rPr>
                <w:sz w:val="18"/>
                <w:szCs w:val="18"/>
                <w:lang w:eastAsia="en-AU"/>
              </w:rPr>
              <w:t>September</w:t>
            </w:r>
          </w:p>
        </w:tc>
      </w:tr>
      <w:tr w:rsidR="00FA65F9" w14:paraId="13391814" w14:textId="77777777" w:rsidTr="00D72EE4">
        <w:trPr>
          <w:trHeight w:val="391"/>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739D3921" w14:textId="77777777" w:rsidR="00FA65F9" w:rsidRDefault="00FA65F9" w:rsidP="00D72EE4">
            <w:pPr>
              <w:spacing w:line="252" w:lineRule="auto"/>
              <w:rPr>
                <w:sz w:val="18"/>
                <w:szCs w:val="18"/>
                <w:lang w:eastAsia="en-AU"/>
              </w:rPr>
            </w:pPr>
            <w:r>
              <w:rPr>
                <w:sz w:val="18"/>
                <w:szCs w:val="18"/>
                <w:lang w:eastAsia="en-AU"/>
              </w:rPr>
              <w:t>2020 (post 2019 fire)</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71A59B93" w14:textId="77777777" w:rsidR="00FA65F9" w:rsidRDefault="00FA65F9" w:rsidP="00D72EE4">
            <w:pPr>
              <w:spacing w:line="252" w:lineRule="auto"/>
              <w:rPr>
                <w:sz w:val="18"/>
                <w:szCs w:val="18"/>
                <w:lang w:eastAsia="en-AU"/>
              </w:rPr>
            </w:pPr>
            <w:r>
              <w:rPr>
                <w:sz w:val="18"/>
                <w:szCs w:val="18"/>
                <w:lang w:eastAsia="en-AU"/>
              </w:rPr>
              <w:t>0 (857)</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794E4884" w14:textId="77777777" w:rsidR="00FA65F9" w:rsidRDefault="00FA65F9" w:rsidP="00D72EE4">
            <w:pPr>
              <w:spacing w:line="252" w:lineRule="auto"/>
              <w:rPr>
                <w:sz w:val="18"/>
                <w:szCs w:val="18"/>
                <w:lang w:eastAsia="en-AU"/>
              </w:rPr>
            </w:pPr>
            <w:r>
              <w:rPr>
                <w:sz w:val="18"/>
                <w:szCs w:val="18"/>
                <w:lang w:eastAsia="en-AU"/>
              </w:rPr>
              <w:t>0%</w:t>
            </w:r>
          </w:p>
        </w:tc>
        <w:tc>
          <w:tcPr>
            <w:tcW w:w="1843" w:type="dxa"/>
            <w:tcBorders>
              <w:top w:val="nil"/>
              <w:left w:val="nil"/>
              <w:bottom w:val="single" w:sz="8" w:space="0" w:color="000000" w:themeColor="text1"/>
              <w:right w:val="single" w:sz="8" w:space="0" w:color="000000" w:themeColor="text1"/>
            </w:tcBorders>
          </w:tcPr>
          <w:p w14:paraId="4B40E25E" w14:textId="77777777" w:rsidR="00FA65F9" w:rsidRDefault="00FA65F9" w:rsidP="00D72EE4">
            <w:pPr>
              <w:spacing w:line="252" w:lineRule="auto"/>
              <w:rPr>
                <w:sz w:val="18"/>
                <w:szCs w:val="18"/>
                <w:lang w:eastAsia="en-AU"/>
              </w:rPr>
            </w:pPr>
            <w:r w:rsidRPr="00DD50EB">
              <w:rPr>
                <w:sz w:val="18"/>
                <w:szCs w:val="18"/>
                <w:lang w:eastAsia="en-AU"/>
              </w:rPr>
              <w:t>S Barrett 2020, pers comm 25</w:t>
            </w:r>
            <w:r>
              <w:rPr>
                <w:sz w:val="18"/>
                <w:szCs w:val="18"/>
                <w:lang w:eastAsia="en-AU"/>
              </w:rPr>
              <w:t xml:space="preserve"> September, Silcock et al. 2021</w:t>
            </w:r>
          </w:p>
        </w:tc>
      </w:tr>
      <w:tr w:rsidR="00FA65F9" w14:paraId="3E8F22A3" w14:textId="77777777" w:rsidTr="00D72EE4">
        <w:trPr>
          <w:trHeight w:val="469"/>
        </w:trPr>
        <w:tc>
          <w:tcPr>
            <w:tcW w:w="1933"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0" w:type="dxa"/>
              <w:right w:w="115" w:type="dxa"/>
            </w:tcMar>
            <w:hideMark/>
          </w:tcPr>
          <w:p w14:paraId="105D6846" w14:textId="77777777" w:rsidR="00FA65F9" w:rsidRDefault="00FA65F9" w:rsidP="00D72EE4">
            <w:pPr>
              <w:spacing w:line="252" w:lineRule="auto"/>
              <w:rPr>
                <w:sz w:val="18"/>
                <w:szCs w:val="18"/>
                <w:lang w:eastAsia="en-AU"/>
              </w:rPr>
            </w:pPr>
            <w:r>
              <w:rPr>
                <w:sz w:val="18"/>
                <w:szCs w:val="18"/>
                <w:lang w:eastAsia="en-AU"/>
              </w:rPr>
              <w:t>Autumn 2021</w:t>
            </w:r>
          </w:p>
        </w:tc>
        <w:tc>
          <w:tcPr>
            <w:tcW w:w="3763"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6A75F0F6" w14:textId="77777777" w:rsidR="00FA65F9" w:rsidRDefault="00FA65F9" w:rsidP="00D72EE4">
            <w:pPr>
              <w:spacing w:line="252" w:lineRule="auto"/>
              <w:rPr>
                <w:sz w:val="18"/>
                <w:szCs w:val="18"/>
                <w:lang w:eastAsia="en-AU"/>
              </w:rPr>
            </w:pPr>
            <w:r>
              <w:rPr>
                <w:sz w:val="18"/>
                <w:szCs w:val="18"/>
                <w:lang w:eastAsia="en-AU"/>
              </w:rPr>
              <w:t xml:space="preserve">0 (727 juveniles and 22 seedlings) </w:t>
            </w:r>
          </w:p>
        </w:tc>
        <w:tc>
          <w:tcPr>
            <w:tcW w:w="2232" w:type="dxa"/>
            <w:tcBorders>
              <w:top w:val="nil"/>
              <w:left w:val="nil"/>
              <w:bottom w:val="single" w:sz="8" w:space="0" w:color="000000" w:themeColor="text1"/>
              <w:right w:val="single" w:sz="8" w:space="0" w:color="000000" w:themeColor="text1"/>
            </w:tcBorders>
            <w:tcMar>
              <w:top w:w="80" w:type="dxa"/>
              <w:left w:w="80" w:type="dxa"/>
              <w:bottom w:w="0" w:type="dxa"/>
              <w:right w:w="115" w:type="dxa"/>
            </w:tcMar>
            <w:hideMark/>
          </w:tcPr>
          <w:p w14:paraId="49A9FBA9" w14:textId="77777777" w:rsidR="00FA65F9" w:rsidRDefault="00FA65F9" w:rsidP="00D72EE4">
            <w:pPr>
              <w:spacing w:line="252" w:lineRule="auto"/>
              <w:rPr>
                <w:sz w:val="18"/>
                <w:szCs w:val="18"/>
                <w:lang w:eastAsia="en-AU"/>
              </w:rPr>
            </w:pPr>
            <w:r>
              <w:rPr>
                <w:sz w:val="18"/>
                <w:szCs w:val="18"/>
                <w:lang w:eastAsia="en-AU"/>
              </w:rPr>
              <w:t>0%</w:t>
            </w:r>
          </w:p>
        </w:tc>
        <w:tc>
          <w:tcPr>
            <w:tcW w:w="1843" w:type="dxa"/>
            <w:tcBorders>
              <w:top w:val="nil"/>
              <w:left w:val="nil"/>
              <w:bottom w:val="single" w:sz="8" w:space="0" w:color="000000" w:themeColor="text1"/>
              <w:right w:val="single" w:sz="8" w:space="0" w:color="000000" w:themeColor="text1"/>
            </w:tcBorders>
          </w:tcPr>
          <w:p w14:paraId="19286A9F" w14:textId="77777777" w:rsidR="00FA65F9" w:rsidRDefault="00FA65F9" w:rsidP="00D72EE4">
            <w:pPr>
              <w:spacing w:line="252" w:lineRule="auto"/>
              <w:rPr>
                <w:sz w:val="18"/>
                <w:szCs w:val="18"/>
                <w:lang w:eastAsia="en-AU"/>
              </w:rPr>
            </w:pPr>
            <w:r>
              <w:rPr>
                <w:sz w:val="18"/>
                <w:szCs w:val="18"/>
                <w:lang w:eastAsia="en-AU"/>
              </w:rPr>
              <w:t>DBCA (2021)</w:t>
            </w:r>
          </w:p>
        </w:tc>
      </w:tr>
    </w:tbl>
    <w:p w14:paraId="1430AEFE" w14:textId="77777777" w:rsidR="00FA65F9" w:rsidRDefault="00FA65F9" w:rsidP="00FA65F9">
      <w:pPr>
        <w:rPr>
          <w:lang w:val="en-US"/>
        </w:rPr>
      </w:pPr>
      <w:r w:rsidRPr="006F712C">
        <w:rPr>
          <w:rFonts w:asciiTheme="minorHAnsi" w:hAnsiTheme="minorHAnsi" w:cstheme="minorHAnsi"/>
          <w:b/>
          <w:bCs/>
          <w:sz w:val="24"/>
          <w:szCs w:val="24"/>
        </w:rPr>
        <w:t xml:space="preserve">Table 5. Summary of </w:t>
      </w:r>
      <w:r>
        <w:rPr>
          <w:rFonts w:asciiTheme="minorHAnsi" w:hAnsiTheme="minorHAnsi" w:cstheme="minorHAnsi"/>
          <w:b/>
          <w:bCs/>
          <w:sz w:val="24"/>
          <w:szCs w:val="24"/>
        </w:rPr>
        <w:t>Stirling Range dryandra</w:t>
      </w:r>
      <w:r w:rsidRPr="006F712C">
        <w:rPr>
          <w:rFonts w:asciiTheme="minorHAnsi" w:hAnsiTheme="minorHAnsi" w:cstheme="minorHAnsi"/>
          <w:b/>
          <w:bCs/>
          <w:sz w:val="24"/>
          <w:szCs w:val="24"/>
        </w:rPr>
        <w:t xml:space="preserve"> population information over time</w:t>
      </w:r>
    </w:p>
    <w:p w14:paraId="2AB60FB4" w14:textId="77777777" w:rsidR="00FA65F9" w:rsidRDefault="00FA65F9" w:rsidP="00FA65F9">
      <w:r>
        <w:br/>
      </w:r>
      <w:r>
        <w:rPr>
          <w:i/>
          <w:iCs/>
        </w:rPr>
        <w:t>Conclusion</w:t>
      </w:r>
    </w:p>
    <w:p w14:paraId="25854688" w14:textId="0BA468A1" w:rsidR="00FA65F9" w:rsidRDefault="00FA65F9" w:rsidP="00FA65F9">
      <w:r>
        <w:t>Stirling Range dryandra has exhibited stepwise population decline due to multiple fires</w:t>
      </w:r>
      <w:r w:rsidR="00EE20E8">
        <w:t xml:space="preserve"> within a nine</w:t>
      </w:r>
      <w:r w:rsidR="00B762FB">
        <w:t>-</w:t>
      </w:r>
      <w:r w:rsidR="00EE20E8">
        <w:t>year fire interval</w:t>
      </w:r>
      <w:r>
        <w:t xml:space="preserve">, likely has naturally low seedling survival, and is threatened by multiple interacting threats that will likely lead to mortality in the future. Population reduction over a </w:t>
      </w:r>
      <w:r>
        <w:lastRenderedPageBreak/>
        <w:t xml:space="preserve">three-generation period from 2000 is projected to be a minimum of 40–54 percent. </w:t>
      </w:r>
      <w:r w:rsidRPr="00056B7A">
        <w:t>U</w:t>
      </w:r>
      <w:r>
        <w:t xml:space="preserve">tilising </w:t>
      </w:r>
      <w:r w:rsidRPr="00056B7A">
        <w:t>a precautionary approach by using the highest estimate of decline (</w:t>
      </w:r>
      <w:r>
        <w:t>54</w:t>
      </w:r>
      <w:r w:rsidRPr="00056B7A">
        <w:t xml:space="preserve"> percent) is reasonable, as very high risk threats continue to operate on the species</w:t>
      </w:r>
      <w:r>
        <w:t xml:space="preserve"> and there are currently zero extant mature individuals</w:t>
      </w:r>
      <w:r w:rsidRPr="00056B7A">
        <w:t xml:space="preserve">. </w:t>
      </w:r>
    </w:p>
    <w:p w14:paraId="04EF9698" w14:textId="77777777" w:rsidR="00FA65F9" w:rsidRDefault="00FA65F9" w:rsidP="00FA65F9">
      <w:pPr>
        <w:rPr>
          <w:i/>
          <w:iCs/>
          <w:lang w:eastAsia="ja-JP"/>
        </w:rPr>
      </w:pPr>
      <w:r>
        <w:rPr>
          <w:lang w:eastAsia="ja-JP"/>
        </w:rPr>
        <w:t xml:space="preserve">The data presented above appear to demonstrate that the species is eligible for listing as </w:t>
      </w:r>
      <w:r>
        <w:rPr>
          <w:b/>
          <w:bCs/>
          <w:lang w:eastAsia="ja-JP"/>
        </w:rPr>
        <w:t>Endangered</w:t>
      </w:r>
      <w:r>
        <w:rPr>
          <w:lang w:eastAsia="ja-JP"/>
        </w:rPr>
        <w:t xml:space="preserve"> under this criterion. However, the purpose of the consultation document is to elicit additional information to better understand the species’ status. This conclusion should therefore be considered tentative at this stage, as it may be changed as a result of this consultation process.</w:t>
      </w:r>
    </w:p>
    <w:p w14:paraId="7670E7C2" w14:textId="77777777" w:rsidR="00FA65F9" w:rsidRDefault="00FA65F9" w:rsidP="00FA65F9">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FA65F9" w:rsidRPr="00556843" w14:paraId="68C7BF57" w14:textId="77777777" w:rsidTr="00D72EE4">
        <w:trPr>
          <w:trHeight w:val="350"/>
        </w:trPr>
        <w:tc>
          <w:tcPr>
            <w:tcW w:w="10738" w:type="dxa"/>
            <w:gridSpan w:val="4"/>
            <w:tcBorders>
              <w:bottom w:val="nil"/>
            </w:tcBorders>
            <w:shd w:val="clear" w:color="auto" w:fill="595959" w:themeFill="text1" w:themeFillTint="A6"/>
            <w:vAlign w:val="center"/>
          </w:tcPr>
          <w:p w14:paraId="6477F390" w14:textId="77777777" w:rsidR="00FA65F9" w:rsidRPr="00556843" w:rsidRDefault="00FA65F9" w:rsidP="00D72EE4">
            <w:pPr>
              <w:keepNext/>
              <w:tabs>
                <w:tab w:val="left" w:pos="284"/>
              </w:tabs>
              <w:ind w:left="1452" w:hanging="1452"/>
              <w:rPr>
                <w:rFonts w:ascii="Arial" w:hAnsi="Arial" w:cs="Arial"/>
                <w:b/>
                <w:color w:val="FFFFFF" w:themeColor="background1"/>
              </w:rPr>
            </w:pPr>
          </w:p>
        </w:tc>
      </w:tr>
      <w:tr w:rsidR="00FA65F9" w:rsidRPr="00556843" w14:paraId="55F2823D" w14:textId="77777777" w:rsidTr="00D72EE4">
        <w:tc>
          <w:tcPr>
            <w:tcW w:w="4111" w:type="dxa"/>
            <w:tcBorders>
              <w:top w:val="nil"/>
              <w:bottom w:val="nil"/>
              <w:right w:val="nil"/>
            </w:tcBorders>
          </w:tcPr>
          <w:p w14:paraId="52045940" w14:textId="77777777" w:rsidR="00FA65F9" w:rsidRPr="00556843" w:rsidRDefault="00FA65F9" w:rsidP="00D72EE4">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0BE0D4A1" w14:textId="77777777" w:rsidR="00FA65F9" w:rsidRPr="00795F43" w:rsidRDefault="00FA65F9" w:rsidP="00D72EE4">
            <w:pPr>
              <w:pStyle w:val="TableText"/>
              <w:keepNext/>
              <w:rPr>
                <w:rStyle w:val="Strong"/>
              </w:rPr>
            </w:pPr>
            <w:r w:rsidRPr="00795F43">
              <w:rPr>
                <w:rStyle w:val="Strong"/>
              </w:rPr>
              <w:t>Critically Endangered</w:t>
            </w:r>
          </w:p>
          <w:p w14:paraId="4B49D8F0" w14:textId="77777777" w:rsidR="00FA65F9" w:rsidRPr="00556843" w:rsidRDefault="00FA65F9" w:rsidP="00D72EE4">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B144EB8" w14:textId="77777777" w:rsidR="00FA65F9" w:rsidRPr="00556843" w:rsidRDefault="00FA65F9" w:rsidP="00D72EE4">
            <w:pPr>
              <w:pStyle w:val="TableText"/>
              <w:keepNext/>
              <w:rPr>
                <w:b/>
              </w:rPr>
            </w:pPr>
            <w:r w:rsidRPr="00556843">
              <w:rPr>
                <w:b/>
              </w:rPr>
              <w:t>Endangered</w:t>
            </w:r>
          </w:p>
          <w:p w14:paraId="051CD964" w14:textId="77777777" w:rsidR="00FA65F9" w:rsidRPr="00556843" w:rsidRDefault="00FA65F9" w:rsidP="00D72EE4">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ECC7E36" w14:textId="77777777" w:rsidR="00FA65F9" w:rsidRPr="00556843" w:rsidRDefault="00FA65F9" w:rsidP="00D72EE4">
            <w:pPr>
              <w:pStyle w:val="TableText"/>
              <w:keepNext/>
              <w:rPr>
                <w:b/>
              </w:rPr>
            </w:pPr>
            <w:r w:rsidRPr="00556843">
              <w:rPr>
                <w:b/>
              </w:rPr>
              <w:t>Vulnerable</w:t>
            </w:r>
          </w:p>
          <w:p w14:paraId="4612AFE3" w14:textId="77777777" w:rsidR="00FA65F9" w:rsidRPr="00556843" w:rsidRDefault="00FA65F9" w:rsidP="00D72EE4">
            <w:pPr>
              <w:pStyle w:val="TableText"/>
              <w:keepNext/>
              <w:rPr>
                <w:b/>
              </w:rPr>
            </w:pPr>
            <w:r w:rsidRPr="00556843">
              <w:rPr>
                <w:b/>
              </w:rPr>
              <w:t>Limited</w:t>
            </w:r>
          </w:p>
        </w:tc>
      </w:tr>
      <w:tr w:rsidR="00FA65F9" w:rsidRPr="00556843" w14:paraId="354F3312" w14:textId="77777777" w:rsidTr="00D72EE4">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537B31C7" w14:textId="77777777" w:rsidR="00FA65F9" w:rsidRPr="00556843" w:rsidRDefault="00FA65F9" w:rsidP="00D72EE4">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8319468" w14:textId="77777777" w:rsidR="00FA65F9" w:rsidRPr="00556843" w:rsidRDefault="00FA65F9" w:rsidP="00D72EE4">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1172FF2" w14:textId="77777777" w:rsidR="00FA65F9" w:rsidRPr="00556843" w:rsidRDefault="00FA65F9" w:rsidP="00D72EE4">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519752C5" w14:textId="77777777" w:rsidR="00FA65F9" w:rsidRPr="00556843" w:rsidRDefault="00FA65F9" w:rsidP="00D72EE4">
            <w:pPr>
              <w:pStyle w:val="TableText"/>
              <w:keepNext/>
            </w:pPr>
            <w:r w:rsidRPr="00556843">
              <w:rPr>
                <w:b/>
              </w:rPr>
              <w:t>&lt; 20,000 km</w:t>
            </w:r>
            <w:r w:rsidRPr="00556843">
              <w:rPr>
                <w:b/>
                <w:vertAlign w:val="superscript"/>
              </w:rPr>
              <w:t>2</w:t>
            </w:r>
          </w:p>
        </w:tc>
      </w:tr>
      <w:tr w:rsidR="00FA65F9" w:rsidRPr="00556843" w14:paraId="62456137" w14:textId="77777777" w:rsidTr="00D72EE4">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3A671BC5" w14:textId="77777777" w:rsidR="00FA65F9" w:rsidRPr="00556843" w:rsidRDefault="00FA65F9" w:rsidP="00D72EE4">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0A1336E" w14:textId="77777777" w:rsidR="00FA65F9" w:rsidRPr="00556843" w:rsidRDefault="00FA65F9" w:rsidP="00D72EE4">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33EB4C9" w14:textId="77777777" w:rsidR="00FA65F9" w:rsidRPr="00556843" w:rsidRDefault="00FA65F9" w:rsidP="00D72EE4">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77AA7B34" w14:textId="77777777" w:rsidR="00FA65F9" w:rsidRPr="00556843" w:rsidRDefault="00FA65F9" w:rsidP="00D72EE4">
            <w:pPr>
              <w:pStyle w:val="TableText"/>
              <w:keepNext/>
            </w:pPr>
            <w:r w:rsidRPr="00556843">
              <w:rPr>
                <w:b/>
              </w:rPr>
              <w:t>&lt; 2,000 km</w:t>
            </w:r>
            <w:r w:rsidRPr="00556843">
              <w:rPr>
                <w:b/>
                <w:vertAlign w:val="superscript"/>
              </w:rPr>
              <w:t>2</w:t>
            </w:r>
          </w:p>
        </w:tc>
      </w:tr>
      <w:tr w:rsidR="00FA65F9" w:rsidRPr="00556843" w14:paraId="561EADE3" w14:textId="77777777" w:rsidTr="00D72EE4">
        <w:tc>
          <w:tcPr>
            <w:tcW w:w="10738" w:type="dxa"/>
            <w:gridSpan w:val="4"/>
            <w:tcBorders>
              <w:top w:val="nil"/>
              <w:bottom w:val="nil"/>
            </w:tcBorders>
          </w:tcPr>
          <w:p w14:paraId="1AAF6768" w14:textId="77777777" w:rsidR="00FA65F9" w:rsidRPr="00936152" w:rsidRDefault="00FA65F9" w:rsidP="00D72EE4">
            <w:pPr>
              <w:pStyle w:val="TableText"/>
              <w:keepNext/>
              <w:rPr>
                <w:rStyle w:val="Strong"/>
              </w:rPr>
            </w:pPr>
            <w:r w:rsidRPr="00936152">
              <w:rPr>
                <w:rStyle w:val="Strong"/>
              </w:rPr>
              <w:t>AND at least 2 of the following 3 conditions:</w:t>
            </w:r>
          </w:p>
        </w:tc>
      </w:tr>
      <w:tr w:rsidR="00FA65F9" w:rsidRPr="00556843" w14:paraId="6111170F" w14:textId="77777777" w:rsidTr="00D72EE4">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7201C4A3" w14:textId="77777777" w:rsidR="00FA65F9" w:rsidRPr="00556843" w:rsidRDefault="00FA65F9" w:rsidP="00D72EE4">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8E1A5FD" w14:textId="77777777" w:rsidR="00FA65F9" w:rsidRPr="00556843" w:rsidRDefault="00FA65F9" w:rsidP="00D72EE4">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3A9AFA8" w14:textId="77777777" w:rsidR="00FA65F9" w:rsidRPr="00556843" w:rsidRDefault="00FA65F9" w:rsidP="00D72EE4">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6FC48437" w14:textId="77777777" w:rsidR="00FA65F9" w:rsidRPr="00556843" w:rsidRDefault="00FA65F9" w:rsidP="00D72EE4">
            <w:pPr>
              <w:pStyle w:val="TableText"/>
              <w:keepNext/>
              <w:rPr>
                <w:b/>
              </w:rPr>
            </w:pPr>
            <w:r w:rsidRPr="00556843">
              <w:rPr>
                <w:b/>
              </w:rPr>
              <w:t>≤ 10</w:t>
            </w:r>
          </w:p>
        </w:tc>
      </w:tr>
      <w:tr w:rsidR="00FA65F9" w:rsidRPr="00556843" w14:paraId="2AE3CA3A" w14:textId="77777777" w:rsidTr="00D72EE4">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7AE75A3" w14:textId="77777777" w:rsidR="00FA65F9" w:rsidRPr="00556843" w:rsidRDefault="00FA65F9" w:rsidP="00D72EE4">
            <w:pPr>
              <w:pStyle w:val="TableText"/>
              <w:keepNext/>
              <w:ind w:left="492" w:hanging="492"/>
            </w:pPr>
            <w:r w:rsidRPr="00556843">
              <w:t>(b)</w:t>
            </w:r>
            <w:r w:rsidRPr="00556843">
              <w:tab/>
              <w:t xml:space="preserve">Continuing decline observed, estimated, inferred or projected in any of: (i) extent of occurrence; (ii) area of occupancy; (iii) area, extent and/or quality of habitat; (iv) number of locations or </w:t>
            </w:r>
            <w:r>
              <w:t>population</w:t>
            </w:r>
            <w:r w:rsidRPr="00556843">
              <w:t>s; (v) number of mature individuals</w:t>
            </w:r>
          </w:p>
        </w:tc>
      </w:tr>
      <w:tr w:rsidR="00FA65F9" w:rsidRPr="00556843" w14:paraId="33CAF4B2" w14:textId="77777777" w:rsidTr="00D72EE4">
        <w:tc>
          <w:tcPr>
            <w:tcW w:w="10738" w:type="dxa"/>
            <w:gridSpan w:val="4"/>
            <w:tcBorders>
              <w:top w:val="single" w:sz="4" w:space="0" w:color="FFFFFF" w:themeColor="background1"/>
            </w:tcBorders>
            <w:shd w:val="clear" w:color="auto" w:fill="BFBFBF" w:themeFill="background1" w:themeFillShade="BF"/>
          </w:tcPr>
          <w:p w14:paraId="7FD1EF01" w14:textId="77777777" w:rsidR="00FA65F9" w:rsidRPr="00556843" w:rsidRDefault="00FA65F9" w:rsidP="00D72EE4">
            <w:pPr>
              <w:pStyle w:val="TableText"/>
              <w:ind w:left="492" w:hanging="492"/>
            </w:pPr>
            <w:r w:rsidRPr="00556843">
              <w:t>(c)</w:t>
            </w:r>
            <w:r w:rsidRPr="00556843">
              <w:tab/>
              <w:t xml:space="preserve">Extreme fluctuations in any of: (i) extent of occurrence; (ii) area of occupancy; (iii) number of locations or </w:t>
            </w:r>
            <w:r>
              <w:t>population</w:t>
            </w:r>
            <w:r w:rsidRPr="00556843">
              <w:t>s; (iv) number of mature individuals</w:t>
            </w:r>
          </w:p>
        </w:tc>
      </w:tr>
    </w:tbl>
    <w:p w14:paraId="0C1A29E8" w14:textId="77777777" w:rsidR="00FA65F9" w:rsidRPr="00B6264B" w:rsidRDefault="00FA65F9" w:rsidP="00FA65F9">
      <w:pPr>
        <w:pStyle w:val="Heading3"/>
        <w:spacing w:before="240"/>
        <w:ind w:left="964" w:hanging="964"/>
        <w:rPr>
          <w:lang w:eastAsia="ja-JP"/>
        </w:rPr>
      </w:pPr>
      <w:r>
        <w:rPr>
          <w:lang w:eastAsia="ja-JP"/>
        </w:rPr>
        <w:t>Criterion 2 e</w:t>
      </w:r>
      <w:r w:rsidRPr="00B6264B">
        <w:rPr>
          <w:lang w:eastAsia="ja-JP"/>
        </w:rPr>
        <w:t>vidence</w:t>
      </w:r>
    </w:p>
    <w:p w14:paraId="62C66991" w14:textId="77777777" w:rsidR="00FA65F9" w:rsidRPr="0071736B" w:rsidRDefault="00FA65F9" w:rsidP="00FA65F9">
      <w:pPr>
        <w:rPr>
          <w:lang w:eastAsia="ja-JP"/>
        </w:rPr>
      </w:pPr>
      <w:r w:rsidRPr="008155CB">
        <w:rPr>
          <w:rStyle w:val="Strong"/>
        </w:rPr>
        <w:t xml:space="preserve">Eligible </w:t>
      </w:r>
      <w:r w:rsidRPr="0071736B">
        <w:rPr>
          <w:rStyle w:val="Strong"/>
        </w:rPr>
        <w:t>under Criteri</w:t>
      </w:r>
      <w:r>
        <w:rPr>
          <w:rStyle w:val="Strong"/>
        </w:rPr>
        <w:t>a</w:t>
      </w:r>
      <w:r w:rsidRPr="0071736B">
        <w:rPr>
          <w:rStyle w:val="Strong"/>
        </w:rPr>
        <w:t xml:space="preserve"> </w:t>
      </w:r>
      <w:r>
        <w:rPr>
          <w:rStyle w:val="Strong"/>
        </w:rPr>
        <w:t>B1ab(i,ii,iii,iv,v)c(iv)</w:t>
      </w:r>
      <w:r w:rsidRPr="0071736B">
        <w:rPr>
          <w:lang w:eastAsia="ja-JP"/>
        </w:rPr>
        <w:t xml:space="preserve"> </w:t>
      </w:r>
      <w:r>
        <w:rPr>
          <w:b/>
          <w:bCs/>
        </w:rPr>
        <w:t xml:space="preserve">as </w:t>
      </w:r>
      <w:sdt>
        <w:sdtPr>
          <w:rPr>
            <w:b/>
            <w:bCs/>
          </w:rPr>
          <w:id w:val="-2129454145"/>
          <w:placeholder>
            <w:docPart w:val="914B65EBA8B043BF849FB7C9BB2FD55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Critically Endangered</w:t>
          </w:r>
        </w:sdtContent>
      </w:sdt>
    </w:p>
    <w:p w14:paraId="70CCDA08" w14:textId="77777777" w:rsidR="00FA65F9" w:rsidRDefault="00FA65F9" w:rsidP="00FA65F9">
      <w:pPr>
        <w:spacing w:before="240"/>
      </w:pPr>
      <w:r>
        <w:t xml:space="preserve">Stirling Range dryandra is a narrow-range endemic species and is known only from four subpopulations on the Stirling Range. </w:t>
      </w:r>
      <w:r w:rsidRPr="22E3ABD1">
        <w:rPr>
          <w:rFonts w:cs="Arial"/>
        </w:rPr>
        <w:t>The extent of occurrence (EOO) is estimated at 3</w:t>
      </w:r>
      <w:r>
        <w:rPr>
          <w:rFonts w:cs="Arial"/>
        </w:rPr>
        <w:t>2</w:t>
      </w:r>
      <w:r w:rsidRPr="22E3ABD1">
        <w:rPr>
          <w:rFonts w:cs="Arial"/>
        </w:rPr>
        <w:t xml:space="preserve"> km</w:t>
      </w:r>
      <w:r w:rsidRPr="22E3ABD1">
        <w:rPr>
          <w:rFonts w:cs="Arial"/>
          <w:vertAlign w:val="superscript"/>
        </w:rPr>
        <w:t>2</w:t>
      </w:r>
      <w:r w:rsidRPr="22E3ABD1">
        <w:rPr>
          <w:rFonts w:cs="Arial"/>
          <w:color w:val="FF0000"/>
        </w:rPr>
        <w:t xml:space="preserve"> </w:t>
      </w:r>
      <w:r w:rsidRPr="22E3ABD1">
        <w:rPr>
          <w:rFonts w:cs="Arial"/>
        </w:rPr>
        <w:t>and the area of occupancy (AOO) is estimated at</w:t>
      </w:r>
      <w:r w:rsidRPr="22E3ABD1">
        <w:rPr>
          <w:rFonts w:cs="Arial"/>
          <w:color w:val="FF0000"/>
        </w:rPr>
        <w:t xml:space="preserve"> </w:t>
      </w:r>
      <w:r>
        <w:rPr>
          <w:rFonts w:cs="Arial"/>
        </w:rPr>
        <w:t>16</w:t>
      </w:r>
      <w:r w:rsidRPr="22E3ABD1">
        <w:rPr>
          <w:rFonts w:cs="Arial"/>
        </w:rPr>
        <w:t xml:space="preserve"> km</w:t>
      </w:r>
      <w:r w:rsidRPr="22E3ABD1">
        <w:rPr>
          <w:rFonts w:cs="Arial"/>
          <w:vertAlign w:val="superscript"/>
        </w:rPr>
        <w:t>2</w:t>
      </w:r>
      <w:r>
        <w:rPr>
          <w:rFonts w:cs="Arial"/>
          <w:vertAlign w:val="superscript"/>
        </w:rPr>
        <w:t xml:space="preserve"> </w:t>
      </w:r>
      <w:r>
        <w:rPr>
          <w:rFonts w:cs="Arial"/>
          <w:vertAlign w:val="subscript"/>
        </w:rPr>
        <w:softHyphen/>
      </w:r>
      <w:r>
        <w:rPr>
          <w:rFonts w:cs="Arial"/>
          <w:vertAlign w:val="subscript"/>
        </w:rPr>
        <w:softHyphen/>
      </w:r>
      <w:r>
        <w:rPr>
          <w:rFonts w:cs="Arial"/>
          <w:vertAlign w:val="subscript"/>
        </w:rPr>
        <w:softHyphen/>
      </w:r>
      <w:r>
        <w:rPr>
          <w:rFonts w:cs="Arial"/>
        </w:rPr>
        <w:t>(plausible range: 16km</w:t>
      </w:r>
      <w:r>
        <w:rPr>
          <w:rFonts w:cs="Arial"/>
          <w:vertAlign w:val="superscript"/>
        </w:rPr>
        <w:t>2</w:t>
      </w:r>
      <w:r>
        <w:rPr>
          <w:rFonts w:cs="Arial"/>
        </w:rPr>
        <w:t xml:space="preserve"> – 24 km</w:t>
      </w:r>
      <w:r>
        <w:rPr>
          <w:rFonts w:cs="Arial"/>
          <w:vertAlign w:val="superscript"/>
        </w:rPr>
        <w:t>2</w:t>
      </w:r>
      <w:r>
        <w:rPr>
          <w:rFonts w:cs="Arial"/>
        </w:rPr>
        <w:t>)</w:t>
      </w:r>
      <w:r w:rsidRPr="22E3ABD1">
        <w:rPr>
          <w:rFonts w:cs="Arial"/>
        </w:rPr>
        <w:t xml:space="preserve">. </w:t>
      </w:r>
      <w:r>
        <w:t>These figures are based on the mapping of point records from a 2- year period (2018–2020), obtained from state governments, museums, and CSIRO. The EOO was calculated using a minimum convex hull, and the AOO calculated using a 2x2 km grid cell method, based on the IUCN Red List Guidelines 2014 (IUCN 2019).</w:t>
      </w:r>
    </w:p>
    <w:p w14:paraId="7DD5567E" w14:textId="77777777" w:rsidR="00FA65F9" w:rsidRPr="008155CB" w:rsidRDefault="00FA65F9" w:rsidP="00FA65F9">
      <w:r w:rsidRPr="008155CB">
        <w:t>Given that the EOO</w:t>
      </w:r>
      <w:r>
        <w:t xml:space="preserve"> </w:t>
      </w:r>
      <w:r w:rsidRPr="008155CB">
        <w:t xml:space="preserve">is less than </w:t>
      </w:r>
      <w:r>
        <w:t>1</w:t>
      </w:r>
      <w:r w:rsidRPr="008155CB">
        <w:t>00 km</w:t>
      </w:r>
      <w:r w:rsidRPr="008155CB">
        <w:rPr>
          <w:vertAlign w:val="superscript"/>
        </w:rPr>
        <w:t>2</w:t>
      </w:r>
      <w:r w:rsidRPr="008155CB">
        <w:t xml:space="preserve">, the species meets the threshold for </w:t>
      </w:r>
      <w:r>
        <w:t xml:space="preserve">Critically </w:t>
      </w:r>
      <w:r w:rsidRPr="008155CB">
        <w:t>Endangered under sub-criterion B1</w:t>
      </w:r>
      <w:r>
        <w:t xml:space="preserve">. </w:t>
      </w:r>
    </w:p>
    <w:p w14:paraId="7C642E0F" w14:textId="09779076" w:rsidR="00FA65F9" w:rsidRPr="009E3F6E" w:rsidRDefault="00FA65F9" w:rsidP="00FA65F9">
      <w:r w:rsidRPr="0071736B">
        <w:rPr>
          <w:i/>
          <w:iCs/>
        </w:rPr>
        <w:t>Severely fragmented and number of locations</w:t>
      </w:r>
      <w:r>
        <w:br/>
        <w:t xml:space="preserve">A taxon can be considered severely fragmented if &gt;50 percent of its total AOO is in habitat patches that are (1) smaller than would be required to support a viable population, and (2) </w:t>
      </w:r>
      <w:r>
        <w:lastRenderedPageBreak/>
        <w:t>separated from other habitat patches by a large distance, relative to its dispersive potential (IUCN 2019). Stirling Range dryandra is restricted to four isolated subpopulations on different mountains and has very low dispersive potential, with no genetic exchange occurring between subpopulations (Silcock et al. 2021). It is likely that less than 50 percent of the AOO is in habitat patches that are not supporting minimum viable population, and other assessments have considered the species to be severely fragmented (Barrett et al. 2020; Silcock et al. 2021).</w:t>
      </w:r>
      <w:r>
        <w:rPr>
          <w:i/>
          <w:iCs/>
        </w:rPr>
        <w:br/>
      </w:r>
      <w:r>
        <w:rPr>
          <w:i/>
          <w:iCs/>
        </w:rPr>
        <w:br/>
      </w:r>
      <w:r>
        <w:rPr>
          <w:noProof/>
        </w:rPr>
        <w:t>Stirling Range dryandra</w:t>
      </w:r>
      <w:r w:rsidRPr="007B7BA7">
        <w:t xml:space="preserve"> is considered</w:t>
      </w:r>
      <w:r w:rsidRPr="008155CB">
        <w:t xml:space="preserve"> to occur at </w:t>
      </w:r>
      <w:r>
        <w:t xml:space="preserve">one </w:t>
      </w:r>
      <w:r w:rsidRPr="008155CB">
        <w:t>location, based on the most plausible serious threat (fire) as per the IUCN Guidelines (IUCN 2019). T</w:t>
      </w:r>
      <w:r>
        <w:t>wo separate bushfire events in 2018 and 2019 burnt all known subpopulations and it is plausible that another large fire event may impact all subpopulations. If this occurs whilst seedlings and juveniles are maturing, rapid population reduction</w:t>
      </w:r>
      <w:r w:rsidR="00EE20E8">
        <w:t xml:space="preserve"> or extinction</w:t>
      </w:r>
      <w:r>
        <w:t xml:space="preserve"> is likely. </w:t>
      </w:r>
      <w:r>
        <w:br/>
      </w:r>
      <w:r>
        <w:br/>
      </w:r>
      <w:r w:rsidRPr="008155CB">
        <w:t xml:space="preserve">The </w:t>
      </w:r>
      <w:r>
        <w:t xml:space="preserve">species’ </w:t>
      </w:r>
      <w:r w:rsidRPr="008155CB">
        <w:t xml:space="preserve">distribution is severely fragmented </w:t>
      </w:r>
      <w:r>
        <w:t>and occurs at one location. T</w:t>
      </w:r>
      <w:r w:rsidRPr="008155CB">
        <w:t xml:space="preserve">herefore, the species appears to meet the threshold for </w:t>
      </w:r>
      <w:r>
        <w:t>Critically Endangered</w:t>
      </w:r>
      <w:r w:rsidRPr="008155CB">
        <w:t xml:space="preserve"> under sub-criterion (a).</w:t>
      </w:r>
    </w:p>
    <w:p w14:paraId="2A47F341" w14:textId="77777777" w:rsidR="00FA65F9" w:rsidRDefault="00FA65F9" w:rsidP="00FA65F9">
      <w:r w:rsidRPr="008155CB">
        <w:rPr>
          <w:i/>
          <w:iCs/>
        </w:rPr>
        <w:t>Continuing decline</w:t>
      </w:r>
    </w:p>
    <w:p w14:paraId="254BDD8E" w14:textId="77777777" w:rsidR="00FA65F9" w:rsidRPr="0071736B" w:rsidRDefault="00FA65F9" w:rsidP="00FA65F9">
      <w:r w:rsidRPr="008155CB">
        <w:t xml:space="preserve">The EOO, AOO, extent and quality of habitat, number of locations or </w:t>
      </w:r>
      <w:r>
        <w:t>sub</w:t>
      </w:r>
      <w:r w:rsidRPr="008155CB">
        <w:t xml:space="preserve">populations, and number </w:t>
      </w:r>
      <w:r w:rsidRPr="0071736B">
        <w:t>of individuals</w:t>
      </w:r>
      <w:r>
        <w:t xml:space="preserve"> have undergone ongoing decline</w:t>
      </w:r>
      <w:r w:rsidRPr="0071736B">
        <w:t xml:space="preserve"> due to ongoing threats from fire</w:t>
      </w:r>
      <w:r>
        <w:t xml:space="preserve"> and</w:t>
      </w:r>
      <w:r w:rsidRPr="0071736B">
        <w:t xml:space="preserve"> </w:t>
      </w:r>
      <w:r>
        <w:rPr>
          <w:i/>
          <w:iCs/>
        </w:rPr>
        <w:t>P.</w:t>
      </w:r>
      <w:r w:rsidRPr="00912A67">
        <w:rPr>
          <w:i/>
          <w:iCs/>
        </w:rPr>
        <w:t xml:space="preserve"> cinnamomi</w:t>
      </w:r>
      <w:r>
        <w:t xml:space="preserve"> (see Table 2), </w:t>
      </w:r>
      <w:r w:rsidRPr="0071736B">
        <w:t>thereby meeting sub-criterion (b) (i,ii,iii,iv,v)</w:t>
      </w:r>
      <w:r>
        <w:t xml:space="preserve">. </w:t>
      </w:r>
      <w:r w:rsidRPr="0071736B">
        <w:t xml:space="preserve">Climate change is </w:t>
      </w:r>
      <w:r>
        <w:t xml:space="preserve">also </w:t>
      </w:r>
      <w:r w:rsidRPr="0071736B">
        <w:t xml:space="preserve">impacting the population by increasing the </w:t>
      </w:r>
      <w:r>
        <w:t>frequency</w:t>
      </w:r>
      <w:r w:rsidRPr="0071736B">
        <w:t xml:space="preserve"> and severity of bushfires, which will result in continuing decline in the </w:t>
      </w:r>
      <w:r w:rsidRPr="0071736B">
        <w:rPr>
          <w:bCs/>
          <w:lang w:eastAsia="ja-JP"/>
        </w:rPr>
        <w:t>area, extent and quality of habitat, and number of mature individuals</w:t>
      </w:r>
      <w:r>
        <w:rPr>
          <w:bCs/>
          <w:lang w:eastAsia="ja-JP"/>
        </w:rPr>
        <w:t>.</w:t>
      </w:r>
      <w:r>
        <w:t xml:space="preserve"> </w:t>
      </w:r>
      <w:r w:rsidRPr="00600CD7">
        <w:t xml:space="preserve"> </w:t>
      </w:r>
      <w:bookmarkStart w:id="14" w:name="_Hlk88496934"/>
      <w:r>
        <w:t>The processes that generated this decline have not ceased, and future population reduction of current juveniles is likely.</w:t>
      </w:r>
      <w:bookmarkEnd w:id="14"/>
    </w:p>
    <w:p w14:paraId="6A7F5B5D" w14:textId="77777777" w:rsidR="00FA65F9" w:rsidRDefault="00FA65F9" w:rsidP="00FA65F9">
      <w:r>
        <w:rPr>
          <w:bCs/>
          <w:i/>
          <w:iCs/>
          <w:lang w:eastAsia="ja-JP"/>
        </w:rPr>
        <w:t xml:space="preserve">Extreme </w:t>
      </w:r>
      <w:r w:rsidRPr="0071736B">
        <w:rPr>
          <w:bCs/>
          <w:i/>
          <w:iCs/>
          <w:lang w:eastAsia="ja-JP"/>
        </w:rPr>
        <w:t xml:space="preserve">Fluctuations </w:t>
      </w:r>
    </w:p>
    <w:p w14:paraId="32E0E344" w14:textId="77777777" w:rsidR="00FA65F9" w:rsidRDefault="00FA65F9" w:rsidP="00FA65F9">
      <w:r w:rsidRPr="00603C16">
        <w:rPr>
          <w:rFonts w:cs="Arial"/>
        </w:rPr>
        <w:t xml:space="preserve">Extreme fluctuations </w:t>
      </w:r>
      <w:r>
        <w:rPr>
          <w:rFonts w:cs="Arial"/>
        </w:rPr>
        <w:t xml:space="preserve">in the number of mature individuals </w:t>
      </w:r>
      <w:r w:rsidRPr="00603C16">
        <w:rPr>
          <w:rFonts w:cs="Arial"/>
        </w:rPr>
        <w:t xml:space="preserve">are </w:t>
      </w:r>
      <w:r>
        <w:rPr>
          <w:rFonts w:cs="Arial"/>
        </w:rPr>
        <w:t>likely,</w:t>
      </w:r>
      <w:r w:rsidRPr="00603C16">
        <w:rPr>
          <w:rFonts w:cs="Arial"/>
        </w:rPr>
        <w:t xml:space="preserve"> as </w:t>
      </w:r>
      <w:r>
        <w:rPr>
          <w:rFonts w:cs="Arial"/>
        </w:rPr>
        <w:t>most of the canopy s</w:t>
      </w:r>
      <w:r w:rsidRPr="00603C16">
        <w:rPr>
          <w:rFonts w:cs="Arial"/>
        </w:rPr>
        <w:t xml:space="preserve">tored </w:t>
      </w:r>
      <w:r>
        <w:rPr>
          <w:rFonts w:cs="Arial"/>
        </w:rPr>
        <w:t xml:space="preserve">seed can be </w:t>
      </w:r>
      <w:r w:rsidRPr="00603C16">
        <w:rPr>
          <w:rFonts w:cs="Arial"/>
        </w:rPr>
        <w:t xml:space="preserve">exhausted </w:t>
      </w:r>
      <w:r>
        <w:rPr>
          <w:rFonts w:cs="Arial"/>
        </w:rPr>
        <w:t xml:space="preserve">after </w:t>
      </w:r>
      <w:r w:rsidRPr="00603C16">
        <w:rPr>
          <w:rFonts w:cs="Arial"/>
        </w:rPr>
        <w:t>a single fire</w:t>
      </w:r>
      <w:r>
        <w:rPr>
          <w:rFonts w:cs="Arial"/>
        </w:rPr>
        <w:t>, and these fluctuations can change subpopulation size by an order of magnitude</w:t>
      </w:r>
      <w:r w:rsidRPr="00603C16">
        <w:rPr>
          <w:rFonts w:cs="Arial"/>
        </w:rPr>
        <w:t xml:space="preserve"> (</w:t>
      </w:r>
      <w:r>
        <w:rPr>
          <w:rFonts w:cs="Arial"/>
        </w:rPr>
        <w:t xml:space="preserve">IUCN 2019; Silcock et al. 2021). </w:t>
      </w:r>
      <w:r>
        <w:rPr>
          <w:bCs/>
          <w:lang w:eastAsia="ja-JP"/>
        </w:rPr>
        <w:t xml:space="preserve">Subpopulations can fluctuate from a large number of mature individuals and a large seed bank to a small number of mature individuals, no seed bank and a large number of juveniles very quickly. Stirling Range dryandra subpopulations are </w:t>
      </w:r>
      <w:r>
        <w:t>isolated, and it is sufficient for the majority of subpopulations to undergo fluctuations separately for there to be considered to be extreme fluctuations (IUCN 2019).</w:t>
      </w:r>
    </w:p>
    <w:p w14:paraId="787B716E" w14:textId="77777777" w:rsidR="00FA65F9" w:rsidRDefault="00FA65F9" w:rsidP="00FA65F9">
      <w:r>
        <w:t>As there are considered to be extreme fluctuations in the number of mature individuals, the species appears to meet the threshold for Critically Endangered under sub-criterion (c).</w:t>
      </w:r>
    </w:p>
    <w:p w14:paraId="32BB7EF9" w14:textId="77777777" w:rsidR="00FA65F9" w:rsidRPr="008155CB" w:rsidRDefault="00FA65F9" w:rsidP="00FA65F9">
      <w:pPr>
        <w:rPr>
          <w:bCs/>
          <w:lang w:eastAsia="ja-JP"/>
        </w:rPr>
      </w:pPr>
      <w:r>
        <w:rPr>
          <w:i/>
          <w:iCs/>
        </w:rPr>
        <w:t>Conclusion</w:t>
      </w:r>
      <w:r>
        <w:rPr>
          <w:i/>
          <w:iCs/>
        </w:rPr>
        <w:br/>
      </w:r>
      <w:r w:rsidRPr="008155CB">
        <w:rPr>
          <w:lang w:eastAsia="ja-JP"/>
        </w:rPr>
        <w:t xml:space="preserve">The data presented above appear to demonstrate that the species is eligible for listing as </w:t>
      </w:r>
      <w:r w:rsidRPr="0006332A">
        <w:rPr>
          <w:b/>
          <w:bCs/>
          <w:lang w:eastAsia="ja-JP"/>
        </w:rPr>
        <w:t>Critically Endangered</w:t>
      </w:r>
      <w:r w:rsidRPr="008155CB">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r w:rsidRPr="008155CB">
        <w:rPr>
          <w:bCs/>
          <w:lang w:eastAsia="ja-JP"/>
        </w:rPr>
        <w:t>.</w:t>
      </w:r>
    </w:p>
    <w:p w14:paraId="5E02F397" w14:textId="77777777" w:rsidR="00FA65F9" w:rsidRPr="008C531D" w:rsidRDefault="00FA65F9" w:rsidP="00FA65F9">
      <w:pPr>
        <w:pStyle w:val="Caption"/>
        <w:rPr>
          <w:lang w:eastAsia="ja-JP"/>
        </w:rPr>
      </w:pPr>
      <w:r w:rsidRPr="002B69E4">
        <w:rPr>
          <w:lang w:eastAsia="ja-JP"/>
        </w:rPr>
        <w:lastRenderedPageBreak/>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FA65F9" w:rsidRPr="00556843" w14:paraId="0A5987BD" w14:textId="77777777" w:rsidTr="00D72EE4">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247DF98" w14:textId="77777777" w:rsidR="00FA65F9" w:rsidRPr="00556843" w:rsidRDefault="00FA65F9" w:rsidP="00D72EE4">
            <w:pPr>
              <w:keepNext/>
              <w:tabs>
                <w:tab w:val="left" w:pos="284"/>
              </w:tabs>
              <w:rPr>
                <w:rFonts w:ascii="Arial" w:hAnsi="Arial" w:cs="Arial"/>
                <w:b/>
                <w:color w:val="FFFFFF" w:themeColor="background1"/>
              </w:rPr>
            </w:pPr>
          </w:p>
        </w:tc>
      </w:tr>
      <w:tr w:rsidR="00FA65F9" w:rsidRPr="00556843" w14:paraId="6867789A" w14:textId="77777777" w:rsidTr="00D72EE4">
        <w:tc>
          <w:tcPr>
            <w:tcW w:w="3395" w:type="dxa"/>
            <w:gridSpan w:val="2"/>
            <w:tcBorders>
              <w:top w:val="nil"/>
              <w:left w:val="single" w:sz="4" w:space="0" w:color="auto"/>
              <w:bottom w:val="nil"/>
              <w:right w:val="nil"/>
            </w:tcBorders>
          </w:tcPr>
          <w:p w14:paraId="27B91602" w14:textId="77777777" w:rsidR="00FA65F9" w:rsidRPr="00AE31DA" w:rsidRDefault="00FA65F9" w:rsidP="00D72EE4">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28E14FC" w14:textId="77777777" w:rsidR="00FA65F9" w:rsidRPr="00556843" w:rsidRDefault="00FA65F9" w:rsidP="00D72EE4">
            <w:pPr>
              <w:pStyle w:val="TableText"/>
              <w:keepNext/>
              <w:rPr>
                <w:b/>
              </w:rPr>
            </w:pPr>
            <w:r w:rsidRPr="00556843">
              <w:rPr>
                <w:b/>
              </w:rPr>
              <w:t>Critically Endangered</w:t>
            </w:r>
          </w:p>
          <w:p w14:paraId="1FC7BB40" w14:textId="77777777" w:rsidR="00FA65F9" w:rsidRPr="00556843" w:rsidRDefault="00FA65F9" w:rsidP="00D72EE4">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C674677" w14:textId="77777777" w:rsidR="00FA65F9" w:rsidRPr="00556843" w:rsidRDefault="00FA65F9" w:rsidP="00D72EE4">
            <w:pPr>
              <w:pStyle w:val="TableText"/>
              <w:keepNext/>
              <w:rPr>
                <w:b/>
              </w:rPr>
            </w:pPr>
            <w:r w:rsidRPr="00556843">
              <w:rPr>
                <w:b/>
              </w:rPr>
              <w:t>Endangered</w:t>
            </w:r>
          </w:p>
          <w:p w14:paraId="31072743" w14:textId="77777777" w:rsidR="00FA65F9" w:rsidRPr="00556843" w:rsidRDefault="00FA65F9" w:rsidP="00D72EE4">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7A79FB9F" w14:textId="77777777" w:rsidR="00FA65F9" w:rsidRPr="00556843" w:rsidRDefault="00FA65F9" w:rsidP="00D72EE4">
            <w:pPr>
              <w:pStyle w:val="TableText"/>
              <w:keepNext/>
              <w:rPr>
                <w:b/>
              </w:rPr>
            </w:pPr>
            <w:r w:rsidRPr="00556843">
              <w:rPr>
                <w:b/>
              </w:rPr>
              <w:t>Vulnerable</w:t>
            </w:r>
          </w:p>
          <w:p w14:paraId="34B6EB23" w14:textId="77777777" w:rsidR="00FA65F9" w:rsidRPr="00556843" w:rsidRDefault="00FA65F9" w:rsidP="00D72EE4">
            <w:pPr>
              <w:pStyle w:val="TableText"/>
              <w:keepNext/>
              <w:rPr>
                <w:b/>
              </w:rPr>
            </w:pPr>
            <w:r w:rsidRPr="00556843">
              <w:rPr>
                <w:b/>
              </w:rPr>
              <w:t>Limited</w:t>
            </w:r>
          </w:p>
        </w:tc>
      </w:tr>
      <w:tr w:rsidR="00FA65F9" w:rsidRPr="00556843" w14:paraId="470D9428" w14:textId="77777777" w:rsidTr="00D72EE4">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48A9272" w14:textId="77777777" w:rsidR="00FA65F9" w:rsidRPr="00556843" w:rsidRDefault="00FA65F9" w:rsidP="00D72EE4">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3210BD6" w14:textId="77777777" w:rsidR="00FA65F9" w:rsidRPr="00556843" w:rsidRDefault="00FA65F9" w:rsidP="00D72EE4">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5CFE437" w14:textId="77777777" w:rsidR="00FA65F9" w:rsidRPr="00556843" w:rsidRDefault="00FA65F9" w:rsidP="00D72EE4">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6372D2CB" w14:textId="77777777" w:rsidR="00FA65F9" w:rsidRPr="00556843" w:rsidRDefault="00FA65F9" w:rsidP="00D72EE4">
            <w:pPr>
              <w:pStyle w:val="TableText"/>
              <w:keepNext/>
            </w:pPr>
            <w:r w:rsidRPr="00556843">
              <w:rPr>
                <w:b/>
              </w:rPr>
              <w:t xml:space="preserve">&lt; 10,000 </w:t>
            </w:r>
          </w:p>
        </w:tc>
      </w:tr>
      <w:tr w:rsidR="00FA65F9" w:rsidRPr="00556843" w14:paraId="653DAFE4" w14:textId="77777777" w:rsidTr="00D72EE4">
        <w:tc>
          <w:tcPr>
            <w:tcW w:w="3395" w:type="dxa"/>
            <w:gridSpan w:val="2"/>
            <w:tcBorders>
              <w:top w:val="nil"/>
              <w:left w:val="single" w:sz="4" w:space="0" w:color="auto"/>
              <w:bottom w:val="single" w:sz="4" w:space="0" w:color="FFFFFF" w:themeColor="background1"/>
              <w:right w:val="nil"/>
            </w:tcBorders>
            <w:shd w:val="clear" w:color="auto" w:fill="auto"/>
          </w:tcPr>
          <w:p w14:paraId="6EF99746" w14:textId="77777777" w:rsidR="00FA65F9" w:rsidRPr="00556843" w:rsidRDefault="00FA65F9" w:rsidP="00D72EE4">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782D42FA" w14:textId="77777777" w:rsidR="00FA65F9" w:rsidRPr="00556843" w:rsidRDefault="00FA65F9" w:rsidP="00D72EE4">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B6F560C" w14:textId="77777777" w:rsidR="00FA65F9" w:rsidRPr="00556843" w:rsidRDefault="00FA65F9" w:rsidP="00D72EE4">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7944F37B" w14:textId="77777777" w:rsidR="00FA65F9" w:rsidRPr="00556843" w:rsidRDefault="00FA65F9" w:rsidP="00D72EE4">
            <w:pPr>
              <w:pStyle w:val="TableText"/>
              <w:keepNext/>
              <w:rPr>
                <w:b/>
              </w:rPr>
            </w:pPr>
          </w:p>
        </w:tc>
      </w:tr>
      <w:tr w:rsidR="00FA65F9" w:rsidRPr="00556843" w14:paraId="5935FC10" w14:textId="77777777" w:rsidTr="00D72EE4">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0A91A190" w14:textId="77777777" w:rsidR="00FA65F9" w:rsidRPr="00556843" w:rsidRDefault="00FA65F9" w:rsidP="00D72EE4">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FEFBBBA" w14:textId="77777777" w:rsidR="00FA65F9" w:rsidRPr="00556843" w:rsidRDefault="00FA65F9" w:rsidP="00D72EE4">
            <w:pPr>
              <w:pStyle w:val="TableText"/>
              <w:keepNext/>
              <w:rPr>
                <w:b/>
              </w:rPr>
            </w:pPr>
            <w:r w:rsidRPr="00556843">
              <w:rPr>
                <w:b/>
              </w:rPr>
              <w:t>Very high rate</w:t>
            </w:r>
          </w:p>
          <w:p w14:paraId="7B017AB3" w14:textId="77777777" w:rsidR="00FA65F9" w:rsidRPr="00556843" w:rsidRDefault="00FA65F9" w:rsidP="00D72EE4">
            <w:pPr>
              <w:pStyle w:val="TableText"/>
              <w:keepNext/>
              <w:rPr>
                <w:b/>
              </w:rPr>
            </w:pPr>
            <w:r w:rsidRPr="00556843">
              <w:rPr>
                <w:b/>
              </w:rPr>
              <w:t>25% in 3 years or 1 generation</w:t>
            </w:r>
          </w:p>
          <w:p w14:paraId="02CD24B6" w14:textId="77777777" w:rsidR="00FA65F9" w:rsidRPr="00556843" w:rsidRDefault="00FA65F9" w:rsidP="00D72EE4">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305FB04" w14:textId="77777777" w:rsidR="00FA65F9" w:rsidRPr="00556843" w:rsidRDefault="00FA65F9" w:rsidP="00D72EE4">
            <w:pPr>
              <w:pStyle w:val="TableText"/>
              <w:keepNext/>
              <w:rPr>
                <w:b/>
              </w:rPr>
            </w:pPr>
            <w:r w:rsidRPr="00556843">
              <w:rPr>
                <w:b/>
              </w:rPr>
              <w:t>High rate</w:t>
            </w:r>
          </w:p>
          <w:p w14:paraId="677B71F7" w14:textId="77777777" w:rsidR="00FA65F9" w:rsidRPr="00556843" w:rsidRDefault="00FA65F9" w:rsidP="00D72EE4">
            <w:pPr>
              <w:pStyle w:val="TableText"/>
              <w:keepNext/>
              <w:rPr>
                <w:b/>
              </w:rPr>
            </w:pPr>
            <w:r w:rsidRPr="00556843">
              <w:rPr>
                <w:b/>
              </w:rPr>
              <w:t>20% in 5 years or 2 generation</w:t>
            </w:r>
          </w:p>
          <w:p w14:paraId="05CFF357" w14:textId="77777777" w:rsidR="00FA65F9" w:rsidRPr="00556843" w:rsidRDefault="00FA65F9" w:rsidP="00D72EE4">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15B70595" w14:textId="77777777" w:rsidR="00FA65F9" w:rsidRPr="00556843" w:rsidRDefault="00FA65F9" w:rsidP="00D72EE4">
            <w:pPr>
              <w:pStyle w:val="TableText"/>
              <w:keepNext/>
              <w:rPr>
                <w:b/>
              </w:rPr>
            </w:pPr>
            <w:r w:rsidRPr="00556843">
              <w:rPr>
                <w:b/>
              </w:rPr>
              <w:t>Substantial rate</w:t>
            </w:r>
          </w:p>
          <w:p w14:paraId="295DE8B7" w14:textId="77777777" w:rsidR="00FA65F9" w:rsidRPr="00556843" w:rsidRDefault="00FA65F9" w:rsidP="00D72EE4">
            <w:pPr>
              <w:pStyle w:val="TableText"/>
              <w:keepNext/>
              <w:rPr>
                <w:b/>
              </w:rPr>
            </w:pPr>
            <w:r w:rsidRPr="00556843">
              <w:rPr>
                <w:b/>
              </w:rPr>
              <w:t>10% in 10 years or 3 generations</w:t>
            </w:r>
          </w:p>
          <w:p w14:paraId="12B5882E" w14:textId="77777777" w:rsidR="00FA65F9" w:rsidRPr="00556843" w:rsidRDefault="00FA65F9" w:rsidP="00D72EE4">
            <w:pPr>
              <w:pStyle w:val="TableText"/>
              <w:keepNext/>
              <w:rPr>
                <w:b/>
              </w:rPr>
            </w:pPr>
            <w:r w:rsidRPr="00556843">
              <w:rPr>
                <w:b/>
              </w:rPr>
              <w:t>(whichever is longer)</w:t>
            </w:r>
          </w:p>
        </w:tc>
      </w:tr>
      <w:tr w:rsidR="00FA65F9" w:rsidRPr="00556843" w14:paraId="5F250196" w14:textId="77777777" w:rsidTr="00D72EE4">
        <w:tc>
          <w:tcPr>
            <w:tcW w:w="3395" w:type="dxa"/>
            <w:gridSpan w:val="2"/>
            <w:tcBorders>
              <w:top w:val="nil"/>
              <w:left w:val="single" w:sz="4" w:space="0" w:color="auto"/>
              <w:bottom w:val="nil"/>
              <w:right w:val="nil"/>
            </w:tcBorders>
            <w:shd w:val="clear" w:color="auto" w:fill="BFBFBF" w:themeFill="background1" w:themeFillShade="BF"/>
          </w:tcPr>
          <w:p w14:paraId="0713EA3A" w14:textId="77777777" w:rsidR="00FA65F9" w:rsidRPr="00556843" w:rsidRDefault="00FA65F9" w:rsidP="00D72EE4">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220D6294" w14:textId="77777777" w:rsidR="00FA65F9" w:rsidRPr="00556843" w:rsidRDefault="00FA65F9" w:rsidP="00D72EE4">
            <w:pPr>
              <w:pStyle w:val="TableText"/>
              <w:keepNext/>
            </w:pPr>
          </w:p>
        </w:tc>
        <w:tc>
          <w:tcPr>
            <w:tcW w:w="1833" w:type="dxa"/>
            <w:tcBorders>
              <w:top w:val="nil"/>
              <w:left w:val="nil"/>
              <w:bottom w:val="nil"/>
              <w:right w:val="nil"/>
            </w:tcBorders>
          </w:tcPr>
          <w:p w14:paraId="768B8162" w14:textId="77777777" w:rsidR="00FA65F9" w:rsidRPr="00556843" w:rsidRDefault="00FA65F9" w:rsidP="00D72EE4">
            <w:pPr>
              <w:pStyle w:val="TableText"/>
              <w:keepNext/>
            </w:pPr>
          </w:p>
        </w:tc>
        <w:tc>
          <w:tcPr>
            <w:tcW w:w="1902" w:type="dxa"/>
            <w:tcBorders>
              <w:top w:val="nil"/>
              <w:left w:val="nil"/>
              <w:bottom w:val="nil"/>
              <w:right w:val="single" w:sz="4" w:space="0" w:color="auto"/>
            </w:tcBorders>
          </w:tcPr>
          <w:p w14:paraId="60EF8097" w14:textId="77777777" w:rsidR="00FA65F9" w:rsidRPr="00556843" w:rsidRDefault="00FA65F9" w:rsidP="00D72EE4">
            <w:pPr>
              <w:pStyle w:val="TableText"/>
              <w:keepNext/>
            </w:pPr>
          </w:p>
        </w:tc>
      </w:tr>
      <w:tr w:rsidR="00FA65F9" w:rsidRPr="00556843" w14:paraId="540F31FD" w14:textId="77777777" w:rsidTr="00D72EE4">
        <w:tc>
          <w:tcPr>
            <w:tcW w:w="419" w:type="dxa"/>
            <w:vMerge w:val="restart"/>
            <w:tcBorders>
              <w:top w:val="nil"/>
              <w:left w:val="single" w:sz="4" w:space="0" w:color="auto"/>
              <w:right w:val="nil"/>
            </w:tcBorders>
            <w:shd w:val="clear" w:color="auto" w:fill="D9D9D9" w:themeFill="background1" w:themeFillShade="D9"/>
            <w:vAlign w:val="center"/>
          </w:tcPr>
          <w:p w14:paraId="29BAC471" w14:textId="77777777" w:rsidR="00FA65F9" w:rsidRPr="00556843" w:rsidRDefault="00FA65F9" w:rsidP="00D72EE4">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7D0EDA92" w14:textId="77777777" w:rsidR="00FA65F9" w:rsidRPr="00556843" w:rsidRDefault="00FA65F9" w:rsidP="00D72EE4">
            <w:pPr>
              <w:pStyle w:val="TableText"/>
              <w:keepNext/>
              <w:ind w:left="340" w:hanging="340"/>
            </w:pPr>
            <w:r w:rsidRPr="00556843">
              <w:t>(i)</w:t>
            </w:r>
            <w:r w:rsidRPr="00556843">
              <w:tab/>
              <w:t xml:space="preserve">Number of mature individuals in each </w:t>
            </w:r>
            <w:r>
              <w:t>population</w:t>
            </w:r>
            <w:r w:rsidRPr="00556843">
              <w:t xml:space="preserve">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DE403BB" w14:textId="77777777" w:rsidR="00FA65F9" w:rsidRPr="00556843" w:rsidRDefault="00FA65F9" w:rsidP="00D72EE4">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F6FFDF7" w14:textId="77777777" w:rsidR="00FA65F9" w:rsidRPr="00556843" w:rsidRDefault="00FA65F9" w:rsidP="00D72EE4">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366ECF30" w14:textId="77777777" w:rsidR="00FA65F9" w:rsidRPr="00556843" w:rsidRDefault="00FA65F9" w:rsidP="00D72EE4">
            <w:pPr>
              <w:pStyle w:val="TableText"/>
              <w:keepNext/>
              <w:rPr>
                <w:b/>
              </w:rPr>
            </w:pPr>
            <w:r w:rsidRPr="00556843">
              <w:rPr>
                <w:b/>
              </w:rPr>
              <w:t>≤ 1,000</w:t>
            </w:r>
          </w:p>
        </w:tc>
      </w:tr>
      <w:tr w:rsidR="00FA65F9" w:rsidRPr="00556843" w14:paraId="598493B8" w14:textId="77777777" w:rsidTr="00D72EE4">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5FD90AC" w14:textId="77777777" w:rsidR="00FA65F9" w:rsidRPr="00556843" w:rsidRDefault="00FA65F9" w:rsidP="00D72EE4">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BA4078D" w14:textId="77777777" w:rsidR="00FA65F9" w:rsidRPr="00556843" w:rsidRDefault="00FA65F9" w:rsidP="00D72EE4">
            <w:pPr>
              <w:pStyle w:val="TableText"/>
              <w:keepNext/>
              <w:ind w:left="340" w:hanging="340"/>
            </w:pPr>
            <w:r w:rsidRPr="00556843">
              <w:t xml:space="preserve">(ii) </w:t>
            </w:r>
            <w:r w:rsidRPr="00556843">
              <w:tab/>
              <w:t xml:space="preserve">% of mature individuals in </w:t>
            </w:r>
            <w:r>
              <w:t>1</w:t>
            </w:r>
            <w:r w:rsidRPr="00556843">
              <w:t xml:space="preserve"> </w:t>
            </w:r>
            <w:r>
              <w:t>population</w:t>
            </w:r>
            <w:r w:rsidRPr="00556843">
              <w:t xml:space="preserve">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EC289BB" w14:textId="77777777" w:rsidR="00FA65F9" w:rsidRPr="00556843" w:rsidRDefault="00FA65F9" w:rsidP="00D72EE4">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82ABF26" w14:textId="77777777" w:rsidR="00FA65F9" w:rsidRPr="00556843" w:rsidRDefault="00FA65F9" w:rsidP="00D72EE4">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5AF3E427" w14:textId="77777777" w:rsidR="00FA65F9" w:rsidRPr="00556843" w:rsidRDefault="00FA65F9" w:rsidP="00D72EE4">
            <w:pPr>
              <w:pStyle w:val="TableText"/>
              <w:keepNext/>
              <w:rPr>
                <w:b/>
              </w:rPr>
            </w:pPr>
            <w:r w:rsidRPr="00556843">
              <w:rPr>
                <w:b/>
              </w:rPr>
              <w:t>100%</w:t>
            </w:r>
          </w:p>
        </w:tc>
      </w:tr>
      <w:tr w:rsidR="00FA65F9" w:rsidRPr="00556843" w14:paraId="67EB50BC" w14:textId="77777777" w:rsidTr="00D72EE4">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4E23D4BB" w14:textId="77777777" w:rsidR="00FA65F9" w:rsidRPr="00556843" w:rsidRDefault="00FA65F9" w:rsidP="00D72EE4">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FA4F06F" w14:textId="77777777" w:rsidR="00FA65F9" w:rsidRPr="00556843" w:rsidRDefault="00FA65F9" w:rsidP="00D72EE4">
            <w:pPr>
              <w:pStyle w:val="TableText"/>
              <w:keepNext/>
            </w:pPr>
          </w:p>
        </w:tc>
        <w:tc>
          <w:tcPr>
            <w:tcW w:w="1833" w:type="dxa"/>
            <w:tcBorders>
              <w:top w:val="single" w:sz="4" w:space="0" w:color="FFFFFF" w:themeColor="background1"/>
              <w:left w:val="nil"/>
              <w:right w:val="nil"/>
            </w:tcBorders>
            <w:shd w:val="clear" w:color="auto" w:fill="auto"/>
          </w:tcPr>
          <w:p w14:paraId="05A8BEC0" w14:textId="77777777" w:rsidR="00FA65F9" w:rsidRPr="00556843" w:rsidRDefault="00FA65F9" w:rsidP="00D72EE4">
            <w:pPr>
              <w:pStyle w:val="TableText"/>
              <w:keepNext/>
            </w:pPr>
          </w:p>
        </w:tc>
        <w:tc>
          <w:tcPr>
            <w:tcW w:w="1902" w:type="dxa"/>
            <w:tcBorders>
              <w:top w:val="single" w:sz="4" w:space="0" w:color="FFFFFF" w:themeColor="background1"/>
              <w:left w:val="nil"/>
              <w:right w:val="single" w:sz="4" w:space="0" w:color="auto"/>
            </w:tcBorders>
            <w:shd w:val="clear" w:color="auto" w:fill="auto"/>
          </w:tcPr>
          <w:p w14:paraId="35AA78DC" w14:textId="77777777" w:rsidR="00FA65F9" w:rsidRPr="00556843" w:rsidRDefault="00FA65F9" w:rsidP="00D72EE4">
            <w:pPr>
              <w:pStyle w:val="TableText"/>
              <w:keepNext/>
            </w:pPr>
          </w:p>
        </w:tc>
      </w:tr>
    </w:tbl>
    <w:p w14:paraId="49851AB5" w14:textId="77777777" w:rsidR="00FA65F9" w:rsidRPr="002B69E4" w:rsidRDefault="00FA65F9" w:rsidP="00FA65F9">
      <w:pPr>
        <w:pStyle w:val="Heading3"/>
        <w:spacing w:before="240"/>
        <w:ind w:left="964" w:hanging="964"/>
      </w:pPr>
      <w:r>
        <w:t>Criterion 3 e</w:t>
      </w:r>
      <w:r w:rsidRPr="002B69E4">
        <w:t>vidence</w:t>
      </w:r>
    </w:p>
    <w:p w14:paraId="125E6680" w14:textId="77777777" w:rsidR="00FA65F9" w:rsidRPr="0071736B" w:rsidRDefault="00FA65F9" w:rsidP="00FA65F9">
      <w:pPr>
        <w:rPr>
          <w:lang w:eastAsia="ja-JP"/>
        </w:rPr>
      </w:pPr>
      <w:r w:rsidRPr="008155CB">
        <w:rPr>
          <w:rStyle w:val="Strong"/>
        </w:rPr>
        <w:t xml:space="preserve">Eligible </w:t>
      </w:r>
      <w:r w:rsidRPr="0071736B">
        <w:rPr>
          <w:rStyle w:val="Strong"/>
        </w:rPr>
        <w:t>under Criteri</w:t>
      </w:r>
      <w:r>
        <w:rPr>
          <w:rStyle w:val="Strong"/>
        </w:rPr>
        <w:t>on C2b</w:t>
      </w:r>
      <w:r w:rsidRPr="0071736B">
        <w:rPr>
          <w:lang w:eastAsia="ja-JP"/>
        </w:rPr>
        <w:t xml:space="preserve"> </w:t>
      </w:r>
      <w:r>
        <w:rPr>
          <w:b/>
          <w:bCs/>
        </w:rPr>
        <w:t xml:space="preserve">as </w:t>
      </w:r>
      <w:sdt>
        <w:sdtPr>
          <w:rPr>
            <w:b/>
            <w:bCs/>
          </w:rPr>
          <w:id w:val="1013104026"/>
          <w:placeholder>
            <w:docPart w:val="91EB57B65BA54970B341D2BD34C8B70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Critically Endangered</w:t>
          </w:r>
        </w:sdtContent>
      </w:sdt>
    </w:p>
    <w:p w14:paraId="4A8F00AF" w14:textId="77777777" w:rsidR="00FA65F9" w:rsidRDefault="00FA65F9" w:rsidP="00FA65F9">
      <w:pPr>
        <w:rPr>
          <w:rStyle w:val="Strong"/>
          <w:b w:val="0"/>
          <w:bCs w:val="0"/>
        </w:rPr>
      </w:pPr>
      <w:r w:rsidRPr="22E3ABD1">
        <w:rPr>
          <w:rStyle w:val="Strong"/>
          <w:b w:val="0"/>
          <w:bCs w:val="0"/>
        </w:rPr>
        <w:t xml:space="preserve">There are currently zero mature individuals in known </w:t>
      </w:r>
      <w:r>
        <w:rPr>
          <w:rStyle w:val="Strong"/>
          <w:b w:val="0"/>
          <w:bCs w:val="0"/>
        </w:rPr>
        <w:t>wild</w:t>
      </w:r>
      <w:r w:rsidRPr="22E3ABD1">
        <w:rPr>
          <w:rStyle w:val="Strong"/>
          <w:b w:val="0"/>
          <w:bCs w:val="0"/>
        </w:rPr>
        <w:t xml:space="preserve"> subpopulations. </w:t>
      </w:r>
      <w:r w:rsidRPr="005C289A">
        <w:rPr>
          <w:rStyle w:val="Strong"/>
          <w:b w:val="0"/>
          <w:bCs w:val="0"/>
        </w:rPr>
        <w:t>However, as the species resprouts after fire, the number</w:t>
      </w:r>
      <w:r>
        <w:rPr>
          <w:rStyle w:val="Strong"/>
          <w:b w:val="0"/>
          <w:bCs w:val="0"/>
        </w:rPr>
        <w:t xml:space="preserve"> of</w:t>
      </w:r>
      <w:r w:rsidRPr="005C289A">
        <w:rPr>
          <w:rStyle w:val="Strong"/>
          <w:b w:val="0"/>
          <w:bCs w:val="0"/>
        </w:rPr>
        <w:t xml:space="preserve"> seedlings that survive to become mature individuals at the same life stage as those destroyed by the</w:t>
      </w:r>
      <w:r>
        <w:rPr>
          <w:rStyle w:val="Strong"/>
          <w:b w:val="0"/>
          <w:bCs w:val="0"/>
        </w:rPr>
        <w:t xml:space="preserve"> 2018 and 2019</w:t>
      </w:r>
      <w:r w:rsidRPr="005C289A">
        <w:rPr>
          <w:rStyle w:val="Strong"/>
          <w:b w:val="0"/>
          <w:bCs w:val="0"/>
        </w:rPr>
        <w:t xml:space="preserve"> fires must be projected</w:t>
      </w:r>
      <w:r>
        <w:rPr>
          <w:rStyle w:val="Strong"/>
          <w:b w:val="0"/>
          <w:bCs w:val="0"/>
        </w:rPr>
        <w:t>,</w:t>
      </w:r>
      <w:r w:rsidRPr="005C289A">
        <w:rPr>
          <w:rStyle w:val="Strong"/>
          <w:b w:val="0"/>
          <w:bCs w:val="0"/>
        </w:rPr>
        <w:t xml:space="preserve"> as this is a better estimate of </w:t>
      </w:r>
      <w:r>
        <w:rPr>
          <w:rStyle w:val="Strong"/>
          <w:b w:val="0"/>
          <w:bCs w:val="0"/>
        </w:rPr>
        <w:t xml:space="preserve">true </w:t>
      </w:r>
      <w:r w:rsidRPr="005C289A">
        <w:rPr>
          <w:rStyle w:val="Strong"/>
          <w:b w:val="0"/>
          <w:bCs w:val="0"/>
        </w:rPr>
        <w:t xml:space="preserve">population size. </w:t>
      </w:r>
      <w:r>
        <w:t>Using</w:t>
      </w:r>
      <w:r w:rsidRPr="00857DB4">
        <w:t xml:space="preserve"> survival rates</w:t>
      </w:r>
      <w:r>
        <w:t xml:space="preserve"> documented following the 2000 fire, based on the number of seedlings recorded in 2020, the number of mature individuals projected to reach 25 years of age </w:t>
      </w:r>
      <w:r w:rsidRPr="005C289A">
        <w:rPr>
          <w:rStyle w:val="Strong"/>
          <w:b w:val="0"/>
          <w:bCs w:val="0"/>
        </w:rPr>
        <w:t>is estimated at 8</w:t>
      </w:r>
      <w:r>
        <w:rPr>
          <w:rStyle w:val="Strong"/>
          <w:b w:val="0"/>
          <w:bCs w:val="0"/>
        </w:rPr>
        <w:t>5</w:t>
      </w:r>
      <w:r w:rsidRPr="005C289A">
        <w:rPr>
          <w:rStyle w:val="Strong"/>
          <w:b w:val="0"/>
          <w:bCs w:val="0"/>
        </w:rPr>
        <w:t xml:space="preserve"> (</w:t>
      </w:r>
      <w:r>
        <w:rPr>
          <w:rStyle w:val="Strong"/>
          <w:b w:val="0"/>
          <w:bCs w:val="0"/>
        </w:rPr>
        <w:t>48–150</w:t>
      </w:r>
      <w:r w:rsidRPr="005C289A">
        <w:rPr>
          <w:rStyle w:val="Strong"/>
          <w:b w:val="0"/>
          <w:bCs w:val="0"/>
        </w:rPr>
        <w:t>)</w:t>
      </w:r>
      <w:r>
        <w:rPr>
          <w:rStyle w:val="Strong"/>
          <w:b w:val="0"/>
          <w:bCs w:val="0"/>
        </w:rPr>
        <w:t xml:space="preserve"> (Table 4)</w:t>
      </w:r>
      <w:r w:rsidRPr="005C289A">
        <w:rPr>
          <w:rStyle w:val="Strong"/>
          <w:b w:val="0"/>
          <w:bCs w:val="0"/>
        </w:rPr>
        <w:t>.</w:t>
      </w:r>
      <w:r>
        <w:rPr>
          <w:rStyle w:val="Strong"/>
          <w:b w:val="0"/>
          <w:bCs w:val="0"/>
        </w:rPr>
        <w:t xml:space="preserve"> This meets the requirements for listing as critically endangered under this criterion.</w:t>
      </w:r>
    </w:p>
    <w:p w14:paraId="6B1A1EA6" w14:textId="77777777" w:rsidR="00FA65F9" w:rsidRPr="00700C1A" w:rsidRDefault="00FA65F9" w:rsidP="00FA65F9">
      <w:pPr>
        <w:rPr>
          <w:rStyle w:val="Strong"/>
          <w:b w:val="0"/>
          <w:bCs w:val="0"/>
        </w:rPr>
      </w:pPr>
      <w:r w:rsidRPr="22E3ABD1">
        <w:rPr>
          <w:rStyle w:val="Strong"/>
          <w:b w:val="0"/>
          <w:bCs w:val="0"/>
        </w:rPr>
        <w:t xml:space="preserve">Continuing decline in total population size </w:t>
      </w:r>
      <w:r>
        <w:rPr>
          <w:rStyle w:val="Strong"/>
          <w:b w:val="0"/>
          <w:bCs w:val="0"/>
        </w:rPr>
        <w:t xml:space="preserve">has been observed </w:t>
      </w:r>
      <w:r w:rsidRPr="22E3ABD1">
        <w:rPr>
          <w:rStyle w:val="Strong"/>
          <w:b w:val="0"/>
          <w:bCs w:val="0"/>
        </w:rPr>
        <w:t xml:space="preserve">and </w:t>
      </w:r>
      <w:r>
        <w:rPr>
          <w:rStyle w:val="Strong"/>
          <w:b w:val="0"/>
          <w:bCs w:val="0"/>
        </w:rPr>
        <w:t xml:space="preserve">is </w:t>
      </w:r>
      <w:r w:rsidRPr="22E3ABD1">
        <w:rPr>
          <w:rStyle w:val="Strong"/>
          <w:b w:val="0"/>
          <w:bCs w:val="0"/>
        </w:rPr>
        <w:t>projected</w:t>
      </w:r>
      <w:r>
        <w:rPr>
          <w:rStyle w:val="Strong"/>
          <w:b w:val="0"/>
          <w:bCs w:val="0"/>
        </w:rPr>
        <w:t xml:space="preserve"> to continue (see Criterion 1).</w:t>
      </w:r>
      <w:r w:rsidRPr="22E3ABD1">
        <w:rPr>
          <w:rStyle w:val="Strong"/>
          <w:b w:val="0"/>
          <w:bCs w:val="0"/>
        </w:rPr>
        <w:t xml:space="preserve"> and </w:t>
      </w:r>
      <w:r>
        <w:rPr>
          <w:rStyle w:val="Strong"/>
          <w:b w:val="0"/>
          <w:bCs w:val="0"/>
        </w:rPr>
        <w:t>t</w:t>
      </w:r>
      <w:r w:rsidRPr="22E3ABD1">
        <w:rPr>
          <w:rStyle w:val="Strong"/>
          <w:b w:val="0"/>
          <w:bCs w:val="0"/>
        </w:rPr>
        <w:t xml:space="preserve">here are extreme fluctuations in the number of mature individuals (see Table </w:t>
      </w:r>
      <w:r>
        <w:rPr>
          <w:rStyle w:val="Strong"/>
          <w:b w:val="0"/>
          <w:bCs w:val="0"/>
        </w:rPr>
        <w:t>4</w:t>
      </w:r>
      <w:r w:rsidRPr="22E3ABD1">
        <w:rPr>
          <w:rStyle w:val="Strong"/>
          <w:b w:val="0"/>
          <w:bCs w:val="0"/>
        </w:rPr>
        <w:t>; Criterion 1; Criterion 2).</w:t>
      </w:r>
    </w:p>
    <w:p w14:paraId="6416C7C7" w14:textId="77777777" w:rsidR="00FA65F9" w:rsidRDefault="00FA65F9" w:rsidP="00FA65F9">
      <w:pPr>
        <w:pStyle w:val="Caption"/>
        <w:spacing w:line="276" w:lineRule="auto"/>
        <w:rPr>
          <w:rFonts w:ascii="Cambria" w:hAnsi="Cambria" w:cs="Arial"/>
          <w:b w:val="0"/>
          <w:bCs w:val="0"/>
          <w:sz w:val="22"/>
          <w:szCs w:val="22"/>
        </w:rPr>
      </w:pPr>
      <w:r w:rsidRPr="00E41BFD">
        <w:rPr>
          <w:rFonts w:ascii="Cambria" w:hAnsi="Cambria" w:cs="Arial"/>
          <w:b w:val="0"/>
          <w:bCs w:val="0"/>
          <w:sz w:val="22"/>
          <w:szCs w:val="22"/>
        </w:rPr>
        <w:t xml:space="preserve">The data presented above appear to demonstrate that the species is eligible for listing as </w:t>
      </w:r>
      <w:r w:rsidRPr="00210BB5">
        <w:rPr>
          <w:rFonts w:ascii="Cambria" w:hAnsi="Cambria" w:cs="Arial"/>
          <w:sz w:val="22"/>
          <w:szCs w:val="22"/>
        </w:rPr>
        <w:t xml:space="preserve">Critically Endangered </w:t>
      </w:r>
      <w:r w:rsidRPr="00E41BFD">
        <w:rPr>
          <w:rFonts w:ascii="Cambria" w:hAnsi="Cambria" w:cs="Arial"/>
          <w:b w:val="0"/>
          <w:bCs w:val="0"/>
          <w:sz w:val="22"/>
          <w:szCs w:val="22"/>
        </w:rPr>
        <w:t>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8FB18B3" w14:textId="77777777" w:rsidR="00FA65F9" w:rsidRPr="0096274D" w:rsidRDefault="00FA65F9" w:rsidP="00FA65F9"/>
    <w:p w14:paraId="33EF6B16" w14:textId="77777777" w:rsidR="00FA65F9" w:rsidRDefault="00FA65F9" w:rsidP="00FA65F9">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FA65F9" w:rsidRPr="00166185" w14:paraId="32B8FA1B" w14:textId="77777777" w:rsidTr="00D72EE4">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2EBFF97" w14:textId="77777777" w:rsidR="00FA65F9" w:rsidRPr="00166185" w:rsidRDefault="00FA65F9" w:rsidP="00D72EE4">
            <w:pPr>
              <w:pStyle w:val="TableText"/>
              <w:keepNext/>
            </w:pPr>
          </w:p>
        </w:tc>
      </w:tr>
      <w:tr w:rsidR="00FA65F9" w:rsidRPr="00166185" w14:paraId="1450F1BB" w14:textId="77777777" w:rsidTr="00D72EE4">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7D5FA4C4" w14:textId="77777777" w:rsidR="00FA65F9" w:rsidRPr="00166185" w:rsidRDefault="00FA65F9" w:rsidP="00D72EE4">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5940E492" w14:textId="77777777" w:rsidR="00FA65F9" w:rsidRPr="009E3E71" w:rsidRDefault="00FA65F9" w:rsidP="00D72EE4">
            <w:pPr>
              <w:pStyle w:val="TableText"/>
              <w:keepNext/>
              <w:rPr>
                <w:rStyle w:val="Strong"/>
              </w:rPr>
            </w:pPr>
            <w:r w:rsidRPr="009E3E71">
              <w:rPr>
                <w:rStyle w:val="Strong"/>
              </w:rPr>
              <w:t>Critically Endangered</w:t>
            </w:r>
          </w:p>
          <w:p w14:paraId="298D8823" w14:textId="77777777" w:rsidR="00FA65F9" w:rsidRPr="009E3E71" w:rsidRDefault="00FA65F9" w:rsidP="00D72EE4">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35AC6B0D" w14:textId="77777777" w:rsidR="00FA65F9" w:rsidRPr="009E3E71" w:rsidRDefault="00FA65F9" w:rsidP="00D72EE4">
            <w:pPr>
              <w:pStyle w:val="TableText"/>
              <w:keepNext/>
              <w:rPr>
                <w:rStyle w:val="Strong"/>
              </w:rPr>
            </w:pPr>
            <w:r w:rsidRPr="009E3E71">
              <w:rPr>
                <w:rStyle w:val="Strong"/>
              </w:rPr>
              <w:t>Endangered</w:t>
            </w:r>
          </w:p>
          <w:p w14:paraId="32939E60" w14:textId="77777777" w:rsidR="00FA65F9" w:rsidRPr="009E3E71" w:rsidRDefault="00FA65F9" w:rsidP="00D72EE4">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42F9BBE" w14:textId="77777777" w:rsidR="00FA65F9" w:rsidRPr="009E3E71" w:rsidRDefault="00FA65F9" w:rsidP="00D72EE4">
            <w:pPr>
              <w:pStyle w:val="TableText"/>
              <w:keepNext/>
              <w:rPr>
                <w:rStyle w:val="Strong"/>
              </w:rPr>
            </w:pPr>
            <w:r w:rsidRPr="009E3E71">
              <w:rPr>
                <w:rStyle w:val="Strong"/>
              </w:rPr>
              <w:t>Vulnerable</w:t>
            </w:r>
          </w:p>
          <w:p w14:paraId="1176C42F" w14:textId="77777777" w:rsidR="00FA65F9" w:rsidRPr="009E3E71" w:rsidRDefault="00FA65F9" w:rsidP="00D72EE4">
            <w:pPr>
              <w:pStyle w:val="TableText"/>
              <w:keepNext/>
              <w:rPr>
                <w:rStyle w:val="Strong"/>
              </w:rPr>
            </w:pPr>
            <w:r w:rsidRPr="009E3E71">
              <w:rPr>
                <w:rStyle w:val="Strong"/>
              </w:rPr>
              <w:t>Low</w:t>
            </w:r>
          </w:p>
        </w:tc>
      </w:tr>
      <w:tr w:rsidR="00FA65F9" w:rsidRPr="00166185" w14:paraId="2D04B8BA" w14:textId="77777777" w:rsidTr="00D72EE4">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0563E52" w14:textId="77777777" w:rsidR="00FA65F9" w:rsidRPr="00166185" w:rsidRDefault="00FA65F9" w:rsidP="00D72EE4">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7A189CA" w14:textId="77777777" w:rsidR="00FA65F9" w:rsidRPr="00166185" w:rsidRDefault="00FA65F9" w:rsidP="00D72EE4">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B2FAE20" w14:textId="77777777" w:rsidR="00FA65F9" w:rsidRPr="00166185" w:rsidRDefault="00FA65F9" w:rsidP="00D72EE4">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4F37DC21" w14:textId="77777777" w:rsidR="00FA65F9" w:rsidRPr="00166185" w:rsidRDefault="00FA65F9" w:rsidP="00D72EE4">
            <w:pPr>
              <w:pStyle w:val="TableText"/>
              <w:keepNext/>
              <w:rPr>
                <w:rFonts w:ascii="Times New Roman" w:hAnsi="Times New Roman" w:cs="Times New Roman"/>
                <w:szCs w:val="18"/>
              </w:rPr>
            </w:pPr>
            <w:r w:rsidRPr="00166185">
              <w:rPr>
                <w:szCs w:val="18"/>
              </w:rPr>
              <w:t>&lt; 1,000</w:t>
            </w:r>
          </w:p>
        </w:tc>
      </w:tr>
      <w:tr w:rsidR="00FA65F9" w:rsidRPr="00166185" w14:paraId="1CC254CF" w14:textId="77777777" w:rsidTr="00D72EE4">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292F9023" w14:textId="77777777" w:rsidR="00FA65F9" w:rsidRPr="00166185" w:rsidRDefault="00FA65F9" w:rsidP="00D72EE4">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20B95D04" w14:textId="77777777" w:rsidR="00FA65F9" w:rsidRPr="00166185" w:rsidRDefault="00FA65F9" w:rsidP="00D72EE4">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232352E" w14:textId="77777777" w:rsidR="00FA65F9" w:rsidRPr="00A034C7" w:rsidRDefault="00FA65F9" w:rsidP="00D72EE4">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B2EC734" w14:textId="77777777" w:rsidR="00FA65F9" w:rsidRPr="00A034C7" w:rsidRDefault="00FA65F9" w:rsidP="00D72EE4">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C9CF727" w14:textId="77777777" w:rsidR="00FA65F9" w:rsidRPr="00166185" w:rsidRDefault="00FA65F9" w:rsidP="00D72EE4">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663C412B" w14:textId="77777777" w:rsidR="00FA65F9" w:rsidRPr="00166185" w:rsidRDefault="00FA65F9" w:rsidP="00FA65F9">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39" w:history="1">
        <w:r w:rsidRPr="00166185">
          <w:rPr>
            <w:rStyle w:val="Hyperlink"/>
            <w:bCs/>
            <w:i/>
            <w:iCs/>
          </w:rPr>
          <w:t>common assessment method</w:t>
        </w:r>
      </w:hyperlink>
      <w:r w:rsidRPr="00166185">
        <w:t>.</w:t>
      </w:r>
    </w:p>
    <w:p w14:paraId="309D02C3" w14:textId="77777777" w:rsidR="00FA65F9" w:rsidRPr="002C11D5" w:rsidRDefault="00FA65F9" w:rsidP="00FA65F9">
      <w:pPr>
        <w:pStyle w:val="Heading3"/>
        <w:ind w:left="964" w:hanging="964"/>
        <w:rPr>
          <w:rStyle w:val="Strong"/>
          <w:b/>
          <w:bCs/>
        </w:rPr>
      </w:pPr>
      <w:r>
        <w:t>Criterion 4 e</w:t>
      </w:r>
      <w:r w:rsidRPr="00BE530B">
        <w:t>vidence</w:t>
      </w:r>
    </w:p>
    <w:p w14:paraId="127FBB26" w14:textId="77777777" w:rsidR="00FA65F9" w:rsidRPr="00EA525E" w:rsidRDefault="00FA65F9" w:rsidP="00FA65F9">
      <w:pPr>
        <w:rPr>
          <w:lang w:eastAsia="ja-JP"/>
        </w:rPr>
      </w:pPr>
      <w:r w:rsidRPr="00EA525E">
        <w:rPr>
          <w:rStyle w:val="Strong"/>
        </w:rPr>
        <w:t>Eligible under Criterion D1</w:t>
      </w:r>
      <w:r w:rsidRPr="00EA525E">
        <w:rPr>
          <w:lang w:eastAsia="ja-JP"/>
        </w:rPr>
        <w:t xml:space="preserve"> </w:t>
      </w:r>
      <w:r w:rsidRPr="00EA525E">
        <w:rPr>
          <w:b/>
          <w:bCs/>
        </w:rPr>
        <w:t xml:space="preserve">as </w:t>
      </w:r>
      <w:sdt>
        <w:sdtPr>
          <w:rPr>
            <w:b/>
            <w:bCs/>
          </w:rPr>
          <w:id w:val="1422220951"/>
          <w:placeholder>
            <w:docPart w:val="80A399A8D9AB457380AB9B3F5621FB0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EA525E">
            <w:rPr>
              <w:b/>
              <w:bCs/>
            </w:rPr>
            <w:t>Endangered</w:t>
          </w:r>
        </w:sdtContent>
      </w:sdt>
    </w:p>
    <w:p w14:paraId="493B5F25" w14:textId="77777777" w:rsidR="00FA65F9" w:rsidRPr="002502F4" w:rsidRDefault="00FA65F9" w:rsidP="00FA65F9">
      <w:r w:rsidRPr="00EA525E">
        <w:rPr>
          <w:rFonts w:cs="Arial"/>
        </w:rPr>
        <w:t>There are estimated to be 85 (48–150) mature individuals in natural subpopulations based on projections of seedling survival (see Table 4; Criterion 1; Criterion 2).</w:t>
      </w:r>
    </w:p>
    <w:p w14:paraId="05BDED14" w14:textId="77777777" w:rsidR="00FA65F9" w:rsidRDefault="00FA65F9" w:rsidP="00FA65F9">
      <w:pPr>
        <w:pStyle w:val="Caption"/>
        <w:spacing w:line="276" w:lineRule="auto"/>
        <w:rPr>
          <w:rFonts w:ascii="Cambria" w:hAnsi="Cambria" w:cs="Arial"/>
          <w:b w:val="0"/>
          <w:bCs w:val="0"/>
          <w:sz w:val="22"/>
          <w:szCs w:val="22"/>
        </w:rPr>
      </w:pPr>
      <w:r w:rsidRPr="00E41BFD">
        <w:rPr>
          <w:rFonts w:ascii="Cambria" w:hAnsi="Cambria" w:cs="Arial"/>
          <w:b w:val="0"/>
          <w:bCs w:val="0"/>
          <w:sz w:val="22"/>
          <w:szCs w:val="22"/>
        </w:rPr>
        <w:t xml:space="preserve">The data presented above appear to demonstrate that the species is eligible for listing as </w:t>
      </w:r>
      <w:r w:rsidRPr="00210BB5">
        <w:rPr>
          <w:rFonts w:ascii="Cambria" w:hAnsi="Cambria" w:cs="Arial"/>
          <w:sz w:val="22"/>
          <w:szCs w:val="22"/>
        </w:rPr>
        <w:t>Endangered</w:t>
      </w:r>
      <w:r w:rsidRPr="00E41BFD">
        <w:rPr>
          <w:rFonts w:ascii="Cambria" w:hAnsi="Cambria" w:cs="Arial"/>
          <w:b w:val="0"/>
          <w:bCs w:val="0"/>
          <w:sz w:val="22"/>
          <w:szCs w:val="22"/>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623CDB8D" w14:textId="77777777" w:rsidR="00FA65F9" w:rsidRDefault="00FA65F9" w:rsidP="00FA65F9">
      <w:pPr>
        <w:pStyle w:val="Caption"/>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FA65F9" w:rsidRPr="00556843" w14:paraId="76C711FB" w14:textId="77777777" w:rsidTr="00D72EE4">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53BF8E68" w14:textId="77777777" w:rsidR="00FA65F9" w:rsidRPr="00556843" w:rsidRDefault="00FA65F9" w:rsidP="00D72EE4">
            <w:pPr>
              <w:keepNext/>
              <w:tabs>
                <w:tab w:val="left" w:pos="284"/>
              </w:tabs>
              <w:rPr>
                <w:rFonts w:ascii="Arial" w:hAnsi="Arial" w:cs="Arial"/>
                <w:b/>
                <w:color w:val="FFFFFF" w:themeColor="background1"/>
              </w:rPr>
            </w:pPr>
          </w:p>
        </w:tc>
      </w:tr>
      <w:tr w:rsidR="00FA65F9" w:rsidRPr="00556843" w14:paraId="722F525D" w14:textId="77777777" w:rsidTr="00D72EE4">
        <w:trPr>
          <w:trHeight w:val="439"/>
        </w:trPr>
        <w:tc>
          <w:tcPr>
            <w:tcW w:w="4042" w:type="dxa"/>
            <w:tcBorders>
              <w:top w:val="nil"/>
              <w:left w:val="single" w:sz="4" w:space="0" w:color="auto"/>
              <w:bottom w:val="nil"/>
              <w:right w:val="nil"/>
            </w:tcBorders>
          </w:tcPr>
          <w:p w14:paraId="4E09C118" w14:textId="77777777" w:rsidR="00FA65F9" w:rsidRPr="00556843" w:rsidRDefault="00FA65F9" w:rsidP="00D72EE4">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74199BF" w14:textId="77777777" w:rsidR="00FA65F9" w:rsidRPr="009E3E71" w:rsidRDefault="00FA65F9" w:rsidP="00D72EE4">
            <w:pPr>
              <w:pStyle w:val="TableText"/>
              <w:keepNext/>
              <w:rPr>
                <w:rStyle w:val="Strong"/>
              </w:rPr>
            </w:pPr>
            <w:r w:rsidRPr="009E3E71">
              <w:rPr>
                <w:rStyle w:val="Strong"/>
              </w:rPr>
              <w:t>Critically Endangered</w:t>
            </w:r>
          </w:p>
          <w:p w14:paraId="5AB42108" w14:textId="77777777" w:rsidR="00FA65F9" w:rsidRPr="00556843" w:rsidRDefault="00FA65F9" w:rsidP="00D72EE4">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4B641848" w14:textId="77777777" w:rsidR="00FA65F9" w:rsidRPr="009E3E71" w:rsidRDefault="00FA65F9" w:rsidP="00D72EE4">
            <w:pPr>
              <w:pStyle w:val="TableText"/>
              <w:keepNext/>
              <w:rPr>
                <w:rStyle w:val="Strong"/>
              </w:rPr>
            </w:pPr>
            <w:r w:rsidRPr="009E3E71">
              <w:rPr>
                <w:rStyle w:val="Strong"/>
              </w:rPr>
              <w:t>Endangered</w:t>
            </w:r>
          </w:p>
          <w:p w14:paraId="5A045CF8" w14:textId="77777777" w:rsidR="00FA65F9" w:rsidRPr="009E3E71" w:rsidRDefault="00FA65F9" w:rsidP="00D72EE4">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46F75A0" w14:textId="77777777" w:rsidR="00FA65F9" w:rsidRPr="009E3E71" w:rsidRDefault="00FA65F9" w:rsidP="00D72EE4">
            <w:pPr>
              <w:pStyle w:val="TableText"/>
              <w:keepNext/>
              <w:rPr>
                <w:rStyle w:val="Strong"/>
              </w:rPr>
            </w:pPr>
            <w:r w:rsidRPr="009E3E71">
              <w:rPr>
                <w:rStyle w:val="Strong"/>
              </w:rPr>
              <w:t>Vulnerable</w:t>
            </w:r>
          </w:p>
          <w:p w14:paraId="73006BAA" w14:textId="77777777" w:rsidR="00FA65F9" w:rsidRPr="009E3E71" w:rsidRDefault="00FA65F9" w:rsidP="00D72EE4">
            <w:pPr>
              <w:pStyle w:val="TableText"/>
              <w:keepNext/>
              <w:rPr>
                <w:rStyle w:val="Strong"/>
              </w:rPr>
            </w:pPr>
            <w:r w:rsidRPr="009E3E71">
              <w:rPr>
                <w:rStyle w:val="Strong"/>
              </w:rPr>
              <w:t>Medium-term future</w:t>
            </w:r>
          </w:p>
        </w:tc>
      </w:tr>
      <w:tr w:rsidR="00FA65F9" w:rsidRPr="004F5429" w14:paraId="6C80208D" w14:textId="77777777" w:rsidTr="00D72EE4">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C77B27F" w14:textId="77777777" w:rsidR="00FA65F9" w:rsidRPr="004F5429" w:rsidRDefault="00FA65F9" w:rsidP="00D72EE4">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7077D97" w14:textId="77777777" w:rsidR="00FA65F9" w:rsidRPr="004F5429" w:rsidRDefault="00FA65F9" w:rsidP="00D72EE4">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3569E053" w14:textId="77777777" w:rsidR="00FA65F9" w:rsidRPr="004F5429" w:rsidRDefault="00FA65F9" w:rsidP="00D72EE4">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39CF9B28" w14:textId="77777777" w:rsidR="00FA65F9" w:rsidRPr="004F5429" w:rsidRDefault="00FA65F9" w:rsidP="00D72EE4">
            <w:pPr>
              <w:pStyle w:val="TableText"/>
              <w:rPr>
                <w:rStyle w:val="Strong"/>
                <w:b w:val="0"/>
                <w:bCs w:val="0"/>
              </w:rPr>
            </w:pPr>
            <w:r w:rsidRPr="004F5429">
              <w:rPr>
                <w:rStyle w:val="Strong"/>
                <w:b w:val="0"/>
                <w:bCs w:val="0"/>
              </w:rPr>
              <w:t xml:space="preserve">≥ 10% in 100 years </w:t>
            </w:r>
          </w:p>
        </w:tc>
      </w:tr>
    </w:tbl>
    <w:p w14:paraId="0A6DA4F5" w14:textId="77777777" w:rsidR="00FA65F9" w:rsidRPr="00AD2722" w:rsidRDefault="00FA65F9" w:rsidP="00FA65F9">
      <w:pPr>
        <w:pStyle w:val="Heading3"/>
        <w:spacing w:before="240"/>
        <w:ind w:left="964" w:hanging="964"/>
      </w:pPr>
      <w:r>
        <w:t>Criterion 5 e</w:t>
      </w:r>
      <w:r w:rsidRPr="00AD2722">
        <w:t>vidence</w:t>
      </w:r>
    </w:p>
    <w:p w14:paraId="2B5DF57D" w14:textId="77777777" w:rsidR="00FA65F9" w:rsidRPr="008155CB" w:rsidRDefault="00FA65F9" w:rsidP="00FA65F9">
      <w:pPr>
        <w:rPr>
          <w:rStyle w:val="Strong"/>
        </w:rPr>
      </w:pPr>
      <w:r w:rsidRPr="008155CB">
        <w:rPr>
          <w:rStyle w:val="Strong"/>
        </w:rPr>
        <w:t xml:space="preserve">Insufficient data to determine eligibility </w:t>
      </w:r>
    </w:p>
    <w:p w14:paraId="4E9F95E0" w14:textId="77777777" w:rsidR="00FA65F9" w:rsidRPr="008155CB" w:rsidRDefault="00FA65F9" w:rsidP="00FA65F9">
      <w:pPr>
        <w:rPr>
          <w:bCs/>
        </w:rPr>
      </w:pPr>
      <w:r w:rsidRPr="008155CB">
        <w:rPr>
          <w:bCs/>
        </w:rPr>
        <w:t xml:space="preserve">Population viability analysis has not been undertaken </w:t>
      </w:r>
      <w:r>
        <w:rPr>
          <w:bCs/>
        </w:rPr>
        <w:t>for Stirling Range dryandra.</w:t>
      </w:r>
    </w:p>
    <w:p w14:paraId="5B458791" w14:textId="77777777" w:rsidR="00FA65F9" w:rsidRDefault="00FA65F9" w:rsidP="00FA65F9">
      <w:pPr>
        <w:rPr>
          <w:bCs/>
        </w:rPr>
      </w:pPr>
      <w:r>
        <w:rPr>
          <w:bCs/>
          <w:i/>
          <w:iCs/>
        </w:rPr>
        <w:t>Conclusion</w:t>
      </w:r>
    </w:p>
    <w:p w14:paraId="156EB3AC" w14:textId="77777777" w:rsidR="00FA65F9" w:rsidRPr="008155CB" w:rsidRDefault="00FA65F9" w:rsidP="00FA65F9">
      <w:pPr>
        <w:rPr>
          <w:bCs/>
        </w:rPr>
      </w:pPr>
      <w:r w:rsidRPr="008155CB">
        <w:rPr>
          <w:bCs/>
        </w:rPr>
        <w:lastRenderedPageBreak/>
        <w:t>There are insufficient data to demonstrate if the species is eligible for listing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2EF99D6" w14:textId="77777777" w:rsidR="00FA65F9" w:rsidRPr="00AD2722" w:rsidRDefault="00FA65F9" w:rsidP="00FA65F9">
      <w:pPr>
        <w:pStyle w:val="Heading3"/>
        <w:ind w:left="964" w:hanging="964"/>
      </w:pPr>
      <w:r w:rsidRPr="00AD2722">
        <w:t>Adequacy of survey</w:t>
      </w:r>
    </w:p>
    <w:p w14:paraId="4CED841A" w14:textId="77777777" w:rsidR="00FA65F9" w:rsidRDefault="00FA65F9" w:rsidP="00FA65F9">
      <w:pPr>
        <w:rPr>
          <w:bCs/>
        </w:rPr>
      </w:pPr>
      <w:r w:rsidRPr="00385FA2">
        <w:rPr>
          <w:bCs/>
        </w:rPr>
        <w:t xml:space="preserve">The survey effort </w:t>
      </w:r>
      <w:r>
        <w:rPr>
          <w:bCs/>
        </w:rPr>
        <w:t xml:space="preserve">is </w:t>
      </w:r>
      <w:r w:rsidRPr="00385FA2">
        <w:rPr>
          <w:bCs/>
        </w:rPr>
        <w:t>considered adequate and there is sufficient scientific evidence to support the assessment.</w:t>
      </w:r>
    </w:p>
    <w:p w14:paraId="4EF1BFB9" w14:textId="77777777" w:rsidR="00FA65F9" w:rsidRPr="0001019B" w:rsidRDefault="00FA65F9" w:rsidP="00FA65F9">
      <w:pPr>
        <w:pStyle w:val="Heading3"/>
        <w:ind w:left="964" w:hanging="964"/>
      </w:pPr>
      <w:r w:rsidRPr="0001019B">
        <w:t>Listing and Recovery Plan Recommendations</w:t>
      </w:r>
    </w:p>
    <w:p w14:paraId="2B54F3BA" w14:textId="77777777" w:rsidR="00FA65F9" w:rsidRDefault="00FA65F9" w:rsidP="00FA65F9">
      <w:r>
        <w:t>Stirling Range dryandra is listed as Critically Endangered in WA under the Biodiversity Conservation Act 2016 and is also listed as Critically Endangered on the IUCN Red List of Threatened Species (Barrett et al. 2020).</w:t>
      </w:r>
    </w:p>
    <w:p w14:paraId="7516E00A" w14:textId="77777777" w:rsidR="00FA65F9" w:rsidRPr="00732BEA" w:rsidRDefault="00FA65F9" w:rsidP="00FA65F9">
      <w:r>
        <w:t xml:space="preserve">There is currently an existing Recovery Plan that is due to expire in 2022 (Gilfillan et al. 2008). </w:t>
      </w:r>
      <w:r w:rsidRPr="00604026">
        <w:t>A decision about whether there should</w:t>
      </w:r>
      <w:r>
        <w:t xml:space="preserve"> continue to</w:t>
      </w:r>
      <w:r w:rsidRPr="00604026">
        <w:t xml:space="preserve"> be a recovery plan for this species has not yet been determined. The purpose of this consultation document is to elicit additional information to help inform this decision.</w:t>
      </w:r>
      <w:r w:rsidRPr="00732BEA">
        <w:t xml:space="preserve"> </w:t>
      </w:r>
    </w:p>
    <w:p w14:paraId="099DC5B0" w14:textId="77777777" w:rsidR="00FA65F9" w:rsidRPr="00AD2722" w:rsidRDefault="00FA65F9" w:rsidP="00FA65F9">
      <w:pPr>
        <w:rPr>
          <w:bCs/>
        </w:rPr>
      </w:pPr>
    </w:p>
    <w:p w14:paraId="04B5B3B4" w14:textId="77777777" w:rsidR="00FA65F9" w:rsidRDefault="00FA65F9" w:rsidP="00FA65F9">
      <w:pPr>
        <w:sectPr w:rsidR="00FA65F9" w:rsidSect="00527EC4">
          <w:headerReference w:type="even" r:id="rId40"/>
          <w:headerReference w:type="default" r:id="rId41"/>
          <w:footerReference w:type="default" r:id="rId42"/>
          <w:headerReference w:type="first" r:id="rId43"/>
          <w:footerReference w:type="first" r:id="rId44"/>
          <w:pgSz w:w="11906" w:h="16838"/>
          <w:pgMar w:top="1418" w:right="1418" w:bottom="1418" w:left="1418" w:header="567" w:footer="284" w:gutter="0"/>
          <w:cols w:space="708"/>
          <w:titlePg/>
          <w:docGrid w:linePitch="360"/>
        </w:sectPr>
      </w:pPr>
    </w:p>
    <w:p w14:paraId="49BBADCC" w14:textId="77777777" w:rsidR="00FA65F9" w:rsidRDefault="00FA65F9" w:rsidP="00FA65F9">
      <w:pPr>
        <w:pStyle w:val="Normalsmall"/>
        <w:pageBreakBefore/>
      </w:pPr>
      <w:r>
        <w:lastRenderedPageBreak/>
        <w:t xml:space="preserve">© Commonwealth of Australia 2021 </w:t>
      </w:r>
      <w:r w:rsidRPr="00D431C8">
        <w:rPr>
          <w:noProof/>
        </w:rPr>
        <w:drawing>
          <wp:inline distT="0" distB="0" distL="0" distR="0" wp14:anchorId="60062EDC" wp14:editId="68409B77">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5166" cy="218731"/>
                    </a:xfrm>
                    <a:prstGeom prst="rect">
                      <a:avLst/>
                    </a:prstGeom>
                  </pic:spPr>
                </pic:pic>
              </a:graphicData>
            </a:graphic>
          </wp:inline>
        </w:drawing>
      </w:r>
    </w:p>
    <w:p w14:paraId="400747CC" w14:textId="77777777" w:rsidR="00FA65F9" w:rsidRDefault="00FA65F9" w:rsidP="00FA65F9">
      <w:pPr>
        <w:pStyle w:val="Normalsmall"/>
        <w:rPr>
          <w:rStyle w:val="Strong"/>
        </w:rPr>
      </w:pPr>
      <w:r>
        <w:rPr>
          <w:rStyle w:val="Strong"/>
        </w:rPr>
        <w:t>Ownership of intellectual property rights</w:t>
      </w:r>
    </w:p>
    <w:p w14:paraId="725A2B08" w14:textId="77777777" w:rsidR="00FA65F9" w:rsidRDefault="00FA65F9" w:rsidP="00FA65F9">
      <w:pPr>
        <w:pStyle w:val="Normalsmall"/>
      </w:pPr>
      <w:r>
        <w:t>Unless otherwise noted, copyright (and any other intellectual property rights) in this publication is owned by the Commonwealth of Australia (referred to as the Commonwealth).</w:t>
      </w:r>
    </w:p>
    <w:p w14:paraId="0831CE84" w14:textId="77777777" w:rsidR="00FA65F9" w:rsidRDefault="00FA65F9" w:rsidP="00FA65F9">
      <w:pPr>
        <w:pStyle w:val="Normalsmall"/>
        <w:rPr>
          <w:rStyle w:val="Strong"/>
        </w:rPr>
      </w:pPr>
      <w:r>
        <w:rPr>
          <w:rStyle w:val="Strong"/>
        </w:rPr>
        <w:t>Creative Commons licence</w:t>
      </w:r>
    </w:p>
    <w:p w14:paraId="79CC5420" w14:textId="77777777" w:rsidR="00FA65F9" w:rsidRDefault="00FA65F9" w:rsidP="00FA65F9">
      <w:pPr>
        <w:pStyle w:val="Normalsmall"/>
      </w:pPr>
      <w:r>
        <w:t xml:space="preserve">All material in this publication is licensed under a </w:t>
      </w:r>
      <w:hyperlink r:id="rId46" w:history="1">
        <w:r>
          <w:rPr>
            <w:rStyle w:val="Hyperlink"/>
          </w:rPr>
          <w:t>Creative Commons Attribution 4.0 International Licence</w:t>
        </w:r>
      </w:hyperlink>
      <w:r>
        <w:t xml:space="preserve"> except content supplied by third parties, logos and the Commonwealth Coat of Arms.</w:t>
      </w:r>
    </w:p>
    <w:p w14:paraId="2EC435FA" w14:textId="77777777" w:rsidR="00FA65F9" w:rsidRDefault="00FA65F9" w:rsidP="00FA65F9">
      <w:pPr>
        <w:pStyle w:val="Normalsmall"/>
      </w:pPr>
      <w:r>
        <w:t xml:space="preserve">Inquiries about the licence and any use of this document should be emailed to </w:t>
      </w:r>
      <w:hyperlink r:id="rId47" w:history="1">
        <w:r w:rsidRPr="00CD29E9">
          <w:rPr>
            <w:rStyle w:val="Hyperlink"/>
          </w:rPr>
          <w:t>copyright@awe.gov.au</w:t>
        </w:r>
      </w:hyperlink>
      <w:r>
        <w:t>.</w:t>
      </w:r>
    </w:p>
    <w:p w14:paraId="38579675" w14:textId="77777777" w:rsidR="00FA65F9" w:rsidRDefault="00FA65F9" w:rsidP="00FA65F9">
      <w:pPr>
        <w:pStyle w:val="Normalsmall"/>
        <w:rPr>
          <w:rStyle w:val="Strong"/>
        </w:rPr>
      </w:pPr>
      <w:r>
        <w:rPr>
          <w:rStyle w:val="Strong"/>
        </w:rPr>
        <w:t>Cataloguing data</w:t>
      </w:r>
    </w:p>
    <w:p w14:paraId="1333C9CB" w14:textId="77777777" w:rsidR="00FA65F9" w:rsidRDefault="00FA65F9" w:rsidP="00FA65F9">
      <w:pPr>
        <w:pStyle w:val="Normalsmall"/>
      </w:pPr>
      <w:r>
        <w:t xml:space="preserve">This publication (and any material sourced from it) should be attributed as: </w:t>
      </w:r>
      <w:r w:rsidRPr="00AD44EA">
        <w:t xml:space="preserve">Department of Agriculture, Water and the </w:t>
      </w:r>
      <w:r w:rsidRPr="009D50E7">
        <w:t>Environment 20</w:t>
      </w:r>
      <w:r w:rsidRPr="009567C8">
        <w:t>2</w:t>
      </w:r>
      <w:r>
        <w:t>1</w:t>
      </w:r>
      <w:r w:rsidRPr="009567C8">
        <w:t xml:space="preserve">, </w:t>
      </w:r>
      <w:r w:rsidRPr="009567C8">
        <w:rPr>
          <w:i/>
        </w:rPr>
        <w:t>Conservation</w:t>
      </w:r>
      <w:r>
        <w:rPr>
          <w:i/>
        </w:rPr>
        <w:t xml:space="preserve"> advice for </w:t>
      </w:r>
      <w:r>
        <w:t>Banksia montana</w:t>
      </w:r>
      <w:r>
        <w:rPr>
          <w:i/>
        </w:rPr>
        <w:t xml:space="preserve"> (Stirling Range dryandra)</w:t>
      </w:r>
      <w:r>
        <w:t xml:space="preserve">, Canberra. </w:t>
      </w:r>
      <w:r w:rsidRPr="00D431C8">
        <w:rPr>
          <w:noProof/>
        </w:rPr>
        <w:drawing>
          <wp:inline distT="0" distB="0" distL="0" distR="0" wp14:anchorId="11991381" wp14:editId="388DE539">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5166" cy="218731"/>
                    </a:xfrm>
                    <a:prstGeom prst="rect">
                      <a:avLst/>
                    </a:prstGeom>
                  </pic:spPr>
                </pic:pic>
              </a:graphicData>
            </a:graphic>
          </wp:inline>
        </w:drawing>
      </w:r>
    </w:p>
    <w:p w14:paraId="44D12891" w14:textId="77777777" w:rsidR="00FA65F9" w:rsidRDefault="00FA65F9" w:rsidP="00FA65F9">
      <w:pPr>
        <w:pStyle w:val="Normalsmall"/>
      </w:pPr>
      <w:r>
        <w:t xml:space="preserve">This publication is </w:t>
      </w:r>
      <w:r w:rsidRPr="00E20810">
        <w:t>available at</w:t>
      </w:r>
      <w:r>
        <w:t xml:space="preserve"> the </w:t>
      </w:r>
      <w:hyperlink r:id="rId48" w:history="1">
        <w:r w:rsidRPr="00BA28D1">
          <w:rPr>
            <w:rStyle w:val="Hyperlink"/>
          </w:rPr>
          <w:t xml:space="preserve">SPRAT profile for </w:t>
        </w:r>
        <w:r>
          <w:rPr>
            <w:rStyle w:val="Hyperlink"/>
          </w:rPr>
          <w:t>Banksia montana</w:t>
        </w:r>
        <w:r w:rsidRPr="00BA28D1">
          <w:rPr>
            <w:rStyle w:val="Hyperlink"/>
            <w:i/>
          </w:rPr>
          <w:t xml:space="preserve"> (</w:t>
        </w:r>
        <w:r>
          <w:rPr>
            <w:rStyle w:val="Hyperlink"/>
            <w:i/>
          </w:rPr>
          <w:t>Stirling Range dryandra</w:t>
        </w:r>
        <w:r w:rsidRPr="00BA28D1">
          <w:rPr>
            <w:rStyle w:val="Hyperlink"/>
            <w:i/>
          </w:rPr>
          <w:t>).</w:t>
        </w:r>
      </w:hyperlink>
    </w:p>
    <w:p w14:paraId="270E28E1" w14:textId="77777777" w:rsidR="00FA65F9" w:rsidRDefault="00FA65F9" w:rsidP="00FA65F9">
      <w:pPr>
        <w:pStyle w:val="Normalsmall"/>
        <w:spacing w:after="0"/>
      </w:pPr>
      <w:r>
        <w:t>Department of Agriculture, Water and the Environment</w:t>
      </w:r>
    </w:p>
    <w:p w14:paraId="65431049" w14:textId="77777777" w:rsidR="00FA65F9" w:rsidRDefault="00FA65F9" w:rsidP="00FA65F9">
      <w:pPr>
        <w:pStyle w:val="Normalsmall"/>
        <w:spacing w:after="0"/>
      </w:pPr>
      <w:r>
        <w:t>GPO Box 858, Canberra ACT 2601</w:t>
      </w:r>
    </w:p>
    <w:p w14:paraId="58D4A479" w14:textId="77777777" w:rsidR="00FA65F9" w:rsidRDefault="00FA65F9" w:rsidP="00FA65F9">
      <w:pPr>
        <w:pStyle w:val="Normalsmall"/>
        <w:spacing w:after="0"/>
      </w:pPr>
      <w:r>
        <w:t xml:space="preserve">Telephone </w:t>
      </w:r>
      <w:r w:rsidRPr="00773056">
        <w:t>1800 900 090</w:t>
      </w:r>
    </w:p>
    <w:p w14:paraId="70B69BA2" w14:textId="77777777" w:rsidR="00FA65F9" w:rsidRDefault="00FA65F9" w:rsidP="00FA65F9">
      <w:pPr>
        <w:pStyle w:val="Normalsmall"/>
      </w:pPr>
      <w:r w:rsidRPr="00E20810">
        <w:t xml:space="preserve">Web </w:t>
      </w:r>
      <w:hyperlink r:id="rId49" w:history="1">
        <w:r w:rsidRPr="00E20810">
          <w:rPr>
            <w:rStyle w:val="Hyperlink"/>
          </w:rPr>
          <w:t>awe.gov.au</w:t>
        </w:r>
      </w:hyperlink>
    </w:p>
    <w:p w14:paraId="287D8259" w14:textId="77777777" w:rsidR="00FA65F9" w:rsidRDefault="00FA65F9" w:rsidP="00FA65F9">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1FE6AC5" w14:textId="77777777" w:rsidR="00FA65F9" w:rsidRDefault="00FA65F9" w:rsidP="00FA65F9">
      <w:pPr>
        <w:pStyle w:val="Caption"/>
        <w:spacing w:line="276" w:lineRule="auto"/>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FA65F9" w14:paraId="1AD43F5B" w14:textId="77777777" w:rsidTr="00D72EE4">
        <w:trPr>
          <w:cantSplit/>
          <w:tblHeader/>
        </w:trPr>
        <w:tc>
          <w:tcPr>
            <w:tcW w:w="3020" w:type="dxa"/>
            <w:tcBorders>
              <w:top w:val="single" w:sz="4" w:space="0" w:color="auto"/>
              <w:bottom w:val="single" w:sz="4" w:space="0" w:color="auto"/>
            </w:tcBorders>
          </w:tcPr>
          <w:p w14:paraId="4852EA9F" w14:textId="77777777" w:rsidR="00FA65F9" w:rsidRDefault="00FA65F9" w:rsidP="00D72EE4">
            <w:pPr>
              <w:pStyle w:val="TableHeading"/>
              <w:spacing w:line="276" w:lineRule="auto"/>
            </w:pPr>
            <w:r>
              <w:t>Document type</w:t>
            </w:r>
          </w:p>
        </w:tc>
        <w:tc>
          <w:tcPr>
            <w:tcW w:w="3020" w:type="dxa"/>
            <w:tcBorders>
              <w:top w:val="single" w:sz="4" w:space="0" w:color="auto"/>
              <w:bottom w:val="single" w:sz="4" w:space="0" w:color="auto"/>
            </w:tcBorders>
          </w:tcPr>
          <w:p w14:paraId="2FFFB4B2" w14:textId="77777777" w:rsidR="00FA65F9" w:rsidRDefault="00FA65F9" w:rsidP="00D72EE4">
            <w:pPr>
              <w:pStyle w:val="TableHeading"/>
              <w:spacing w:line="276" w:lineRule="auto"/>
            </w:pPr>
            <w:r>
              <w:t>Title</w:t>
            </w:r>
          </w:p>
        </w:tc>
        <w:tc>
          <w:tcPr>
            <w:tcW w:w="3020" w:type="dxa"/>
            <w:tcBorders>
              <w:top w:val="single" w:sz="4" w:space="0" w:color="auto"/>
              <w:bottom w:val="single" w:sz="4" w:space="0" w:color="auto"/>
            </w:tcBorders>
          </w:tcPr>
          <w:p w14:paraId="7FC3EFD2" w14:textId="77777777" w:rsidR="00FA65F9" w:rsidRDefault="00FA65F9" w:rsidP="00D72EE4">
            <w:pPr>
              <w:pStyle w:val="TableHeading"/>
              <w:spacing w:line="276" w:lineRule="auto"/>
            </w:pPr>
            <w:r>
              <w:t>Date [dd mm yyyy]</w:t>
            </w:r>
          </w:p>
        </w:tc>
      </w:tr>
      <w:tr w:rsidR="00FA65F9" w14:paraId="4249A8FE" w14:textId="77777777" w:rsidTr="00D72EE4">
        <w:tc>
          <w:tcPr>
            <w:tcW w:w="3020" w:type="dxa"/>
            <w:tcBorders>
              <w:top w:val="single" w:sz="4" w:space="0" w:color="auto"/>
            </w:tcBorders>
          </w:tcPr>
          <w:p w14:paraId="5B8F4778" w14:textId="77777777" w:rsidR="00FA65F9" w:rsidRDefault="00FA65F9" w:rsidP="00D72EE4">
            <w:pPr>
              <w:pStyle w:val="TableText"/>
              <w:spacing w:line="276" w:lineRule="auto"/>
            </w:pPr>
            <w:r>
              <w:t>–</w:t>
            </w:r>
          </w:p>
        </w:tc>
        <w:tc>
          <w:tcPr>
            <w:tcW w:w="3020" w:type="dxa"/>
            <w:tcBorders>
              <w:top w:val="single" w:sz="4" w:space="0" w:color="auto"/>
            </w:tcBorders>
          </w:tcPr>
          <w:p w14:paraId="22B5B664" w14:textId="77777777" w:rsidR="00FA65F9" w:rsidRDefault="00FA65F9" w:rsidP="00D72EE4">
            <w:pPr>
              <w:pStyle w:val="TableText"/>
              <w:spacing w:line="276" w:lineRule="auto"/>
            </w:pPr>
            <w:r>
              <w:t>–</w:t>
            </w:r>
          </w:p>
        </w:tc>
        <w:tc>
          <w:tcPr>
            <w:tcW w:w="3020" w:type="dxa"/>
            <w:tcBorders>
              <w:top w:val="single" w:sz="4" w:space="0" w:color="auto"/>
            </w:tcBorders>
          </w:tcPr>
          <w:p w14:paraId="3022CE1B" w14:textId="77777777" w:rsidR="00FA65F9" w:rsidRDefault="00FA65F9" w:rsidP="00D72EE4">
            <w:pPr>
              <w:pStyle w:val="TableText"/>
              <w:spacing w:line="276" w:lineRule="auto"/>
            </w:pPr>
            <w:r>
              <w:t>–</w:t>
            </w:r>
          </w:p>
        </w:tc>
      </w:tr>
      <w:tr w:rsidR="00FA65F9" w14:paraId="4E54D057" w14:textId="77777777" w:rsidTr="00D72EE4">
        <w:tc>
          <w:tcPr>
            <w:tcW w:w="3020" w:type="dxa"/>
          </w:tcPr>
          <w:p w14:paraId="1EE4E12E" w14:textId="77777777" w:rsidR="00FA65F9" w:rsidRDefault="00FA65F9" w:rsidP="00D72EE4">
            <w:pPr>
              <w:pStyle w:val="TableText"/>
              <w:spacing w:line="276" w:lineRule="auto"/>
            </w:pPr>
            <w:r>
              <w:t>–</w:t>
            </w:r>
          </w:p>
        </w:tc>
        <w:tc>
          <w:tcPr>
            <w:tcW w:w="3020" w:type="dxa"/>
          </w:tcPr>
          <w:p w14:paraId="4D9F716F" w14:textId="77777777" w:rsidR="00FA65F9" w:rsidRDefault="00FA65F9" w:rsidP="00D72EE4">
            <w:pPr>
              <w:pStyle w:val="TableText"/>
              <w:spacing w:line="276" w:lineRule="auto"/>
            </w:pPr>
            <w:r>
              <w:t>–</w:t>
            </w:r>
          </w:p>
        </w:tc>
        <w:tc>
          <w:tcPr>
            <w:tcW w:w="3020" w:type="dxa"/>
          </w:tcPr>
          <w:p w14:paraId="78CF935A" w14:textId="77777777" w:rsidR="00FA65F9" w:rsidRDefault="00FA65F9" w:rsidP="00D72EE4">
            <w:pPr>
              <w:pStyle w:val="TableText"/>
              <w:spacing w:line="276" w:lineRule="auto"/>
            </w:pPr>
            <w:r>
              <w:t>–</w:t>
            </w:r>
          </w:p>
        </w:tc>
      </w:tr>
    </w:tbl>
    <w:p w14:paraId="26C98222" w14:textId="77777777" w:rsidR="00FA65F9" w:rsidRPr="009E30E5" w:rsidRDefault="00FA65F9" w:rsidP="00FA65F9"/>
    <w:p w14:paraId="1B9214BE" w14:textId="77777777" w:rsidR="00FA65F9" w:rsidRDefault="00FA65F9" w:rsidP="00FA65F9"/>
    <w:p w14:paraId="4E326DF3" w14:textId="77777777" w:rsidR="00FA65F9" w:rsidRDefault="00FA65F9" w:rsidP="00FA65F9"/>
    <w:p w14:paraId="7FB0F491" w14:textId="77777777" w:rsidR="00FA65F9" w:rsidRPr="00EF3EA1" w:rsidRDefault="00FA65F9" w:rsidP="00FA65F9"/>
    <w:p w14:paraId="42A35117" w14:textId="77777777" w:rsidR="00FA65F9" w:rsidRDefault="00FA65F9" w:rsidP="00FA65F9"/>
    <w:p w14:paraId="39A87501" w14:textId="77777777" w:rsidR="00A62C5E" w:rsidRPr="00FA65F9" w:rsidRDefault="00A62C5E" w:rsidP="00FA65F9"/>
    <w:sectPr w:rsidR="00A62C5E" w:rsidRPr="00FA65F9" w:rsidSect="00527EC4">
      <w:headerReference w:type="even" r:id="rId50"/>
      <w:headerReference w:type="default" r:id="rId51"/>
      <w:headerReference w:type="first" r:id="rId52"/>
      <w:footerReference w:type="first" r:id="rId5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32D6" w14:textId="77777777" w:rsidR="00B6582D" w:rsidRDefault="00B6582D">
      <w:pPr>
        <w:spacing w:after="0" w:line="240" w:lineRule="auto"/>
      </w:pPr>
      <w:r>
        <w:separator/>
      </w:r>
    </w:p>
  </w:endnote>
  <w:endnote w:type="continuationSeparator" w:id="0">
    <w:p w14:paraId="646F1AD4" w14:textId="77777777" w:rsidR="00B6582D" w:rsidRDefault="00B6582D">
      <w:pPr>
        <w:spacing w:after="0" w:line="240" w:lineRule="auto"/>
      </w:pPr>
      <w:r>
        <w:continuationSeparator/>
      </w:r>
    </w:p>
  </w:endnote>
  <w:endnote w:type="continuationNotice" w:id="1">
    <w:p w14:paraId="63F09473" w14:textId="77777777" w:rsidR="00B6582D" w:rsidRDefault="00B65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C2E4" w14:textId="77777777" w:rsidR="00FA65F9" w:rsidRDefault="00FA65F9" w:rsidP="00527EC4">
    <w:pPr>
      <w:pStyle w:val="Footer"/>
    </w:pPr>
    <w:r>
      <w:t>Threatened Species Scientific Committee</w:t>
    </w:r>
  </w:p>
  <w:p w14:paraId="4FAC77EC" w14:textId="77777777" w:rsidR="00FA65F9" w:rsidRDefault="00FA65F9" w:rsidP="00527EC4">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CE17" w14:textId="77777777" w:rsidR="00FA65F9" w:rsidRDefault="00FA65F9" w:rsidP="00527EC4">
    <w:pPr>
      <w:pStyle w:val="Footer"/>
    </w:pPr>
    <w:r>
      <w:t>Department of Agriculture, Water and the Environment</w:t>
    </w:r>
  </w:p>
  <w:p w14:paraId="5C5947BB" w14:textId="77777777" w:rsidR="00FA65F9" w:rsidRDefault="00FA65F9" w:rsidP="00527EC4">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317E" w14:textId="77777777" w:rsidR="00E06CC9" w:rsidRDefault="00E06CC9" w:rsidP="00527EC4">
    <w:pPr>
      <w:pStyle w:val="Footer"/>
    </w:pPr>
    <w:r>
      <w:t>Threatened Species Scientific Committee</w:t>
    </w:r>
  </w:p>
  <w:p w14:paraId="02487BA7" w14:textId="77777777" w:rsidR="00E06CC9" w:rsidRDefault="00E06CC9" w:rsidP="00527EC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42D5D" w14:textId="77777777" w:rsidR="00B6582D" w:rsidRDefault="00B6582D">
      <w:pPr>
        <w:spacing w:after="0" w:line="240" w:lineRule="auto"/>
      </w:pPr>
      <w:r>
        <w:separator/>
      </w:r>
    </w:p>
  </w:footnote>
  <w:footnote w:type="continuationSeparator" w:id="0">
    <w:p w14:paraId="1EAEA474" w14:textId="77777777" w:rsidR="00B6582D" w:rsidRDefault="00B6582D">
      <w:pPr>
        <w:spacing w:after="0" w:line="240" w:lineRule="auto"/>
      </w:pPr>
      <w:r>
        <w:continuationSeparator/>
      </w:r>
    </w:p>
  </w:footnote>
  <w:footnote w:type="continuationNotice" w:id="1">
    <w:p w14:paraId="5170C0E5" w14:textId="77777777" w:rsidR="00B6582D" w:rsidRDefault="00B658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9FBD" w14:textId="77777777" w:rsidR="00FA65F9" w:rsidRDefault="00FA65F9">
    <w:pPr>
      <w:pStyle w:val="Header"/>
    </w:pPr>
  </w:p>
  <w:p w14:paraId="24BFDBF2" w14:textId="77777777" w:rsidR="00FA65F9" w:rsidRDefault="00FA65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22EA" w14:textId="77777777" w:rsidR="00FA65F9" w:rsidRDefault="00FA65F9" w:rsidP="00527EC4">
    <w:pPr>
      <w:pStyle w:val="Header"/>
    </w:pPr>
    <w:r>
      <w:rPr>
        <w:rStyle w:val="Emphasis"/>
      </w:rPr>
      <w:t>Banksia montana</w:t>
    </w:r>
    <w:r>
      <w:t xml:space="preserve"> (Stirling Range dryandra)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05FA" w14:textId="77777777" w:rsidR="00FA65F9" w:rsidRDefault="00FA65F9" w:rsidP="00527EC4">
    <w:pPr>
      <w:pStyle w:val="Header"/>
      <w:tabs>
        <w:tab w:val="clear" w:pos="4820"/>
        <w:tab w:val="left" w:pos="7992"/>
      </w:tabs>
      <w:jc w:val="left"/>
    </w:pPr>
    <w:r>
      <w:rPr>
        <w:noProof/>
        <w:lang w:eastAsia="en-AU"/>
      </w:rPr>
      <w:drawing>
        <wp:inline distT="0" distB="0" distL="0" distR="0" wp14:anchorId="732A8B5A" wp14:editId="4230EC2A">
          <wp:extent cx="2417064" cy="7254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9470" w14:textId="77777777" w:rsidR="00E06CC9" w:rsidRDefault="00E06C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B22A" w14:textId="225E2011" w:rsidR="00E06CC9" w:rsidRDefault="00E06CC9" w:rsidP="00527EC4">
    <w:pPr>
      <w:pStyle w:val="Header"/>
    </w:pPr>
    <w:r>
      <w:rPr>
        <w:rStyle w:val="Emphasis"/>
        <w:highlight w:val="yellow"/>
      </w:rPr>
      <w:t>Banksia montana</w:t>
    </w:r>
    <w:r>
      <w:t xml:space="preserve"> (Stirling Range dryandra)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75FC" w14:textId="77777777" w:rsidR="00E06CC9" w:rsidRPr="003E30FD" w:rsidRDefault="00E06CC9" w:rsidP="00527EC4">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094349EC" w14:textId="77777777" w:rsidR="00E06CC9" w:rsidRPr="00D728A1" w:rsidRDefault="00E06CC9" w:rsidP="00527EC4">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577A27F" w14:textId="77777777" w:rsidR="00E06CC9" w:rsidRDefault="00E06CC9" w:rsidP="00527EC4">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46FA8"/>
    <w:multiLevelType w:val="hybridMultilevel"/>
    <w:tmpl w:val="A802CB3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55F06"/>
    <w:multiLevelType w:val="hybridMultilevel"/>
    <w:tmpl w:val="40881F3E"/>
    <w:lvl w:ilvl="0" w:tplc="E31A1DD6">
      <w:start w:val="1"/>
      <w:numFmt w:val="bullet"/>
      <w:pStyle w:val="CA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196B606F"/>
    <w:multiLevelType w:val="hybridMultilevel"/>
    <w:tmpl w:val="AEBCFD1C"/>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21A328D5"/>
    <w:multiLevelType w:val="multilevel"/>
    <w:tmpl w:val="BE78A4F8"/>
    <w:numStyleLink w:val="Numberlist"/>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5"/>
  </w:num>
  <w:num w:numId="3">
    <w:abstractNumId w:val="11"/>
  </w:num>
  <w:num w:numId="4">
    <w:abstractNumId w:val="12"/>
  </w:num>
  <w:num w:numId="5">
    <w:abstractNumId w:val="7"/>
  </w:num>
  <w:num w:numId="6">
    <w:abstractNumId w:val="10"/>
  </w:num>
  <w:num w:numId="7">
    <w:abstractNumId w:val="6"/>
  </w:num>
  <w:num w:numId="8">
    <w:abstractNumId w:val="9"/>
  </w:num>
  <w:num w:numId="9">
    <w:abstractNumId w:val="3"/>
  </w:num>
  <w:num w:numId="10">
    <w:abstractNumId w:val="2"/>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5E"/>
    <w:rsid w:val="000006A7"/>
    <w:rsid w:val="000024D0"/>
    <w:rsid w:val="00007211"/>
    <w:rsid w:val="00007F3F"/>
    <w:rsid w:val="00010A4D"/>
    <w:rsid w:val="00013235"/>
    <w:rsid w:val="00014C0F"/>
    <w:rsid w:val="00014EAC"/>
    <w:rsid w:val="00015234"/>
    <w:rsid w:val="00020A90"/>
    <w:rsid w:val="000226AB"/>
    <w:rsid w:val="00022DA7"/>
    <w:rsid w:val="00023ADE"/>
    <w:rsid w:val="0002443B"/>
    <w:rsid w:val="0002451A"/>
    <w:rsid w:val="00026B34"/>
    <w:rsid w:val="00027214"/>
    <w:rsid w:val="00030448"/>
    <w:rsid w:val="0003062B"/>
    <w:rsid w:val="00030E7A"/>
    <w:rsid w:val="00036A73"/>
    <w:rsid w:val="00036EBF"/>
    <w:rsid w:val="0003715C"/>
    <w:rsid w:val="00044829"/>
    <w:rsid w:val="00045DE7"/>
    <w:rsid w:val="00046082"/>
    <w:rsid w:val="00046FFA"/>
    <w:rsid w:val="00051944"/>
    <w:rsid w:val="00053D04"/>
    <w:rsid w:val="0005496E"/>
    <w:rsid w:val="00056B7A"/>
    <w:rsid w:val="00056E69"/>
    <w:rsid w:val="00060A1C"/>
    <w:rsid w:val="000613B6"/>
    <w:rsid w:val="00061828"/>
    <w:rsid w:val="000621EA"/>
    <w:rsid w:val="0006332A"/>
    <w:rsid w:val="00066A61"/>
    <w:rsid w:val="00066FFA"/>
    <w:rsid w:val="0007111B"/>
    <w:rsid w:val="00071B80"/>
    <w:rsid w:val="00071FB1"/>
    <w:rsid w:val="00076E97"/>
    <w:rsid w:val="00076EFA"/>
    <w:rsid w:val="0007739D"/>
    <w:rsid w:val="000829C0"/>
    <w:rsid w:val="00084176"/>
    <w:rsid w:val="000858B4"/>
    <w:rsid w:val="00085F10"/>
    <w:rsid w:val="00085FD9"/>
    <w:rsid w:val="00086E90"/>
    <w:rsid w:val="00090729"/>
    <w:rsid w:val="000923BE"/>
    <w:rsid w:val="00093AEF"/>
    <w:rsid w:val="00093B30"/>
    <w:rsid w:val="000950E3"/>
    <w:rsid w:val="00096550"/>
    <w:rsid w:val="000A093F"/>
    <w:rsid w:val="000A1784"/>
    <w:rsid w:val="000A2E39"/>
    <w:rsid w:val="000A4851"/>
    <w:rsid w:val="000A634F"/>
    <w:rsid w:val="000A647D"/>
    <w:rsid w:val="000A7D75"/>
    <w:rsid w:val="000B34B7"/>
    <w:rsid w:val="000B3ACA"/>
    <w:rsid w:val="000B4EAA"/>
    <w:rsid w:val="000B7F41"/>
    <w:rsid w:val="000C15B1"/>
    <w:rsid w:val="000C2517"/>
    <w:rsid w:val="000C35BE"/>
    <w:rsid w:val="000C4D67"/>
    <w:rsid w:val="000C52E0"/>
    <w:rsid w:val="000C66BD"/>
    <w:rsid w:val="000D0EA3"/>
    <w:rsid w:val="000D1264"/>
    <w:rsid w:val="000D4BDA"/>
    <w:rsid w:val="000D4E6F"/>
    <w:rsid w:val="000D4F95"/>
    <w:rsid w:val="000D5263"/>
    <w:rsid w:val="000D59CE"/>
    <w:rsid w:val="000E167F"/>
    <w:rsid w:val="000E2345"/>
    <w:rsid w:val="000E2639"/>
    <w:rsid w:val="000E335C"/>
    <w:rsid w:val="000F1E16"/>
    <w:rsid w:val="000F31E6"/>
    <w:rsid w:val="001050B1"/>
    <w:rsid w:val="00105465"/>
    <w:rsid w:val="001057D9"/>
    <w:rsid w:val="0010617F"/>
    <w:rsid w:val="00114107"/>
    <w:rsid w:val="00114F1D"/>
    <w:rsid w:val="0011689B"/>
    <w:rsid w:val="00117323"/>
    <w:rsid w:val="001206D0"/>
    <w:rsid w:val="00120C97"/>
    <w:rsid w:val="00123060"/>
    <w:rsid w:val="00124B67"/>
    <w:rsid w:val="0012564B"/>
    <w:rsid w:val="00126E75"/>
    <w:rsid w:val="00130355"/>
    <w:rsid w:val="0013248F"/>
    <w:rsid w:val="001330E4"/>
    <w:rsid w:val="00133793"/>
    <w:rsid w:val="001366AB"/>
    <w:rsid w:val="00136FFB"/>
    <w:rsid w:val="00137340"/>
    <w:rsid w:val="0014094B"/>
    <w:rsid w:val="00140A54"/>
    <w:rsid w:val="00141100"/>
    <w:rsid w:val="00142CD9"/>
    <w:rsid w:val="00142D62"/>
    <w:rsid w:val="00144E2E"/>
    <w:rsid w:val="00151D51"/>
    <w:rsid w:val="0015314A"/>
    <w:rsid w:val="00153B51"/>
    <w:rsid w:val="00154075"/>
    <w:rsid w:val="001600EF"/>
    <w:rsid w:val="00160D53"/>
    <w:rsid w:val="0016446E"/>
    <w:rsid w:val="001703AC"/>
    <w:rsid w:val="0017580C"/>
    <w:rsid w:val="00175C1D"/>
    <w:rsid w:val="001847D1"/>
    <w:rsid w:val="001848C7"/>
    <w:rsid w:val="001A0D81"/>
    <w:rsid w:val="001A437A"/>
    <w:rsid w:val="001A55D5"/>
    <w:rsid w:val="001A5A37"/>
    <w:rsid w:val="001A77D0"/>
    <w:rsid w:val="001B2931"/>
    <w:rsid w:val="001B2E6F"/>
    <w:rsid w:val="001B4225"/>
    <w:rsid w:val="001B434F"/>
    <w:rsid w:val="001B5B4D"/>
    <w:rsid w:val="001B7002"/>
    <w:rsid w:val="001C029D"/>
    <w:rsid w:val="001C03A9"/>
    <w:rsid w:val="001C3500"/>
    <w:rsid w:val="001C3626"/>
    <w:rsid w:val="001C4F50"/>
    <w:rsid w:val="001C61C7"/>
    <w:rsid w:val="001D1A1B"/>
    <w:rsid w:val="001D1DD3"/>
    <w:rsid w:val="001D2E4F"/>
    <w:rsid w:val="001D4C03"/>
    <w:rsid w:val="001D7AF9"/>
    <w:rsid w:val="001D7FA9"/>
    <w:rsid w:val="001E5232"/>
    <w:rsid w:val="001E5753"/>
    <w:rsid w:val="001E695C"/>
    <w:rsid w:val="001E69F3"/>
    <w:rsid w:val="001F17D0"/>
    <w:rsid w:val="001F18FF"/>
    <w:rsid w:val="001F279A"/>
    <w:rsid w:val="001F2C6B"/>
    <w:rsid w:val="001F48CF"/>
    <w:rsid w:val="001F5CA4"/>
    <w:rsid w:val="002055A6"/>
    <w:rsid w:val="00210BB5"/>
    <w:rsid w:val="00214A49"/>
    <w:rsid w:val="00216F56"/>
    <w:rsid w:val="00217257"/>
    <w:rsid w:val="00220A80"/>
    <w:rsid w:val="00222E8F"/>
    <w:rsid w:val="00223289"/>
    <w:rsid w:val="00224322"/>
    <w:rsid w:val="0022709B"/>
    <w:rsid w:val="002302BB"/>
    <w:rsid w:val="00230D0F"/>
    <w:rsid w:val="00231E5A"/>
    <w:rsid w:val="002327F0"/>
    <w:rsid w:val="00232C8F"/>
    <w:rsid w:val="00236831"/>
    <w:rsid w:val="00236FB3"/>
    <w:rsid w:val="00241A47"/>
    <w:rsid w:val="00242CC2"/>
    <w:rsid w:val="00244079"/>
    <w:rsid w:val="00247969"/>
    <w:rsid w:val="0025275A"/>
    <w:rsid w:val="002554D8"/>
    <w:rsid w:val="00260B67"/>
    <w:rsid w:val="002634AF"/>
    <w:rsid w:val="00264407"/>
    <w:rsid w:val="00267EF6"/>
    <w:rsid w:val="00274C5B"/>
    <w:rsid w:val="00274D0F"/>
    <w:rsid w:val="00281651"/>
    <w:rsid w:val="002818B0"/>
    <w:rsid w:val="00285886"/>
    <w:rsid w:val="0028697E"/>
    <w:rsid w:val="0028752C"/>
    <w:rsid w:val="00287A4A"/>
    <w:rsid w:val="00291B84"/>
    <w:rsid w:val="0029434E"/>
    <w:rsid w:val="002948A6"/>
    <w:rsid w:val="00294A8B"/>
    <w:rsid w:val="00297064"/>
    <w:rsid w:val="002A112A"/>
    <w:rsid w:val="002A2CFC"/>
    <w:rsid w:val="002A7E96"/>
    <w:rsid w:val="002B093A"/>
    <w:rsid w:val="002B1D1B"/>
    <w:rsid w:val="002B3B39"/>
    <w:rsid w:val="002B7322"/>
    <w:rsid w:val="002C2ABE"/>
    <w:rsid w:val="002C38D8"/>
    <w:rsid w:val="002C51B2"/>
    <w:rsid w:val="002C5947"/>
    <w:rsid w:val="002C7842"/>
    <w:rsid w:val="002C7D80"/>
    <w:rsid w:val="002D0D4F"/>
    <w:rsid w:val="002D14C8"/>
    <w:rsid w:val="002D1A1C"/>
    <w:rsid w:val="002D2777"/>
    <w:rsid w:val="002D5C8C"/>
    <w:rsid w:val="002D726E"/>
    <w:rsid w:val="002D7480"/>
    <w:rsid w:val="002D7A29"/>
    <w:rsid w:val="002E6F41"/>
    <w:rsid w:val="002F21E1"/>
    <w:rsid w:val="002F2757"/>
    <w:rsid w:val="002F27C5"/>
    <w:rsid w:val="002F34ED"/>
    <w:rsid w:val="0030009A"/>
    <w:rsid w:val="0030014B"/>
    <w:rsid w:val="00301D0F"/>
    <w:rsid w:val="00303545"/>
    <w:rsid w:val="0030522F"/>
    <w:rsid w:val="00311D5E"/>
    <w:rsid w:val="00313810"/>
    <w:rsid w:val="003160FD"/>
    <w:rsid w:val="0032098B"/>
    <w:rsid w:val="00320B0C"/>
    <w:rsid w:val="00321030"/>
    <w:rsid w:val="0032116B"/>
    <w:rsid w:val="00321A0F"/>
    <w:rsid w:val="00327313"/>
    <w:rsid w:val="00331CC8"/>
    <w:rsid w:val="003332DF"/>
    <w:rsid w:val="00334527"/>
    <w:rsid w:val="003362E1"/>
    <w:rsid w:val="00337EB9"/>
    <w:rsid w:val="00344B38"/>
    <w:rsid w:val="00346333"/>
    <w:rsid w:val="0034672B"/>
    <w:rsid w:val="003546E2"/>
    <w:rsid w:val="00354757"/>
    <w:rsid w:val="0035572B"/>
    <w:rsid w:val="00361138"/>
    <w:rsid w:val="0036528C"/>
    <w:rsid w:val="003701D3"/>
    <w:rsid w:val="00373070"/>
    <w:rsid w:val="00373365"/>
    <w:rsid w:val="003738E6"/>
    <w:rsid w:val="0037496E"/>
    <w:rsid w:val="00375EBF"/>
    <w:rsid w:val="0037611A"/>
    <w:rsid w:val="00376E79"/>
    <w:rsid w:val="003772A9"/>
    <w:rsid w:val="0037769C"/>
    <w:rsid w:val="00383952"/>
    <w:rsid w:val="00387062"/>
    <w:rsid w:val="00387A14"/>
    <w:rsid w:val="003908F7"/>
    <w:rsid w:val="00395F62"/>
    <w:rsid w:val="0039699D"/>
    <w:rsid w:val="003A60C4"/>
    <w:rsid w:val="003A71D5"/>
    <w:rsid w:val="003A7DC8"/>
    <w:rsid w:val="003B16E2"/>
    <w:rsid w:val="003B24A1"/>
    <w:rsid w:val="003B30D3"/>
    <w:rsid w:val="003B30FB"/>
    <w:rsid w:val="003B76EB"/>
    <w:rsid w:val="003C1D6B"/>
    <w:rsid w:val="003C3554"/>
    <w:rsid w:val="003C35B4"/>
    <w:rsid w:val="003C67FA"/>
    <w:rsid w:val="003D1D1B"/>
    <w:rsid w:val="003D2882"/>
    <w:rsid w:val="003D5271"/>
    <w:rsid w:val="003D6872"/>
    <w:rsid w:val="003D68D3"/>
    <w:rsid w:val="003E09E5"/>
    <w:rsid w:val="003E7200"/>
    <w:rsid w:val="003E7A5F"/>
    <w:rsid w:val="003F1399"/>
    <w:rsid w:val="003F2413"/>
    <w:rsid w:val="003F2D23"/>
    <w:rsid w:val="003F2F28"/>
    <w:rsid w:val="003F4248"/>
    <w:rsid w:val="003F607A"/>
    <w:rsid w:val="003F6683"/>
    <w:rsid w:val="003F7B09"/>
    <w:rsid w:val="004039D3"/>
    <w:rsid w:val="00404510"/>
    <w:rsid w:val="004048FB"/>
    <w:rsid w:val="00404E9C"/>
    <w:rsid w:val="0041115C"/>
    <w:rsid w:val="00411944"/>
    <w:rsid w:val="00411BD9"/>
    <w:rsid w:val="00413ADF"/>
    <w:rsid w:val="00416835"/>
    <w:rsid w:val="00426BF9"/>
    <w:rsid w:val="00427BF2"/>
    <w:rsid w:val="00431F79"/>
    <w:rsid w:val="00436F6D"/>
    <w:rsid w:val="0044017B"/>
    <w:rsid w:val="00440D92"/>
    <w:rsid w:val="00442E2D"/>
    <w:rsid w:val="004438D1"/>
    <w:rsid w:val="00444738"/>
    <w:rsid w:val="00446D56"/>
    <w:rsid w:val="0044796A"/>
    <w:rsid w:val="00450219"/>
    <w:rsid w:val="004513AA"/>
    <w:rsid w:val="0045187C"/>
    <w:rsid w:val="00452532"/>
    <w:rsid w:val="0045413B"/>
    <w:rsid w:val="004542B6"/>
    <w:rsid w:val="00454418"/>
    <w:rsid w:val="00454839"/>
    <w:rsid w:val="0046122E"/>
    <w:rsid w:val="00463720"/>
    <w:rsid w:val="00466371"/>
    <w:rsid w:val="00467E04"/>
    <w:rsid w:val="00467E17"/>
    <w:rsid w:val="00474F1E"/>
    <w:rsid w:val="004751D8"/>
    <w:rsid w:val="0048283F"/>
    <w:rsid w:val="004855EA"/>
    <w:rsid w:val="0048607E"/>
    <w:rsid w:val="00487DD2"/>
    <w:rsid w:val="00490310"/>
    <w:rsid w:val="00490FEB"/>
    <w:rsid w:val="0049160F"/>
    <w:rsid w:val="00493047"/>
    <w:rsid w:val="004946E1"/>
    <w:rsid w:val="00496B10"/>
    <w:rsid w:val="00497A61"/>
    <w:rsid w:val="004A2598"/>
    <w:rsid w:val="004A7740"/>
    <w:rsid w:val="004B1490"/>
    <w:rsid w:val="004B58E6"/>
    <w:rsid w:val="004B6114"/>
    <w:rsid w:val="004B73F5"/>
    <w:rsid w:val="004C007A"/>
    <w:rsid w:val="004C1BD2"/>
    <w:rsid w:val="004C4FFA"/>
    <w:rsid w:val="004C65B9"/>
    <w:rsid w:val="004C75AF"/>
    <w:rsid w:val="004D2210"/>
    <w:rsid w:val="004D2D58"/>
    <w:rsid w:val="004D54D4"/>
    <w:rsid w:val="004E1D5A"/>
    <w:rsid w:val="004E35E8"/>
    <w:rsid w:val="004E3AF7"/>
    <w:rsid w:val="004E3C99"/>
    <w:rsid w:val="004E63A8"/>
    <w:rsid w:val="004E6DED"/>
    <w:rsid w:val="004E7DA8"/>
    <w:rsid w:val="004F15EA"/>
    <w:rsid w:val="004F215A"/>
    <w:rsid w:val="004F28A5"/>
    <w:rsid w:val="004F6B67"/>
    <w:rsid w:val="004F6D5F"/>
    <w:rsid w:val="00500F2E"/>
    <w:rsid w:val="00503272"/>
    <w:rsid w:val="0050514D"/>
    <w:rsid w:val="005053EC"/>
    <w:rsid w:val="005064BC"/>
    <w:rsid w:val="00514D70"/>
    <w:rsid w:val="00514E80"/>
    <w:rsid w:val="00516042"/>
    <w:rsid w:val="005162F1"/>
    <w:rsid w:val="00516429"/>
    <w:rsid w:val="00516450"/>
    <w:rsid w:val="0051761F"/>
    <w:rsid w:val="0051783F"/>
    <w:rsid w:val="00522348"/>
    <w:rsid w:val="005262A3"/>
    <w:rsid w:val="00526414"/>
    <w:rsid w:val="0052799D"/>
    <w:rsid w:val="00527EC4"/>
    <w:rsid w:val="00533337"/>
    <w:rsid w:val="005353DF"/>
    <w:rsid w:val="00540ED3"/>
    <w:rsid w:val="00541D25"/>
    <w:rsid w:val="0054274A"/>
    <w:rsid w:val="00544BF6"/>
    <w:rsid w:val="00545856"/>
    <w:rsid w:val="005468A0"/>
    <w:rsid w:val="005506E7"/>
    <w:rsid w:val="00550A02"/>
    <w:rsid w:val="00557261"/>
    <w:rsid w:val="00562B5F"/>
    <w:rsid w:val="005645C1"/>
    <w:rsid w:val="0056466C"/>
    <w:rsid w:val="0056495F"/>
    <w:rsid w:val="00567735"/>
    <w:rsid w:val="005718F0"/>
    <w:rsid w:val="00576466"/>
    <w:rsid w:val="00577562"/>
    <w:rsid w:val="00577B4A"/>
    <w:rsid w:val="005831AF"/>
    <w:rsid w:val="00587B41"/>
    <w:rsid w:val="00591D50"/>
    <w:rsid w:val="0059323E"/>
    <w:rsid w:val="005934A4"/>
    <w:rsid w:val="00594462"/>
    <w:rsid w:val="005958B5"/>
    <w:rsid w:val="005967C9"/>
    <w:rsid w:val="00597132"/>
    <w:rsid w:val="005A7185"/>
    <w:rsid w:val="005A753F"/>
    <w:rsid w:val="005B1199"/>
    <w:rsid w:val="005B60CE"/>
    <w:rsid w:val="005B68AE"/>
    <w:rsid w:val="005B7A8B"/>
    <w:rsid w:val="005B7FE5"/>
    <w:rsid w:val="005C0FD9"/>
    <w:rsid w:val="005C289A"/>
    <w:rsid w:val="005C2E23"/>
    <w:rsid w:val="005C6091"/>
    <w:rsid w:val="005C7396"/>
    <w:rsid w:val="005D128D"/>
    <w:rsid w:val="005D21E4"/>
    <w:rsid w:val="005D2255"/>
    <w:rsid w:val="005D2492"/>
    <w:rsid w:val="005D3FBA"/>
    <w:rsid w:val="005D638D"/>
    <w:rsid w:val="005D757B"/>
    <w:rsid w:val="005E1DB1"/>
    <w:rsid w:val="005F0659"/>
    <w:rsid w:val="005F1294"/>
    <w:rsid w:val="005F45DF"/>
    <w:rsid w:val="005F7B2B"/>
    <w:rsid w:val="00600CD7"/>
    <w:rsid w:val="00601420"/>
    <w:rsid w:val="006019F1"/>
    <w:rsid w:val="006026F7"/>
    <w:rsid w:val="00603010"/>
    <w:rsid w:val="00603C16"/>
    <w:rsid w:val="006066DA"/>
    <w:rsid w:val="006100D8"/>
    <w:rsid w:val="006155D3"/>
    <w:rsid w:val="00615611"/>
    <w:rsid w:val="00616C82"/>
    <w:rsid w:val="00620241"/>
    <w:rsid w:val="0062215B"/>
    <w:rsid w:val="00622407"/>
    <w:rsid w:val="00623B56"/>
    <w:rsid w:val="0062569C"/>
    <w:rsid w:val="006310AA"/>
    <w:rsid w:val="00633680"/>
    <w:rsid w:val="006359B0"/>
    <w:rsid w:val="0063683F"/>
    <w:rsid w:val="006368B6"/>
    <w:rsid w:val="00641CC4"/>
    <w:rsid w:val="00642783"/>
    <w:rsid w:val="00644919"/>
    <w:rsid w:val="00644C00"/>
    <w:rsid w:val="00644D3D"/>
    <w:rsid w:val="006458B9"/>
    <w:rsid w:val="00647601"/>
    <w:rsid w:val="00650573"/>
    <w:rsid w:val="0065377F"/>
    <w:rsid w:val="00654A9D"/>
    <w:rsid w:val="00655DFF"/>
    <w:rsid w:val="006672C3"/>
    <w:rsid w:val="006675E1"/>
    <w:rsid w:val="006712CB"/>
    <w:rsid w:val="0067166E"/>
    <w:rsid w:val="00673331"/>
    <w:rsid w:val="006758A2"/>
    <w:rsid w:val="00676C03"/>
    <w:rsid w:val="00677E19"/>
    <w:rsid w:val="006803A9"/>
    <w:rsid w:val="006805FC"/>
    <w:rsid w:val="0068338C"/>
    <w:rsid w:val="00684ECA"/>
    <w:rsid w:val="00685035"/>
    <w:rsid w:val="00687F98"/>
    <w:rsid w:val="00693FA7"/>
    <w:rsid w:val="00694029"/>
    <w:rsid w:val="006A0DF6"/>
    <w:rsid w:val="006A129D"/>
    <w:rsid w:val="006A17F5"/>
    <w:rsid w:val="006A19D3"/>
    <w:rsid w:val="006A2AC0"/>
    <w:rsid w:val="006A4462"/>
    <w:rsid w:val="006B153D"/>
    <w:rsid w:val="006B424E"/>
    <w:rsid w:val="006B6DD7"/>
    <w:rsid w:val="006C1BFC"/>
    <w:rsid w:val="006C2DD3"/>
    <w:rsid w:val="006C368D"/>
    <w:rsid w:val="006C58F0"/>
    <w:rsid w:val="006C7230"/>
    <w:rsid w:val="006C73A7"/>
    <w:rsid w:val="006C7BB8"/>
    <w:rsid w:val="006D6CD1"/>
    <w:rsid w:val="006D7725"/>
    <w:rsid w:val="006E397D"/>
    <w:rsid w:val="006E42AB"/>
    <w:rsid w:val="006F5A4D"/>
    <w:rsid w:val="006F5CBA"/>
    <w:rsid w:val="006F712C"/>
    <w:rsid w:val="006F796D"/>
    <w:rsid w:val="00700FA5"/>
    <w:rsid w:val="00701388"/>
    <w:rsid w:val="00705D6A"/>
    <w:rsid w:val="00712D67"/>
    <w:rsid w:val="00713946"/>
    <w:rsid w:val="00713E80"/>
    <w:rsid w:val="00714703"/>
    <w:rsid w:val="00714DC8"/>
    <w:rsid w:val="00715A19"/>
    <w:rsid w:val="00715F50"/>
    <w:rsid w:val="00716B80"/>
    <w:rsid w:val="007216F1"/>
    <w:rsid w:val="00722896"/>
    <w:rsid w:val="007259CB"/>
    <w:rsid w:val="00730D37"/>
    <w:rsid w:val="0073423F"/>
    <w:rsid w:val="00734B2B"/>
    <w:rsid w:val="00735FE8"/>
    <w:rsid w:val="007368B7"/>
    <w:rsid w:val="00742756"/>
    <w:rsid w:val="007453BF"/>
    <w:rsid w:val="007461B6"/>
    <w:rsid w:val="00747277"/>
    <w:rsid w:val="00747BC4"/>
    <w:rsid w:val="00750CCA"/>
    <w:rsid w:val="00752280"/>
    <w:rsid w:val="00755646"/>
    <w:rsid w:val="007556E3"/>
    <w:rsid w:val="00755A50"/>
    <w:rsid w:val="00756F0D"/>
    <w:rsid w:val="0075752F"/>
    <w:rsid w:val="0076377B"/>
    <w:rsid w:val="00765F46"/>
    <w:rsid w:val="00766429"/>
    <w:rsid w:val="00771737"/>
    <w:rsid w:val="0077365B"/>
    <w:rsid w:val="00775781"/>
    <w:rsid w:val="0078062A"/>
    <w:rsid w:val="007839D3"/>
    <w:rsid w:val="0078727A"/>
    <w:rsid w:val="00787B95"/>
    <w:rsid w:val="00792A8F"/>
    <w:rsid w:val="007A1ED7"/>
    <w:rsid w:val="007A4842"/>
    <w:rsid w:val="007A5E32"/>
    <w:rsid w:val="007B0846"/>
    <w:rsid w:val="007B0B3C"/>
    <w:rsid w:val="007B6147"/>
    <w:rsid w:val="007C47DA"/>
    <w:rsid w:val="007C60B9"/>
    <w:rsid w:val="007D0114"/>
    <w:rsid w:val="007D5F3A"/>
    <w:rsid w:val="007D630D"/>
    <w:rsid w:val="007D73B3"/>
    <w:rsid w:val="007D7C0F"/>
    <w:rsid w:val="007E3029"/>
    <w:rsid w:val="007E4F88"/>
    <w:rsid w:val="007E7FE9"/>
    <w:rsid w:val="007F1C4A"/>
    <w:rsid w:val="007F3045"/>
    <w:rsid w:val="007F3ADF"/>
    <w:rsid w:val="007F64D0"/>
    <w:rsid w:val="007F7B3F"/>
    <w:rsid w:val="008013AE"/>
    <w:rsid w:val="00801909"/>
    <w:rsid w:val="008026DA"/>
    <w:rsid w:val="00804CA9"/>
    <w:rsid w:val="00804EF0"/>
    <w:rsid w:val="00805029"/>
    <w:rsid w:val="00806C3A"/>
    <w:rsid w:val="008078BB"/>
    <w:rsid w:val="00816409"/>
    <w:rsid w:val="0082109A"/>
    <w:rsid w:val="0082125D"/>
    <w:rsid w:val="00825E26"/>
    <w:rsid w:val="0082745C"/>
    <w:rsid w:val="008302AF"/>
    <w:rsid w:val="00835190"/>
    <w:rsid w:val="008424F5"/>
    <w:rsid w:val="008440B5"/>
    <w:rsid w:val="00854EA0"/>
    <w:rsid w:val="00857DB4"/>
    <w:rsid w:val="00861329"/>
    <w:rsid w:val="00865C5D"/>
    <w:rsid w:val="00875DAA"/>
    <w:rsid w:val="0088003E"/>
    <w:rsid w:val="00884977"/>
    <w:rsid w:val="00885ADF"/>
    <w:rsid w:val="00887008"/>
    <w:rsid w:val="00887EF6"/>
    <w:rsid w:val="00891199"/>
    <w:rsid w:val="00891E5B"/>
    <w:rsid w:val="00897A21"/>
    <w:rsid w:val="008A16AF"/>
    <w:rsid w:val="008A7C56"/>
    <w:rsid w:val="008B38F0"/>
    <w:rsid w:val="008B6D8A"/>
    <w:rsid w:val="008C0274"/>
    <w:rsid w:val="008C0C0C"/>
    <w:rsid w:val="008C12D6"/>
    <w:rsid w:val="008C3EF8"/>
    <w:rsid w:val="008C6521"/>
    <w:rsid w:val="008D1164"/>
    <w:rsid w:val="008D17BC"/>
    <w:rsid w:val="008D41A9"/>
    <w:rsid w:val="008D7E7B"/>
    <w:rsid w:val="008E1734"/>
    <w:rsid w:val="008E49E7"/>
    <w:rsid w:val="008E72E0"/>
    <w:rsid w:val="008F0299"/>
    <w:rsid w:val="008F38B8"/>
    <w:rsid w:val="008F6B5A"/>
    <w:rsid w:val="00902EEE"/>
    <w:rsid w:val="00910C59"/>
    <w:rsid w:val="009110E0"/>
    <w:rsid w:val="00912079"/>
    <w:rsid w:val="0091232C"/>
    <w:rsid w:val="00912A67"/>
    <w:rsid w:val="00913205"/>
    <w:rsid w:val="00914280"/>
    <w:rsid w:val="00916739"/>
    <w:rsid w:val="00920054"/>
    <w:rsid w:val="00922DEA"/>
    <w:rsid w:val="009258A7"/>
    <w:rsid w:val="0092737A"/>
    <w:rsid w:val="00932200"/>
    <w:rsid w:val="009454B8"/>
    <w:rsid w:val="009465A5"/>
    <w:rsid w:val="00950050"/>
    <w:rsid w:val="0095040D"/>
    <w:rsid w:val="0095442C"/>
    <w:rsid w:val="00961142"/>
    <w:rsid w:val="0096274D"/>
    <w:rsid w:val="00962832"/>
    <w:rsid w:val="00964BF4"/>
    <w:rsid w:val="00965DE5"/>
    <w:rsid w:val="00972A1D"/>
    <w:rsid w:val="00973BCE"/>
    <w:rsid w:val="00975CC4"/>
    <w:rsid w:val="00976986"/>
    <w:rsid w:val="009773DB"/>
    <w:rsid w:val="009808AB"/>
    <w:rsid w:val="00982C62"/>
    <w:rsid w:val="00990CF1"/>
    <w:rsid w:val="00991F4B"/>
    <w:rsid w:val="0099225F"/>
    <w:rsid w:val="00994FFD"/>
    <w:rsid w:val="009A0C3F"/>
    <w:rsid w:val="009A1DE4"/>
    <w:rsid w:val="009A20B9"/>
    <w:rsid w:val="009A49AF"/>
    <w:rsid w:val="009A50C2"/>
    <w:rsid w:val="009B0106"/>
    <w:rsid w:val="009B04B9"/>
    <w:rsid w:val="009B0BC4"/>
    <w:rsid w:val="009B2B43"/>
    <w:rsid w:val="009B401B"/>
    <w:rsid w:val="009B4EA1"/>
    <w:rsid w:val="009B5A76"/>
    <w:rsid w:val="009B706C"/>
    <w:rsid w:val="009C2C9F"/>
    <w:rsid w:val="009C2DF0"/>
    <w:rsid w:val="009C3B0E"/>
    <w:rsid w:val="009C4DA3"/>
    <w:rsid w:val="009C54B4"/>
    <w:rsid w:val="009C5C9A"/>
    <w:rsid w:val="009D0EB8"/>
    <w:rsid w:val="009D710B"/>
    <w:rsid w:val="009D74CC"/>
    <w:rsid w:val="009E3F6E"/>
    <w:rsid w:val="009E73C1"/>
    <w:rsid w:val="009F235D"/>
    <w:rsid w:val="009F459D"/>
    <w:rsid w:val="009F5F41"/>
    <w:rsid w:val="009F5F4E"/>
    <w:rsid w:val="00A007BD"/>
    <w:rsid w:val="00A05DA0"/>
    <w:rsid w:val="00A0651E"/>
    <w:rsid w:val="00A07458"/>
    <w:rsid w:val="00A12335"/>
    <w:rsid w:val="00A16909"/>
    <w:rsid w:val="00A16AF8"/>
    <w:rsid w:val="00A17B20"/>
    <w:rsid w:val="00A219AC"/>
    <w:rsid w:val="00A2250E"/>
    <w:rsid w:val="00A22ABE"/>
    <w:rsid w:val="00A239A0"/>
    <w:rsid w:val="00A25F88"/>
    <w:rsid w:val="00A313CA"/>
    <w:rsid w:val="00A32BC1"/>
    <w:rsid w:val="00A34680"/>
    <w:rsid w:val="00A40D45"/>
    <w:rsid w:val="00A41BB1"/>
    <w:rsid w:val="00A41CEF"/>
    <w:rsid w:val="00A42F5D"/>
    <w:rsid w:val="00A4312D"/>
    <w:rsid w:val="00A524C8"/>
    <w:rsid w:val="00A54394"/>
    <w:rsid w:val="00A62C5E"/>
    <w:rsid w:val="00A63222"/>
    <w:rsid w:val="00A63381"/>
    <w:rsid w:val="00A635D8"/>
    <w:rsid w:val="00A66E54"/>
    <w:rsid w:val="00A67791"/>
    <w:rsid w:val="00A67D7F"/>
    <w:rsid w:val="00A713F4"/>
    <w:rsid w:val="00A734F1"/>
    <w:rsid w:val="00A73E7D"/>
    <w:rsid w:val="00A762B1"/>
    <w:rsid w:val="00A971CB"/>
    <w:rsid w:val="00A97C97"/>
    <w:rsid w:val="00AA3348"/>
    <w:rsid w:val="00AA5BD7"/>
    <w:rsid w:val="00AA70BE"/>
    <w:rsid w:val="00AB238F"/>
    <w:rsid w:val="00AB3E89"/>
    <w:rsid w:val="00AB503A"/>
    <w:rsid w:val="00AB5D77"/>
    <w:rsid w:val="00AB6807"/>
    <w:rsid w:val="00AC3A62"/>
    <w:rsid w:val="00AC3E7D"/>
    <w:rsid w:val="00AC5B32"/>
    <w:rsid w:val="00AC6F04"/>
    <w:rsid w:val="00AD43FD"/>
    <w:rsid w:val="00AD4814"/>
    <w:rsid w:val="00AD684B"/>
    <w:rsid w:val="00AD6C97"/>
    <w:rsid w:val="00AE38AF"/>
    <w:rsid w:val="00AE61A8"/>
    <w:rsid w:val="00AF41CD"/>
    <w:rsid w:val="00AF5FB5"/>
    <w:rsid w:val="00AF645C"/>
    <w:rsid w:val="00AF75BB"/>
    <w:rsid w:val="00B01D5F"/>
    <w:rsid w:val="00B04A74"/>
    <w:rsid w:val="00B06E01"/>
    <w:rsid w:val="00B11D6A"/>
    <w:rsid w:val="00B12E47"/>
    <w:rsid w:val="00B14A4F"/>
    <w:rsid w:val="00B2289B"/>
    <w:rsid w:val="00B307C3"/>
    <w:rsid w:val="00B316FE"/>
    <w:rsid w:val="00B32599"/>
    <w:rsid w:val="00B3368E"/>
    <w:rsid w:val="00B37104"/>
    <w:rsid w:val="00B40810"/>
    <w:rsid w:val="00B45C1C"/>
    <w:rsid w:val="00B45DA5"/>
    <w:rsid w:val="00B5173D"/>
    <w:rsid w:val="00B528BF"/>
    <w:rsid w:val="00B52F70"/>
    <w:rsid w:val="00B6299F"/>
    <w:rsid w:val="00B639E8"/>
    <w:rsid w:val="00B649A0"/>
    <w:rsid w:val="00B6582D"/>
    <w:rsid w:val="00B70101"/>
    <w:rsid w:val="00B721E1"/>
    <w:rsid w:val="00B731B0"/>
    <w:rsid w:val="00B731E6"/>
    <w:rsid w:val="00B73E44"/>
    <w:rsid w:val="00B756BA"/>
    <w:rsid w:val="00B762FB"/>
    <w:rsid w:val="00B77045"/>
    <w:rsid w:val="00B77D36"/>
    <w:rsid w:val="00B80979"/>
    <w:rsid w:val="00B8154A"/>
    <w:rsid w:val="00B82166"/>
    <w:rsid w:val="00B8243C"/>
    <w:rsid w:val="00B8349A"/>
    <w:rsid w:val="00B83FD9"/>
    <w:rsid w:val="00B92079"/>
    <w:rsid w:val="00B95454"/>
    <w:rsid w:val="00BA0279"/>
    <w:rsid w:val="00BA2519"/>
    <w:rsid w:val="00BA36CF"/>
    <w:rsid w:val="00BB32BC"/>
    <w:rsid w:val="00BB3F93"/>
    <w:rsid w:val="00BC102D"/>
    <w:rsid w:val="00BC1774"/>
    <w:rsid w:val="00BC1DDF"/>
    <w:rsid w:val="00BC478C"/>
    <w:rsid w:val="00BC558B"/>
    <w:rsid w:val="00BC57C5"/>
    <w:rsid w:val="00BC6D10"/>
    <w:rsid w:val="00BC6E2C"/>
    <w:rsid w:val="00BD0530"/>
    <w:rsid w:val="00BD0A12"/>
    <w:rsid w:val="00BD2DF2"/>
    <w:rsid w:val="00BD3D35"/>
    <w:rsid w:val="00BD4FF3"/>
    <w:rsid w:val="00BD53DB"/>
    <w:rsid w:val="00BD79AD"/>
    <w:rsid w:val="00BE125D"/>
    <w:rsid w:val="00BE628D"/>
    <w:rsid w:val="00BE678A"/>
    <w:rsid w:val="00BF09A3"/>
    <w:rsid w:val="00BF3C55"/>
    <w:rsid w:val="00C0187B"/>
    <w:rsid w:val="00C01CCA"/>
    <w:rsid w:val="00C01DA3"/>
    <w:rsid w:val="00C07793"/>
    <w:rsid w:val="00C12FE8"/>
    <w:rsid w:val="00C1563F"/>
    <w:rsid w:val="00C15EF2"/>
    <w:rsid w:val="00C2288A"/>
    <w:rsid w:val="00C24EBA"/>
    <w:rsid w:val="00C30219"/>
    <w:rsid w:val="00C30D8D"/>
    <w:rsid w:val="00C331EA"/>
    <w:rsid w:val="00C336DF"/>
    <w:rsid w:val="00C34382"/>
    <w:rsid w:val="00C35093"/>
    <w:rsid w:val="00C3521F"/>
    <w:rsid w:val="00C359B4"/>
    <w:rsid w:val="00C36BA8"/>
    <w:rsid w:val="00C43F45"/>
    <w:rsid w:val="00C45F99"/>
    <w:rsid w:val="00C468E2"/>
    <w:rsid w:val="00C50275"/>
    <w:rsid w:val="00C529B2"/>
    <w:rsid w:val="00C5457A"/>
    <w:rsid w:val="00C55891"/>
    <w:rsid w:val="00C6014C"/>
    <w:rsid w:val="00C60F41"/>
    <w:rsid w:val="00C668C3"/>
    <w:rsid w:val="00C7320A"/>
    <w:rsid w:val="00C74CF0"/>
    <w:rsid w:val="00C75F5F"/>
    <w:rsid w:val="00C81A66"/>
    <w:rsid w:val="00C900E0"/>
    <w:rsid w:val="00C926DB"/>
    <w:rsid w:val="00C9401B"/>
    <w:rsid w:val="00C95A0F"/>
    <w:rsid w:val="00C97CA2"/>
    <w:rsid w:val="00CA0064"/>
    <w:rsid w:val="00CA1C30"/>
    <w:rsid w:val="00CA1CFF"/>
    <w:rsid w:val="00CA7534"/>
    <w:rsid w:val="00CB39DE"/>
    <w:rsid w:val="00CB5B5C"/>
    <w:rsid w:val="00CB61D1"/>
    <w:rsid w:val="00CB7858"/>
    <w:rsid w:val="00CC05FC"/>
    <w:rsid w:val="00CC3E3C"/>
    <w:rsid w:val="00CD3E2C"/>
    <w:rsid w:val="00CD5180"/>
    <w:rsid w:val="00CD6B4D"/>
    <w:rsid w:val="00CD7794"/>
    <w:rsid w:val="00CE5C14"/>
    <w:rsid w:val="00CE6E8E"/>
    <w:rsid w:val="00CE798C"/>
    <w:rsid w:val="00CF3474"/>
    <w:rsid w:val="00CF34BB"/>
    <w:rsid w:val="00CF58DF"/>
    <w:rsid w:val="00CF5AFE"/>
    <w:rsid w:val="00CF5EC9"/>
    <w:rsid w:val="00D00697"/>
    <w:rsid w:val="00D01C56"/>
    <w:rsid w:val="00D01CC4"/>
    <w:rsid w:val="00D03B61"/>
    <w:rsid w:val="00D0624D"/>
    <w:rsid w:val="00D12290"/>
    <w:rsid w:val="00D16A05"/>
    <w:rsid w:val="00D2109D"/>
    <w:rsid w:val="00D224F6"/>
    <w:rsid w:val="00D22D7B"/>
    <w:rsid w:val="00D2713B"/>
    <w:rsid w:val="00D27998"/>
    <w:rsid w:val="00D318DE"/>
    <w:rsid w:val="00D34B51"/>
    <w:rsid w:val="00D37619"/>
    <w:rsid w:val="00D3783A"/>
    <w:rsid w:val="00D379CB"/>
    <w:rsid w:val="00D37B1D"/>
    <w:rsid w:val="00D409E2"/>
    <w:rsid w:val="00D41EFB"/>
    <w:rsid w:val="00D43C0F"/>
    <w:rsid w:val="00D500AA"/>
    <w:rsid w:val="00D51475"/>
    <w:rsid w:val="00D516D2"/>
    <w:rsid w:val="00D5259A"/>
    <w:rsid w:val="00D539A0"/>
    <w:rsid w:val="00D62682"/>
    <w:rsid w:val="00D64452"/>
    <w:rsid w:val="00D64D0E"/>
    <w:rsid w:val="00D654C8"/>
    <w:rsid w:val="00D66AD0"/>
    <w:rsid w:val="00D70A79"/>
    <w:rsid w:val="00D82BB4"/>
    <w:rsid w:val="00D837B8"/>
    <w:rsid w:val="00D84CB6"/>
    <w:rsid w:val="00D858D8"/>
    <w:rsid w:val="00D85B61"/>
    <w:rsid w:val="00D87256"/>
    <w:rsid w:val="00D87832"/>
    <w:rsid w:val="00D90CC5"/>
    <w:rsid w:val="00D9241B"/>
    <w:rsid w:val="00D97B5F"/>
    <w:rsid w:val="00DA00E7"/>
    <w:rsid w:val="00DA157F"/>
    <w:rsid w:val="00DA4BDE"/>
    <w:rsid w:val="00DB1440"/>
    <w:rsid w:val="00DB1FC7"/>
    <w:rsid w:val="00DB217F"/>
    <w:rsid w:val="00DB4A1C"/>
    <w:rsid w:val="00DB752C"/>
    <w:rsid w:val="00DB7D61"/>
    <w:rsid w:val="00DC17AF"/>
    <w:rsid w:val="00DC3070"/>
    <w:rsid w:val="00DC58DC"/>
    <w:rsid w:val="00DD4C5D"/>
    <w:rsid w:val="00DD50EB"/>
    <w:rsid w:val="00DD5539"/>
    <w:rsid w:val="00DD6750"/>
    <w:rsid w:val="00DE1E13"/>
    <w:rsid w:val="00DE2708"/>
    <w:rsid w:val="00DF13A6"/>
    <w:rsid w:val="00DF4E4B"/>
    <w:rsid w:val="00DF784B"/>
    <w:rsid w:val="00DF7DEC"/>
    <w:rsid w:val="00E04891"/>
    <w:rsid w:val="00E0661A"/>
    <w:rsid w:val="00E0676F"/>
    <w:rsid w:val="00E06CC9"/>
    <w:rsid w:val="00E10228"/>
    <w:rsid w:val="00E13ADF"/>
    <w:rsid w:val="00E13C02"/>
    <w:rsid w:val="00E166DB"/>
    <w:rsid w:val="00E17A02"/>
    <w:rsid w:val="00E17D3D"/>
    <w:rsid w:val="00E21AE0"/>
    <w:rsid w:val="00E232EC"/>
    <w:rsid w:val="00E23E01"/>
    <w:rsid w:val="00E2776F"/>
    <w:rsid w:val="00E27DDD"/>
    <w:rsid w:val="00E340F8"/>
    <w:rsid w:val="00E34E96"/>
    <w:rsid w:val="00E35505"/>
    <w:rsid w:val="00E35EC0"/>
    <w:rsid w:val="00E36131"/>
    <w:rsid w:val="00E36D0A"/>
    <w:rsid w:val="00E40949"/>
    <w:rsid w:val="00E41BFD"/>
    <w:rsid w:val="00E50B9A"/>
    <w:rsid w:val="00E5327B"/>
    <w:rsid w:val="00E55B36"/>
    <w:rsid w:val="00E55BE1"/>
    <w:rsid w:val="00E55CDB"/>
    <w:rsid w:val="00E632CF"/>
    <w:rsid w:val="00E70122"/>
    <w:rsid w:val="00E702AB"/>
    <w:rsid w:val="00E7057A"/>
    <w:rsid w:val="00E70F91"/>
    <w:rsid w:val="00E71947"/>
    <w:rsid w:val="00E733EA"/>
    <w:rsid w:val="00E76DC1"/>
    <w:rsid w:val="00E7786B"/>
    <w:rsid w:val="00E82EC1"/>
    <w:rsid w:val="00E85206"/>
    <w:rsid w:val="00E8543C"/>
    <w:rsid w:val="00E85678"/>
    <w:rsid w:val="00E93553"/>
    <w:rsid w:val="00E93E86"/>
    <w:rsid w:val="00E9411D"/>
    <w:rsid w:val="00E9785D"/>
    <w:rsid w:val="00E97EA1"/>
    <w:rsid w:val="00EA15E0"/>
    <w:rsid w:val="00EA2F6C"/>
    <w:rsid w:val="00EA525E"/>
    <w:rsid w:val="00EA551B"/>
    <w:rsid w:val="00EB06D4"/>
    <w:rsid w:val="00EB30AE"/>
    <w:rsid w:val="00EB315D"/>
    <w:rsid w:val="00EB442B"/>
    <w:rsid w:val="00EB5E4F"/>
    <w:rsid w:val="00EB606B"/>
    <w:rsid w:val="00EB7743"/>
    <w:rsid w:val="00EC0B2E"/>
    <w:rsid w:val="00EC27F0"/>
    <w:rsid w:val="00ED08A9"/>
    <w:rsid w:val="00ED0E33"/>
    <w:rsid w:val="00EE1142"/>
    <w:rsid w:val="00EE20E8"/>
    <w:rsid w:val="00EE4C58"/>
    <w:rsid w:val="00EE5012"/>
    <w:rsid w:val="00EE5E96"/>
    <w:rsid w:val="00EE792F"/>
    <w:rsid w:val="00EF00BF"/>
    <w:rsid w:val="00EF59E6"/>
    <w:rsid w:val="00EF65D9"/>
    <w:rsid w:val="00F01F18"/>
    <w:rsid w:val="00F04771"/>
    <w:rsid w:val="00F0771B"/>
    <w:rsid w:val="00F077A7"/>
    <w:rsid w:val="00F07A99"/>
    <w:rsid w:val="00F1063E"/>
    <w:rsid w:val="00F10CC7"/>
    <w:rsid w:val="00F12849"/>
    <w:rsid w:val="00F128B9"/>
    <w:rsid w:val="00F13DA5"/>
    <w:rsid w:val="00F1574D"/>
    <w:rsid w:val="00F23309"/>
    <w:rsid w:val="00F24699"/>
    <w:rsid w:val="00F2560E"/>
    <w:rsid w:val="00F27243"/>
    <w:rsid w:val="00F31296"/>
    <w:rsid w:val="00F3168F"/>
    <w:rsid w:val="00F35A9C"/>
    <w:rsid w:val="00F36728"/>
    <w:rsid w:val="00F4047F"/>
    <w:rsid w:val="00F433D2"/>
    <w:rsid w:val="00F44FCD"/>
    <w:rsid w:val="00F50C0C"/>
    <w:rsid w:val="00F515A4"/>
    <w:rsid w:val="00F51D56"/>
    <w:rsid w:val="00F53433"/>
    <w:rsid w:val="00F5634F"/>
    <w:rsid w:val="00F6350E"/>
    <w:rsid w:val="00F64FA7"/>
    <w:rsid w:val="00F65787"/>
    <w:rsid w:val="00F70A1B"/>
    <w:rsid w:val="00F72A2F"/>
    <w:rsid w:val="00F72FC8"/>
    <w:rsid w:val="00F73A4F"/>
    <w:rsid w:val="00F76782"/>
    <w:rsid w:val="00F76AF3"/>
    <w:rsid w:val="00F81153"/>
    <w:rsid w:val="00F82131"/>
    <w:rsid w:val="00F82652"/>
    <w:rsid w:val="00F84350"/>
    <w:rsid w:val="00F84EF0"/>
    <w:rsid w:val="00F86259"/>
    <w:rsid w:val="00F8707C"/>
    <w:rsid w:val="00F9204A"/>
    <w:rsid w:val="00F93865"/>
    <w:rsid w:val="00F94B87"/>
    <w:rsid w:val="00F96E42"/>
    <w:rsid w:val="00FA101A"/>
    <w:rsid w:val="00FA1248"/>
    <w:rsid w:val="00FA215D"/>
    <w:rsid w:val="00FA3609"/>
    <w:rsid w:val="00FA3620"/>
    <w:rsid w:val="00FA3FEC"/>
    <w:rsid w:val="00FA4378"/>
    <w:rsid w:val="00FA5814"/>
    <w:rsid w:val="00FA65F9"/>
    <w:rsid w:val="00FA7819"/>
    <w:rsid w:val="00FB2751"/>
    <w:rsid w:val="00FB5524"/>
    <w:rsid w:val="00FC3814"/>
    <w:rsid w:val="00FC4889"/>
    <w:rsid w:val="00FC6D09"/>
    <w:rsid w:val="00FC79B4"/>
    <w:rsid w:val="00FD29BC"/>
    <w:rsid w:val="00FD4E66"/>
    <w:rsid w:val="00FE77D4"/>
    <w:rsid w:val="00FF0BD2"/>
    <w:rsid w:val="00FF116E"/>
    <w:rsid w:val="00FF21AE"/>
    <w:rsid w:val="00FF2CD3"/>
    <w:rsid w:val="00FF32E2"/>
    <w:rsid w:val="014F120E"/>
    <w:rsid w:val="0366E75C"/>
    <w:rsid w:val="036C301F"/>
    <w:rsid w:val="050F8866"/>
    <w:rsid w:val="051051B4"/>
    <w:rsid w:val="05299AD4"/>
    <w:rsid w:val="057F3FA1"/>
    <w:rsid w:val="0625CB9F"/>
    <w:rsid w:val="06E9E83D"/>
    <w:rsid w:val="0717DE55"/>
    <w:rsid w:val="073C3E4C"/>
    <w:rsid w:val="08D66883"/>
    <w:rsid w:val="08EA58D1"/>
    <w:rsid w:val="095A7B38"/>
    <w:rsid w:val="0967DD36"/>
    <w:rsid w:val="09A74E38"/>
    <w:rsid w:val="0E602167"/>
    <w:rsid w:val="0E993372"/>
    <w:rsid w:val="0F22795D"/>
    <w:rsid w:val="0F40000A"/>
    <w:rsid w:val="0FF97896"/>
    <w:rsid w:val="1107BD81"/>
    <w:rsid w:val="1148128A"/>
    <w:rsid w:val="114F6C14"/>
    <w:rsid w:val="11E4AD27"/>
    <w:rsid w:val="125116B6"/>
    <w:rsid w:val="132F36E3"/>
    <w:rsid w:val="133BC965"/>
    <w:rsid w:val="1426533C"/>
    <w:rsid w:val="14870CD6"/>
    <w:rsid w:val="1595CBAA"/>
    <w:rsid w:val="15C2239D"/>
    <w:rsid w:val="1622DD37"/>
    <w:rsid w:val="16C88328"/>
    <w:rsid w:val="1784CB5D"/>
    <w:rsid w:val="195A7DF9"/>
    <w:rsid w:val="1C5E1DC4"/>
    <w:rsid w:val="1C921EBB"/>
    <w:rsid w:val="1E8B5E81"/>
    <w:rsid w:val="1F33E905"/>
    <w:rsid w:val="1F8856E3"/>
    <w:rsid w:val="2005212F"/>
    <w:rsid w:val="20BD8270"/>
    <w:rsid w:val="20CEA71C"/>
    <w:rsid w:val="2299AE3C"/>
    <w:rsid w:val="22E3ABD1"/>
    <w:rsid w:val="238F8E10"/>
    <w:rsid w:val="25E034ED"/>
    <w:rsid w:val="25E78571"/>
    <w:rsid w:val="261733DE"/>
    <w:rsid w:val="268E861F"/>
    <w:rsid w:val="26C72ED2"/>
    <w:rsid w:val="27FA3F5A"/>
    <w:rsid w:val="28691376"/>
    <w:rsid w:val="2951F136"/>
    <w:rsid w:val="29529346"/>
    <w:rsid w:val="295ADB72"/>
    <w:rsid w:val="295DD172"/>
    <w:rsid w:val="29BE6C2C"/>
    <w:rsid w:val="29C626E1"/>
    <w:rsid w:val="2B9A9FF5"/>
    <w:rsid w:val="2C6C83B7"/>
    <w:rsid w:val="2C7B39CC"/>
    <w:rsid w:val="2CB0300B"/>
    <w:rsid w:val="2F54D9A2"/>
    <w:rsid w:val="32A3C30E"/>
    <w:rsid w:val="32E3E497"/>
    <w:rsid w:val="3393DF8B"/>
    <w:rsid w:val="355CAEBC"/>
    <w:rsid w:val="35FC3CA1"/>
    <w:rsid w:val="3674AC77"/>
    <w:rsid w:val="36CB804D"/>
    <w:rsid w:val="374ABF19"/>
    <w:rsid w:val="37EAB185"/>
    <w:rsid w:val="3AB619F6"/>
    <w:rsid w:val="3B2EF53D"/>
    <w:rsid w:val="3C11A052"/>
    <w:rsid w:val="3C13EDA1"/>
    <w:rsid w:val="3C17BA70"/>
    <w:rsid w:val="3C79D1A3"/>
    <w:rsid w:val="3CA486B2"/>
    <w:rsid w:val="3D4034D1"/>
    <w:rsid w:val="4077D593"/>
    <w:rsid w:val="40A6AA90"/>
    <w:rsid w:val="40A7342E"/>
    <w:rsid w:val="41003655"/>
    <w:rsid w:val="46FB4C73"/>
    <w:rsid w:val="477E4ED7"/>
    <w:rsid w:val="48137E48"/>
    <w:rsid w:val="48361511"/>
    <w:rsid w:val="48E3A112"/>
    <w:rsid w:val="4954A5D1"/>
    <w:rsid w:val="4964727A"/>
    <w:rsid w:val="4969E15D"/>
    <w:rsid w:val="498256F2"/>
    <w:rsid w:val="49D1E572"/>
    <w:rsid w:val="4B36F609"/>
    <w:rsid w:val="4B731E3B"/>
    <w:rsid w:val="4BB66B68"/>
    <w:rsid w:val="4C4FB10F"/>
    <w:rsid w:val="4D3E18A3"/>
    <w:rsid w:val="4D61BBCB"/>
    <w:rsid w:val="4DE4E53B"/>
    <w:rsid w:val="4DF6DD7D"/>
    <w:rsid w:val="4EA7F442"/>
    <w:rsid w:val="4EFF92E6"/>
    <w:rsid w:val="516320F3"/>
    <w:rsid w:val="51F3D5B4"/>
    <w:rsid w:val="52605970"/>
    <w:rsid w:val="53127824"/>
    <w:rsid w:val="53555BB9"/>
    <w:rsid w:val="536507C3"/>
    <w:rsid w:val="536732D2"/>
    <w:rsid w:val="54F6994C"/>
    <w:rsid w:val="5500D824"/>
    <w:rsid w:val="566090A3"/>
    <w:rsid w:val="583AB278"/>
    <w:rsid w:val="59FDF41C"/>
    <w:rsid w:val="5A271676"/>
    <w:rsid w:val="5B6F9EA1"/>
    <w:rsid w:val="5BFCFBE3"/>
    <w:rsid w:val="5C35D767"/>
    <w:rsid w:val="5C5FE35C"/>
    <w:rsid w:val="5CA4BAD5"/>
    <w:rsid w:val="5CBC2ED8"/>
    <w:rsid w:val="5EE81D99"/>
    <w:rsid w:val="5EEE0942"/>
    <w:rsid w:val="5F9B7D5D"/>
    <w:rsid w:val="5FF043A7"/>
    <w:rsid w:val="607A6379"/>
    <w:rsid w:val="60CFC9AB"/>
    <w:rsid w:val="613634F9"/>
    <w:rsid w:val="631D02A4"/>
    <w:rsid w:val="63FF7AFC"/>
    <w:rsid w:val="6534AC3F"/>
    <w:rsid w:val="65C2BCA0"/>
    <w:rsid w:val="66055679"/>
    <w:rsid w:val="661BF9B8"/>
    <w:rsid w:val="66327C34"/>
    <w:rsid w:val="6651F2C2"/>
    <w:rsid w:val="66EA470D"/>
    <w:rsid w:val="6787E7D6"/>
    <w:rsid w:val="69C7ECCB"/>
    <w:rsid w:val="69D8F4D1"/>
    <w:rsid w:val="6A4430BE"/>
    <w:rsid w:val="6AC732B6"/>
    <w:rsid w:val="6BE0F827"/>
    <w:rsid w:val="6BFD56AB"/>
    <w:rsid w:val="6DB4DAA3"/>
    <w:rsid w:val="6DEFB918"/>
    <w:rsid w:val="6E2EBBBA"/>
    <w:rsid w:val="6E9F8103"/>
    <w:rsid w:val="6F3EE0C3"/>
    <w:rsid w:val="6F9928F8"/>
    <w:rsid w:val="6F9AA3D9"/>
    <w:rsid w:val="6FCB73DE"/>
    <w:rsid w:val="704C21A2"/>
    <w:rsid w:val="70E7F291"/>
    <w:rsid w:val="7148A83F"/>
    <w:rsid w:val="714B8F75"/>
    <w:rsid w:val="71B9D653"/>
    <w:rsid w:val="71FD6C7C"/>
    <w:rsid w:val="72B89485"/>
    <w:rsid w:val="73B3FDF4"/>
    <w:rsid w:val="777119C4"/>
    <w:rsid w:val="77FFF37B"/>
    <w:rsid w:val="7847EA06"/>
    <w:rsid w:val="788A5E51"/>
    <w:rsid w:val="78DA06C5"/>
    <w:rsid w:val="795B088B"/>
    <w:rsid w:val="79F77976"/>
    <w:rsid w:val="7A75AC7A"/>
    <w:rsid w:val="7A8B7040"/>
    <w:rsid w:val="7AB68583"/>
    <w:rsid w:val="7B3960E8"/>
    <w:rsid w:val="7CD53149"/>
    <w:rsid w:val="7CD7AAD4"/>
    <w:rsid w:val="7CF3C1C8"/>
    <w:rsid w:val="7DB86C88"/>
    <w:rsid w:val="7E14A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4195"/>
  <w15:chartTrackingRefBased/>
  <w15:docId w15:val="{6E8CA0F7-DECA-4B48-ABBB-C71CCAE8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C5E"/>
    <w:pPr>
      <w:spacing w:after="200" w:line="276" w:lineRule="auto"/>
    </w:pPr>
    <w:rPr>
      <w:rFonts w:ascii="Cambria" w:hAnsi="Cambria"/>
    </w:rPr>
  </w:style>
  <w:style w:type="paragraph" w:styleId="Heading1">
    <w:name w:val="heading 1"/>
    <w:next w:val="Normal"/>
    <w:link w:val="Heading1Char"/>
    <w:uiPriority w:val="1"/>
    <w:qFormat/>
    <w:rsid w:val="00A62C5E"/>
    <w:pPr>
      <w:widowControl w:val="0"/>
      <w:spacing w:before="360" w:after="240" w:line="240" w:lineRule="auto"/>
      <w:contextualSpacing/>
      <w:outlineLvl w:val="0"/>
    </w:pPr>
    <w:rPr>
      <w:rFonts w:ascii="Calibri" w:hAnsi="Calibri"/>
      <w:b/>
      <w:bCs/>
      <w:color w:val="000000"/>
      <w:spacing w:val="5"/>
      <w:kern w:val="28"/>
      <w:sz w:val="52"/>
      <w:szCs w:val="28"/>
    </w:rPr>
  </w:style>
  <w:style w:type="paragraph" w:styleId="Heading2">
    <w:name w:val="heading 2"/>
    <w:basedOn w:val="Normal"/>
    <w:next w:val="Normal"/>
    <w:link w:val="Heading2Char"/>
    <w:uiPriority w:val="3"/>
    <w:rsid w:val="00A62C5E"/>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62C5E"/>
    <w:pPr>
      <w:keepNext/>
      <w:keepLines/>
      <w:spacing w:after="0" w:line="240" w:lineRule="auto"/>
      <w:outlineLvl w:val="2"/>
    </w:pPr>
    <w:rPr>
      <w:rFonts w:ascii="Calibri" w:eastAsia="Times New Roman" w:hAnsi="Calibri" w:cs="Times New Roman"/>
      <w:b/>
      <w:bCs/>
      <w:sz w:val="28"/>
      <w:szCs w:val="24"/>
    </w:rPr>
  </w:style>
  <w:style w:type="paragraph" w:styleId="Heading4">
    <w:name w:val="heading 4"/>
    <w:next w:val="Normal"/>
    <w:link w:val="Heading4Char"/>
    <w:uiPriority w:val="5"/>
    <w:qFormat/>
    <w:rsid w:val="00A62C5E"/>
    <w:pPr>
      <w:keepNext/>
      <w:spacing w:after="0" w:line="240" w:lineRule="auto"/>
      <w:outlineLvl w:val="3"/>
    </w:pPr>
    <w:rPr>
      <w:rFonts w:ascii="Calibri" w:eastAsia="Times New Roman" w:hAnsi="Calibri" w:cs="Times New Roman"/>
      <w:b/>
      <w:bCs/>
      <w:sz w:val="24"/>
      <w:szCs w:val="24"/>
    </w:rPr>
  </w:style>
  <w:style w:type="paragraph" w:styleId="Heading5">
    <w:name w:val="heading 5"/>
    <w:basedOn w:val="Normal"/>
    <w:next w:val="Normal"/>
    <w:link w:val="Heading5Char"/>
    <w:uiPriority w:val="6"/>
    <w:rsid w:val="00A62C5E"/>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2C5E"/>
    <w:rPr>
      <w:rFonts w:ascii="Calibri" w:hAnsi="Calibri"/>
      <w:b/>
      <w:bCs/>
      <w:color w:val="000000"/>
      <w:spacing w:val="5"/>
      <w:kern w:val="28"/>
      <w:sz w:val="52"/>
      <w:szCs w:val="28"/>
    </w:rPr>
  </w:style>
  <w:style w:type="character" w:customStyle="1" w:styleId="Heading2Char">
    <w:name w:val="Heading 2 Char"/>
    <w:basedOn w:val="DefaultParagraphFont"/>
    <w:link w:val="Heading2"/>
    <w:uiPriority w:val="3"/>
    <w:rsid w:val="00A62C5E"/>
    <w:rPr>
      <w:rFonts w:ascii="Calibri" w:eastAsiaTheme="minorEastAsia" w:hAnsi="Calibri"/>
      <w:bCs/>
      <w:color w:val="000000"/>
      <w:sz w:val="36"/>
      <w:szCs w:val="28"/>
      <w:lang w:eastAsia="ja-JP"/>
    </w:rPr>
  </w:style>
  <w:style w:type="character" w:customStyle="1" w:styleId="Heading3Char">
    <w:name w:val="Heading 3 Char"/>
    <w:basedOn w:val="DefaultParagraphFont"/>
    <w:link w:val="Heading3"/>
    <w:uiPriority w:val="4"/>
    <w:rsid w:val="00A62C5E"/>
    <w:rPr>
      <w:rFonts w:ascii="Calibri" w:eastAsia="Times New Roman" w:hAnsi="Calibri" w:cs="Times New Roman"/>
      <w:b/>
      <w:bCs/>
      <w:sz w:val="28"/>
      <w:szCs w:val="24"/>
    </w:rPr>
  </w:style>
  <w:style w:type="character" w:customStyle="1" w:styleId="Heading4Char">
    <w:name w:val="Heading 4 Char"/>
    <w:basedOn w:val="DefaultParagraphFont"/>
    <w:link w:val="Heading4"/>
    <w:uiPriority w:val="5"/>
    <w:rsid w:val="00A62C5E"/>
    <w:rPr>
      <w:rFonts w:ascii="Calibri" w:eastAsia="Times New Roman" w:hAnsi="Calibri" w:cs="Times New Roman"/>
      <w:b/>
      <w:bCs/>
      <w:sz w:val="24"/>
      <w:szCs w:val="24"/>
    </w:rPr>
  </w:style>
  <w:style w:type="character" w:customStyle="1" w:styleId="Heading5Char">
    <w:name w:val="Heading 5 Char"/>
    <w:basedOn w:val="DefaultParagraphFont"/>
    <w:link w:val="Heading5"/>
    <w:uiPriority w:val="6"/>
    <w:rsid w:val="00A62C5E"/>
    <w:rPr>
      <w:rFonts w:ascii="Calibri" w:hAnsi="Calibri"/>
      <w:b/>
    </w:rPr>
  </w:style>
  <w:style w:type="paragraph" w:styleId="CommentText">
    <w:name w:val="annotation text"/>
    <w:basedOn w:val="Normal"/>
    <w:link w:val="CommentTextChar"/>
    <w:uiPriority w:val="99"/>
    <w:unhideWhenUsed/>
    <w:rsid w:val="00A62C5E"/>
    <w:rPr>
      <w:sz w:val="20"/>
      <w:szCs w:val="20"/>
    </w:rPr>
  </w:style>
  <w:style w:type="character" w:customStyle="1" w:styleId="CommentTextChar">
    <w:name w:val="Comment Text Char"/>
    <w:basedOn w:val="DefaultParagraphFont"/>
    <w:link w:val="CommentText"/>
    <w:uiPriority w:val="99"/>
    <w:rsid w:val="00A62C5E"/>
    <w:rPr>
      <w:rFonts w:ascii="Cambria" w:hAnsi="Cambria"/>
      <w:sz w:val="20"/>
      <w:szCs w:val="20"/>
    </w:rPr>
  </w:style>
  <w:style w:type="paragraph" w:styleId="Header">
    <w:name w:val="header"/>
    <w:basedOn w:val="Normal"/>
    <w:link w:val="HeaderChar"/>
    <w:uiPriority w:val="26"/>
    <w:rsid w:val="00A62C5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A62C5E"/>
    <w:rPr>
      <w:rFonts w:ascii="Calibri" w:hAnsi="Calibri"/>
      <w:sz w:val="20"/>
    </w:rPr>
  </w:style>
  <w:style w:type="paragraph" w:styleId="Footer">
    <w:name w:val="footer"/>
    <w:basedOn w:val="Normal"/>
    <w:link w:val="FooterChar"/>
    <w:uiPriority w:val="27"/>
    <w:rsid w:val="00A62C5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A62C5E"/>
    <w:rPr>
      <w:rFonts w:ascii="Calibri" w:hAnsi="Calibri"/>
      <w:sz w:val="20"/>
    </w:rPr>
  </w:style>
  <w:style w:type="character" w:styleId="CommentReference">
    <w:name w:val="annotation reference"/>
    <w:basedOn w:val="DefaultParagraphFont"/>
    <w:uiPriority w:val="99"/>
    <w:semiHidden/>
    <w:unhideWhenUsed/>
    <w:rsid w:val="00A62C5E"/>
    <w:rPr>
      <w:sz w:val="16"/>
      <w:szCs w:val="16"/>
    </w:rPr>
  </w:style>
  <w:style w:type="paragraph" w:styleId="CommentSubject">
    <w:name w:val="annotation subject"/>
    <w:basedOn w:val="CommentText"/>
    <w:next w:val="CommentText"/>
    <w:link w:val="CommentSubjectChar"/>
    <w:uiPriority w:val="99"/>
    <w:semiHidden/>
    <w:unhideWhenUsed/>
    <w:rsid w:val="00A62C5E"/>
    <w:rPr>
      <w:b/>
      <w:bCs/>
    </w:rPr>
  </w:style>
  <w:style w:type="character" w:customStyle="1" w:styleId="CommentSubjectChar">
    <w:name w:val="Comment Subject Char"/>
    <w:basedOn w:val="CommentTextChar"/>
    <w:link w:val="CommentSubject"/>
    <w:uiPriority w:val="99"/>
    <w:semiHidden/>
    <w:rsid w:val="00A62C5E"/>
    <w:rPr>
      <w:rFonts w:ascii="Cambria" w:hAnsi="Cambria"/>
      <w:b/>
      <w:bCs/>
      <w:sz w:val="20"/>
      <w:szCs w:val="20"/>
    </w:rPr>
  </w:style>
  <w:style w:type="paragraph" w:styleId="BalloonText">
    <w:name w:val="Balloon Text"/>
    <w:basedOn w:val="Normal"/>
    <w:link w:val="BalloonTextChar"/>
    <w:uiPriority w:val="99"/>
    <w:semiHidden/>
    <w:unhideWhenUsed/>
    <w:rsid w:val="00A62C5E"/>
    <w:rPr>
      <w:rFonts w:ascii="Calibri" w:hAnsi="Calibri"/>
      <w:sz w:val="18"/>
      <w:szCs w:val="18"/>
    </w:rPr>
  </w:style>
  <w:style w:type="character" w:customStyle="1" w:styleId="BalloonTextChar">
    <w:name w:val="Balloon Text Char"/>
    <w:basedOn w:val="DefaultParagraphFont"/>
    <w:link w:val="BalloonText"/>
    <w:uiPriority w:val="99"/>
    <w:semiHidden/>
    <w:rsid w:val="00A62C5E"/>
    <w:rPr>
      <w:rFonts w:ascii="Calibri" w:hAnsi="Calibri"/>
      <w:sz w:val="18"/>
      <w:szCs w:val="18"/>
    </w:rPr>
  </w:style>
  <w:style w:type="table" w:styleId="TableGrid">
    <w:name w:val="Table Grid"/>
    <w:basedOn w:val="TableNormal"/>
    <w:rsid w:val="00A62C5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A62C5E"/>
    <w:rPr>
      <w:sz w:val="16"/>
    </w:rPr>
  </w:style>
  <w:style w:type="paragraph" w:styleId="Quote">
    <w:name w:val="Quote"/>
    <w:basedOn w:val="Normal"/>
    <w:next w:val="Normal"/>
    <w:link w:val="QuoteChar"/>
    <w:uiPriority w:val="18"/>
    <w:qFormat/>
    <w:rsid w:val="00A62C5E"/>
    <w:pPr>
      <w:ind w:left="709" w:right="567"/>
    </w:pPr>
    <w:rPr>
      <w:iCs/>
      <w:color w:val="000000"/>
    </w:rPr>
  </w:style>
  <w:style w:type="character" w:customStyle="1" w:styleId="QuoteChar">
    <w:name w:val="Quote Char"/>
    <w:basedOn w:val="DefaultParagraphFont"/>
    <w:link w:val="Quote"/>
    <w:uiPriority w:val="18"/>
    <w:rsid w:val="00A62C5E"/>
    <w:rPr>
      <w:rFonts w:ascii="Cambria" w:hAnsi="Cambria"/>
      <w:iCs/>
      <w:color w:val="000000"/>
    </w:rPr>
  </w:style>
  <w:style w:type="paragraph" w:customStyle="1" w:styleId="BoxText">
    <w:name w:val="Box Text"/>
    <w:basedOn w:val="Normal"/>
    <w:uiPriority w:val="19"/>
    <w:qFormat/>
    <w:rsid w:val="00A62C5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62C5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62C5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A62C5E"/>
    <w:pPr>
      <w:spacing w:before="120"/>
    </w:pPr>
    <w:rPr>
      <w:b w:val="0"/>
      <w:sz w:val="44"/>
      <w:szCs w:val="56"/>
    </w:rPr>
  </w:style>
  <w:style w:type="character" w:customStyle="1" w:styleId="SubtitleChar">
    <w:name w:val="Subtitle Char"/>
    <w:basedOn w:val="DefaultParagraphFont"/>
    <w:link w:val="Subtitle"/>
    <w:uiPriority w:val="23"/>
    <w:rsid w:val="00A62C5E"/>
    <w:rPr>
      <w:rFonts w:ascii="Calibri" w:hAnsi="Calibri"/>
      <w:bCs/>
      <w:color w:val="000000"/>
      <w:spacing w:val="5"/>
      <w:kern w:val="28"/>
      <w:sz w:val="44"/>
      <w:szCs w:val="56"/>
    </w:rPr>
  </w:style>
  <w:style w:type="paragraph" w:styleId="TOCHeading">
    <w:name w:val="TOC Heading"/>
    <w:next w:val="Normal"/>
    <w:uiPriority w:val="39"/>
    <w:qFormat/>
    <w:rsid w:val="00A62C5E"/>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A62C5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62C5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62C5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62C5E"/>
    <w:rPr>
      <w:color w:val="165788"/>
      <w:u w:val="single"/>
    </w:rPr>
  </w:style>
  <w:style w:type="paragraph" w:styleId="ListBullet">
    <w:name w:val="List Bullet"/>
    <w:basedOn w:val="Normal"/>
    <w:uiPriority w:val="99"/>
    <w:qFormat/>
    <w:rsid w:val="00A62C5E"/>
    <w:pPr>
      <w:numPr>
        <w:numId w:val="3"/>
      </w:numPr>
      <w:spacing w:before="120" w:after="120"/>
    </w:pPr>
  </w:style>
  <w:style w:type="paragraph" w:styleId="TableofFigures">
    <w:name w:val="table of figures"/>
    <w:basedOn w:val="Normal"/>
    <w:next w:val="Normal"/>
    <w:uiPriority w:val="99"/>
    <w:rsid w:val="00A62C5E"/>
    <w:pPr>
      <w:spacing w:before="120" w:after="120" w:line="240" w:lineRule="auto"/>
    </w:pPr>
  </w:style>
  <w:style w:type="paragraph" w:styleId="ListBullet2">
    <w:name w:val="List Bullet 2"/>
    <w:basedOn w:val="Normal"/>
    <w:uiPriority w:val="8"/>
    <w:qFormat/>
    <w:rsid w:val="00A62C5E"/>
    <w:pPr>
      <w:numPr>
        <w:ilvl w:val="1"/>
        <w:numId w:val="3"/>
      </w:numPr>
      <w:tabs>
        <w:tab w:val="num" w:pos="360"/>
      </w:tabs>
      <w:spacing w:before="120" w:after="120"/>
      <w:ind w:left="0" w:firstLine="0"/>
      <w:contextualSpacing/>
    </w:pPr>
  </w:style>
  <w:style w:type="paragraph" w:styleId="ListNumber">
    <w:name w:val="List Number"/>
    <w:basedOn w:val="Normal"/>
    <w:uiPriority w:val="9"/>
    <w:qFormat/>
    <w:rsid w:val="00A62C5E"/>
    <w:pPr>
      <w:numPr>
        <w:numId w:val="7"/>
      </w:numPr>
      <w:tabs>
        <w:tab w:val="left" w:pos="142"/>
      </w:tabs>
      <w:spacing w:before="120" w:after="120"/>
    </w:pPr>
  </w:style>
  <w:style w:type="paragraph" w:styleId="ListNumber2">
    <w:name w:val="List Number 2"/>
    <w:uiPriority w:val="10"/>
    <w:qFormat/>
    <w:rsid w:val="00A62C5E"/>
    <w:pPr>
      <w:numPr>
        <w:ilvl w:val="1"/>
        <w:numId w:val="7"/>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A62C5E"/>
    <w:pPr>
      <w:numPr>
        <w:ilvl w:val="2"/>
        <w:numId w:val="7"/>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A62C5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62C5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A62C5E"/>
    <w:pPr>
      <w:spacing w:before="60" w:after="60" w:line="240" w:lineRule="auto"/>
    </w:pPr>
    <w:rPr>
      <w:sz w:val="18"/>
    </w:rPr>
  </w:style>
  <w:style w:type="table" w:styleId="TableGrid1">
    <w:name w:val="Table Grid 1"/>
    <w:basedOn w:val="TableNormal"/>
    <w:uiPriority w:val="99"/>
    <w:semiHidden/>
    <w:unhideWhenUsed/>
    <w:rsid w:val="00A62C5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A62C5E"/>
    <w:pPr>
      <w:keepNext/>
    </w:pPr>
    <w:rPr>
      <w:b/>
    </w:rPr>
  </w:style>
  <w:style w:type="character" w:styleId="PlaceholderText">
    <w:name w:val="Placeholder Text"/>
    <w:basedOn w:val="DefaultParagraphFont"/>
    <w:uiPriority w:val="99"/>
    <w:semiHidden/>
    <w:rsid w:val="00A62C5E"/>
    <w:rPr>
      <w:color w:val="808080"/>
    </w:rPr>
  </w:style>
  <w:style w:type="paragraph" w:customStyle="1" w:styleId="Author">
    <w:name w:val="Author"/>
    <w:basedOn w:val="Normal"/>
    <w:next w:val="Normal"/>
    <w:uiPriority w:val="24"/>
    <w:qFormat/>
    <w:rsid w:val="00A62C5E"/>
    <w:pPr>
      <w:spacing w:after="60"/>
    </w:pPr>
    <w:rPr>
      <w:b/>
      <w:sz w:val="24"/>
      <w:szCs w:val="28"/>
    </w:rPr>
  </w:style>
  <w:style w:type="paragraph" w:customStyle="1" w:styleId="AuthorOrganisationAffiliation">
    <w:name w:val="Author Organisation/Affiliation"/>
    <w:basedOn w:val="Normal"/>
    <w:next w:val="Normal"/>
    <w:uiPriority w:val="25"/>
    <w:qFormat/>
    <w:rsid w:val="00A62C5E"/>
  </w:style>
  <w:style w:type="character" w:styleId="Strong">
    <w:name w:val="Strong"/>
    <w:basedOn w:val="DefaultParagraphFont"/>
    <w:uiPriority w:val="99"/>
    <w:qFormat/>
    <w:rsid w:val="00A62C5E"/>
    <w:rPr>
      <w:b/>
      <w:bCs/>
    </w:rPr>
  </w:style>
  <w:style w:type="paragraph" w:customStyle="1" w:styleId="Glossary">
    <w:name w:val="Glossary"/>
    <w:basedOn w:val="Normal"/>
    <w:link w:val="GlossaryChar"/>
    <w:uiPriority w:val="28"/>
    <w:semiHidden/>
    <w:locked/>
    <w:rsid w:val="00A62C5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A62C5E"/>
    <w:rPr>
      <w:rFonts w:ascii="Cambria" w:eastAsia="Calibri" w:hAnsi="Cambria"/>
      <w:color w:val="000000"/>
    </w:rPr>
  </w:style>
  <w:style w:type="character" w:styleId="Emphasis">
    <w:name w:val="Emphasis"/>
    <w:basedOn w:val="DefaultParagraphFont"/>
    <w:uiPriority w:val="99"/>
    <w:qFormat/>
    <w:rsid w:val="00A62C5E"/>
    <w:rPr>
      <w:i/>
      <w:iCs/>
    </w:rPr>
  </w:style>
  <w:style w:type="paragraph" w:styleId="TOAHeading">
    <w:name w:val="toa heading"/>
    <w:basedOn w:val="Heading1"/>
    <w:next w:val="Normal"/>
    <w:uiPriority w:val="99"/>
    <w:semiHidden/>
    <w:unhideWhenUsed/>
    <w:rsid w:val="00A62C5E"/>
    <w:pPr>
      <w:spacing w:before="120"/>
    </w:pPr>
    <w:rPr>
      <w:bCs w:val="0"/>
      <w:sz w:val="24"/>
    </w:rPr>
  </w:style>
  <w:style w:type="paragraph" w:styleId="NormalWeb">
    <w:name w:val="Normal (Web)"/>
    <w:basedOn w:val="Normal"/>
    <w:uiPriority w:val="99"/>
    <w:semiHidden/>
    <w:unhideWhenUsed/>
    <w:rsid w:val="00A62C5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62C5E"/>
    <w:pPr>
      <w:numPr>
        <w:numId w:val="1"/>
      </w:numPr>
      <w:ind w:left="357" w:hanging="357"/>
    </w:pPr>
  </w:style>
  <w:style w:type="paragraph" w:customStyle="1" w:styleId="TableBullet1">
    <w:name w:val="Table Bullet 1"/>
    <w:basedOn w:val="TableText"/>
    <w:uiPriority w:val="15"/>
    <w:qFormat/>
    <w:rsid w:val="00A62C5E"/>
    <w:pPr>
      <w:numPr>
        <w:numId w:val="2"/>
      </w:numPr>
    </w:pPr>
  </w:style>
  <w:style w:type="paragraph" w:styleId="DocumentMap">
    <w:name w:val="Document Map"/>
    <w:basedOn w:val="Normal"/>
    <w:link w:val="DocumentMapChar"/>
    <w:uiPriority w:val="99"/>
    <w:semiHidden/>
    <w:unhideWhenUsed/>
    <w:rsid w:val="00A62C5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2C5E"/>
    <w:rPr>
      <w:rFonts w:ascii="Tahoma" w:hAnsi="Tahoma" w:cs="Tahoma"/>
      <w:sz w:val="16"/>
      <w:szCs w:val="16"/>
    </w:rPr>
  </w:style>
  <w:style w:type="paragraph" w:customStyle="1" w:styleId="BoxHeading">
    <w:name w:val="Box Heading"/>
    <w:basedOn w:val="BoxText"/>
    <w:uiPriority w:val="20"/>
    <w:qFormat/>
    <w:rsid w:val="00A62C5E"/>
    <w:pPr>
      <w:spacing w:line="240" w:lineRule="auto"/>
    </w:pPr>
    <w:rPr>
      <w:b/>
    </w:rPr>
  </w:style>
  <w:style w:type="paragraph" w:customStyle="1" w:styleId="Picture">
    <w:name w:val="Picture"/>
    <w:basedOn w:val="Normal"/>
    <w:uiPriority w:val="17"/>
    <w:qFormat/>
    <w:rsid w:val="00A62C5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A62C5E"/>
    <w:pPr>
      <w:spacing w:after="0"/>
    </w:pPr>
    <w:rPr>
      <w:b/>
      <w:color w:val="FF0000"/>
      <w:sz w:val="36"/>
      <w:szCs w:val="36"/>
    </w:rPr>
  </w:style>
  <w:style w:type="paragraph" w:customStyle="1" w:styleId="DisseminationLimitingMarker">
    <w:name w:val="Dissemination Limiting Marker"/>
    <w:basedOn w:val="Header"/>
    <w:next w:val="Header"/>
    <w:uiPriority w:val="27"/>
    <w:rsid w:val="00A62C5E"/>
    <w:pPr>
      <w:spacing w:after="0"/>
    </w:pPr>
    <w:rPr>
      <w:b/>
      <w:sz w:val="36"/>
      <w:szCs w:val="36"/>
    </w:rPr>
  </w:style>
  <w:style w:type="paragraph" w:styleId="FootnoteText">
    <w:name w:val="footnote text"/>
    <w:basedOn w:val="Normal"/>
    <w:link w:val="FootnoteTextChar"/>
    <w:unhideWhenUsed/>
    <w:rsid w:val="00A62C5E"/>
    <w:pPr>
      <w:spacing w:after="60" w:line="264" w:lineRule="auto"/>
    </w:pPr>
    <w:rPr>
      <w:sz w:val="20"/>
      <w:szCs w:val="20"/>
    </w:rPr>
  </w:style>
  <w:style w:type="character" w:customStyle="1" w:styleId="FootnoteTextChar">
    <w:name w:val="Footnote Text Char"/>
    <w:basedOn w:val="DefaultParagraphFont"/>
    <w:link w:val="FootnoteText"/>
    <w:rsid w:val="00A62C5E"/>
    <w:rPr>
      <w:rFonts w:ascii="Cambria" w:hAnsi="Cambria"/>
      <w:sz w:val="20"/>
      <w:szCs w:val="20"/>
    </w:rPr>
  </w:style>
  <w:style w:type="character" w:styleId="FootnoteReference">
    <w:name w:val="footnote reference"/>
    <w:basedOn w:val="DefaultParagraphFont"/>
    <w:semiHidden/>
    <w:unhideWhenUsed/>
    <w:rsid w:val="00A62C5E"/>
    <w:rPr>
      <w:vertAlign w:val="superscript"/>
    </w:rPr>
  </w:style>
  <w:style w:type="paragraph" w:styleId="EndnoteText">
    <w:name w:val="endnote text"/>
    <w:basedOn w:val="Normal"/>
    <w:link w:val="EndnoteTextChar"/>
    <w:uiPriority w:val="99"/>
    <w:unhideWhenUsed/>
    <w:rsid w:val="00A62C5E"/>
    <w:pPr>
      <w:spacing w:after="60" w:line="264" w:lineRule="auto"/>
    </w:pPr>
    <w:rPr>
      <w:sz w:val="20"/>
      <w:szCs w:val="20"/>
    </w:rPr>
  </w:style>
  <w:style w:type="character" w:customStyle="1" w:styleId="EndnoteTextChar">
    <w:name w:val="Endnote Text Char"/>
    <w:basedOn w:val="DefaultParagraphFont"/>
    <w:link w:val="EndnoteText"/>
    <w:uiPriority w:val="99"/>
    <w:rsid w:val="00A62C5E"/>
    <w:rPr>
      <w:rFonts w:ascii="Cambria" w:hAnsi="Cambria"/>
      <w:sz w:val="20"/>
      <w:szCs w:val="20"/>
    </w:rPr>
  </w:style>
  <w:style w:type="character" w:styleId="EndnoteReference">
    <w:name w:val="endnote reference"/>
    <w:basedOn w:val="DefaultParagraphFont"/>
    <w:uiPriority w:val="99"/>
    <w:semiHidden/>
    <w:unhideWhenUsed/>
    <w:rsid w:val="00A62C5E"/>
    <w:rPr>
      <w:vertAlign w:val="superscript"/>
    </w:rPr>
  </w:style>
  <w:style w:type="character" w:styleId="FollowedHyperlink">
    <w:name w:val="FollowedHyperlink"/>
    <w:basedOn w:val="DefaultParagraphFont"/>
    <w:uiPriority w:val="99"/>
    <w:semiHidden/>
    <w:unhideWhenUsed/>
    <w:rsid w:val="00A62C5E"/>
    <w:rPr>
      <w:color w:val="800080"/>
      <w:u w:val="single"/>
    </w:rPr>
  </w:style>
  <w:style w:type="paragraph" w:customStyle="1" w:styleId="BoxSource">
    <w:name w:val="Box Source"/>
    <w:basedOn w:val="FigureTableNoteSource"/>
    <w:uiPriority w:val="22"/>
    <w:qFormat/>
    <w:rsid w:val="00A62C5E"/>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A62C5E"/>
    <w:pPr>
      <w:numPr>
        <w:numId w:val="3"/>
      </w:numPr>
    </w:pPr>
  </w:style>
  <w:style w:type="paragraph" w:styleId="Title">
    <w:name w:val="Title"/>
    <w:basedOn w:val="Normal"/>
    <w:next w:val="Normal"/>
    <w:link w:val="TitleChar"/>
    <w:uiPriority w:val="10"/>
    <w:qFormat/>
    <w:rsid w:val="00A62C5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A62C5E"/>
    <w:rPr>
      <w:rFonts w:ascii="Cambria" w:eastAsiaTheme="majorEastAsia" w:hAnsi="Cambria" w:cstheme="majorBidi"/>
      <w:b/>
      <w:spacing w:val="5"/>
      <w:kern w:val="28"/>
      <w:sz w:val="72"/>
      <w:szCs w:val="52"/>
    </w:rPr>
  </w:style>
  <w:style w:type="paragraph" w:customStyle="1" w:styleId="TOCHeading2">
    <w:name w:val="TOC Heading 2"/>
    <w:next w:val="Normal"/>
    <w:qFormat/>
    <w:rsid w:val="00A62C5E"/>
    <w:pPr>
      <w:spacing w:after="0" w:line="240" w:lineRule="auto"/>
    </w:pPr>
    <w:rPr>
      <w:rFonts w:ascii="Calibri Light" w:hAnsi="Calibri Light"/>
      <w:sz w:val="36"/>
    </w:rPr>
  </w:style>
  <w:style w:type="numbering" w:customStyle="1" w:styleId="Numberlist">
    <w:name w:val="Number list"/>
    <w:uiPriority w:val="99"/>
    <w:rsid w:val="00A62C5E"/>
    <w:pPr>
      <w:numPr>
        <w:numId w:val="4"/>
      </w:numPr>
    </w:pPr>
  </w:style>
  <w:style w:type="numbering" w:customStyle="1" w:styleId="Headinglist">
    <w:name w:val="Heading list"/>
    <w:uiPriority w:val="99"/>
    <w:rsid w:val="00A62C5E"/>
    <w:pPr>
      <w:numPr>
        <w:numId w:val="5"/>
      </w:numPr>
    </w:pPr>
  </w:style>
  <w:style w:type="paragraph" w:customStyle="1" w:styleId="Normalsmall">
    <w:name w:val="Normal small"/>
    <w:qFormat/>
    <w:rsid w:val="00A62C5E"/>
    <w:pPr>
      <w:spacing w:after="120" w:line="276" w:lineRule="auto"/>
    </w:pPr>
    <w:rPr>
      <w:rFonts w:ascii="Cambria" w:hAnsi="Cambria"/>
      <w:sz w:val="18"/>
      <w:szCs w:val="18"/>
    </w:rPr>
  </w:style>
  <w:style w:type="paragraph" w:styleId="ListBullet3">
    <w:name w:val="List Bullet 3"/>
    <w:basedOn w:val="Normal"/>
    <w:uiPriority w:val="99"/>
    <w:rsid w:val="00A62C5E"/>
    <w:pPr>
      <w:numPr>
        <w:ilvl w:val="2"/>
        <w:numId w:val="3"/>
      </w:numPr>
      <w:tabs>
        <w:tab w:val="num" w:pos="360"/>
      </w:tabs>
      <w:spacing w:after="120"/>
      <w:ind w:left="0" w:firstLine="0"/>
      <w:contextualSpacing/>
    </w:pPr>
  </w:style>
  <w:style w:type="table" w:customStyle="1" w:styleId="ABARESTableleftrightalign">
    <w:name w:val="ABARES Table (left/right align)"/>
    <w:basedOn w:val="TableNormal"/>
    <w:uiPriority w:val="99"/>
    <w:rsid w:val="00A62C5E"/>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rsid w:val="00A62C5E"/>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A62C5E"/>
    <w:pPr>
      <w:numPr>
        <w:numId w:val="6"/>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A62C5E"/>
    <w:rPr>
      <w:i/>
      <w:iCs/>
      <w:color w:val="4472C4" w:themeColor="accent1"/>
    </w:rPr>
  </w:style>
  <w:style w:type="paragraph" w:customStyle="1" w:styleId="TableBullet2">
    <w:name w:val="Table Bullet 2"/>
    <w:basedOn w:val="TableBullet1"/>
    <w:qFormat/>
    <w:rsid w:val="00A62C5E"/>
    <w:pPr>
      <w:numPr>
        <w:numId w:val="9"/>
      </w:numPr>
      <w:tabs>
        <w:tab w:val="num" w:pos="284"/>
      </w:tabs>
      <w:ind w:left="568" w:hanging="284"/>
    </w:pPr>
  </w:style>
  <w:style w:type="numbering" w:customStyle="1" w:styleId="TableBulletlist">
    <w:name w:val="Table Bullet list"/>
    <w:uiPriority w:val="99"/>
    <w:rsid w:val="00A62C5E"/>
    <w:pPr>
      <w:numPr>
        <w:numId w:val="8"/>
      </w:numPr>
    </w:pPr>
  </w:style>
  <w:style w:type="paragraph" w:styleId="Date">
    <w:name w:val="Date"/>
    <w:basedOn w:val="Normal"/>
    <w:next w:val="Normal"/>
    <w:link w:val="DateChar"/>
    <w:uiPriority w:val="99"/>
    <w:unhideWhenUsed/>
    <w:rsid w:val="00A62C5E"/>
    <w:pPr>
      <w:jc w:val="right"/>
    </w:pPr>
  </w:style>
  <w:style w:type="character" w:customStyle="1" w:styleId="DateChar">
    <w:name w:val="Date Char"/>
    <w:basedOn w:val="DefaultParagraphFont"/>
    <w:link w:val="Date"/>
    <w:uiPriority w:val="99"/>
    <w:rsid w:val="00A62C5E"/>
    <w:rPr>
      <w:rFonts w:ascii="Cambria" w:hAnsi="Cambria"/>
    </w:rPr>
  </w:style>
  <w:style w:type="paragraph" w:styleId="Revision">
    <w:name w:val="Revision"/>
    <w:hidden/>
    <w:uiPriority w:val="99"/>
    <w:semiHidden/>
    <w:rsid w:val="00A62C5E"/>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A62C5E"/>
    <w:rPr>
      <w:color w:val="605E5C"/>
      <w:shd w:val="clear" w:color="auto" w:fill="E1DFDD"/>
    </w:rPr>
  </w:style>
  <w:style w:type="paragraph" w:customStyle="1" w:styleId="Instructiontext">
    <w:name w:val="Instruction text"/>
    <w:basedOn w:val="Normal"/>
    <w:next w:val="Normal"/>
    <w:qFormat/>
    <w:rsid w:val="00A62C5E"/>
    <w:rPr>
      <w:color w:val="44546A" w:themeColor="text2"/>
      <w:shd w:val="clear" w:color="auto" w:fill="D9E2F3" w:themeFill="accent1" w:themeFillTint="33"/>
    </w:rPr>
  </w:style>
  <w:style w:type="character" w:customStyle="1" w:styleId="UnresolvedMention2">
    <w:name w:val="Unresolved Mention2"/>
    <w:basedOn w:val="DefaultParagraphFont"/>
    <w:uiPriority w:val="99"/>
    <w:semiHidden/>
    <w:unhideWhenUsed/>
    <w:rsid w:val="00A62C5E"/>
    <w:rPr>
      <w:color w:val="605E5C"/>
      <w:shd w:val="clear" w:color="auto" w:fill="E1DFDD"/>
    </w:rPr>
  </w:style>
  <w:style w:type="paragraph" w:customStyle="1" w:styleId="Tabletextinstruction">
    <w:name w:val="Table text instruction"/>
    <w:basedOn w:val="TableText"/>
    <w:qFormat/>
    <w:rsid w:val="00A62C5E"/>
    <w:pPr>
      <w:shd w:val="clear" w:color="auto" w:fill="D9D9D9" w:themeFill="background1" w:themeFillShade="D9"/>
    </w:pPr>
  </w:style>
  <w:style w:type="character" w:styleId="UnresolvedMention">
    <w:name w:val="Unresolved Mention"/>
    <w:basedOn w:val="DefaultParagraphFont"/>
    <w:uiPriority w:val="99"/>
    <w:semiHidden/>
    <w:unhideWhenUsed/>
    <w:rsid w:val="00A62C5E"/>
    <w:rPr>
      <w:color w:val="605E5C"/>
      <w:shd w:val="clear" w:color="auto" w:fill="E1DFDD"/>
    </w:rPr>
  </w:style>
  <w:style w:type="paragraph" w:customStyle="1" w:styleId="Normal12pt">
    <w:name w:val="Normal 12 pt"/>
    <w:basedOn w:val="Normal"/>
    <w:link w:val="Normal12ptChar"/>
    <w:rsid w:val="00A62C5E"/>
    <w:pPr>
      <w:spacing w:after="120" w:line="240" w:lineRule="auto"/>
    </w:pPr>
    <w:rPr>
      <w:rFonts w:ascii="Times New Roman" w:eastAsia="Times New Roman" w:hAnsi="Times New Roman" w:cs="Times New Roman"/>
      <w:sz w:val="24"/>
      <w:szCs w:val="20"/>
    </w:rPr>
  </w:style>
  <w:style w:type="character" w:customStyle="1" w:styleId="Normal12ptChar">
    <w:name w:val="Normal 12 pt Char"/>
    <w:basedOn w:val="DefaultParagraphFont"/>
    <w:link w:val="Normal12pt"/>
    <w:rsid w:val="00A62C5E"/>
    <w:rPr>
      <w:rFonts w:ascii="Times New Roman" w:eastAsia="Times New Roman" w:hAnsi="Times New Roman" w:cs="Times New Roman"/>
      <w:sz w:val="24"/>
      <w:szCs w:val="20"/>
    </w:rPr>
  </w:style>
  <w:style w:type="paragraph" w:styleId="ListParagraph">
    <w:name w:val="List Paragraph"/>
    <w:basedOn w:val="Normal"/>
    <w:uiPriority w:val="34"/>
    <w:qFormat/>
    <w:rsid w:val="00A62C5E"/>
    <w:pPr>
      <w:spacing w:after="0" w:line="240" w:lineRule="auto"/>
      <w:ind w:left="720"/>
      <w:contextualSpacing/>
    </w:pPr>
    <w:rPr>
      <w:rFonts w:ascii="Times New Roman" w:eastAsia="Times New Roman" w:hAnsi="Times New Roman" w:cs="Times New Roman"/>
      <w:sz w:val="24"/>
      <w:szCs w:val="24"/>
    </w:rPr>
  </w:style>
  <w:style w:type="paragraph" w:customStyle="1" w:styleId="CAbulletminor">
    <w:name w:val="CA bullet minor"/>
    <w:basedOn w:val="Normal"/>
    <w:link w:val="CAbulletminorChar"/>
    <w:qFormat/>
    <w:rsid w:val="00A62C5E"/>
    <w:pPr>
      <w:spacing w:after="120"/>
      <w:ind w:left="1145" w:hanging="360"/>
    </w:pPr>
    <w:rPr>
      <w:rFonts w:ascii="Arial" w:eastAsia="Times New Roman" w:hAnsi="Arial" w:cs="Arial"/>
    </w:rPr>
  </w:style>
  <w:style w:type="character" w:customStyle="1" w:styleId="CAbulletminorChar">
    <w:name w:val="CA bullet minor Char"/>
    <w:basedOn w:val="DefaultParagraphFont"/>
    <w:link w:val="CAbulletminor"/>
    <w:rsid w:val="00A62C5E"/>
    <w:rPr>
      <w:rFonts w:ascii="Arial" w:eastAsia="Times New Roman" w:hAnsi="Arial" w:cs="Arial"/>
    </w:rPr>
  </w:style>
  <w:style w:type="paragraph" w:customStyle="1" w:styleId="CAmajorheading">
    <w:name w:val="CA major heading"/>
    <w:basedOn w:val="Normal"/>
    <w:link w:val="CAmajorheadingChar"/>
    <w:qFormat/>
    <w:rsid w:val="00A62C5E"/>
    <w:pPr>
      <w:keepNext/>
      <w:spacing w:after="120" w:line="240" w:lineRule="auto"/>
    </w:pPr>
    <w:rPr>
      <w:rFonts w:ascii="Arial" w:eastAsia="Times New Roman" w:hAnsi="Arial" w:cs="Arial"/>
      <w:b/>
      <w:sz w:val="24"/>
      <w:u w:val="single"/>
    </w:rPr>
  </w:style>
  <w:style w:type="character" w:customStyle="1" w:styleId="CAmajorheadingChar">
    <w:name w:val="CA major heading Char"/>
    <w:basedOn w:val="DefaultParagraphFont"/>
    <w:link w:val="CAmajorheading"/>
    <w:rsid w:val="00A62C5E"/>
    <w:rPr>
      <w:rFonts w:ascii="Arial" w:eastAsia="Times New Roman" w:hAnsi="Arial" w:cs="Arial"/>
      <w:b/>
      <w:sz w:val="24"/>
      <w:u w:val="single"/>
    </w:rPr>
  </w:style>
  <w:style w:type="paragraph" w:customStyle="1" w:styleId="CAIntextheading1">
    <w:name w:val="CA In text heading 1"/>
    <w:basedOn w:val="Normal"/>
    <w:link w:val="CAIntextheading1Char"/>
    <w:qFormat/>
    <w:rsid w:val="00A62C5E"/>
    <w:pPr>
      <w:keepNext/>
      <w:tabs>
        <w:tab w:val="left" w:pos="426"/>
      </w:tabs>
      <w:spacing w:before="240" w:after="120" w:line="240" w:lineRule="auto"/>
      <w:ind w:left="425" w:hanging="425"/>
    </w:pPr>
    <w:rPr>
      <w:rFonts w:ascii="Arial" w:eastAsia="Times New Roman" w:hAnsi="Arial" w:cs="Arial"/>
      <w:b/>
    </w:rPr>
  </w:style>
  <w:style w:type="character" w:customStyle="1" w:styleId="CAIntextheading1Char">
    <w:name w:val="CA In text heading 1 Char"/>
    <w:basedOn w:val="DefaultParagraphFont"/>
    <w:link w:val="CAIntextheading1"/>
    <w:rsid w:val="00A62C5E"/>
    <w:rPr>
      <w:rFonts w:ascii="Arial" w:eastAsia="Times New Roman" w:hAnsi="Arial" w:cs="Arial"/>
      <w:b/>
    </w:rPr>
  </w:style>
  <w:style w:type="paragraph" w:customStyle="1" w:styleId="CAtext">
    <w:name w:val="CA text"/>
    <w:basedOn w:val="Normal"/>
    <w:link w:val="CAtextChar"/>
    <w:qFormat/>
    <w:rsid w:val="00A62C5E"/>
    <w:pPr>
      <w:spacing w:line="240" w:lineRule="auto"/>
    </w:pPr>
    <w:rPr>
      <w:rFonts w:ascii="Arial" w:eastAsia="Times New Roman" w:hAnsi="Arial" w:cs="Arial"/>
      <w:bCs/>
    </w:rPr>
  </w:style>
  <w:style w:type="character" w:customStyle="1" w:styleId="CAtextChar">
    <w:name w:val="CA text Char"/>
    <w:basedOn w:val="DefaultParagraphFont"/>
    <w:link w:val="CAtext"/>
    <w:rsid w:val="00A62C5E"/>
    <w:rPr>
      <w:rFonts w:ascii="Arial" w:eastAsia="Times New Roman" w:hAnsi="Arial" w:cs="Arial"/>
      <w:bCs/>
    </w:rPr>
  </w:style>
  <w:style w:type="paragraph" w:customStyle="1" w:styleId="CAbullet">
    <w:name w:val="CA bullet"/>
    <w:basedOn w:val="ListBullet"/>
    <w:rsid w:val="00A62C5E"/>
    <w:pPr>
      <w:numPr>
        <w:numId w:val="10"/>
      </w:numPr>
      <w:spacing w:before="0"/>
      <w:ind w:left="964" w:hanging="284"/>
      <w:contextualSpacing/>
    </w:pPr>
    <w:rPr>
      <w:rFonts w:ascii="Arial" w:eastAsia="Times New Roman" w:hAnsi="Arial" w:cs="Arial"/>
    </w:rPr>
  </w:style>
  <w:style w:type="paragraph" w:customStyle="1" w:styleId="CAminorheading">
    <w:name w:val="CA minor heading"/>
    <w:basedOn w:val="Normal"/>
    <w:link w:val="CAminorheadingChar"/>
    <w:qFormat/>
    <w:rsid w:val="00A62C5E"/>
    <w:pPr>
      <w:keepNext/>
      <w:spacing w:after="120" w:line="240" w:lineRule="auto"/>
    </w:pPr>
    <w:rPr>
      <w:rFonts w:ascii="Arial" w:eastAsia="Times New Roman" w:hAnsi="Arial" w:cs="Arial"/>
      <w:b/>
    </w:rPr>
  </w:style>
  <w:style w:type="character" w:customStyle="1" w:styleId="CAminorheadingChar">
    <w:name w:val="CA minor heading Char"/>
    <w:basedOn w:val="DefaultParagraphFont"/>
    <w:link w:val="CAminorheading"/>
    <w:rsid w:val="00A62C5E"/>
    <w:rPr>
      <w:rFonts w:ascii="Arial" w:eastAsia="Times New Roman" w:hAnsi="Arial" w:cs="Arial"/>
      <w:b/>
    </w:rPr>
  </w:style>
  <w:style w:type="paragraph" w:customStyle="1" w:styleId="CAheadingintext">
    <w:name w:val="CA heading in text"/>
    <w:basedOn w:val="Normal"/>
    <w:link w:val="CAheadingintextChar"/>
    <w:qFormat/>
    <w:rsid w:val="00A62C5E"/>
    <w:pPr>
      <w:keepNext/>
      <w:tabs>
        <w:tab w:val="left" w:pos="426"/>
      </w:tabs>
      <w:spacing w:before="240" w:after="120" w:line="240" w:lineRule="auto"/>
      <w:ind w:left="425" w:hanging="425"/>
    </w:pPr>
    <w:rPr>
      <w:rFonts w:ascii="Arial" w:eastAsia="Times New Roman" w:hAnsi="Arial" w:cs="Arial"/>
      <w:b/>
    </w:rPr>
  </w:style>
  <w:style w:type="character" w:customStyle="1" w:styleId="CAheadingintextChar">
    <w:name w:val="CA heading in text Char"/>
    <w:basedOn w:val="DefaultParagraphFont"/>
    <w:link w:val="CAheadingintext"/>
    <w:rsid w:val="00A62C5E"/>
    <w:rPr>
      <w:rFonts w:ascii="Arial" w:eastAsia="Times New Roman" w:hAnsi="Arial" w:cs="Arial"/>
      <w:b/>
    </w:rPr>
  </w:style>
  <w:style w:type="table" w:customStyle="1" w:styleId="TableGrid0">
    <w:name w:val="TableGrid"/>
    <w:rsid w:val="00A62C5E"/>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TableTextChar">
    <w:name w:val="Table Text Char"/>
    <w:basedOn w:val="DefaultParagraphFont"/>
    <w:link w:val="TableText"/>
    <w:uiPriority w:val="13"/>
    <w:rsid w:val="00516450"/>
    <w:rPr>
      <w:rFonts w:ascii="Cambria" w:hAnsi="Cambria"/>
      <w:sz w:val="18"/>
    </w:rPr>
  </w:style>
  <w:style w:type="paragraph" w:customStyle="1" w:styleId="Consultationtext">
    <w:name w:val="Consultation text"/>
    <w:basedOn w:val="Normal"/>
    <w:qFormat/>
    <w:rsid w:val="00514E80"/>
    <w:rPr>
      <w:color w:val="FF0000"/>
    </w:rPr>
  </w:style>
  <w:style w:type="paragraph" w:customStyle="1" w:styleId="EndNoteBibliography">
    <w:name w:val="EndNote Bibliography"/>
    <w:basedOn w:val="Normal"/>
    <w:link w:val="EndNoteBibliographyChar"/>
    <w:rsid w:val="00A2250E"/>
    <w:pPr>
      <w:spacing w:line="240" w:lineRule="auto"/>
    </w:pPr>
    <w:rPr>
      <w:noProof/>
      <w:lang w:val="en-US"/>
    </w:rPr>
  </w:style>
  <w:style w:type="character" w:customStyle="1" w:styleId="EndNoteBibliographyChar">
    <w:name w:val="EndNote Bibliography Char"/>
    <w:basedOn w:val="DefaultParagraphFont"/>
    <w:link w:val="EndNoteBibliography"/>
    <w:rsid w:val="00A2250E"/>
    <w:rPr>
      <w:rFonts w:ascii="Cambria" w:hAnsi="Cambria"/>
      <w:noProof/>
      <w:lang w:val="en-US"/>
    </w:rPr>
  </w:style>
  <w:style w:type="paragraph" w:customStyle="1" w:styleId="TSSC">
    <w:name w:val="TSSC"/>
    <w:basedOn w:val="Normal"/>
    <w:qFormat/>
    <w:rsid w:val="008026DA"/>
    <w:pPr>
      <w:numPr>
        <w:numId w:val="11"/>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373276">
      <w:bodyDiv w:val="1"/>
      <w:marLeft w:val="0"/>
      <w:marRight w:val="0"/>
      <w:marTop w:val="0"/>
      <w:marBottom w:val="0"/>
      <w:divBdr>
        <w:top w:val="none" w:sz="0" w:space="0" w:color="auto"/>
        <w:left w:val="none" w:sz="0" w:space="0" w:color="auto"/>
        <w:bottom w:val="none" w:sz="0" w:space="0" w:color="auto"/>
        <w:right w:val="none" w:sz="0" w:space="0" w:color="auto"/>
      </w:divBdr>
    </w:div>
    <w:div w:id="882061499">
      <w:bodyDiv w:val="1"/>
      <w:marLeft w:val="0"/>
      <w:marRight w:val="0"/>
      <w:marTop w:val="0"/>
      <w:marBottom w:val="0"/>
      <w:divBdr>
        <w:top w:val="none" w:sz="0" w:space="0" w:color="auto"/>
        <w:left w:val="none" w:sz="0" w:space="0" w:color="auto"/>
        <w:bottom w:val="none" w:sz="0" w:space="0" w:color="auto"/>
        <w:right w:val="none" w:sz="0" w:space="0" w:color="auto"/>
      </w:divBdr>
    </w:div>
    <w:div w:id="1196041225">
      <w:bodyDiv w:val="1"/>
      <w:marLeft w:val="0"/>
      <w:marRight w:val="0"/>
      <w:marTop w:val="0"/>
      <w:marBottom w:val="0"/>
      <w:divBdr>
        <w:top w:val="none" w:sz="0" w:space="0" w:color="auto"/>
        <w:left w:val="none" w:sz="0" w:space="0" w:color="auto"/>
        <w:bottom w:val="none" w:sz="0" w:space="0" w:color="auto"/>
        <w:right w:val="none" w:sz="0" w:space="0" w:color="auto"/>
      </w:divBdr>
    </w:div>
    <w:div w:id="1485585242">
      <w:bodyDiv w:val="1"/>
      <w:marLeft w:val="0"/>
      <w:marRight w:val="0"/>
      <w:marTop w:val="0"/>
      <w:marBottom w:val="0"/>
      <w:divBdr>
        <w:top w:val="none" w:sz="0" w:space="0" w:color="auto"/>
        <w:left w:val="none" w:sz="0" w:space="0" w:color="auto"/>
        <w:bottom w:val="none" w:sz="0" w:space="0" w:color="auto"/>
        <w:right w:val="none" w:sz="0" w:space="0" w:color="auto"/>
      </w:divBdr>
    </w:div>
    <w:div w:id="1784153138">
      <w:bodyDiv w:val="1"/>
      <w:marLeft w:val="0"/>
      <w:marRight w:val="0"/>
      <w:marTop w:val="0"/>
      <w:marBottom w:val="0"/>
      <w:divBdr>
        <w:top w:val="none" w:sz="0" w:space="0" w:color="auto"/>
        <w:left w:val="none" w:sz="0" w:space="0" w:color="auto"/>
        <w:bottom w:val="none" w:sz="0" w:space="0" w:color="auto"/>
        <w:right w:val="none" w:sz="0" w:space="0" w:color="auto"/>
      </w:divBdr>
      <w:divsChild>
        <w:div w:id="1794397309">
          <w:marLeft w:val="0"/>
          <w:marRight w:val="0"/>
          <w:marTop w:val="0"/>
          <w:marBottom w:val="0"/>
          <w:divBdr>
            <w:top w:val="none" w:sz="0" w:space="0" w:color="auto"/>
            <w:left w:val="none" w:sz="0" w:space="0" w:color="auto"/>
            <w:bottom w:val="none" w:sz="0" w:space="0" w:color="auto"/>
            <w:right w:val="none" w:sz="0" w:space="0" w:color="auto"/>
          </w:divBdr>
        </w:div>
      </w:divsChild>
    </w:div>
    <w:div w:id="1795173526">
      <w:bodyDiv w:val="1"/>
      <w:marLeft w:val="0"/>
      <w:marRight w:val="0"/>
      <w:marTop w:val="0"/>
      <w:marBottom w:val="0"/>
      <w:divBdr>
        <w:top w:val="none" w:sz="0" w:space="0" w:color="auto"/>
        <w:left w:val="none" w:sz="0" w:space="0" w:color="auto"/>
        <w:bottom w:val="none" w:sz="0" w:space="0" w:color="auto"/>
        <w:right w:val="none" w:sz="0" w:space="0" w:color="auto"/>
      </w:divBdr>
    </w:div>
    <w:div w:id="201244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environment.gov.au/system/files/resources/2ad52ee4-0334-451c-beea-a2f2743c6bc7/files/dryandra-montana.pdf" TargetMode="External"/><Relationship Id="rId39" Type="http://schemas.openxmlformats.org/officeDocument/2006/relationships/hyperlink" Target="http://www.environment.gov.au/biodiversity/threatened/cam" TargetMode="External"/><Relationship Id="rId21" Type="http://schemas.openxmlformats.org/officeDocument/2006/relationships/hyperlink" Target="http://www.environment.gov.au/cgi-bin/sprat/public/sprat.pl" TargetMode="External"/><Relationship Id="rId34" Type="http://schemas.openxmlformats.org/officeDocument/2006/relationships/hyperlink" Target="https://florabase.dpaw.wa.gov.au/browse/profile/32210" TargetMode="External"/><Relationship Id="rId42" Type="http://schemas.openxmlformats.org/officeDocument/2006/relationships/footer" Target="footer1.xml"/><Relationship Id="rId47" Type="http://schemas.openxmlformats.org/officeDocument/2006/relationships/hyperlink" Target="mailto:copyright@awe.gov.au" TargetMode="External"/><Relationship Id="rId50" Type="http://schemas.openxmlformats.org/officeDocument/2006/relationships/header" Target="header4.xml"/><Relationship Id="rId55"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www.environment.gov.au/biodiversity/threatened/species/pubs/86868-conservation-advice-11052018.pdf" TargetMode="External"/><Relationship Id="rId11" Type="http://schemas.openxmlformats.org/officeDocument/2006/relationships/footnotes" Target="footnotes.xml"/><Relationship Id="rId24" Type="http://schemas.openxmlformats.org/officeDocument/2006/relationships/hyperlink" Target="https://www.environment.gov.au/biodiversity/threatened/publications/threat-abatement-plan-disease-natural-ecosystems-caused-phytophthora-cinnamomi-2018" TargetMode="External"/><Relationship Id="rId32" Type="http://schemas.openxmlformats.org/officeDocument/2006/relationships/hyperlink" Target="https://www.dpaw.wa.gov.au/images/documents/plants-animals/threatened-species/recovery_plans/Approved_interim_recovery_plans_/communities/montane_irp52.pdf" TargetMode="External"/><Relationship Id="rId37" Type="http://schemas.openxmlformats.org/officeDocument/2006/relationships/hyperlink" Target="http://www.environment.gov.au/system/files/pages/d72dfd1a-f0d8-4699-8d43-5d95bbb02428/files/tssc-guidelines-assessing-species-2018.pdf" TargetMode="External"/><Relationship Id="rId40" Type="http://schemas.openxmlformats.org/officeDocument/2006/relationships/header" Target="header1.xml"/><Relationship Id="rId45" Type="http://schemas.openxmlformats.org/officeDocument/2006/relationships/image" Target="media/image4.pn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s://www.dpaw.wa.gov.au/images/documents/plants-animals/tecs/Montane-thicket-of-the-eastern-Stirling-Range.pdf" TargetMode="External"/><Relationship Id="rId44" Type="http://schemas.openxmlformats.org/officeDocument/2006/relationships/footer" Target="footer2.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recovery-plans" TargetMode="External"/><Relationship Id="rId22" Type="http://schemas.openxmlformats.org/officeDocument/2006/relationships/image" Target="media/image2.jpeg"/><Relationship Id="rId27" Type="http://schemas.openxmlformats.org/officeDocument/2006/relationships/hyperlink" Target="https://dfes.wa.gov.au/waemergencyandriskmanagement/obrm/Documents/Appendix-4_Meteorological_Aspects_Stirling_Ranges_South_Coast_Fires_Report-Final-2018.pdf" TargetMode="External"/><Relationship Id="rId30" Type="http://schemas.openxmlformats.org/officeDocument/2006/relationships/hyperlink" Target="https://www.environment.gov.au/biodiversity/invasive-species/diseases-fungi-and-parasites/phytophthora-cinnamomi-disease" TargetMode="External"/><Relationship Id="rId35" Type="http://schemas.openxmlformats.org/officeDocument/2006/relationships/hyperlink" Target="https://www.environment.gov.au/system/files/resources/2ad52ee4-0334-451c-beea-a2f2743c6bc7/files/dryandra-montana.pdf" TargetMode="External"/><Relationship Id="rId43" Type="http://schemas.openxmlformats.org/officeDocument/2006/relationships/header" Target="header3.xml"/><Relationship Id="rId48" Type="http://schemas.openxmlformats.org/officeDocument/2006/relationships/hyperlink" Target="http://www.environment.gov.au/cgi-bin/sprat/public/publicspecies.pl?taxon_id=82696"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5.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dpaw.wa.gov.au/images/documents/plants-animals/threatened-species/recovery_plans/Approved_interim_recovery_plans_/communities/montane_irp52.pdf" TargetMode="External"/><Relationship Id="rId33" Type="http://schemas.openxmlformats.org/officeDocument/2006/relationships/hyperlink" Target="https://www.dpaw.wa.gov.au/management/pests-diseases/232-phosphite-and-phytophthora-dieback" TargetMode="External"/><Relationship Id="rId38" Type="http://schemas.openxmlformats.org/officeDocument/2006/relationships/hyperlink" Target="https://nc.iucnredlist.org/redlist/content/attachment_files/RedListGuidelines.pdf" TargetMode="External"/><Relationship Id="rId46" Type="http://schemas.openxmlformats.org/officeDocument/2006/relationships/hyperlink" Target="https://creativecommons.org/licenses/by/4.0/legalcode" TargetMode="External"/><Relationship Id="rId20" Type="http://schemas.openxmlformats.org/officeDocument/2006/relationships/image" Target="media/image1.jpeg"/><Relationship Id="rId41" Type="http://schemas.openxmlformats.org/officeDocument/2006/relationships/header" Target="header2.xml"/><Relationship Id="rId54" Type="http://schemas.openxmlformats.org/officeDocument/2006/relationships/fontTable" Target="fontTable.xml"/><Relationship Id="rId6" Type="http://schemas.openxmlformats.org/officeDocument/2006/relationships/customXml" Target="../customXml/item6.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hyperlink" Target="http://www.environment.gov.au/science/erin/databases-maps/snes" TargetMode="External"/><Relationship Id="rId28" Type="http://schemas.openxmlformats.org/officeDocument/2006/relationships/hyperlink" Target="http://www.bom.gov.au/jsp/ncc/cdio/cvg/av" TargetMode="External"/><Relationship Id="rId36" Type="http://schemas.openxmlformats.org/officeDocument/2006/relationships/hyperlink" Target="http://www.iucnredlist.org/documents/RedListGuidelines.pdf" TargetMode="External"/><Relationship Id="rId49" Type="http://schemas.openxmlformats.org/officeDocument/2006/relationships/hyperlink" Target="http://agriculture.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B7154631A148E592E827E36B95C4A9"/>
        <w:category>
          <w:name w:val="General"/>
          <w:gallery w:val="placeholder"/>
        </w:category>
        <w:types>
          <w:type w:val="bbPlcHdr"/>
        </w:types>
        <w:behaviors>
          <w:behavior w:val="content"/>
        </w:behaviors>
        <w:guid w:val="{8FD8D92C-53E5-4CCE-816D-BF7E53A1D328}"/>
      </w:docPartPr>
      <w:docPartBody>
        <w:p w:rsidR="005B2D6F" w:rsidRDefault="006A1A3B" w:rsidP="006A1A3B">
          <w:pPr>
            <w:pStyle w:val="B2B7154631A148E592E827E36B95C4A9"/>
          </w:pPr>
          <w:r w:rsidRPr="0045331C">
            <w:rPr>
              <w:rStyle w:val="PlaceholderText"/>
            </w:rPr>
            <w:t>Choose an item.</w:t>
          </w:r>
        </w:p>
      </w:docPartBody>
    </w:docPart>
    <w:docPart>
      <w:docPartPr>
        <w:name w:val="6BDEC5FDD1EC4759A2C049E0D58F54DB"/>
        <w:category>
          <w:name w:val="General"/>
          <w:gallery w:val="placeholder"/>
        </w:category>
        <w:types>
          <w:type w:val="bbPlcHdr"/>
        </w:types>
        <w:behaviors>
          <w:behavior w:val="content"/>
        </w:behaviors>
        <w:guid w:val="{8C41024D-3126-4AFD-AE94-7DD0AF9F62B4}"/>
      </w:docPartPr>
      <w:docPartBody>
        <w:p w:rsidR="005B2D6F" w:rsidRDefault="006A1A3B" w:rsidP="006A1A3B">
          <w:pPr>
            <w:pStyle w:val="6BDEC5FDD1EC4759A2C049E0D58F54DB"/>
          </w:pPr>
          <w:r w:rsidRPr="0045331C">
            <w:rPr>
              <w:rStyle w:val="PlaceholderText"/>
            </w:rPr>
            <w:t>Choose an item.</w:t>
          </w:r>
        </w:p>
      </w:docPartBody>
    </w:docPart>
    <w:docPart>
      <w:docPartPr>
        <w:name w:val="16015CCECC014AB3BE97CACCD03A0F59"/>
        <w:category>
          <w:name w:val="General"/>
          <w:gallery w:val="placeholder"/>
        </w:category>
        <w:types>
          <w:type w:val="bbPlcHdr"/>
        </w:types>
        <w:behaviors>
          <w:behavior w:val="content"/>
        </w:behaviors>
        <w:guid w:val="{8633B316-54D2-4E7A-937D-1D62B3A99A6D}"/>
      </w:docPartPr>
      <w:docPartBody>
        <w:p w:rsidR="005B2D6F" w:rsidRDefault="006A1A3B" w:rsidP="006A1A3B">
          <w:pPr>
            <w:pStyle w:val="16015CCECC014AB3BE97CACCD03A0F59"/>
          </w:pPr>
          <w:r w:rsidRPr="0045331C">
            <w:rPr>
              <w:rStyle w:val="PlaceholderText"/>
            </w:rPr>
            <w:t>Choose an item.</w:t>
          </w:r>
        </w:p>
      </w:docPartBody>
    </w:docPart>
    <w:docPart>
      <w:docPartPr>
        <w:name w:val="76A8CE47AE40440DAB547B2B7946860A"/>
        <w:category>
          <w:name w:val="General"/>
          <w:gallery w:val="placeholder"/>
        </w:category>
        <w:types>
          <w:type w:val="bbPlcHdr"/>
        </w:types>
        <w:behaviors>
          <w:behavior w:val="content"/>
        </w:behaviors>
        <w:guid w:val="{281508AF-5713-4AA9-A961-51C7F3BA37BB}"/>
      </w:docPartPr>
      <w:docPartBody>
        <w:p w:rsidR="005B2D6F" w:rsidRDefault="006A1A3B" w:rsidP="006A1A3B">
          <w:pPr>
            <w:pStyle w:val="76A8CE47AE40440DAB547B2B7946860A"/>
          </w:pPr>
          <w:r w:rsidRPr="0045331C">
            <w:rPr>
              <w:rStyle w:val="PlaceholderText"/>
            </w:rPr>
            <w:t>Choose an item.</w:t>
          </w:r>
        </w:p>
      </w:docPartBody>
    </w:docPart>
    <w:docPart>
      <w:docPartPr>
        <w:name w:val="BE94B2559CA6403288F56672E81061A0"/>
        <w:category>
          <w:name w:val="General"/>
          <w:gallery w:val="placeholder"/>
        </w:category>
        <w:types>
          <w:type w:val="bbPlcHdr"/>
        </w:types>
        <w:behaviors>
          <w:behavior w:val="content"/>
        </w:behaviors>
        <w:guid w:val="{BB43BFB3-3E0C-4EA7-AAE9-BCC8CE2B2DB4}"/>
      </w:docPartPr>
      <w:docPartBody>
        <w:p w:rsidR="005B2D6F" w:rsidRDefault="006A1A3B" w:rsidP="006A1A3B">
          <w:pPr>
            <w:pStyle w:val="BE94B2559CA6403288F56672E81061A0"/>
          </w:pPr>
          <w:r w:rsidRPr="0045331C">
            <w:rPr>
              <w:rStyle w:val="PlaceholderText"/>
            </w:rPr>
            <w:t>Choose an item.</w:t>
          </w:r>
        </w:p>
      </w:docPartBody>
    </w:docPart>
    <w:docPart>
      <w:docPartPr>
        <w:name w:val="820D421BB0C3489C98818358E53387E5"/>
        <w:category>
          <w:name w:val="General"/>
          <w:gallery w:val="placeholder"/>
        </w:category>
        <w:types>
          <w:type w:val="bbPlcHdr"/>
        </w:types>
        <w:behaviors>
          <w:behavior w:val="content"/>
        </w:behaviors>
        <w:guid w:val="{0858320C-4FE9-453F-9F9B-DAE4F561987D}"/>
      </w:docPartPr>
      <w:docPartBody>
        <w:p w:rsidR="005B2D6F" w:rsidRDefault="006A1A3B" w:rsidP="006A1A3B">
          <w:pPr>
            <w:pStyle w:val="820D421BB0C3489C98818358E53387E5"/>
          </w:pPr>
          <w:r w:rsidRPr="0045331C">
            <w:rPr>
              <w:rStyle w:val="PlaceholderText"/>
            </w:rPr>
            <w:t>Choose an item.</w:t>
          </w:r>
        </w:p>
      </w:docPartBody>
    </w:docPart>
    <w:docPart>
      <w:docPartPr>
        <w:name w:val="C3D5EBA9F4D346E9B650756CE9CC416D"/>
        <w:category>
          <w:name w:val="General"/>
          <w:gallery w:val="placeholder"/>
        </w:category>
        <w:types>
          <w:type w:val="bbPlcHdr"/>
        </w:types>
        <w:behaviors>
          <w:behavior w:val="content"/>
        </w:behaviors>
        <w:guid w:val="{BE70D346-0FBC-4AB5-A536-E9C2A3580C07}"/>
      </w:docPartPr>
      <w:docPartBody>
        <w:p w:rsidR="005B2D6F" w:rsidRDefault="006A1A3B" w:rsidP="006A1A3B">
          <w:pPr>
            <w:pStyle w:val="C3D5EBA9F4D346E9B650756CE9CC416D"/>
          </w:pPr>
          <w:r w:rsidRPr="0045331C">
            <w:rPr>
              <w:rStyle w:val="PlaceholderText"/>
            </w:rPr>
            <w:t>Choose an item.</w:t>
          </w:r>
        </w:p>
      </w:docPartBody>
    </w:docPart>
    <w:docPart>
      <w:docPartPr>
        <w:name w:val="914B65EBA8B043BF849FB7C9BB2FD55B"/>
        <w:category>
          <w:name w:val="General"/>
          <w:gallery w:val="placeholder"/>
        </w:category>
        <w:types>
          <w:type w:val="bbPlcHdr"/>
        </w:types>
        <w:behaviors>
          <w:behavior w:val="content"/>
        </w:behaviors>
        <w:guid w:val="{F4840B07-4A1A-4B96-8D2E-8251A44CFA7C}"/>
      </w:docPartPr>
      <w:docPartBody>
        <w:p w:rsidR="005B2D6F" w:rsidRDefault="006A1A3B" w:rsidP="006A1A3B">
          <w:pPr>
            <w:pStyle w:val="914B65EBA8B043BF849FB7C9BB2FD55B"/>
          </w:pPr>
          <w:r w:rsidRPr="00F20180">
            <w:rPr>
              <w:rStyle w:val="PlaceholderText"/>
              <w:highlight w:val="yellow"/>
            </w:rPr>
            <w:t>Choose an item.</w:t>
          </w:r>
        </w:p>
      </w:docPartBody>
    </w:docPart>
    <w:docPart>
      <w:docPartPr>
        <w:name w:val="91EB57B65BA54970B341D2BD34C8B700"/>
        <w:category>
          <w:name w:val="General"/>
          <w:gallery w:val="placeholder"/>
        </w:category>
        <w:types>
          <w:type w:val="bbPlcHdr"/>
        </w:types>
        <w:behaviors>
          <w:behavior w:val="content"/>
        </w:behaviors>
        <w:guid w:val="{63CC5834-0122-4211-A269-636A45645FAF}"/>
      </w:docPartPr>
      <w:docPartBody>
        <w:p w:rsidR="005B2D6F" w:rsidRDefault="006A1A3B" w:rsidP="006A1A3B">
          <w:pPr>
            <w:pStyle w:val="91EB57B65BA54970B341D2BD34C8B700"/>
          </w:pPr>
          <w:r w:rsidRPr="00F20180">
            <w:rPr>
              <w:rStyle w:val="PlaceholderText"/>
              <w:highlight w:val="yellow"/>
            </w:rPr>
            <w:t>Choose an item.</w:t>
          </w:r>
        </w:p>
      </w:docPartBody>
    </w:docPart>
    <w:docPart>
      <w:docPartPr>
        <w:name w:val="80A399A8D9AB457380AB9B3F5621FB0B"/>
        <w:category>
          <w:name w:val="General"/>
          <w:gallery w:val="placeholder"/>
        </w:category>
        <w:types>
          <w:type w:val="bbPlcHdr"/>
        </w:types>
        <w:behaviors>
          <w:behavior w:val="content"/>
        </w:behaviors>
        <w:guid w:val="{57EE97F2-A8F0-41B3-8075-B424E32F5F42}"/>
      </w:docPartPr>
      <w:docPartBody>
        <w:p w:rsidR="005B2D6F" w:rsidRDefault="006A1A3B" w:rsidP="006A1A3B">
          <w:pPr>
            <w:pStyle w:val="80A399A8D9AB457380AB9B3F5621FB0B"/>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E5C"/>
    <w:rsid w:val="000019CE"/>
    <w:rsid w:val="000307BD"/>
    <w:rsid w:val="000D5771"/>
    <w:rsid w:val="00135595"/>
    <w:rsid w:val="00144A16"/>
    <w:rsid w:val="0016258E"/>
    <w:rsid w:val="00163C81"/>
    <w:rsid w:val="001B65A4"/>
    <w:rsid w:val="001C393A"/>
    <w:rsid w:val="001D0BB0"/>
    <w:rsid w:val="00232DD1"/>
    <w:rsid w:val="00251B23"/>
    <w:rsid w:val="00255DD4"/>
    <w:rsid w:val="002D2AC4"/>
    <w:rsid w:val="00372E46"/>
    <w:rsid w:val="003D7D47"/>
    <w:rsid w:val="004C65B9"/>
    <w:rsid w:val="00544941"/>
    <w:rsid w:val="00582074"/>
    <w:rsid w:val="005A257B"/>
    <w:rsid w:val="005B2D6F"/>
    <w:rsid w:val="006310AA"/>
    <w:rsid w:val="00655E3A"/>
    <w:rsid w:val="006A1A3B"/>
    <w:rsid w:val="006B1972"/>
    <w:rsid w:val="007B271B"/>
    <w:rsid w:val="007C71B3"/>
    <w:rsid w:val="008519A7"/>
    <w:rsid w:val="008C7FB0"/>
    <w:rsid w:val="00A32AE1"/>
    <w:rsid w:val="00A53ED7"/>
    <w:rsid w:val="00A84B25"/>
    <w:rsid w:val="00A852A7"/>
    <w:rsid w:val="00AC39D7"/>
    <w:rsid w:val="00C2513A"/>
    <w:rsid w:val="00C40949"/>
    <w:rsid w:val="00C47C06"/>
    <w:rsid w:val="00CB343E"/>
    <w:rsid w:val="00D40456"/>
    <w:rsid w:val="00D64D2E"/>
    <w:rsid w:val="00D66E5C"/>
    <w:rsid w:val="00D978A8"/>
    <w:rsid w:val="00DC06E4"/>
    <w:rsid w:val="00EE3750"/>
    <w:rsid w:val="00F078E9"/>
    <w:rsid w:val="00F509D7"/>
    <w:rsid w:val="00F61C73"/>
    <w:rsid w:val="00F70242"/>
    <w:rsid w:val="00F81153"/>
    <w:rsid w:val="00F94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1A3B"/>
    <w:rPr>
      <w:color w:val="808080"/>
    </w:rPr>
  </w:style>
  <w:style w:type="paragraph" w:customStyle="1" w:styleId="B2B7154631A148E592E827E36B95C4A9">
    <w:name w:val="B2B7154631A148E592E827E36B95C4A9"/>
    <w:rsid w:val="006A1A3B"/>
  </w:style>
  <w:style w:type="paragraph" w:customStyle="1" w:styleId="6BDEC5FDD1EC4759A2C049E0D58F54DB">
    <w:name w:val="6BDEC5FDD1EC4759A2C049E0D58F54DB"/>
    <w:rsid w:val="006A1A3B"/>
  </w:style>
  <w:style w:type="paragraph" w:customStyle="1" w:styleId="16015CCECC014AB3BE97CACCD03A0F59">
    <w:name w:val="16015CCECC014AB3BE97CACCD03A0F59"/>
    <w:rsid w:val="006A1A3B"/>
  </w:style>
  <w:style w:type="paragraph" w:customStyle="1" w:styleId="76A8CE47AE40440DAB547B2B7946860A">
    <w:name w:val="76A8CE47AE40440DAB547B2B7946860A"/>
    <w:rsid w:val="006A1A3B"/>
  </w:style>
  <w:style w:type="paragraph" w:customStyle="1" w:styleId="BE94B2559CA6403288F56672E81061A0">
    <w:name w:val="BE94B2559CA6403288F56672E81061A0"/>
    <w:rsid w:val="006A1A3B"/>
  </w:style>
  <w:style w:type="paragraph" w:customStyle="1" w:styleId="820D421BB0C3489C98818358E53387E5">
    <w:name w:val="820D421BB0C3489C98818358E53387E5"/>
    <w:rsid w:val="006A1A3B"/>
  </w:style>
  <w:style w:type="paragraph" w:customStyle="1" w:styleId="C3D5EBA9F4D346E9B650756CE9CC416D">
    <w:name w:val="C3D5EBA9F4D346E9B650756CE9CC416D"/>
    <w:rsid w:val="006A1A3B"/>
  </w:style>
  <w:style w:type="paragraph" w:customStyle="1" w:styleId="914B65EBA8B043BF849FB7C9BB2FD55B">
    <w:name w:val="914B65EBA8B043BF849FB7C9BB2FD55B"/>
    <w:rsid w:val="006A1A3B"/>
  </w:style>
  <w:style w:type="paragraph" w:customStyle="1" w:styleId="91EB57B65BA54970B341D2BD34C8B700">
    <w:name w:val="91EB57B65BA54970B341D2BD34C8B700"/>
    <w:rsid w:val="006A1A3B"/>
  </w:style>
  <w:style w:type="paragraph" w:customStyle="1" w:styleId="80A399A8D9AB457380AB9B3F5621FB0B">
    <w:name w:val="80A399A8D9AB457380AB9B3F5621FB0B"/>
    <w:rsid w:val="006A1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AEC8E-2B73-40F2-8A03-140A69057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F67AED-B166-4FFC-A569-7E5EC4AA2E04}">
  <ds:schemaRefs>
    <ds:schemaRef ds:uri="http://purl.org/dc/elements/1.1/"/>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1A10B2F-1B3A-47CD-B8BF-07A91000FED5}">
  <ds:schemaRefs>
    <ds:schemaRef ds:uri="http://schemas.microsoft.com/office/2006/metadata/customXsn"/>
  </ds:schemaRefs>
</ds:datastoreItem>
</file>

<file path=customXml/itemProps4.xml><?xml version="1.0" encoding="utf-8"?>
<ds:datastoreItem xmlns:ds="http://schemas.openxmlformats.org/officeDocument/2006/customXml" ds:itemID="{1134C84E-47AB-4097-8282-2B7A1573EF9C}">
  <ds:schemaRefs>
    <ds:schemaRef ds:uri="http://schemas.openxmlformats.org/officeDocument/2006/bibliography"/>
  </ds:schemaRefs>
</ds:datastoreItem>
</file>

<file path=customXml/itemProps5.xml><?xml version="1.0" encoding="utf-8"?>
<ds:datastoreItem xmlns:ds="http://schemas.openxmlformats.org/officeDocument/2006/customXml" ds:itemID="{2FB0547C-661F-420E-AD38-11997B9F50AE}"/>
</file>

<file path=customXml/itemProps6.xml><?xml version="1.0" encoding="utf-8"?>
<ds:datastoreItem xmlns:ds="http://schemas.openxmlformats.org/officeDocument/2006/customXml" ds:itemID="{AC6E17E8-C095-4400-9E86-F4E9575993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15429</Words>
  <Characters>87947</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for Banksia montana</vt:lpstr>
    </vt:vector>
  </TitlesOfParts>
  <Company/>
  <LinksUpToDate>false</LinksUpToDate>
  <CharactersWithSpaces>103170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for Banksia montana</dc:title>
  <dc:subject/>
  <dc:creator>Department of Agriculture, Water and Environment</dc:creator>
  <cp:keywords/>
  <dc:description/>
  <cp:lastModifiedBy>Bec Durack</cp:lastModifiedBy>
  <cp:revision>2</cp:revision>
  <cp:lastPrinted>2021-11-29T07:33:00Z</cp:lastPrinted>
  <dcterms:created xsi:type="dcterms:W3CDTF">2021-12-03T01:27:00Z</dcterms:created>
  <dcterms:modified xsi:type="dcterms:W3CDTF">2021-12-03T01:27:00Z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{48372440-04a9-4cdc-a385-0fd83211a048}</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