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7510" w14:textId="0812E1A7" w:rsidR="00D5630C" w:rsidRPr="00FE6C07" w:rsidRDefault="00D5630C" w:rsidP="00D5630C">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459EDBB3" w14:textId="77777777" w:rsidR="00D5630C" w:rsidRPr="00FE6C07" w:rsidRDefault="00D5630C" w:rsidP="00D5630C">
      <w:pPr>
        <w:spacing w:after="0" w:line="240" w:lineRule="auto"/>
        <w:jc w:val="center"/>
        <w:rPr>
          <w:rFonts w:ascii="Arial" w:eastAsia="Times New Roman" w:hAnsi="Arial" w:cs="Arial"/>
          <w:sz w:val="28"/>
          <w:szCs w:val="28"/>
        </w:rPr>
      </w:pPr>
    </w:p>
    <w:p w14:paraId="7A5F49A6" w14:textId="168EDEEA" w:rsidR="00D5630C" w:rsidRPr="00FE6C07" w:rsidRDefault="006C53CB" w:rsidP="00D5630C">
      <w:pPr>
        <w:widowControl w:val="0"/>
        <w:spacing w:after="0" w:line="240" w:lineRule="auto"/>
        <w:jc w:val="center"/>
        <w:rPr>
          <w:rFonts w:ascii="Arial" w:eastAsia="Times New Roman" w:hAnsi="Arial" w:cs="Arial"/>
          <w:b/>
          <w:bCs/>
          <w:snapToGrid w:val="0"/>
          <w:sz w:val="24"/>
          <w:szCs w:val="24"/>
          <w:lang w:val="en-US"/>
        </w:rPr>
      </w:pPr>
      <w:r w:rsidRPr="006C53CB">
        <w:rPr>
          <w:rFonts w:ascii="Arial" w:eastAsia="Times New Roman" w:hAnsi="Arial" w:cs="Arial"/>
          <w:b/>
          <w:bCs/>
          <w:i/>
          <w:iCs/>
          <w:snapToGrid w:val="0"/>
          <w:sz w:val="24"/>
          <w:szCs w:val="24"/>
        </w:rPr>
        <w:t>Bertya mollissima</w:t>
      </w:r>
      <w:r w:rsidR="00D5630C" w:rsidRPr="00FE6C07">
        <w:rPr>
          <w:rFonts w:ascii="Arial" w:eastAsia="Times New Roman" w:hAnsi="Arial" w:cs="Arial"/>
          <w:b/>
          <w:bCs/>
          <w:i/>
          <w:iCs/>
          <w:snapToGrid w:val="0"/>
          <w:sz w:val="24"/>
          <w:szCs w:val="24"/>
        </w:rPr>
        <w:t xml:space="preserve"> </w:t>
      </w:r>
    </w:p>
    <w:p w14:paraId="34996D86" w14:textId="77777777" w:rsidR="00D5630C" w:rsidRPr="00FE6C07" w:rsidRDefault="00D5630C" w:rsidP="00D5630C">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7D0B9035" w14:textId="7CEA16C7" w:rsidR="00D5630C" w:rsidRPr="00BC75A0" w:rsidRDefault="00D5630C" w:rsidP="00D5630C">
      <w:pPr>
        <w:rPr>
          <w:rFonts w:ascii="Arial" w:hAnsi="Arial" w:cs="Arial"/>
        </w:rPr>
      </w:pPr>
      <w:r w:rsidRPr="00BC75A0">
        <w:rPr>
          <w:rFonts w:ascii="Arial" w:hAnsi="Arial" w:cs="Arial"/>
        </w:rPr>
        <w:t>1)</w:t>
      </w:r>
      <w:r w:rsidRPr="00BC75A0">
        <w:rPr>
          <w:rFonts w:ascii="Arial" w:hAnsi="Arial" w:cs="Arial"/>
        </w:rPr>
        <w:tab/>
        <w:t xml:space="preserve">the eligibility of </w:t>
      </w:r>
      <w:r w:rsidR="006C53CB" w:rsidRPr="006C53CB">
        <w:rPr>
          <w:rFonts w:ascii="Arial" w:hAnsi="Arial" w:cs="Arial"/>
          <w:i/>
          <w:iCs/>
        </w:rPr>
        <w:t>Bertya mollissima</w:t>
      </w:r>
      <w:r w:rsidRPr="00D5630C">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sidR="006C53CB">
        <w:rPr>
          <w:rFonts w:ascii="Arial" w:hAnsi="Arial" w:cs="Arial"/>
        </w:rPr>
        <w:t>Endangered</w:t>
      </w:r>
      <w:r>
        <w:rPr>
          <w:rFonts w:ascii="Arial" w:hAnsi="Arial" w:cs="Arial"/>
        </w:rPr>
        <w:t xml:space="preserve"> category</w:t>
      </w:r>
      <w:r w:rsidRPr="00BC75A0">
        <w:rPr>
          <w:rFonts w:ascii="Arial" w:hAnsi="Arial" w:cs="Arial"/>
        </w:rPr>
        <w:t xml:space="preserve">; and </w:t>
      </w:r>
    </w:p>
    <w:p w14:paraId="3FA83BFD" w14:textId="77777777" w:rsidR="00D5630C" w:rsidRPr="00FE6C07" w:rsidRDefault="00D5630C" w:rsidP="00D5630C">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341220C4" w14:textId="77777777" w:rsidR="00D5630C" w:rsidRDefault="00D5630C" w:rsidP="00D5630C">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367FE076" w14:textId="77777777" w:rsidR="00D5630C" w:rsidRPr="00FE6C07" w:rsidRDefault="00D5630C" w:rsidP="00D5630C">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62D2DFDD"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EE308B0" w14:textId="77777777" w:rsidR="00D5630C" w:rsidRPr="00FE6C07" w:rsidRDefault="00D5630C" w:rsidP="00D5630C">
      <w:pPr>
        <w:spacing w:after="0" w:line="240" w:lineRule="auto"/>
        <w:rPr>
          <w:rFonts w:ascii="Arial" w:eastAsia="Times New Roman" w:hAnsi="Arial" w:cs="Arial"/>
        </w:rPr>
      </w:pPr>
    </w:p>
    <w:p w14:paraId="0A3A8A11" w14:textId="5A24D4E4" w:rsidR="00D5630C" w:rsidRDefault="00D5630C" w:rsidP="00D5630C">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1" w:history="1">
        <w:r w:rsidRPr="00FE6C07">
          <w:rPr>
            <w:rFonts w:ascii="Arial" w:eastAsia="Times New Roman" w:hAnsi="Arial" w:cs="Arial"/>
            <w:color w:val="0000FF"/>
            <w:u w:val="single"/>
          </w:rPr>
          <w:t>species.consultation@environment.gov.au</w:t>
        </w:r>
      </w:hyperlink>
    </w:p>
    <w:p w14:paraId="68FED40B" w14:textId="77777777" w:rsidR="00D5630C" w:rsidRDefault="00D5630C" w:rsidP="00D5630C">
      <w:pPr>
        <w:spacing w:after="0" w:line="240" w:lineRule="auto"/>
        <w:rPr>
          <w:rFonts w:ascii="Arial" w:eastAsia="Times New Roman" w:hAnsi="Arial" w:cs="Arial"/>
        </w:rPr>
      </w:pPr>
    </w:p>
    <w:p w14:paraId="76D114E3" w14:textId="02CF6268" w:rsidR="00D5630C" w:rsidRPr="00FE6C07" w:rsidRDefault="00D5630C" w:rsidP="00D5630C">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0521D814"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7E6B3959" w14:textId="77777777" w:rsidR="00D5630C" w:rsidRPr="00FE6C07" w:rsidRDefault="00D5630C" w:rsidP="00D5630C">
      <w:pPr>
        <w:spacing w:after="0" w:line="240" w:lineRule="auto"/>
        <w:rPr>
          <w:rFonts w:ascii="Arial" w:eastAsia="Times New Roman" w:hAnsi="Arial" w:cs="Arial"/>
          <w:color w:val="000000"/>
        </w:rPr>
      </w:pPr>
    </w:p>
    <w:p w14:paraId="72841379" w14:textId="77777777" w:rsidR="00D5630C" w:rsidRPr="00FE6C07" w:rsidRDefault="00D5630C" w:rsidP="00D5630C">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4FEC0ACF" w14:textId="77777777" w:rsidR="00D5630C" w:rsidRPr="00E7625B" w:rsidRDefault="00D5630C" w:rsidP="00D5630C">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2D6778CC" w14:textId="77777777" w:rsidR="00D5630C" w:rsidRPr="00FE6C07" w:rsidRDefault="00D5630C" w:rsidP="00D5630C">
      <w:pPr>
        <w:spacing w:after="0" w:line="240" w:lineRule="auto"/>
        <w:ind w:left="426"/>
        <w:rPr>
          <w:rFonts w:ascii="Arial" w:eastAsia="Times New Roman" w:hAnsi="Arial" w:cs="Arial"/>
          <w:color w:val="000000"/>
        </w:rPr>
      </w:pPr>
      <w:r w:rsidRPr="00BC75A0">
        <w:rPr>
          <w:rFonts w:ascii="Arial" w:eastAsia="Times New Roman" w:hAnsi="Arial" w:cs="Arial"/>
        </w:rPr>
        <w:t>Department of Agriculture, Water and the Environment</w:t>
      </w:r>
    </w:p>
    <w:p w14:paraId="7591FC87" w14:textId="77777777" w:rsidR="00D5630C" w:rsidRDefault="00D5630C" w:rsidP="00D5630C">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7C91BFC0" w14:textId="77777777" w:rsidR="00D5630C" w:rsidRPr="00FE6C07" w:rsidRDefault="00D5630C" w:rsidP="00D5630C">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7E761A90" w14:textId="77777777" w:rsidR="00D5630C" w:rsidRPr="00FE6C07" w:rsidRDefault="00D5630C" w:rsidP="00D5630C">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13E60339" w14:textId="77777777" w:rsidR="00D5630C" w:rsidRPr="00FE6C07" w:rsidRDefault="00D5630C" w:rsidP="00D5630C">
      <w:pPr>
        <w:spacing w:after="0" w:line="240" w:lineRule="auto"/>
        <w:rPr>
          <w:rFonts w:ascii="Arial" w:eastAsia="Times New Roman" w:hAnsi="Arial" w:cs="Arial"/>
          <w:color w:val="000000"/>
        </w:rPr>
      </w:pPr>
    </w:p>
    <w:p w14:paraId="7A164D63" w14:textId="07F2E91C" w:rsidR="00D5630C" w:rsidRPr="00FE6C07" w:rsidRDefault="00D5630C" w:rsidP="00D5630C">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D42DD2">
        <w:rPr>
          <w:rFonts w:ascii="Arial" w:eastAsia="Times New Roman" w:hAnsi="Arial" w:cs="Arial"/>
          <w:b/>
        </w:rPr>
        <w:t>2</w:t>
      </w:r>
      <w:r w:rsidR="005351B0">
        <w:rPr>
          <w:rFonts w:ascii="Arial" w:eastAsia="Times New Roman" w:hAnsi="Arial" w:cs="Arial"/>
          <w:b/>
        </w:rPr>
        <w:t>9</w:t>
      </w:r>
      <w:r>
        <w:rPr>
          <w:rFonts w:ascii="Arial" w:eastAsia="Times New Roman" w:hAnsi="Arial" w:cs="Arial"/>
          <w:b/>
        </w:rPr>
        <w:t xml:space="preserve"> J</w:t>
      </w:r>
      <w:r w:rsidR="00D42DD2">
        <w:rPr>
          <w:rFonts w:ascii="Arial" w:eastAsia="Times New Roman" w:hAnsi="Arial" w:cs="Arial"/>
          <w:b/>
        </w:rPr>
        <w:t>une</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D5630C" w:rsidRPr="00771DB7" w14:paraId="3DEBC82C" w14:textId="77777777" w:rsidTr="001F5D74">
        <w:tc>
          <w:tcPr>
            <w:tcW w:w="9039" w:type="dxa"/>
            <w:tcBorders>
              <w:top w:val="single" w:sz="4" w:space="0" w:color="auto"/>
              <w:left w:val="single" w:sz="4" w:space="0" w:color="auto"/>
              <w:bottom w:val="single" w:sz="4" w:space="0" w:color="auto"/>
              <w:right w:val="single" w:sz="4" w:space="0" w:color="auto"/>
            </w:tcBorders>
            <w:shd w:val="pct15" w:color="auto" w:fill="auto"/>
          </w:tcPr>
          <w:p w14:paraId="44A3CB32" w14:textId="77777777" w:rsidR="00D5630C" w:rsidRPr="00771DB7" w:rsidRDefault="00D5630C" w:rsidP="001F5D74">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5AB71D4C" w14:textId="77777777" w:rsidR="00D5630C" w:rsidRPr="00771DB7" w:rsidRDefault="00D5630C" w:rsidP="001F5D74">
            <w:pPr>
              <w:spacing w:after="0" w:line="240" w:lineRule="auto"/>
              <w:rPr>
                <w:rFonts w:ascii="Arial" w:eastAsia="Times New Roman" w:hAnsi="Arial" w:cs="Arial"/>
                <w:b/>
                <w:bCs/>
              </w:rPr>
            </w:pPr>
            <w:r w:rsidRPr="00771DB7">
              <w:rPr>
                <w:rFonts w:ascii="Arial" w:eastAsia="Times New Roman" w:hAnsi="Arial" w:cs="Arial"/>
                <w:b/>
                <w:bCs/>
              </w:rPr>
              <w:t>Page</w:t>
            </w:r>
          </w:p>
        </w:tc>
      </w:tr>
      <w:tr w:rsidR="00D5630C" w:rsidRPr="00771DB7" w14:paraId="7F762882" w14:textId="77777777" w:rsidTr="001F5D74">
        <w:tc>
          <w:tcPr>
            <w:tcW w:w="9039" w:type="dxa"/>
            <w:tcBorders>
              <w:top w:val="single" w:sz="4" w:space="0" w:color="auto"/>
              <w:left w:val="single" w:sz="4" w:space="0" w:color="auto"/>
              <w:bottom w:val="single" w:sz="4" w:space="0" w:color="auto"/>
              <w:right w:val="single" w:sz="4" w:space="0" w:color="auto"/>
            </w:tcBorders>
          </w:tcPr>
          <w:p w14:paraId="196B187A"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3C96C7A7" w14:textId="03C434E8" w:rsidR="00D5630C" w:rsidRPr="006C53CB" w:rsidRDefault="006C53CB" w:rsidP="001F5D74">
            <w:pPr>
              <w:spacing w:after="0" w:line="240" w:lineRule="auto"/>
              <w:jc w:val="center"/>
              <w:rPr>
                <w:rFonts w:ascii="Arial" w:eastAsia="Times New Roman" w:hAnsi="Arial" w:cs="Arial"/>
              </w:rPr>
            </w:pPr>
            <w:r w:rsidRPr="006C53CB">
              <w:rPr>
                <w:rFonts w:ascii="Arial" w:hAnsi="Arial" w:cs="Arial"/>
              </w:rPr>
              <w:t>2</w:t>
            </w:r>
          </w:p>
        </w:tc>
      </w:tr>
      <w:tr w:rsidR="00D5630C" w:rsidRPr="00771DB7" w14:paraId="15B8DCD9" w14:textId="77777777" w:rsidTr="001F5D74">
        <w:tc>
          <w:tcPr>
            <w:tcW w:w="9039" w:type="dxa"/>
            <w:tcBorders>
              <w:top w:val="single" w:sz="4" w:space="0" w:color="auto"/>
              <w:left w:val="single" w:sz="4" w:space="0" w:color="auto"/>
              <w:bottom w:val="single" w:sz="4" w:space="0" w:color="auto"/>
              <w:right w:val="single" w:sz="4" w:space="0" w:color="auto"/>
            </w:tcBorders>
          </w:tcPr>
          <w:p w14:paraId="72FCF112"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6CB92477" w14:textId="454ACE4C" w:rsidR="00D5630C" w:rsidRPr="006C53CB" w:rsidRDefault="006C53CB" w:rsidP="001F5D74">
            <w:pPr>
              <w:spacing w:after="0" w:line="240" w:lineRule="auto"/>
              <w:jc w:val="center"/>
              <w:rPr>
                <w:rFonts w:ascii="Arial" w:eastAsia="Times New Roman" w:hAnsi="Arial" w:cs="Arial"/>
              </w:rPr>
            </w:pPr>
            <w:r>
              <w:rPr>
                <w:rFonts w:ascii="Arial" w:hAnsi="Arial" w:cs="Arial"/>
              </w:rPr>
              <w:t>3</w:t>
            </w:r>
          </w:p>
        </w:tc>
      </w:tr>
      <w:tr w:rsidR="00D5630C" w:rsidRPr="00771DB7" w14:paraId="17D74ABF" w14:textId="77777777" w:rsidTr="001F5D74">
        <w:tc>
          <w:tcPr>
            <w:tcW w:w="9039" w:type="dxa"/>
            <w:tcBorders>
              <w:top w:val="single" w:sz="4" w:space="0" w:color="auto"/>
              <w:left w:val="single" w:sz="4" w:space="0" w:color="auto"/>
              <w:bottom w:val="single" w:sz="4" w:space="0" w:color="auto"/>
              <w:right w:val="single" w:sz="4" w:space="0" w:color="auto"/>
            </w:tcBorders>
          </w:tcPr>
          <w:p w14:paraId="6FFD2ECC"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5EF92A44" w14:textId="3EC7573B" w:rsidR="00D5630C" w:rsidRPr="006C53CB" w:rsidRDefault="006C53CB" w:rsidP="001F5D74">
            <w:pPr>
              <w:spacing w:after="0" w:line="240" w:lineRule="auto"/>
              <w:jc w:val="center"/>
              <w:rPr>
                <w:rFonts w:ascii="Arial" w:eastAsia="Times New Roman" w:hAnsi="Arial" w:cs="Arial"/>
              </w:rPr>
            </w:pPr>
            <w:r>
              <w:rPr>
                <w:rFonts w:ascii="Arial" w:hAnsi="Arial" w:cs="Arial"/>
              </w:rPr>
              <w:t>4</w:t>
            </w:r>
          </w:p>
        </w:tc>
      </w:tr>
      <w:tr w:rsidR="00D5630C" w:rsidRPr="00771DB7" w14:paraId="4C97CD73" w14:textId="77777777" w:rsidTr="001F5D74">
        <w:tc>
          <w:tcPr>
            <w:tcW w:w="9039" w:type="dxa"/>
            <w:tcBorders>
              <w:top w:val="single" w:sz="4" w:space="0" w:color="auto"/>
              <w:left w:val="single" w:sz="4" w:space="0" w:color="auto"/>
              <w:bottom w:val="single" w:sz="4" w:space="0" w:color="auto"/>
              <w:right w:val="single" w:sz="4" w:space="0" w:color="auto"/>
            </w:tcBorders>
          </w:tcPr>
          <w:p w14:paraId="395B4546"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D7D57A2" w14:textId="06143544" w:rsidR="00D5630C" w:rsidRPr="006C53CB" w:rsidRDefault="00156154" w:rsidP="001F5D74">
            <w:pPr>
              <w:spacing w:after="0" w:line="240" w:lineRule="auto"/>
              <w:jc w:val="center"/>
              <w:rPr>
                <w:rFonts w:ascii="Arial" w:eastAsia="Times New Roman" w:hAnsi="Arial" w:cs="Arial"/>
              </w:rPr>
            </w:pPr>
            <w:r>
              <w:rPr>
                <w:rFonts w:ascii="Arial" w:hAnsi="Arial" w:cs="Arial"/>
              </w:rPr>
              <w:t>12</w:t>
            </w:r>
          </w:p>
        </w:tc>
      </w:tr>
      <w:tr w:rsidR="00D5630C" w:rsidRPr="00771DB7" w14:paraId="6C4F6E43" w14:textId="77777777" w:rsidTr="001F5D74">
        <w:tc>
          <w:tcPr>
            <w:tcW w:w="9039" w:type="dxa"/>
            <w:tcBorders>
              <w:top w:val="single" w:sz="4" w:space="0" w:color="auto"/>
              <w:left w:val="single" w:sz="4" w:space="0" w:color="auto"/>
              <w:bottom w:val="single" w:sz="4" w:space="0" w:color="auto"/>
              <w:right w:val="single" w:sz="4" w:space="0" w:color="auto"/>
            </w:tcBorders>
          </w:tcPr>
          <w:p w14:paraId="76B18852" w14:textId="77777777" w:rsidR="00D5630C" w:rsidRPr="00771DB7" w:rsidRDefault="00D5630C" w:rsidP="001F5D74">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13C79FF0" w14:textId="0039447A" w:rsidR="00D5630C" w:rsidRPr="006C53CB" w:rsidRDefault="00156154" w:rsidP="001F5D74">
            <w:pPr>
              <w:spacing w:after="0" w:line="240" w:lineRule="auto"/>
              <w:jc w:val="center"/>
              <w:rPr>
                <w:rFonts w:ascii="Arial" w:eastAsia="Times New Roman" w:hAnsi="Arial" w:cs="Arial"/>
              </w:rPr>
            </w:pPr>
            <w:r>
              <w:rPr>
                <w:rFonts w:ascii="Arial" w:hAnsi="Arial" w:cs="Arial"/>
              </w:rPr>
              <w:t>21</w:t>
            </w:r>
          </w:p>
        </w:tc>
      </w:tr>
      <w:tr w:rsidR="00D5630C" w:rsidRPr="00771DB7" w14:paraId="686F32FD" w14:textId="77777777" w:rsidTr="001F5D74">
        <w:tc>
          <w:tcPr>
            <w:tcW w:w="9039" w:type="dxa"/>
            <w:tcBorders>
              <w:top w:val="single" w:sz="4" w:space="0" w:color="auto"/>
              <w:left w:val="single" w:sz="4" w:space="0" w:color="auto"/>
              <w:bottom w:val="single" w:sz="4" w:space="0" w:color="auto"/>
              <w:right w:val="single" w:sz="4" w:space="0" w:color="auto"/>
            </w:tcBorders>
          </w:tcPr>
          <w:p w14:paraId="24817EC0" w14:textId="63C32B61" w:rsidR="00D5630C" w:rsidRPr="00771DB7" w:rsidRDefault="00D5630C" w:rsidP="00D5630C">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16E84A18" w14:textId="26D9E593" w:rsidR="00D5630C" w:rsidRPr="006C53CB" w:rsidRDefault="00156154" w:rsidP="00D5630C">
            <w:pPr>
              <w:spacing w:after="0" w:line="240" w:lineRule="auto"/>
              <w:jc w:val="center"/>
              <w:rPr>
                <w:rFonts w:ascii="Arial" w:hAnsi="Arial" w:cs="Arial"/>
              </w:rPr>
            </w:pPr>
            <w:r>
              <w:rPr>
                <w:rFonts w:ascii="Arial" w:hAnsi="Arial" w:cs="Arial"/>
              </w:rPr>
              <w:t>24</w:t>
            </w:r>
          </w:p>
        </w:tc>
      </w:tr>
      <w:tr w:rsidR="00D5630C" w:rsidRPr="00771DB7" w14:paraId="76ED7148" w14:textId="77777777" w:rsidTr="001F5D74">
        <w:tc>
          <w:tcPr>
            <w:tcW w:w="9039" w:type="dxa"/>
            <w:tcBorders>
              <w:top w:val="single" w:sz="4" w:space="0" w:color="auto"/>
              <w:left w:val="single" w:sz="4" w:space="0" w:color="auto"/>
              <w:bottom w:val="single" w:sz="4" w:space="0" w:color="auto"/>
              <w:right w:val="single" w:sz="4" w:space="0" w:color="auto"/>
            </w:tcBorders>
          </w:tcPr>
          <w:p w14:paraId="3E45E365" w14:textId="5515634F" w:rsidR="00D5630C" w:rsidRPr="00771DB7" w:rsidRDefault="00D5630C" w:rsidP="00A56393">
            <w:pPr>
              <w:tabs>
                <w:tab w:val="center" w:pos="4411"/>
              </w:tabs>
              <w:spacing w:after="0" w:line="240" w:lineRule="auto"/>
              <w:rPr>
                <w:rFonts w:ascii="Arial" w:eastAsia="Times New Roman" w:hAnsi="Arial" w:cs="Arial"/>
              </w:rPr>
            </w:pPr>
            <w:r w:rsidRPr="00771DB7">
              <w:rPr>
                <w:rFonts w:ascii="Arial" w:eastAsia="Times New Roman" w:hAnsi="Arial" w:cs="Arial"/>
              </w:rPr>
              <w:t>Listing assessment</w:t>
            </w:r>
            <w:r w:rsidR="00A56393">
              <w:rPr>
                <w:rFonts w:ascii="Arial" w:eastAsia="Times New Roman" w:hAnsi="Arial" w:cs="Arial"/>
              </w:rPr>
              <w:tab/>
            </w:r>
          </w:p>
        </w:tc>
        <w:tc>
          <w:tcPr>
            <w:tcW w:w="815" w:type="dxa"/>
            <w:tcBorders>
              <w:top w:val="single" w:sz="4" w:space="0" w:color="auto"/>
              <w:left w:val="single" w:sz="4" w:space="0" w:color="auto"/>
              <w:bottom w:val="single" w:sz="4" w:space="0" w:color="auto"/>
              <w:right w:val="single" w:sz="4" w:space="0" w:color="auto"/>
            </w:tcBorders>
          </w:tcPr>
          <w:p w14:paraId="1A3178A1" w14:textId="2AB316F9" w:rsidR="00D5630C" w:rsidRPr="006C53CB" w:rsidRDefault="00156154" w:rsidP="00D5630C">
            <w:pPr>
              <w:spacing w:after="0" w:line="240" w:lineRule="auto"/>
              <w:jc w:val="center"/>
              <w:rPr>
                <w:rFonts w:ascii="Arial" w:eastAsia="Times New Roman" w:hAnsi="Arial" w:cs="Arial"/>
              </w:rPr>
            </w:pPr>
            <w:r>
              <w:rPr>
                <w:rFonts w:ascii="Arial" w:hAnsi="Arial" w:cs="Arial"/>
              </w:rPr>
              <w:t>28</w:t>
            </w:r>
          </w:p>
        </w:tc>
      </w:tr>
    </w:tbl>
    <w:p w14:paraId="457065B4" w14:textId="77777777" w:rsidR="00D5630C" w:rsidRPr="00FE6C07" w:rsidRDefault="00D5630C" w:rsidP="00D5630C">
      <w:pPr>
        <w:spacing w:line="240" w:lineRule="auto"/>
        <w:rPr>
          <w:rFonts w:ascii="Arial" w:eastAsia="Times New Roman" w:hAnsi="Arial" w:cs="Arial"/>
          <w:b/>
        </w:rPr>
      </w:pPr>
      <w:bookmarkStart w:id="0" w:name="Background"/>
      <w:r w:rsidRPr="00FE6C07">
        <w:rPr>
          <w:rFonts w:ascii="Arial" w:eastAsia="Times New Roman" w:hAnsi="Arial" w:cs="Arial"/>
          <w:b/>
        </w:rPr>
        <w:lastRenderedPageBreak/>
        <w:t>General background information about listing threatened species</w:t>
      </w:r>
    </w:p>
    <w:bookmarkEnd w:id="0"/>
    <w:p w14:paraId="03FA7A1F" w14:textId="77777777" w:rsidR="00D5630C" w:rsidRPr="00FE6C07" w:rsidRDefault="00D5630C" w:rsidP="00D5630C">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3B2BA591" w14:textId="77777777" w:rsidR="00D5630C" w:rsidRPr="00FE6C07" w:rsidRDefault="00560C19" w:rsidP="00D5630C">
      <w:pPr>
        <w:spacing w:line="240" w:lineRule="auto"/>
        <w:rPr>
          <w:rFonts w:ascii="Arial" w:eastAsia="Times New Roman" w:hAnsi="Arial" w:cs="Arial"/>
        </w:rPr>
      </w:pPr>
      <w:hyperlink r:id="rId12" w:history="1">
        <w:r w:rsidR="00D5630C" w:rsidRPr="00FE6C07">
          <w:rPr>
            <w:rFonts w:ascii="Arial" w:eastAsia="Times New Roman" w:hAnsi="Arial" w:cs="Arial"/>
            <w:color w:val="0000FF"/>
            <w:u w:val="single"/>
          </w:rPr>
          <w:t>http://www.environment.gov.au/biodiversity/threatened/index.html</w:t>
        </w:r>
      </w:hyperlink>
      <w:r w:rsidR="00D5630C" w:rsidRPr="00FE6C07">
        <w:rPr>
          <w:rFonts w:ascii="Arial" w:eastAsia="Times New Roman" w:hAnsi="Arial" w:cs="Arial"/>
        </w:rPr>
        <w:t>.</w:t>
      </w:r>
    </w:p>
    <w:p w14:paraId="147B8F42" w14:textId="77777777" w:rsidR="00D5630C" w:rsidRPr="00FE6C07" w:rsidRDefault="00D5630C" w:rsidP="00D5630C">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33399D0" w14:textId="77777777" w:rsidR="00D5630C" w:rsidRPr="00FE6C07" w:rsidRDefault="00560C19" w:rsidP="00D5630C">
      <w:pPr>
        <w:spacing w:after="0" w:line="240" w:lineRule="auto"/>
        <w:rPr>
          <w:rFonts w:ascii="Times New Roman" w:eastAsia="Times New Roman" w:hAnsi="Times New Roman" w:cs="Times New Roman"/>
          <w:color w:val="1F497D"/>
          <w:szCs w:val="24"/>
        </w:rPr>
      </w:pPr>
      <w:hyperlink r:id="rId13" w:history="1">
        <w:r w:rsidR="00D5630C" w:rsidRPr="00FE6C07">
          <w:rPr>
            <w:rFonts w:ascii="Arial" w:eastAsia="Times New Roman" w:hAnsi="Arial" w:cs="Arial"/>
            <w:color w:val="0000FF"/>
            <w:szCs w:val="24"/>
            <w:u w:val="single"/>
          </w:rPr>
          <w:t>http://www.environment.gov.au/system/files/pages/d72dfd1a-f0d8-4699-8d43-5d95bbb02428/files/tssc-guidelines-assessing-species-2018.pdf</w:t>
        </w:r>
      </w:hyperlink>
      <w:r w:rsidR="00D5630C" w:rsidRPr="00FE6C07">
        <w:rPr>
          <w:rFonts w:ascii="Times New Roman" w:eastAsia="Times New Roman" w:hAnsi="Times New Roman" w:cs="Times New Roman"/>
          <w:color w:val="1F497D"/>
          <w:szCs w:val="24"/>
        </w:rPr>
        <w:t>.</w:t>
      </w:r>
    </w:p>
    <w:p w14:paraId="4DA09B4D" w14:textId="77777777" w:rsidR="00D5630C" w:rsidRPr="00FE6C07" w:rsidRDefault="00D5630C" w:rsidP="00D5630C">
      <w:pPr>
        <w:spacing w:line="240" w:lineRule="auto"/>
        <w:rPr>
          <w:rFonts w:ascii="Arial" w:eastAsia="Times New Roman" w:hAnsi="Arial" w:cs="Arial"/>
        </w:rPr>
      </w:pPr>
    </w:p>
    <w:p w14:paraId="2572B18A"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sidRPr="00FE6C07">
          <w:rPr>
            <w:rFonts w:ascii="Arial" w:eastAsia="Times New Roman" w:hAnsi="Arial" w:cs="Arial"/>
            <w:color w:val="0000FF"/>
            <w:u w:val="single"/>
          </w:rPr>
          <w:t>http://www.environment.gov.au/biodiversity/threatened/nominations.html</w:t>
        </w:r>
      </w:hyperlink>
      <w:r w:rsidRPr="00FE6C07">
        <w:rPr>
          <w:rFonts w:ascii="Arial" w:eastAsia="Times New Roman" w:hAnsi="Arial" w:cs="Arial"/>
        </w:rPr>
        <w:t>.</w:t>
      </w:r>
    </w:p>
    <w:p w14:paraId="3C11C96F"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sidRPr="00FE6C07">
          <w:rPr>
            <w:rFonts w:ascii="Arial" w:eastAsia="Times New Roman" w:hAnsi="Arial" w:cs="Arial"/>
            <w:color w:val="0000FF"/>
            <w:u w:val="single"/>
          </w:rPr>
          <w:t>http://www.environment.gov.au/biodiversity/threatened/recovery.html</w:t>
        </w:r>
      </w:hyperlink>
      <w:r w:rsidRPr="00FE6C07">
        <w:rPr>
          <w:rFonts w:ascii="Arial" w:eastAsia="Times New Roman" w:hAnsi="Arial" w:cs="Arial"/>
        </w:rPr>
        <w:t>.</w:t>
      </w:r>
    </w:p>
    <w:p w14:paraId="11697A0C" w14:textId="77777777" w:rsidR="00D5630C" w:rsidRPr="00FE6C07" w:rsidRDefault="00D5630C" w:rsidP="00D5630C">
      <w:pPr>
        <w:spacing w:line="240" w:lineRule="auto"/>
        <w:rPr>
          <w:rFonts w:ascii="Arial" w:eastAsia="Times New Roman" w:hAnsi="Arial" w:cs="Arial"/>
          <w:b/>
        </w:rPr>
      </w:pPr>
      <w:r w:rsidRPr="00FE6C07">
        <w:rPr>
          <w:rFonts w:ascii="Arial" w:eastAsia="Times New Roman" w:hAnsi="Arial" w:cs="Arial"/>
          <w:b/>
        </w:rPr>
        <w:t>Privacy notice</w:t>
      </w:r>
    </w:p>
    <w:p w14:paraId="167BE638"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(Cth) and the Department’s Privacy Policy.</w:t>
      </w:r>
    </w:p>
    <w:p w14:paraId="2A3BAD3D"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E71CE28"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hyperlink r:id="rId16"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EFEBBEE"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0D7C8CC7" w14:textId="77777777" w:rsidR="00D5630C" w:rsidRPr="00FE6C07" w:rsidRDefault="00D5630C" w:rsidP="00D5630C">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7E3176BF"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AA57007" w14:textId="77777777" w:rsidR="00D5630C" w:rsidRPr="00FE6C07" w:rsidRDefault="00D5630C" w:rsidP="00D5630C">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47C79316" w14:textId="77777777" w:rsidR="00D5630C" w:rsidRDefault="00D5630C" w:rsidP="00D5630C">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423DB822" w14:textId="77777777" w:rsidR="006C53CB" w:rsidRDefault="006C53CB">
      <w:pPr>
        <w:spacing w:after="160" w:line="259" w:lineRule="auto"/>
        <w:rPr>
          <w:rFonts w:ascii="Arial" w:eastAsia="Times New Roman" w:hAnsi="Arial" w:cs="Arial"/>
          <w:b/>
          <w:sz w:val="24"/>
          <w:szCs w:val="24"/>
          <w:u w:val="single"/>
        </w:rPr>
      </w:pPr>
      <w:r>
        <w:rPr>
          <w:rFonts w:ascii="Arial" w:hAnsi="Arial" w:cs="Arial"/>
          <w:b/>
          <w:szCs w:val="24"/>
          <w:u w:val="single"/>
        </w:rPr>
        <w:br w:type="page"/>
      </w:r>
    </w:p>
    <w:p w14:paraId="5C384AB9" w14:textId="576113B4" w:rsidR="006C53CB" w:rsidRPr="00196717" w:rsidRDefault="006C53CB" w:rsidP="00196717">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CONSULTATION QUESTIONS FOR</w:t>
      </w:r>
      <w:r>
        <w:rPr>
          <w:rFonts w:ascii="Arial" w:hAnsi="Arial" w:cs="Arial"/>
          <w:b/>
          <w:szCs w:val="24"/>
          <w:u w:val="single"/>
        </w:rPr>
        <w:t xml:space="preserve"> </w:t>
      </w:r>
      <w:r w:rsidRPr="00604C05">
        <w:rPr>
          <w:rFonts w:ascii="Arial" w:hAnsi="Arial" w:cs="Arial"/>
          <w:b/>
          <w:i/>
          <w:iCs/>
          <w:szCs w:val="24"/>
          <w:u w:val="single"/>
        </w:rPr>
        <w:t>BERTYA MOLLISSIMA</w:t>
      </w:r>
    </w:p>
    <w:p w14:paraId="7697926A" w14:textId="77777777" w:rsidR="006C53CB" w:rsidRPr="009F43F9" w:rsidRDefault="006C53CB" w:rsidP="00196717">
      <w:pPr>
        <w:pStyle w:val="TSSC"/>
        <w:numPr>
          <w:ilvl w:val="0"/>
          <w:numId w:val="0"/>
        </w:numPr>
        <w:tabs>
          <w:tab w:val="clear" w:pos="567"/>
          <w:tab w:val="left" w:pos="720"/>
        </w:tabs>
        <w:rPr>
          <w:rFonts w:ascii="Arial" w:hAnsi="Arial" w:cs="Arial"/>
          <w:sz w:val="22"/>
          <w:szCs w:val="22"/>
          <w:u w:val="single"/>
        </w:rPr>
      </w:pPr>
      <w:r w:rsidRPr="009F43F9">
        <w:rPr>
          <w:rFonts w:ascii="Arial" w:hAnsi="Arial" w:cs="Arial"/>
          <w:b/>
          <w:sz w:val="22"/>
          <w:szCs w:val="22"/>
          <w:u w:val="single"/>
        </w:rPr>
        <w:t>SECTION A - GENERAL</w:t>
      </w:r>
    </w:p>
    <w:p w14:paraId="2FD8EC56"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Is the information used to assess the nationally threatened status of the species robust? Have all the underlying assumptions been made explicit? Please provide justification for your response.</w:t>
      </w:r>
    </w:p>
    <w:p w14:paraId="2FEF7496"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10587410"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additional data or information relevant to this assessment?</w:t>
      </w:r>
    </w:p>
    <w:p w14:paraId="2C694DE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5EDF34D8"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Have you been involved in previous state, territory or national assessments of this species? If so, in what capacity?</w:t>
      </w:r>
    </w:p>
    <w:p w14:paraId="33FB21B4" w14:textId="77777777" w:rsidR="006C53CB" w:rsidRDefault="006C53CB" w:rsidP="009779CB">
      <w:pPr>
        <w:autoSpaceDE w:val="0"/>
        <w:autoSpaceDN w:val="0"/>
        <w:adjustRightInd w:val="0"/>
        <w:rPr>
          <w:rFonts w:ascii="Arial" w:hAnsi="Arial" w:cs="Arial"/>
        </w:rPr>
      </w:pPr>
    </w:p>
    <w:p w14:paraId="4448CB0F"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37A2E208"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7EC60FBD"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0F56C6C4" w14:textId="77777777" w:rsidR="006C53CB" w:rsidRDefault="006C53CB" w:rsidP="009779CB">
      <w:pPr>
        <w:autoSpaceDE w:val="0"/>
        <w:autoSpaceDN w:val="0"/>
        <w:adjustRightInd w:val="0"/>
        <w:rPr>
          <w:rFonts w:ascii="Arial" w:hAnsi="Arial" w:cs="Arial"/>
        </w:rPr>
      </w:pPr>
    </w:p>
    <w:p w14:paraId="0F13FF7C" w14:textId="77777777" w:rsidR="006C53CB" w:rsidRDefault="006C53CB" w:rsidP="009779CB">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0D3CE6F5" w14:textId="77777777" w:rsidR="006C53CB" w:rsidRDefault="006C53CB" w:rsidP="009779CB">
      <w:pPr>
        <w:autoSpaceDE w:val="0"/>
        <w:autoSpaceDN w:val="0"/>
        <w:adjustRightInd w:val="0"/>
        <w:ind w:left="1560" w:hanging="1560"/>
        <w:rPr>
          <w:rFonts w:ascii="Arial" w:hAnsi="Arial" w:cs="Arial"/>
          <w:b/>
        </w:rPr>
      </w:pPr>
    </w:p>
    <w:p w14:paraId="7474ED3D" w14:textId="77777777" w:rsidR="006C53CB" w:rsidRDefault="006C53CB" w:rsidP="009779CB">
      <w:pPr>
        <w:autoSpaceDE w:val="0"/>
        <w:autoSpaceDN w:val="0"/>
        <w:adjustRightInd w:val="0"/>
        <w:rPr>
          <w:rFonts w:ascii="Arial" w:hAnsi="Arial" w:cs="Arial"/>
          <w:b/>
          <w:bCs/>
        </w:rPr>
      </w:pPr>
      <w:r>
        <w:rPr>
          <w:rFonts w:ascii="Arial" w:hAnsi="Arial" w:cs="Arial"/>
          <w:b/>
          <w:bCs/>
        </w:rPr>
        <w:t>Biological information</w:t>
      </w:r>
    </w:p>
    <w:p w14:paraId="44BE2BC1" w14:textId="77777777" w:rsidR="006C53CB" w:rsidRDefault="006C53CB" w:rsidP="009779CB">
      <w:pPr>
        <w:autoSpaceDE w:val="0"/>
        <w:autoSpaceDN w:val="0"/>
        <w:adjustRightInd w:val="0"/>
        <w:rPr>
          <w:rFonts w:ascii="Arial" w:hAnsi="Arial" w:cs="Arial"/>
          <w:b/>
          <w:bCs/>
        </w:rPr>
      </w:pPr>
    </w:p>
    <w:p w14:paraId="4EA168D9"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any additional or alternative references, information or estimates on longevity, average life span and generation length?</w:t>
      </w:r>
    </w:p>
    <w:p w14:paraId="21402F97"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366E76C4"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have any additional information on the ecology or biology of the species not in the current advice?</w:t>
      </w:r>
    </w:p>
    <w:p w14:paraId="46CF1EE9" w14:textId="77777777" w:rsidR="006C53CB" w:rsidRDefault="006C53CB" w:rsidP="009779CB">
      <w:pPr>
        <w:autoSpaceDE w:val="0"/>
        <w:autoSpaceDN w:val="0"/>
        <w:adjustRightInd w:val="0"/>
        <w:rPr>
          <w:rFonts w:ascii="Arial" w:hAnsi="Arial" w:cs="Arial"/>
        </w:rPr>
      </w:pPr>
    </w:p>
    <w:p w14:paraId="12E1A517" w14:textId="77777777" w:rsidR="006C53CB" w:rsidRDefault="006C53CB" w:rsidP="009779CB">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75873207" w14:textId="77777777" w:rsidR="006C53CB" w:rsidRDefault="006C53CB" w:rsidP="009779CB">
      <w:pPr>
        <w:autoSpaceDE w:val="0"/>
        <w:autoSpaceDN w:val="0"/>
        <w:adjustRightInd w:val="0"/>
        <w:rPr>
          <w:rFonts w:ascii="Arial" w:hAnsi="Arial" w:cs="Arial"/>
        </w:rPr>
      </w:pPr>
    </w:p>
    <w:p w14:paraId="5E972C1B" w14:textId="77777777" w:rsidR="006C53CB" w:rsidRDefault="006C53CB" w:rsidP="009779CB">
      <w:pPr>
        <w:autoSpaceDE w:val="0"/>
        <w:autoSpaceDN w:val="0"/>
        <w:adjustRightInd w:val="0"/>
        <w:rPr>
          <w:rFonts w:ascii="Arial,Bold" w:hAnsi="Arial,Bold" w:cs="Arial,Bold"/>
          <w:b/>
          <w:bCs/>
        </w:rPr>
      </w:pPr>
      <w:r>
        <w:rPr>
          <w:rFonts w:ascii="Arial,Bold" w:hAnsi="Arial,Bold" w:cs="Arial,Bold"/>
          <w:b/>
          <w:bCs/>
        </w:rPr>
        <w:t>Population size</w:t>
      </w:r>
    </w:p>
    <w:p w14:paraId="6883E17F" w14:textId="77777777" w:rsidR="006C53CB" w:rsidRDefault="006C53CB" w:rsidP="009779CB">
      <w:pPr>
        <w:autoSpaceDE w:val="0"/>
        <w:autoSpaceDN w:val="0"/>
        <w:adjustRightInd w:val="0"/>
        <w:rPr>
          <w:rFonts w:ascii="Arial,Bold" w:hAnsi="Arial,Bold" w:cs="Arial,Bold"/>
          <w:b/>
          <w:bCs/>
        </w:rPr>
      </w:pPr>
    </w:p>
    <w:p w14:paraId="266EAF3D"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Has the survey effort for this taxon been adequate to determine its national adult population size? If not, please provide justification for your response.</w:t>
      </w:r>
    </w:p>
    <w:p w14:paraId="7F45726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2643B370"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0E47A2A3"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6D36FD9C"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lastRenderedPageBreak/>
        <w:t>If not, can you provide a further estimate of the current population size of mature adults of the species (national extent)? Please provide supporting justification or other information.</w:t>
      </w:r>
    </w:p>
    <w:p w14:paraId="71AC44E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78DD30A7"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 numbers, and also choose the level of confidence you have in this estimate:</w:t>
      </w:r>
    </w:p>
    <w:p w14:paraId="58A080E9" w14:textId="77777777" w:rsidR="006C53CB" w:rsidRDefault="006C53CB" w:rsidP="009779CB">
      <w:pPr>
        <w:autoSpaceDE w:val="0"/>
        <w:autoSpaceDN w:val="0"/>
        <w:adjustRightInd w:val="0"/>
        <w:ind w:left="1560" w:hanging="1560"/>
        <w:rPr>
          <w:rFonts w:ascii="Arial" w:hAnsi="Arial" w:cs="Arial"/>
          <w:b/>
        </w:rPr>
      </w:pPr>
    </w:p>
    <w:p w14:paraId="207E496E"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27D3D22F" w14:textId="77777777" w:rsidR="006C53CB" w:rsidRPr="00E953DB" w:rsidRDefault="006C53CB" w:rsidP="009779CB">
      <w:pPr>
        <w:pStyle w:val="ListParagraph"/>
        <w:numPr>
          <w:ilvl w:val="0"/>
          <w:numId w:val="0"/>
        </w:numPr>
        <w:autoSpaceDE w:val="0"/>
        <w:autoSpaceDN w:val="0"/>
        <w:adjustRightInd w:val="0"/>
        <w:ind w:left="360"/>
        <w:rPr>
          <w:rFonts w:ascii="Arial" w:hAnsi="Arial" w:cs="Arial"/>
          <w:color w:val="FF0000"/>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w:t>
      </w:r>
      <w:r>
        <w:rPr>
          <w:rFonts w:ascii="Arial" w:hAnsi="Arial" w:cs="Arial"/>
          <w:sz w:val="44"/>
          <w:szCs w:val="44"/>
        </w:rPr>
        <w:t xml:space="preserve"> □ </w:t>
      </w:r>
      <w:r>
        <w:rPr>
          <w:rFonts w:ascii="Arial" w:hAnsi="Arial" w:cs="Arial"/>
          <w:sz w:val="22"/>
          <w:szCs w:val="22"/>
        </w:rPr>
        <w:t xml:space="preserve">&gt;1000 </w:t>
      </w:r>
      <w:r>
        <w:rPr>
          <w:rFonts w:ascii="Arial" w:hAnsi="Arial" w:cs="Arial"/>
          <w:sz w:val="44"/>
          <w:szCs w:val="44"/>
        </w:rPr>
        <w:t>□</w:t>
      </w:r>
      <w:r>
        <w:rPr>
          <w:rFonts w:ascii="Arial" w:hAnsi="Arial" w:cs="Arial"/>
          <w:sz w:val="22"/>
          <w:szCs w:val="22"/>
        </w:rPr>
        <w:t xml:space="preserve"> &gt;10 000</w:t>
      </w:r>
    </w:p>
    <w:p w14:paraId="04332B05"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3A061F68"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17EFA24A"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F31ABA0"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31–50% - more than a guess, some level of supporting evidence</w:t>
      </w:r>
    </w:p>
    <w:p w14:paraId="0F92028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6F78A480"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95–100% - high level of certainty, information indicates quantity within this range</w:t>
      </w:r>
    </w:p>
    <w:p w14:paraId="024BB512"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 xml:space="preserve">□ </w:t>
      </w:r>
      <w:r>
        <w:rPr>
          <w:rFonts w:ascii="Arial" w:hAnsi="Arial" w:cs="Arial"/>
          <w:sz w:val="22"/>
          <w:szCs w:val="22"/>
        </w:rPr>
        <w:t>99–100% - very high level of certainty, data are accurate within this range</w:t>
      </w:r>
    </w:p>
    <w:p w14:paraId="2D6E1CAD" w14:textId="77777777" w:rsidR="006C53CB" w:rsidRDefault="006C53CB" w:rsidP="009779CB">
      <w:pPr>
        <w:autoSpaceDE w:val="0"/>
        <w:autoSpaceDN w:val="0"/>
        <w:adjustRightInd w:val="0"/>
        <w:rPr>
          <w:rFonts w:ascii="Arial" w:hAnsi="Arial" w:cs="Arial"/>
        </w:rPr>
      </w:pPr>
    </w:p>
    <w:p w14:paraId="744EE7F9" w14:textId="77777777" w:rsidR="006C53CB" w:rsidRDefault="006C53CB" w:rsidP="009779CB">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1226251C" w14:textId="77777777" w:rsidR="006C53CB" w:rsidRDefault="006C53CB" w:rsidP="009779CB">
      <w:pPr>
        <w:autoSpaceDE w:val="0"/>
        <w:autoSpaceDN w:val="0"/>
        <w:adjustRightInd w:val="0"/>
        <w:ind w:left="1560" w:hanging="1560"/>
        <w:rPr>
          <w:rFonts w:ascii="Arial" w:hAnsi="Arial" w:cs="Arial"/>
          <w:b/>
        </w:rPr>
      </w:pPr>
    </w:p>
    <w:p w14:paraId="5C6A5B24"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Does the current and predicted rate of decline used in the assessment seem reasonable? Do you consider that the way this estimate has been derived is appropriate? If not, please provide justification of your response.</w:t>
      </w:r>
    </w:p>
    <w:p w14:paraId="77376837"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23A5F4A7" w14:textId="77777777" w:rsidR="006C53CB" w:rsidRDefault="006C53CB" w:rsidP="009779CB">
      <w:pPr>
        <w:autoSpaceDE w:val="0"/>
        <w:autoSpaceDN w:val="0"/>
        <w:adjustRightInd w:val="0"/>
        <w:rPr>
          <w:rFonts w:ascii="Arial" w:hAnsi="Arial" w:cs="Arial"/>
        </w:rPr>
      </w:pPr>
      <w:r>
        <w:rPr>
          <w:rFonts w:ascii="Arial,Bold" w:hAnsi="Arial,Bold" w:cs="Arial,Bold"/>
          <w:b/>
          <w:bCs/>
        </w:rPr>
        <w:t>Evidence of total population size change</w:t>
      </w:r>
    </w:p>
    <w:p w14:paraId="30A76916" w14:textId="77777777" w:rsidR="006C53CB" w:rsidRDefault="006C53CB" w:rsidP="009779CB">
      <w:pPr>
        <w:autoSpaceDE w:val="0"/>
        <w:autoSpaceDN w:val="0"/>
        <w:adjustRightInd w:val="0"/>
        <w:rPr>
          <w:rFonts w:ascii="Arial,Bold" w:hAnsi="Arial,Bold" w:cs="Arial,Bold"/>
          <w:b/>
          <w:bCs/>
        </w:rPr>
      </w:pPr>
    </w:p>
    <w:p w14:paraId="2177303C" w14:textId="77777777" w:rsidR="006C53CB" w:rsidRDefault="006C53CB" w:rsidP="006C53CB">
      <w:pPr>
        <w:pStyle w:val="ListParagraph"/>
        <w:numPr>
          <w:ilvl w:val="0"/>
          <w:numId w:val="3"/>
        </w:numPr>
        <w:autoSpaceDE w:val="0"/>
        <w:autoSpaceDN w:val="0"/>
        <w:adjustRightInd w:val="0"/>
        <w:contextualSpacing/>
        <w:rPr>
          <w:rFonts w:ascii="Arial,Italic" w:hAnsi="Arial,Italic" w:cs="Arial,Italic"/>
          <w:i/>
          <w:iCs/>
          <w:sz w:val="22"/>
          <w:szCs w:val="22"/>
        </w:rPr>
      </w:pPr>
      <w:r>
        <w:rPr>
          <w:rFonts w:ascii="Arial" w:hAnsi="Arial" w:cs="Arial"/>
          <w:sz w:val="22"/>
          <w:szCs w:val="22"/>
        </w:rPr>
        <w:t>Are you able to provide an estimate of the total population size during the early 1990s or earlier? Please provide justification for your response.</w:t>
      </w:r>
    </w:p>
    <w:p w14:paraId="74822CF5" w14:textId="77777777" w:rsidR="006C53CB" w:rsidRDefault="006C53CB" w:rsidP="009779CB">
      <w:pPr>
        <w:pStyle w:val="ListParagraph"/>
        <w:numPr>
          <w:ilvl w:val="0"/>
          <w:numId w:val="0"/>
        </w:numPr>
        <w:autoSpaceDE w:val="0"/>
        <w:autoSpaceDN w:val="0"/>
        <w:adjustRightInd w:val="0"/>
        <w:ind w:left="360"/>
        <w:rPr>
          <w:rFonts w:ascii="Arial,Italic" w:hAnsi="Arial,Italic" w:cs="Arial,Italic"/>
          <w:i/>
          <w:iCs/>
          <w:sz w:val="22"/>
          <w:szCs w:val="22"/>
        </w:rPr>
      </w:pPr>
    </w:p>
    <w:p w14:paraId="4103B7E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 single number, you may wish to provide an estimated range. If so, please choose one of the ranges suggested in the table below of possible species numbers, and also choose the level of confidence you have in this estimate.</w:t>
      </w:r>
    </w:p>
    <w:p w14:paraId="46B3E1EE"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7DEF3156"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Number of mature individuals is estimated to be in the range of:</w:t>
      </w:r>
    </w:p>
    <w:p w14:paraId="5C44B431"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1–50 </w:t>
      </w:r>
      <w:r>
        <w:rPr>
          <w:rFonts w:ascii="Arial" w:hAnsi="Arial" w:cs="Arial"/>
          <w:sz w:val="44"/>
          <w:szCs w:val="44"/>
        </w:rPr>
        <w:t>□</w:t>
      </w:r>
      <w:r>
        <w:rPr>
          <w:rFonts w:ascii="Arial" w:hAnsi="Arial" w:cs="Arial"/>
          <w:sz w:val="22"/>
          <w:szCs w:val="22"/>
        </w:rPr>
        <w:t xml:space="preserve"> 51–250 </w:t>
      </w:r>
      <w:r>
        <w:rPr>
          <w:rFonts w:ascii="Arial" w:hAnsi="Arial" w:cs="Arial"/>
          <w:sz w:val="44"/>
          <w:szCs w:val="44"/>
        </w:rPr>
        <w:t>□</w:t>
      </w:r>
      <w:r>
        <w:rPr>
          <w:rFonts w:ascii="Arial" w:hAnsi="Arial" w:cs="Arial"/>
          <w:sz w:val="22"/>
          <w:szCs w:val="22"/>
        </w:rPr>
        <w:t xml:space="preserve"> 251–1000 </w:t>
      </w:r>
      <w:r>
        <w:rPr>
          <w:rFonts w:ascii="Arial" w:hAnsi="Arial" w:cs="Arial"/>
          <w:sz w:val="44"/>
          <w:szCs w:val="44"/>
        </w:rPr>
        <w:t>□</w:t>
      </w:r>
      <w:r>
        <w:rPr>
          <w:rFonts w:ascii="Arial" w:hAnsi="Arial" w:cs="Arial"/>
          <w:sz w:val="22"/>
          <w:szCs w:val="22"/>
        </w:rPr>
        <w:t xml:space="preserve"> &gt;1000 </w:t>
      </w:r>
      <w:r>
        <w:rPr>
          <w:rFonts w:ascii="Arial" w:hAnsi="Arial" w:cs="Arial"/>
          <w:sz w:val="44"/>
          <w:szCs w:val="44"/>
        </w:rPr>
        <w:t>□</w:t>
      </w:r>
      <w:r>
        <w:rPr>
          <w:rFonts w:ascii="Arial" w:hAnsi="Arial" w:cs="Arial"/>
          <w:sz w:val="22"/>
          <w:szCs w:val="22"/>
        </w:rPr>
        <w:t xml:space="preserve"> &gt;10 000</w:t>
      </w:r>
    </w:p>
    <w:p w14:paraId="52C190B2"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66D8CEC9"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Level of your confidence in this estimate:</w:t>
      </w:r>
    </w:p>
    <w:p w14:paraId="2681D1DC"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0–30% - low level of certainty/ a bit of a guess/ not much information to go on</w:t>
      </w:r>
    </w:p>
    <w:p w14:paraId="5D5C9A6B"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lastRenderedPageBreak/>
        <w:t>□</w:t>
      </w:r>
      <w:r>
        <w:rPr>
          <w:rFonts w:ascii="Arial" w:hAnsi="Arial" w:cs="Arial"/>
          <w:sz w:val="22"/>
          <w:szCs w:val="22"/>
        </w:rPr>
        <w:t xml:space="preserve"> 31–50% - more than a guess, some level of supporting evidence</w:t>
      </w:r>
    </w:p>
    <w:p w14:paraId="449CEF3C"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51–95% - reasonably certain, information suggests this range</w:t>
      </w:r>
    </w:p>
    <w:p w14:paraId="5392AE02"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95–100% - high level of certainty, information indicates quantity within this range</w:t>
      </w:r>
    </w:p>
    <w:p w14:paraId="3D2A5B11"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44"/>
          <w:szCs w:val="44"/>
        </w:rPr>
        <w:t>□</w:t>
      </w:r>
      <w:r>
        <w:rPr>
          <w:rFonts w:ascii="Arial" w:hAnsi="Arial" w:cs="Arial"/>
          <w:sz w:val="22"/>
          <w:szCs w:val="22"/>
        </w:rPr>
        <w:t xml:space="preserve"> 99–100% - very high level of certainty, data are accurate within this range</w:t>
      </w:r>
    </w:p>
    <w:p w14:paraId="1CF47AF0" w14:textId="77777777" w:rsidR="006C53CB" w:rsidRDefault="006C53CB" w:rsidP="009779CB">
      <w:pPr>
        <w:autoSpaceDE w:val="0"/>
        <w:autoSpaceDN w:val="0"/>
        <w:adjustRightInd w:val="0"/>
        <w:rPr>
          <w:rFonts w:ascii="Arial,Italic" w:hAnsi="Arial,Italic" w:cs="Arial,Italic"/>
          <w:i/>
          <w:iCs/>
        </w:rPr>
      </w:pPr>
    </w:p>
    <w:p w14:paraId="6A1D01E8"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Are you able to comment on the extent of decline in the species’ total population size over the last approximately 30 to 60 years?</w:t>
      </w:r>
      <w:r w:rsidRPr="00830F92">
        <w:rPr>
          <w:rFonts w:ascii="Arial" w:hAnsi="Arial" w:cs="Arial"/>
          <w:sz w:val="22"/>
          <w:szCs w:val="22"/>
        </w:rPr>
        <w:t xml:space="preserve"> P</w:t>
      </w:r>
      <w:r>
        <w:rPr>
          <w:rFonts w:ascii="Arial" w:hAnsi="Arial" w:cs="Arial"/>
          <w:sz w:val="22"/>
          <w:szCs w:val="22"/>
        </w:rPr>
        <w:t>lease provide justification for your response.</w:t>
      </w:r>
    </w:p>
    <w:p w14:paraId="75DF0E60" w14:textId="77777777" w:rsidR="006C53CB" w:rsidRPr="00C77247" w:rsidRDefault="006C53CB" w:rsidP="009779CB">
      <w:pPr>
        <w:autoSpaceDE w:val="0"/>
        <w:autoSpaceDN w:val="0"/>
        <w:adjustRightInd w:val="0"/>
        <w:rPr>
          <w:rFonts w:ascii="Arial" w:hAnsi="Arial" w:cs="Arial"/>
        </w:rPr>
      </w:pPr>
    </w:p>
    <w:p w14:paraId="093764B3" w14:textId="77777777" w:rsidR="006C53CB" w:rsidRDefault="006C53CB" w:rsidP="009779CB">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2D1EE931" w14:textId="77777777" w:rsidR="006C53CB" w:rsidRDefault="006C53CB" w:rsidP="009779CB">
      <w:pPr>
        <w:autoSpaceDE w:val="0"/>
        <w:autoSpaceDN w:val="0"/>
        <w:adjustRightInd w:val="0"/>
        <w:ind w:left="360"/>
        <w:rPr>
          <w:rFonts w:ascii="Arial" w:hAnsi="Arial" w:cs="Arial"/>
        </w:rPr>
      </w:pPr>
    </w:p>
    <w:p w14:paraId="15E4BF31" w14:textId="77777777" w:rsidR="006C53CB" w:rsidRDefault="006C53CB" w:rsidP="009779CB">
      <w:pPr>
        <w:autoSpaceDE w:val="0"/>
        <w:autoSpaceDN w:val="0"/>
        <w:adjustRightInd w:val="0"/>
        <w:ind w:left="360"/>
        <w:rPr>
          <w:rFonts w:ascii="Arial" w:hAnsi="Arial" w:cs="Arial"/>
        </w:rPr>
      </w:pPr>
      <w:r>
        <w:rPr>
          <w:rFonts w:ascii="Arial" w:hAnsi="Arial" w:cs="Arial"/>
        </w:rPr>
        <w:t>Decline estimated to be in the range of:</w:t>
      </w:r>
    </w:p>
    <w:p w14:paraId="03876BBC"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D3CAFDC" w14:textId="77777777" w:rsidR="006C53CB" w:rsidRDefault="006C53CB" w:rsidP="009779CB">
      <w:pPr>
        <w:autoSpaceDE w:val="0"/>
        <w:autoSpaceDN w:val="0"/>
        <w:adjustRightInd w:val="0"/>
        <w:ind w:left="360"/>
        <w:rPr>
          <w:rFonts w:ascii="Arial" w:hAnsi="Arial" w:cs="Arial"/>
        </w:rPr>
      </w:pPr>
    </w:p>
    <w:p w14:paraId="1C337D57" w14:textId="77777777" w:rsidR="006C53CB" w:rsidRDefault="006C53CB" w:rsidP="009779CB">
      <w:pPr>
        <w:autoSpaceDE w:val="0"/>
        <w:autoSpaceDN w:val="0"/>
        <w:adjustRightInd w:val="0"/>
        <w:ind w:left="360"/>
        <w:rPr>
          <w:rFonts w:ascii="Arial" w:hAnsi="Arial" w:cs="Arial"/>
        </w:rPr>
      </w:pPr>
      <w:r>
        <w:rPr>
          <w:rFonts w:ascii="Arial" w:hAnsi="Arial" w:cs="Arial"/>
        </w:rPr>
        <w:t>Level of your confidence in this estimated decline:</w:t>
      </w:r>
    </w:p>
    <w:p w14:paraId="7E5C342A"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24A2CFD"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2ACB7F4"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71A07E0"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5CACD5FE"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6D9A6543" w14:textId="77777777" w:rsidR="006C53CB" w:rsidRDefault="006C53CB" w:rsidP="009779CB">
      <w:pPr>
        <w:autoSpaceDE w:val="0"/>
        <w:autoSpaceDN w:val="0"/>
        <w:adjustRightInd w:val="0"/>
        <w:rPr>
          <w:rFonts w:ascii="Arial" w:hAnsi="Arial" w:cs="Arial"/>
        </w:rPr>
      </w:pPr>
    </w:p>
    <w:p w14:paraId="572B9C12"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Please provide (if known) any additional evidence which shows the population is stable, increasing or declining.</w:t>
      </w:r>
    </w:p>
    <w:p w14:paraId="3F0F4B8F" w14:textId="77777777" w:rsidR="006C53CB" w:rsidRDefault="006C53CB" w:rsidP="009779CB">
      <w:pPr>
        <w:autoSpaceDE w:val="0"/>
        <w:autoSpaceDN w:val="0"/>
        <w:adjustRightInd w:val="0"/>
        <w:rPr>
          <w:rFonts w:ascii="Arial" w:hAnsi="Arial" w:cs="Arial"/>
        </w:rPr>
      </w:pPr>
    </w:p>
    <w:p w14:paraId="48D291CD" w14:textId="77777777" w:rsidR="006C53CB" w:rsidRDefault="006C53CB" w:rsidP="009779CB">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5130520B" w14:textId="77777777" w:rsidR="006C53CB" w:rsidRDefault="006C53CB" w:rsidP="009779CB">
      <w:pPr>
        <w:autoSpaceDE w:val="0"/>
        <w:autoSpaceDN w:val="0"/>
        <w:adjustRightInd w:val="0"/>
        <w:ind w:left="1560" w:hanging="1560"/>
        <w:rPr>
          <w:rFonts w:ascii="Arial" w:hAnsi="Arial" w:cs="Arial"/>
          <w:b/>
        </w:rPr>
      </w:pPr>
    </w:p>
    <w:p w14:paraId="45C85167" w14:textId="77777777" w:rsidR="006C53CB" w:rsidRDefault="006C53CB" w:rsidP="009779CB">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30E7BB5A" w14:textId="77777777" w:rsidR="006C53CB" w:rsidRDefault="006C53CB" w:rsidP="009779CB">
      <w:pPr>
        <w:autoSpaceDE w:val="0"/>
        <w:autoSpaceDN w:val="0"/>
        <w:adjustRightInd w:val="0"/>
        <w:rPr>
          <w:rFonts w:ascii="Arial,Bold" w:hAnsi="Arial,Bold" w:cs="Arial,Bold"/>
          <w:b/>
          <w:bCs/>
        </w:rPr>
      </w:pPr>
    </w:p>
    <w:p w14:paraId="450B4ADB"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Does the assessment consider the entire geographic extent and national extent of the species? If not, please provide justification for your response.</w:t>
      </w:r>
    </w:p>
    <w:p w14:paraId="5D438142"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01C2A8AE"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Has the survey effort for this species been adequate to determine its national distribution? If not, please provide justification for your response.</w:t>
      </w:r>
    </w:p>
    <w:p w14:paraId="23CDDDAD"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2BBDEDC0"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Is the distribution described in the assessment accurate? If not, please provide justification for your response and provide alternate information.</w:t>
      </w:r>
    </w:p>
    <w:p w14:paraId="30569633"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04CCE5E4"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agree that the way the current extent of occurrence and/or area of occupancy have been estimated is appropriate? Please provide justification for your response.</w:t>
      </w:r>
    </w:p>
    <w:p w14:paraId="439C1A9E"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56B6017A"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estimates (or if you disagree with the estimates provided, alternative estimates) of the extent of occurrence and/or area of occupancy?</w:t>
      </w:r>
    </w:p>
    <w:p w14:paraId="1F639C9C"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4B7BC6BE"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66843818" w14:textId="77777777" w:rsidR="006C53CB" w:rsidRDefault="006C53CB" w:rsidP="009779CB">
      <w:pPr>
        <w:autoSpaceDE w:val="0"/>
        <w:autoSpaceDN w:val="0"/>
        <w:adjustRightInd w:val="0"/>
        <w:rPr>
          <w:rFonts w:ascii="Arial" w:hAnsi="Arial" w:cs="Arial"/>
        </w:rPr>
      </w:pPr>
    </w:p>
    <w:p w14:paraId="7968DF16" w14:textId="77777777" w:rsidR="006C53CB" w:rsidRDefault="006C53CB" w:rsidP="009779CB">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47433E30"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9B58031" w14:textId="77777777" w:rsidR="006C53CB" w:rsidRDefault="006C53CB" w:rsidP="009779CB">
      <w:pPr>
        <w:autoSpaceDE w:val="0"/>
        <w:autoSpaceDN w:val="0"/>
        <w:adjustRightInd w:val="0"/>
        <w:rPr>
          <w:rFonts w:ascii="Arial" w:hAnsi="Arial" w:cs="Arial"/>
        </w:rPr>
      </w:pPr>
    </w:p>
    <w:p w14:paraId="4303BFF4" w14:textId="77777777" w:rsidR="006C53CB" w:rsidRDefault="006C53C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1E7B9B4"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31CBDB80"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4B07E50"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1EAB87A"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4B3EC13"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557460E1" w14:textId="77777777" w:rsidR="006C53CB" w:rsidRDefault="006C53CB" w:rsidP="009779CB">
      <w:pPr>
        <w:autoSpaceDE w:val="0"/>
        <w:autoSpaceDN w:val="0"/>
        <w:adjustRightInd w:val="0"/>
        <w:rPr>
          <w:rFonts w:ascii="Arial" w:hAnsi="Arial" w:cs="Arial"/>
        </w:rPr>
      </w:pPr>
    </w:p>
    <w:p w14:paraId="6CB5789E" w14:textId="77777777" w:rsidR="006C53CB" w:rsidRDefault="006C53CB" w:rsidP="009779CB">
      <w:pPr>
        <w:autoSpaceDE w:val="0"/>
        <w:autoSpaceDN w:val="0"/>
        <w:adjustRightInd w:val="0"/>
        <w:ind w:left="360"/>
        <w:rPr>
          <w:rFonts w:ascii="Arial" w:hAnsi="Arial" w:cs="Arial"/>
        </w:rPr>
      </w:pPr>
      <w:r>
        <w:rPr>
          <w:rFonts w:ascii="Arial" w:hAnsi="Arial" w:cs="Arial"/>
        </w:rPr>
        <w:lastRenderedPageBreak/>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08E14049" w14:textId="77777777" w:rsidR="006C53CB" w:rsidRDefault="006C53CB" w:rsidP="009779CB">
      <w:pPr>
        <w:autoSpaceDE w:val="0"/>
        <w:autoSpaceDN w:val="0"/>
        <w:adjustRightInd w:val="0"/>
        <w:rPr>
          <w:rFonts w:ascii="Arial" w:hAnsi="Arial" w:cs="Arial"/>
        </w:rPr>
      </w:pPr>
    </w:p>
    <w:p w14:paraId="446BDFCD" w14:textId="77777777" w:rsidR="006C53CB" w:rsidRDefault="006C53CB" w:rsidP="009779CB">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975868C"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2CB7A937" w14:textId="77777777" w:rsidR="006C53CB" w:rsidRDefault="006C53CB" w:rsidP="009779CB">
      <w:pPr>
        <w:autoSpaceDE w:val="0"/>
        <w:autoSpaceDN w:val="0"/>
        <w:adjustRightInd w:val="0"/>
        <w:ind w:left="360"/>
        <w:rPr>
          <w:rFonts w:ascii="Arial" w:hAnsi="Arial" w:cs="Arial"/>
        </w:rPr>
      </w:pPr>
    </w:p>
    <w:p w14:paraId="1CE35C4E" w14:textId="77777777" w:rsidR="006C53CB" w:rsidRDefault="006C53CB" w:rsidP="009779CB">
      <w:pPr>
        <w:autoSpaceDE w:val="0"/>
        <w:autoSpaceDN w:val="0"/>
        <w:adjustRightInd w:val="0"/>
        <w:ind w:left="360"/>
        <w:rPr>
          <w:rFonts w:ascii="Arial" w:hAnsi="Arial" w:cs="Arial"/>
        </w:rPr>
      </w:pPr>
      <w:r>
        <w:rPr>
          <w:rFonts w:ascii="Arial" w:hAnsi="Arial" w:cs="Arial"/>
        </w:rPr>
        <w:t>Level of your confidence in this estimated extent of occurrence:</w:t>
      </w:r>
    </w:p>
    <w:p w14:paraId="5958CE16"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EE71336"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1D8C3B4"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3D89600"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6FF4E07" w14:textId="77777777" w:rsidR="006C53CB" w:rsidRDefault="006C53CB" w:rsidP="009779CB">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B6115B8" w14:textId="77777777" w:rsidR="006C53CB" w:rsidRDefault="006C53CB" w:rsidP="009779CB">
      <w:pPr>
        <w:autoSpaceDE w:val="0"/>
        <w:autoSpaceDN w:val="0"/>
        <w:adjustRightInd w:val="0"/>
        <w:ind w:left="1920" w:hanging="1560"/>
        <w:rPr>
          <w:rFonts w:ascii="Arial" w:hAnsi="Arial" w:cs="Arial"/>
          <w:b/>
        </w:rPr>
      </w:pPr>
    </w:p>
    <w:p w14:paraId="368B1002" w14:textId="77777777" w:rsidR="006C53CB" w:rsidRDefault="006C53CB" w:rsidP="009779CB">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0FF1E03D" w14:textId="77777777" w:rsidR="006C53CB" w:rsidRDefault="006C53CB" w:rsidP="009779CB">
      <w:pPr>
        <w:autoSpaceDE w:val="0"/>
        <w:autoSpaceDN w:val="0"/>
        <w:adjustRightInd w:val="0"/>
        <w:rPr>
          <w:rFonts w:ascii="Arial" w:hAnsi="Arial" w:cs="Arial"/>
          <w:b/>
        </w:rPr>
      </w:pPr>
    </w:p>
    <w:p w14:paraId="4D3450E3" w14:textId="77777777" w:rsidR="006C53CB" w:rsidRDefault="006C53CB" w:rsidP="009779CB">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6B0FEE4D" w14:textId="77777777" w:rsidR="006C53CB" w:rsidRDefault="006C53CB" w:rsidP="009779CB">
      <w:pPr>
        <w:autoSpaceDE w:val="0"/>
        <w:autoSpaceDN w:val="0"/>
        <w:adjustRightInd w:val="0"/>
        <w:rPr>
          <w:rFonts w:ascii="Arial" w:hAnsi="Arial" w:cs="Arial"/>
        </w:rPr>
      </w:pPr>
    </w:p>
    <w:p w14:paraId="5D35F802"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that the way the historic distribution has been estimated is appropriate? Please provide justification for your response.</w:t>
      </w:r>
    </w:p>
    <w:p w14:paraId="7A783E43"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71F992DD"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estimates (or if you disagree with the estimates provided, alternative estimates) of the former extent of occurrence and/or area of occupancy?</w:t>
      </w:r>
    </w:p>
    <w:p w14:paraId="0E841250"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7BBF3B6F"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r>
        <w:rPr>
          <w:rFonts w:ascii="Arial" w:hAnsi="Arial" w:cs="Arial"/>
          <w:sz w:val="22"/>
          <w:szCs w:val="22"/>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72581040" w14:textId="77777777" w:rsidR="006C53CB" w:rsidRDefault="006C53CB" w:rsidP="009779CB">
      <w:pPr>
        <w:autoSpaceDE w:val="0"/>
        <w:autoSpaceDN w:val="0"/>
        <w:adjustRightInd w:val="0"/>
        <w:rPr>
          <w:rFonts w:ascii="Arial,Bold" w:hAnsi="Arial,Bold" w:cs="Arial,Bold"/>
          <w:b/>
          <w:bCs/>
        </w:rPr>
      </w:pPr>
    </w:p>
    <w:p w14:paraId="37745C10" w14:textId="77777777" w:rsidR="006C53CB" w:rsidRDefault="006C53CB" w:rsidP="009779CB">
      <w:pPr>
        <w:autoSpaceDE w:val="0"/>
        <w:autoSpaceDN w:val="0"/>
        <w:adjustRightInd w:val="0"/>
        <w:ind w:firstLine="360"/>
        <w:rPr>
          <w:rFonts w:ascii="Arial" w:hAnsi="Arial" w:cs="Arial"/>
        </w:rPr>
      </w:pPr>
      <w:r>
        <w:rPr>
          <w:rFonts w:ascii="Arial,Bold" w:hAnsi="Arial,Bold" w:cs="Arial,Bold"/>
          <w:b/>
          <w:bCs/>
        </w:rPr>
        <w:lastRenderedPageBreak/>
        <w:t xml:space="preserve">Past extent of occurrence </w:t>
      </w:r>
      <w:r>
        <w:rPr>
          <w:rFonts w:ascii="Arial" w:hAnsi="Arial" w:cs="Arial"/>
        </w:rPr>
        <w:t>is estimated to be in the range of:</w:t>
      </w:r>
    </w:p>
    <w:p w14:paraId="05FCB28C"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4A5A6B71" w14:textId="77777777" w:rsidR="006C53CB" w:rsidRDefault="006C53CB" w:rsidP="009779CB">
      <w:pPr>
        <w:autoSpaceDE w:val="0"/>
        <w:autoSpaceDN w:val="0"/>
        <w:adjustRightInd w:val="0"/>
        <w:ind w:firstLine="360"/>
        <w:rPr>
          <w:rFonts w:ascii="Arial" w:hAnsi="Arial" w:cs="Arial"/>
        </w:rPr>
      </w:pPr>
    </w:p>
    <w:p w14:paraId="09D8ABF1" w14:textId="77777777" w:rsidR="006C53CB" w:rsidRDefault="006C53C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5848E084"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EDA08FB"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D978E02"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A2F89EB"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CCAAFC5"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6C609A2" w14:textId="77777777" w:rsidR="006C53CB" w:rsidRDefault="006C53CB" w:rsidP="009779CB">
      <w:pPr>
        <w:autoSpaceDE w:val="0"/>
        <w:autoSpaceDN w:val="0"/>
        <w:adjustRightInd w:val="0"/>
        <w:ind w:firstLine="360"/>
        <w:rPr>
          <w:rFonts w:ascii="Arial" w:hAnsi="Arial" w:cs="Arial"/>
        </w:rPr>
      </w:pPr>
    </w:p>
    <w:p w14:paraId="566C695C" w14:textId="77777777" w:rsidR="006C53CB" w:rsidRDefault="006C53CB" w:rsidP="009779CB">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1812E2A3" w14:textId="77777777" w:rsidR="006C53CB" w:rsidRDefault="006C53CB" w:rsidP="009779CB">
      <w:pPr>
        <w:autoSpaceDE w:val="0"/>
        <w:autoSpaceDN w:val="0"/>
        <w:adjustRightInd w:val="0"/>
        <w:rPr>
          <w:rFonts w:ascii="Arial,Bold" w:hAnsi="Arial,Bold" w:cs="Arial,Bold"/>
          <w:b/>
          <w:bCs/>
        </w:rPr>
      </w:pPr>
    </w:p>
    <w:p w14:paraId="278D567E" w14:textId="77777777" w:rsidR="006C53CB" w:rsidRDefault="006C53CB" w:rsidP="009779CB">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743BD9FD"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3726C449" w14:textId="77777777" w:rsidR="006C53CB" w:rsidRDefault="006C53CB" w:rsidP="009779CB">
      <w:pPr>
        <w:autoSpaceDE w:val="0"/>
        <w:autoSpaceDN w:val="0"/>
        <w:adjustRightInd w:val="0"/>
        <w:ind w:firstLine="360"/>
        <w:rPr>
          <w:rFonts w:ascii="Arial" w:hAnsi="Arial" w:cs="Arial"/>
        </w:rPr>
      </w:pPr>
    </w:p>
    <w:p w14:paraId="6544E448" w14:textId="77777777" w:rsidR="006C53CB" w:rsidRDefault="006C53CB" w:rsidP="009779CB">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EF68E1A"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3B63D28"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1550CD6"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6DA3766" w14:textId="77777777" w:rsidR="006C53CB" w:rsidRDefault="006C53CB" w:rsidP="009779CB">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1C8C0CBD" w14:textId="77777777" w:rsidR="006C53CB" w:rsidRDefault="006C53CB" w:rsidP="009779CB">
      <w:pPr>
        <w:ind w:firstLine="360"/>
      </w:pPr>
      <w:r>
        <w:rPr>
          <w:rFonts w:ascii="Arial" w:hAnsi="Arial" w:cs="Arial"/>
          <w:sz w:val="44"/>
          <w:szCs w:val="44"/>
        </w:rPr>
        <w:lastRenderedPageBreak/>
        <w:t>□</w:t>
      </w:r>
      <w:r>
        <w:rPr>
          <w:rFonts w:ascii="Arial" w:hAnsi="Arial" w:cs="Arial"/>
        </w:rPr>
        <w:t xml:space="preserve"> 99–100% - very high level of certainty, data is accurate within this range</w:t>
      </w:r>
    </w:p>
    <w:p w14:paraId="43D1697B" w14:textId="77777777" w:rsidR="006C53CB" w:rsidRDefault="006C53CB" w:rsidP="009779CB">
      <w:pPr>
        <w:autoSpaceDE w:val="0"/>
        <w:autoSpaceDN w:val="0"/>
        <w:adjustRightInd w:val="0"/>
        <w:rPr>
          <w:rFonts w:ascii="Arial" w:hAnsi="Arial" w:cs="Arial"/>
        </w:rPr>
      </w:pPr>
    </w:p>
    <w:p w14:paraId="53C85DB6"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48BFFAA4" w14:textId="77777777" w:rsidR="006C53CB" w:rsidRPr="009F43F9" w:rsidRDefault="006C53CB" w:rsidP="009779C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07FF3229"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6433F46F" w14:textId="77777777" w:rsidR="006C53CB" w:rsidRDefault="006C53CB" w:rsidP="009779CB">
      <w:pPr>
        <w:autoSpaceDE w:val="0"/>
        <w:autoSpaceDN w:val="0"/>
        <w:adjustRightInd w:val="0"/>
        <w:rPr>
          <w:rFonts w:ascii="Arial" w:hAnsi="Arial" w:cs="Arial"/>
        </w:rPr>
      </w:pPr>
    </w:p>
    <w:p w14:paraId="3835203D" w14:textId="77777777" w:rsidR="006C53CB" w:rsidRDefault="006C53CB" w:rsidP="009779CB">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69229CCC" w14:textId="77777777" w:rsidR="006C53CB" w:rsidRDefault="006C53CB" w:rsidP="009779CB">
      <w:pPr>
        <w:autoSpaceDE w:val="0"/>
        <w:autoSpaceDN w:val="0"/>
        <w:adjustRightInd w:val="0"/>
        <w:ind w:left="1560" w:hanging="1560"/>
        <w:rPr>
          <w:rFonts w:ascii="Arial,Bold" w:hAnsi="Arial,Bold" w:cs="Arial,Bold"/>
          <w:b/>
          <w:bCs/>
        </w:rPr>
      </w:pPr>
    </w:p>
    <w:p w14:paraId="6FE639BD"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Do you consider that all major threats have been identified and described adequately?</w:t>
      </w:r>
    </w:p>
    <w:p w14:paraId="6E41FC9F"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74854E6E"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To what degree are the identified threats likely to impact on the species in the future?</w:t>
      </w:r>
    </w:p>
    <w:p w14:paraId="391EB6BE"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6A555656"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Are the threats impacting on different populations equally, or do the threats vary across different populations?</w:t>
      </w:r>
    </w:p>
    <w:p w14:paraId="66DE0DBC"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6FC1E619"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additional or alternative information on past, current or potential threats that may adversely affect the species at any stage of its life cycle?</w:t>
      </w:r>
    </w:p>
    <w:p w14:paraId="7CA53022"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68348DA6"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provide supporting data/justification or other information for your responses to these questions about threats?</w:t>
      </w:r>
    </w:p>
    <w:p w14:paraId="432AF88A" w14:textId="77777777" w:rsidR="006C53CB" w:rsidRDefault="006C53CB" w:rsidP="009779CB">
      <w:pPr>
        <w:autoSpaceDE w:val="0"/>
        <w:autoSpaceDN w:val="0"/>
        <w:adjustRightInd w:val="0"/>
        <w:ind w:left="1560" w:hanging="1560"/>
        <w:rPr>
          <w:rFonts w:ascii="Arial,Bold" w:hAnsi="Arial,Bold" w:cs="Arial,Bold"/>
          <w:b/>
          <w:bCs/>
        </w:rPr>
      </w:pPr>
    </w:p>
    <w:p w14:paraId="628D9ACD" w14:textId="77777777" w:rsidR="006C53CB" w:rsidRDefault="006C53CB" w:rsidP="009779CB">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6D788E0D" w14:textId="77777777" w:rsidR="006C53CB" w:rsidRDefault="006C53CB" w:rsidP="009779CB">
      <w:pPr>
        <w:autoSpaceDE w:val="0"/>
        <w:autoSpaceDN w:val="0"/>
        <w:adjustRightInd w:val="0"/>
        <w:ind w:left="1560" w:hanging="1560"/>
        <w:rPr>
          <w:rFonts w:ascii="Arial,Bold" w:hAnsi="Arial,Bold" w:cs="Arial,Bold"/>
          <w:b/>
          <w:bCs/>
        </w:rPr>
      </w:pPr>
    </w:p>
    <w:p w14:paraId="44EE71EC"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What planning, management and recovery actions are currently in place supporting protection and recovery of the species? To what extent have they been effective?</w:t>
      </w:r>
    </w:p>
    <w:p w14:paraId="0A95457A"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1B970B86"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Can you recommend any additional or alternative specific threat abatement or conservation actions that would aid the protection and recovery of the species?</w:t>
      </w:r>
    </w:p>
    <w:p w14:paraId="0CA1E1FC" w14:textId="77777777" w:rsidR="006C53CB" w:rsidRDefault="006C53CB" w:rsidP="009779CB">
      <w:pPr>
        <w:pStyle w:val="ListParagraph"/>
        <w:numPr>
          <w:ilvl w:val="0"/>
          <w:numId w:val="0"/>
        </w:numPr>
        <w:autoSpaceDE w:val="0"/>
        <w:autoSpaceDN w:val="0"/>
        <w:adjustRightInd w:val="0"/>
        <w:ind w:left="360"/>
        <w:rPr>
          <w:rFonts w:ascii="Arial" w:hAnsi="Arial" w:cs="Arial"/>
          <w:sz w:val="22"/>
          <w:szCs w:val="22"/>
        </w:rPr>
      </w:pPr>
    </w:p>
    <w:p w14:paraId="39672CE8" w14:textId="77777777" w:rsidR="006C53CB" w:rsidRDefault="006C53CB" w:rsidP="006C53CB">
      <w:pPr>
        <w:pStyle w:val="ListParagraph"/>
        <w:numPr>
          <w:ilvl w:val="0"/>
          <w:numId w:val="3"/>
        </w:numPr>
        <w:autoSpaceDE w:val="0"/>
        <w:autoSpaceDN w:val="0"/>
        <w:adjustRightInd w:val="0"/>
        <w:contextualSpacing/>
        <w:rPr>
          <w:rFonts w:ascii="Arial" w:hAnsi="Arial" w:cs="Arial"/>
          <w:sz w:val="22"/>
          <w:szCs w:val="22"/>
        </w:rPr>
      </w:pPr>
      <w:r>
        <w:rPr>
          <w:rFonts w:ascii="Arial" w:hAnsi="Arial" w:cs="Arial"/>
          <w:sz w:val="22"/>
          <w:szCs w:val="22"/>
        </w:rPr>
        <w:t>Would you recommend translocation (outside of the species’ historic range) as a viable option as a conservation action for this species?</w:t>
      </w:r>
    </w:p>
    <w:p w14:paraId="46328823" w14:textId="77777777" w:rsidR="006C53CB" w:rsidRDefault="006C53CB" w:rsidP="009779CB">
      <w:pPr>
        <w:autoSpaceDE w:val="0"/>
        <w:autoSpaceDN w:val="0"/>
        <w:adjustRightInd w:val="0"/>
        <w:rPr>
          <w:rFonts w:ascii="Arial" w:hAnsi="Arial" w:cs="Arial"/>
        </w:rPr>
      </w:pPr>
    </w:p>
    <w:p w14:paraId="1B9D87F9" w14:textId="77777777" w:rsidR="006C53CB" w:rsidRDefault="006C53CB" w:rsidP="00451629">
      <w:pPr>
        <w:keepNext/>
        <w:autoSpaceDE w:val="0"/>
        <w:autoSpaceDN w:val="0"/>
        <w:adjustRightInd w:val="0"/>
        <w:ind w:left="1560" w:hanging="1560"/>
        <w:rPr>
          <w:rFonts w:ascii="Arial" w:hAnsi="Arial" w:cs="Arial"/>
          <w:b/>
        </w:rPr>
      </w:pPr>
      <w:r w:rsidRPr="009F43F9">
        <w:rPr>
          <w:rFonts w:ascii="Arial" w:hAnsi="Arial" w:cs="Arial"/>
          <w:b/>
          <w:u w:val="single"/>
        </w:rPr>
        <w:lastRenderedPageBreak/>
        <w:t>SECTION I</w:t>
      </w:r>
      <w:r>
        <w:rPr>
          <w:rFonts w:ascii="Arial" w:hAnsi="Arial" w:cs="Arial"/>
          <w:b/>
        </w:rPr>
        <w:t xml:space="preserve"> </w:t>
      </w:r>
      <w:r>
        <w:rPr>
          <w:rFonts w:ascii="Arial" w:hAnsi="Arial" w:cs="Arial"/>
          <w:b/>
        </w:rPr>
        <w:tab/>
        <w:t>DO YOU HAVE INFORMATION ON STAKEHOLDERS IN THE RECOVERY OF THE SPECIES?</w:t>
      </w:r>
    </w:p>
    <w:p w14:paraId="05762C75" w14:textId="77777777" w:rsidR="006C53CB" w:rsidRDefault="006C53CB" w:rsidP="00451629">
      <w:pPr>
        <w:keepNext/>
        <w:autoSpaceDE w:val="0"/>
        <w:autoSpaceDN w:val="0"/>
        <w:adjustRightInd w:val="0"/>
        <w:ind w:left="1560" w:hanging="1560"/>
        <w:rPr>
          <w:rFonts w:ascii="Arial" w:hAnsi="Arial" w:cs="Arial"/>
          <w:b/>
        </w:rPr>
      </w:pPr>
    </w:p>
    <w:p w14:paraId="2194458B" w14:textId="77777777" w:rsidR="006C53CB"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other knowledge (e.g. traditional ecological knowledge) or individuals/groups with knowledge that may help better understand population trends/fluctuations, or critical areas of habitat?</w:t>
      </w:r>
    </w:p>
    <w:p w14:paraId="503CB272" w14:textId="77777777" w:rsidR="006C53CB" w:rsidRDefault="006C53CB" w:rsidP="009779CB">
      <w:pPr>
        <w:pStyle w:val="ListParagraph"/>
        <w:numPr>
          <w:ilvl w:val="0"/>
          <w:numId w:val="0"/>
        </w:numPr>
        <w:autoSpaceDE w:val="0"/>
        <w:autoSpaceDN w:val="0"/>
        <w:adjustRightInd w:val="0"/>
        <w:ind w:left="360"/>
        <w:rPr>
          <w:rFonts w:ascii="Arial" w:hAnsi="Arial" w:cs="Arial"/>
          <w:color w:val="000000"/>
          <w:sz w:val="22"/>
          <w:szCs w:val="22"/>
        </w:rPr>
      </w:pPr>
    </w:p>
    <w:p w14:paraId="4396AE28" w14:textId="77777777" w:rsidR="006C53CB"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you aware of any cultural or social importance or use that the species has?</w:t>
      </w:r>
    </w:p>
    <w:p w14:paraId="06A42035" w14:textId="77777777" w:rsidR="006C53CB" w:rsidRDefault="006C53CB" w:rsidP="009779CB">
      <w:pPr>
        <w:pStyle w:val="ListParagraph"/>
        <w:numPr>
          <w:ilvl w:val="0"/>
          <w:numId w:val="0"/>
        </w:numPr>
        <w:autoSpaceDE w:val="0"/>
        <w:autoSpaceDN w:val="0"/>
        <w:adjustRightInd w:val="0"/>
        <w:ind w:left="360"/>
        <w:rPr>
          <w:rFonts w:ascii="Arial" w:hAnsi="Arial" w:cs="Arial"/>
          <w:color w:val="000000"/>
          <w:sz w:val="22"/>
          <w:szCs w:val="22"/>
        </w:rPr>
      </w:pPr>
    </w:p>
    <w:p w14:paraId="61744567" w14:textId="77777777" w:rsidR="006C53CB"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sz w:val="22"/>
          <w:szCs w:val="22"/>
        </w:rPr>
        <w:t>What individuals or organisations are currently, or potentially could be, involved in management and recovery of the species?</w:t>
      </w:r>
    </w:p>
    <w:p w14:paraId="44976A71" w14:textId="77777777" w:rsidR="006C53CB" w:rsidRDefault="006C53CB" w:rsidP="009779CB">
      <w:pPr>
        <w:pStyle w:val="ListParagraph"/>
        <w:numPr>
          <w:ilvl w:val="0"/>
          <w:numId w:val="0"/>
        </w:numPr>
        <w:autoSpaceDE w:val="0"/>
        <w:autoSpaceDN w:val="0"/>
        <w:adjustRightInd w:val="0"/>
        <w:ind w:left="360"/>
        <w:rPr>
          <w:rFonts w:ascii="Arial" w:hAnsi="Arial" w:cs="Arial"/>
          <w:color w:val="000000"/>
          <w:sz w:val="22"/>
          <w:szCs w:val="22"/>
        </w:rPr>
      </w:pPr>
    </w:p>
    <w:p w14:paraId="7FDB4BB6" w14:textId="77777777" w:rsidR="006C53CB"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 xml:space="preserve">How aware of this species are land managers where the species is found? </w:t>
      </w:r>
    </w:p>
    <w:p w14:paraId="1AF47D14" w14:textId="77777777" w:rsidR="006C53CB" w:rsidRDefault="006C53CB" w:rsidP="009779CB">
      <w:pPr>
        <w:pStyle w:val="ListParagraph"/>
        <w:numPr>
          <w:ilvl w:val="0"/>
          <w:numId w:val="0"/>
        </w:numPr>
        <w:autoSpaceDE w:val="0"/>
        <w:autoSpaceDN w:val="0"/>
        <w:adjustRightInd w:val="0"/>
        <w:ind w:left="360"/>
        <w:rPr>
          <w:rFonts w:ascii="Arial" w:hAnsi="Arial" w:cs="Arial"/>
          <w:color w:val="000000"/>
          <w:sz w:val="22"/>
          <w:szCs w:val="22"/>
        </w:rPr>
      </w:pPr>
    </w:p>
    <w:p w14:paraId="306F3AC3" w14:textId="77777777" w:rsidR="006C53CB"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pPr>
      <w:r>
        <w:rPr>
          <w:rFonts w:ascii="Arial" w:hAnsi="Arial" w:cs="Arial"/>
          <w:sz w:val="22"/>
          <w:szCs w:val="22"/>
        </w:rPr>
        <w:t>What level of awareness is there with individuals or organisations around the issues affecting the species?</w:t>
      </w:r>
    </w:p>
    <w:p w14:paraId="362E2428" w14:textId="77777777" w:rsidR="006C53CB" w:rsidRDefault="006C53CB" w:rsidP="009779CB">
      <w:pPr>
        <w:pStyle w:val="ListParagraph"/>
        <w:numPr>
          <w:ilvl w:val="0"/>
          <w:numId w:val="0"/>
        </w:numPr>
        <w:autoSpaceDE w:val="0"/>
        <w:autoSpaceDN w:val="0"/>
        <w:adjustRightInd w:val="0"/>
        <w:ind w:left="360"/>
        <w:rPr>
          <w:rFonts w:ascii="Arial" w:hAnsi="Arial" w:cs="Arial"/>
          <w:color w:val="000000"/>
          <w:sz w:val="22"/>
          <w:szCs w:val="22"/>
        </w:rPr>
      </w:pPr>
    </w:p>
    <w:p w14:paraId="232DD9CA" w14:textId="77777777" w:rsidR="006C53CB" w:rsidRDefault="006C53CB" w:rsidP="006C53CB">
      <w:pPr>
        <w:pStyle w:val="ListParagraph"/>
        <w:numPr>
          <w:ilvl w:val="1"/>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Where there is awareness, what are these interests of these individuals/organisations?</w:t>
      </w:r>
    </w:p>
    <w:p w14:paraId="3108EA42" w14:textId="77777777" w:rsidR="006C53CB" w:rsidRDefault="006C53CB" w:rsidP="009779CB">
      <w:pPr>
        <w:pStyle w:val="ListParagraph"/>
        <w:numPr>
          <w:ilvl w:val="0"/>
          <w:numId w:val="0"/>
        </w:numPr>
        <w:autoSpaceDE w:val="0"/>
        <w:autoSpaceDN w:val="0"/>
        <w:adjustRightInd w:val="0"/>
        <w:ind w:left="1080"/>
        <w:rPr>
          <w:rFonts w:ascii="Arial" w:hAnsi="Arial" w:cs="Arial"/>
          <w:color w:val="000000"/>
          <w:sz w:val="22"/>
          <w:szCs w:val="22"/>
        </w:rPr>
      </w:pPr>
    </w:p>
    <w:p w14:paraId="3E0FB194" w14:textId="77777777" w:rsidR="006C53CB" w:rsidRDefault="006C53CB" w:rsidP="006C53CB">
      <w:pPr>
        <w:pStyle w:val="ListParagraph"/>
        <w:numPr>
          <w:ilvl w:val="1"/>
          <w:numId w:val="3"/>
        </w:numPr>
        <w:autoSpaceDE w:val="0"/>
        <w:autoSpaceDN w:val="0"/>
        <w:adjustRightInd w:val="0"/>
        <w:contextualSpacing/>
        <w:rPr>
          <w:rFonts w:ascii="Arial" w:hAnsi="Arial" w:cs="Arial"/>
          <w:color w:val="000000"/>
          <w:sz w:val="22"/>
          <w:szCs w:val="22"/>
        </w:rPr>
      </w:pPr>
      <w:r>
        <w:rPr>
          <w:rFonts w:ascii="Arial" w:hAnsi="Arial" w:cs="Arial"/>
          <w:color w:val="000000"/>
          <w:sz w:val="22"/>
          <w:szCs w:val="22"/>
        </w:rPr>
        <w:t>Are there populations or areas of habitat that are particularly important to the community?</w:t>
      </w:r>
    </w:p>
    <w:p w14:paraId="7B1C5F2B" w14:textId="77777777" w:rsidR="006C53CB" w:rsidRDefault="006C53CB" w:rsidP="009779CB">
      <w:pPr>
        <w:autoSpaceDE w:val="0"/>
        <w:autoSpaceDN w:val="0"/>
        <w:adjustRightInd w:val="0"/>
      </w:pPr>
    </w:p>
    <w:p w14:paraId="0A7BDDC0"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4CF6BC3B" w14:textId="77777777" w:rsidR="006C53CB" w:rsidRPr="009F43F9" w:rsidRDefault="006C53CB" w:rsidP="009779CB">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30A00717" w14:textId="77777777" w:rsidR="006C53CB" w:rsidRDefault="006C53CB" w:rsidP="009779CB">
      <w:pPr>
        <w:shd w:val="clear" w:color="auto" w:fill="D9D9D9" w:themeFill="background1" w:themeFillShade="D9"/>
        <w:autoSpaceDE w:val="0"/>
        <w:autoSpaceDN w:val="0"/>
        <w:adjustRightInd w:val="0"/>
        <w:jc w:val="center"/>
        <w:rPr>
          <w:rFonts w:ascii="Arial" w:hAnsi="Arial" w:cs="Arial"/>
          <w:b/>
        </w:rPr>
      </w:pPr>
    </w:p>
    <w:p w14:paraId="063CC72A" w14:textId="77777777" w:rsidR="006C53CB" w:rsidRDefault="006C53CB" w:rsidP="009779CB">
      <w:pPr>
        <w:autoSpaceDE w:val="0"/>
        <w:autoSpaceDN w:val="0"/>
        <w:adjustRightInd w:val="0"/>
        <w:rPr>
          <w:rFonts w:ascii="Arial" w:hAnsi="Arial" w:cs="Arial"/>
        </w:rPr>
      </w:pPr>
    </w:p>
    <w:p w14:paraId="236BDF19" w14:textId="77777777" w:rsidR="001C0000" w:rsidRDefault="006C53CB" w:rsidP="006C53CB">
      <w:pPr>
        <w:pStyle w:val="ListParagraph"/>
        <w:numPr>
          <w:ilvl w:val="0"/>
          <w:numId w:val="3"/>
        </w:numPr>
        <w:autoSpaceDE w:val="0"/>
        <w:autoSpaceDN w:val="0"/>
        <w:adjustRightInd w:val="0"/>
        <w:contextualSpacing/>
        <w:rPr>
          <w:rFonts w:ascii="Arial" w:hAnsi="Arial" w:cs="Arial"/>
          <w:color w:val="000000"/>
          <w:sz w:val="22"/>
          <w:szCs w:val="22"/>
        </w:rPr>
        <w:sectPr w:rsidR="001C0000" w:rsidSect="006B7C10">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r>
        <w:rPr>
          <w:rFonts w:ascii="Arial" w:hAnsi="Arial" w:cs="Arial"/>
          <w:color w:val="000000"/>
          <w:sz w:val="22"/>
          <w:szCs w:val="22"/>
        </w:rPr>
        <w:t>Do you have comments on any other matters relevant to the assessment of this species?</w:t>
      </w:r>
    </w:p>
    <w:p w14:paraId="64B14682" w14:textId="68411267" w:rsidR="006C53CB" w:rsidRDefault="006C53CB" w:rsidP="001C0000">
      <w:pPr>
        <w:pStyle w:val="ListParagraph"/>
        <w:numPr>
          <w:ilvl w:val="0"/>
          <w:numId w:val="0"/>
        </w:numPr>
        <w:autoSpaceDE w:val="0"/>
        <w:autoSpaceDN w:val="0"/>
        <w:adjustRightInd w:val="0"/>
        <w:ind w:left="360"/>
        <w:contextualSpacing/>
        <w:rPr>
          <w:rFonts w:ascii="Arial" w:hAnsi="Arial" w:cs="Arial"/>
          <w:color w:val="000000"/>
          <w:sz w:val="22"/>
          <w:szCs w:val="22"/>
        </w:rPr>
      </w:pPr>
    </w:p>
    <w:p w14:paraId="6C05DB4E" w14:textId="77777777" w:rsidR="006C53CB" w:rsidRDefault="006C53CB">
      <w:pPr>
        <w:spacing w:after="160" w:line="259" w:lineRule="auto"/>
        <w:rPr>
          <w:rFonts w:ascii="Arial" w:eastAsia="Times New Roman" w:hAnsi="Arial" w:cs="Arial"/>
          <w:color w:val="000000"/>
        </w:rPr>
      </w:pPr>
      <w:r>
        <w:rPr>
          <w:rFonts w:ascii="Arial" w:hAnsi="Arial" w:cs="Arial"/>
          <w:color w:val="000000"/>
        </w:rPr>
        <w:br w:type="page"/>
      </w:r>
    </w:p>
    <w:p w14:paraId="46844760" w14:textId="3F8E32E6" w:rsidR="006C53CB" w:rsidRPr="00606E34" w:rsidRDefault="00156154" w:rsidP="009D41D2">
      <w:pPr>
        <w:pStyle w:val="DisseminationLimitingMarker"/>
      </w:pPr>
      <w:r>
        <w:lastRenderedPageBreak/>
        <w:t xml:space="preserve">Consultation Document of Listing Eligibility and </w:t>
      </w:r>
      <w:r w:rsidR="006C53CB">
        <w:t xml:space="preserve">Conservation Advice for </w:t>
      </w:r>
      <w:r w:rsidR="006C53CB">
        <w:br/>
      </w:r>
      <w:r w:rsidR="006C53CB" w:rsidRPr="00881D80">
        <w:rPr>
          <w:rStyle w:val="Emphasis"/>
        </w:rPr>
        <w:t>Bertya mollissima</w:t>
      </w:r>
      <w:r w:rsidR="006C53CB">
        <w:rPr>
          <w:i/>
          <w:iCs/>
        </w:rPr>
        <w:t xml:space="preserve"> </w:t>
      </w:r>
    </w:p>
    <w:p w14:paraId="5BB3175F" w14:textId="77777777" w:rsidR="006C53CB" w:rsidRPr="001E3546" w:rsidRDefault="006C53CB" w:rsidP="00925C78">
      <w:pPr>
        <w:pStyle w:val="Instructiontext"/>
      </w:pPr>
      <w:r>
        <w:rPr>
          <w:noProof/>
          <w:lang w:eastAsia="en-AU"/>
        </w:rPr>
        <mc:AlternateContent>
          <mc:Choice Requires="wps">
            <w:drawing>
              <wp:anchor distT="45720" distB="180340" distL="114300" distR="114300" simplePos="0" relativeHeight="251660288" behindDoc="0" locked="0" layoutInCell="1" allowOverlap="1" wp14:anchorId="15C8CD59" wp14:editId="537A9BD5">
                <wp:simplePos x="0" y="0"/>
                <wp:positionH relativeFrom="column">
                  <wp:posOffset>189230</wp:posOffset>
                </wp:positionH>
                <wp:positionV relativeFrom="paragraph">
                  <wp:posOffset>517525</wp:posOffset>
                </wp:positionV>
                <wp:extent cx="5010785" cy="2380615"/>
                <wp:effectExtent l="0" t="0" r="1841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23806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4A3938" w14:textId="77777777" w:rsidR="006C53CB" w:rsidRDefault="006C53CB" w:rsidP="00683895">
                            <w:pPr>
                              <w:pStyle w:val="Author"/>
                              <w:jc w:val="center"/>
                              <w:rPr>
                                <w:rStyle w:val="Emphasis"/>
                                <w:i w:val="0"/>
                                <w:iCs w:val="0"/>
                                <w:color w:val="FF0000"/>
                              </w:rPr>
                            </w:pPr>
                            <w:r w:rsidRPr="00B038DF">
                              <w:rPr>
                                <w:rStyle w:val="Emphasis"/>
                                <w:color w:val="FF0000"/>
                              </w:rPr>
                              <w:t xml:space="preserve">This draft document is being released for consultation on </w:t>
                            </w:r>
                            <w:r>
                              <w:rPr>
                                <w:rStyle w:val="Emphasis"/>
                                <w:color w:val="FF0000"/>
                              </w:rPr>
                              <w:t xml:space="preserve">the </w:t>
                            </w:r>
                            <w:r w:rsidRPr="00B038DF">
                              <w:rPr>
                                <w:rStyle w:val="Emphasis"/>
                                <w:color w:val="FF0000"/>
                              </w:rPr>
                              <w:t>species listing eligibility and conservation actions</w:t>
                            </w:r>
                          </w:p>
                          <w:p w14:paraId="6E81F2A8" w14:textId="77777777" w:rsidR="006C53CB" w:rsidRDefault="006C53CB"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0A4704A8" w14:textId="77777777" w:rsidR="006C53CB" w:rsidRDefault="006C53CB"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618A4A9D" w14:textId="77777777" w:rsidR="006C53CB" w:rsidRPr="00C877B7" w:rsidRDefault="006C53CB">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8CD59" id="_x0000_t202" coordsize="21600,21600" o:spt="202" path="m,l,21600r21600,l21600,xe">
                <v:stroke joinstyle="miter"/>
                <v:path gradientshapeok="t" o:connecttype="rect"/>
              </v:shapetype>
              <v:shape id="Text Box 2" o:spid="_x0000_s1026" type="#_x0000_t202" style="position:absolute;margin-left:14.9pt;margin-top:40.75pt;width:394.55pt;height:187.45pt;z-index:251660288;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" fillcolor="white [3201]" strokecolor="black [3200]" strokeweight="1pt">
                <v:textbox>
                  <w:txbxContent>
                    <w:p w14:paraId="444A3938" w14:textId="77777777" w:rsidR="006C53CB" w:rsidRDefault="006C53CB" w:rsidP="00683895">
                      <w:pPr>
                        <w:pStyle w:val="Author"/>
                        <w:jc w:val="center"/>
                        <w:rPr>
                          <w:rStyle w:val="Emphasis"/>
                          <w:i w:val="0"/>
                          <w:iCs w:val="0"/>
                          <w:color w:val="FF0000"/>
                        </w:rPr>
                      </w:pPr>
                      <w:r w:rsidRPr="00B038DF">
                        <w:rPr>
                          <w:rStyle w:val="Emphasis"/>
                          <w:color w:val="FF0000"/>
                        </w:rPr>
                        <w:t xml:space="preserve">This draft document is being released for consultation on </w:t>
                      </w:r>
                      <w:r>
                        <w:rPr>
                          <w:rStyle w:val="Emphasis"/>
                          <w:color w:val="FF0000"/>
                        </w:rPr>
                        <w:t xml:space="preserve">the </w:t>
                      </w:r>
                      <w:r w:rsidRPr="00B038DF">
                        <w:rPr>
                          <w:rStyle w:val="Emphasis"/>
                          <w:color w:val="FF0000"/>
                        </w:rPr>
                        <w:t>species listing eligibility and conservation actions</w:t>
                      </w:r>
                    </w:p>
                    <w:p w14:paraId="6E81F2A8" w14:textId="77777777" w:rsidR="006C53CB" w:rsidRDefault="006C53CB"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further planning</w:t>
                      </w:r>
                      <w:r>
                        <w:t xml:space="preserve"> and the potential need for a Recovery Plan</w:t>
                      </w:r>
                      <w:r w:rsidRPr="004A3350">
                        <w:t>.</w:t>
                      </w:r>
                    </w:p>
                    <w:p w14:paraId="0A4704A8" w14:textId="77777777" w:rsidR="006C53CB" w:rsidRDefault="006C53CB"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as a result of responses to this consultation process.</w:t>
                      </w:r>
                    </w:p>
                    <w:p w14:paraId="618A4A9D" w14:textId="77777777" w:rsidR="006C53CB" w:rsidRPr="00C877B7" w:rsidRDefault="006C53CB">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topAndBottom"/>
              </v:shape>
            </w:pict>
          </mc:Fallback>
        </mc:AlternateContent>
      </w:r>
      <w:bookmarkStart w:id="2" w:name="_Hlk63243315"/>
    </w:p>
    <w:bookmarkEnd w:id="2"/>
    <w:p w14:paraId="00948E21" w14:textId="77777777" w:rsidR="006C53CB" w:rsidRDefault="006C53CB" w:rsidP="001C7420">
      <w:r w:rsidRPr="0016081E">
        <w:t xml:space="preserve">This document combines the </w:t>
      </w:r>
      <w:r w:rsidRPr="009D41D2">
        <w:t xml:space="preserve">approved conservation </w:t>
      </w:r>
      <w:r w:rsidRPr="00565F5A">
        <w:t>advice</w:t>
      </w:r>
      <w:r w:rsidRPr="0016081E">
        <w:t xml:space="preserve"> and listing assessment for </w:t>
      </w:r>
      <w:r w:rsidRPr="00925C78">
        <w:rPr>
          <w:rStyle w:val="Emphasis"/>
        </w:rPr>
        <w:t>Bertya mollissima</w:t>
      </w:r>
      <w:r w:rsidRPr="0016081E">
        <w:t xml:space="preserve">. </w:t>
      </w:r>
      <w:r w:rsidRPr="009D41D2">
        <w:t>It provides a foundation for conservation action</w:t>
      </w:r>
      <w:r>
        <w:t>s</w:t>
      </w:r>
      <w:r w:rsidRPr="009D41D2">
        <w:t xml:space="preserve"> and further planning.</w:t>
      </w:r>
    </w:p>
    <w:p w14:paraId="5E1D29B4" w14:textId="77777777" w:rsidR="006C53CB" w:rsidRPr="001A3C77" w:rsidRDefault="006C53CB" w:rsidP="0049234A">
      <w:pPr>
        <w:pStyle w:val="Instructiontext"/>
        <w:jc w:val="center"/>
      </w:pPr>
      <w:r>
        <w:rPr>
          <w:noProof/>
        </w:rPr>
        <w:drawing>
          <wp:inline distT="0" distB="0" distL="0" distR="0" wp14:anchorId="21B925AE" wp14:editId="56E73BE2">
            <wp:extent cx="3725691" cy="2880986"/>
            <wp:effectExtent l="0" t="0" r="8255" b="0"/>
            <wp:docPr id="6" name="Picture 6" descr="Male flower of Bertya mollis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le flower of Bertya mollissima."/>
                    <pic:cNvPicPr/>
                  </pic:nvPicPr>
                  <pic:blipFill>
                    <a:blip r:embed="rId22">
                      <a:extLst>
                        <a:ext uri="{28A0092B-C50C-407E-A947-70E740481C1C}">
                          <a14:useLocalDpi xmlns:a14="http://schemas.microsoft.com/office/drawing/2010/main" val="0"/>
                        </a:ext>
                      </a:extLst>
                    </a:blip>
                    <a:stretch>
                      <a:fillRect/>
                    </a:stretch>
                  </pic:blipFill>
                  <pic:spPr>
                    <a:xfrm>
                      <a:off x="0" y="0"/>
                      <a:ext cx="3747458" cy="2897818"/>
                    </a:xfrm>
                    <a:prstGeom prst="rect">
                      <a:avLst/>
                    </a:prstGeom>
                  </pic:spPr>
                </pic:pic>
              </a:graphicData>
            </a:graphic>
          </wp:inline>
        </w:drawing>
      </w:r>
    </w:p>
    <w:p w14:paraId="1FD5D48E" w14:textId="77777777" w:rsidR="006C53CB" w:rsidRDefault="006C53CB" w:rsidP="005633B0">
      <w:pPr>
        <w:pStyle w:val="FigureTableNoteSource"/>
        <w:jc w:val="center"/>
      </w:pPr>
      <w:bookmarkStart w:id="3" w:name="_Hlk46319602"/>
      <w:r w:rsidRPr="00881D80">
        <w:rPr>
          <w:rStyle w:val="Emphasis"/>
        </w:rPr>
        <w:t>Bertya mollissima</w:t>
      </w:r>
      <w:r>
        <w:t xml:space="preserve"> © Copyright, Fagg, M. (Australian Plant Image Index)</w:t>
      </w:r>
    </w:p>
    <w:bookmarkEnd w:id="3"/>
    <w:p w14:paraId="69481BAF" w14:textId="77777777" w:rsidR="006C53CB" w:rsidRPr="00AC3A2A" w:rsidRDefault="006C53CB" w:rsidP="006D3581">
      <w:pPr>
        <w:pStyle w:val="Heading2"/>
        <w:ind w:left="720" w:hanging="720"/>
      </w:pPr>
      <w:r>
        <w:t>Conservation status</w:t>
      </w:r>
    </w:p>
    <w:p w14:paraId="2A2881AB" w14:textId="336F2212" w:rsidR="00780D47" w:rsidRDefault="006C53CB" w:rsidP="00B86BDB">
      <w:pPr>
        <w:pStyle w:val="Consultationtext"/>
        <w:rPr>
          <w:rStyle w:val="Emphasis"/>
          <w:color w:val="auto"/>
        </w:rPr>
        <w:sectPr w:rsidR="00780D47" w:rsidSect="001C0000">
          <w:headerReference w:type="even" r:id="rId23"/>
          <w:headerReference w:type="default" r:id="rId24"/>
          <w:headerReference w:type="first" r:id="rId25"/>
          <w:type w:val="continuous"/>
          <w:pgSz w:w="11906" w:h="16838"/>
          <w:pgMar w:top="1440" w:right="1440" w:bottom="1440" w:left="1440" w:header="708" w:footer="708" w:gutter="0"/>
          <w:cols w:space="708"/>
          <w:titlePg/>
          <w:docGrid w:linePitch="360"/>
        </w:sectPr>
      </w:pPr>
      <w:r w:rsidRPr="00D6549B">
        <w:rPr>
          <w:rStyle w:val="Emphasis"/>
          <w:color w:val="auto"/>
        </w:rPr>
        <w:t>Bertya mollissima</w:t>
      </w:r>
      <w:r w:rsidRPr="00D6549B">
        <w:rPr>
          <w:color w:val="auto"/>
        </w:rPr>
        <w:t xml:space="preserve"> is proposed to be listed in the </w:t>
      </w:r>
      <w:sdt>
        <w:sdtPr>
          <w:rPr>
            <w:color w:val="auto"/>
          </w:rPr>
          <w:id w:val="454379346"/>
          <w:placeholder>
            <w:docPart w:val="F5FF0D12DFB543178D1AFF1F6BF99414"/>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D6549B">
            <w:rPr>
              <w:color w:val="auto"/>
            </w:rPr>
            <w:t>Endangered</w:t>
          </w:r>
        </w:sdtContent>
      </w:sdt>
      <w:r w:rsidRPr="00D6549B">
        <w:rPr>
          <w:color w:val="auto"/>
        </w:rPr>
        <w:t xml:space="preserve"> category of the threatened species list under the </w:t>
      </w:r>
      <w:r w:rsidRPr="00D6549B">
        <w:rPr>
          <w:rStyle w:val="Emphasis"/>
          <w:color w:val="auto"/>
        </w:rPr>
        <w:t>Environment Protection and Biodiversity Conservation Act 199</w:t>
      </w:r>
    </w:p>
    <w:p w14:paraId="50ACA2AB" w14:textId="77777777" w:rsidR="006C53CB" w:rsidRDefault="006C53CB" w:rsidP="004D2790">
      <w:r w:rsidRPr="005A5575">
        <w:rPr>
          <w:rStyle w:val="Emphasis"/>
        </w:rPr>
        <w:lastRenderedPageBreak/>
        <w:t>Bertya mollissima</w:t>
      </w:r>
      <w:r>
        <w:t xml:space="preserve"> was </w:t>
      </w:r>
      <w:r w:rsidRPr="009638AE">
        <w:t>assessed</w:t>
      </w:r>
      <w:r>
        <w:t xml:space="preserve"> by the Threatened Species Scientific Committee to</w:t>
      </w:r>
      <w:r w:rsidRPr="005A5575">
        <w:t xml:space="preserve"> be eligible for listing </w:t>
      </w:r>
      <w:r w:rsidRPr="00841B36">
        <w:t xml:space="preserve">under </w:t>
      </w:r>
      <w:r w:rsidRPr="005A5575">
        <w:t xml:space="preserve">any of the listing criteria as </w:t>
      </w:r>
      <w:sdt>
        <w:sdtPr>
          <w:id w:val="257643898"/>
          <w:placeholder>
            <w:docPart w:val="472C318A7363454A876A03D35CB9C31F"/>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t>Endangered</w:t>
          </w:r>
        </w:sdtContent>
      </w:sdt>
      <w:r>
        <w:t xml:space="preserve"> under </w:t>
      </w:r>
      <w:r w:rsidRPr="005A5575">
        <w:t>criteri</w:t>
      </w:r>
      <w:r>
        <w:t>a</w:t>
      </w:r>
      <w:r w:rsidRPr="005A5575">
        <w:t xml:space="preserve"> 2</w:t>
      </w:r>
      <w:r>
        <w:t xml:space="preserve"> and 3. The Committee’s </w:t>
      </w:r>
      <w:r w:rsidRPr="009638AE">
        <w:t>assessment</w:t>
      </w:r>
      <w:r>
        <w:t xml:space="preserve"> is at Attachment A. The Committee’s </w:t>
      </w:r>
      <w:r w:rsidRPr="009638AE">
        <w:t>assessment</w:t>
      </w:r>
      <w:r>
        <w:t xml:space="preserve"> of the species’ eligibility against each of the listing criteria is:</w:t>
      </w:r>
    </w:p>
    <w:p w14:paraId="09E9645F" w14:textId="77777777" w:rsidR="006C53CB" w:rsidRDefault="006C53CB" w:rsidP="004D2790">
      <w:pPr>
        <w:pStyle w:val="ListBullet"/>
      </w:pPr>
      <w:r>
        <w:t xml:space="preserve"> Criterion 1: </w:t>
      </w:r>
      <w:sdt>
        <w:sdtPr>
          <w:id w:val="77107183"/>
          <w:placeholder>
            <w:docPart w:val="AABB881E36004BA5A9CFED8ACFA89AF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Insufficient data</w:t>
          </w:r>
        </w:sdtContent>
      </w:sdt>
    </w:p>
    <w:p w14:paraId="59BC59B7" w14:textId="77777777" w:rsidR="006C53CB" w:rsidRDefault="006C53CB" w:rsidP="004D2790">
      <w:pPr>
        <w:pStyle w:val="ListBullet"/>
      </w:pPr>
      <w:r>
        <w:t xml:space="preserve">Criterion 2: </w:t>
      </w:r>
      <w:r w:rsidRPr="00451184">
        <w:t>B2ab(</w:t>
      </w:r>
      <w:r>
        <w:t>i,ii,</w:t>
      </w:r>
      <w:r w:rsidRPr="00451184">
        <w:t>iii,iv):</w:t>
      </w:r>
      <w:r w:rsidRPr="00A85421">
        <w:t xml:space="preserve"> </w:t>
      </w:r>
      <w:sdt>
        <w:sdtPr>
          <w:id w:val="-1042367401"/>
          <w:placeholder>
            <w:docPart w:val="717D806B93CE47909B076668854598D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Endangered</w:t>
          </w:r>
        </w:sdtContent>
      </w:sdt>
    </w:p>
    <w:p w14:paraId="29CAAD14" w14:textId="77777777" w:rsidR="006C53CB" w:rsidRDefault="006C53CB" w:rsidP="004D2790">
      <w:pPr>
        <w:pStyle w:val="ListBullet"/>
      </w:pPr>
      <w:r>
        <w:t>Criterion 3: C2a(i):</w:t>
      </w:r>
      <w:r w:rsidRPr="008B00FB">
        <w:t xml:space="preserve"> </w:t>
      </w:r>
      <w:sdt>
        <w:sdtPr>
          <w:id w:val="-151294044"/>
          <w:placeholder>
            <w:docPart w:val="C9C678E815904CB68C56ACFF7325E213"/>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Endangered</w:t>
          </w:r>
        </w:sdtContent>
      </w:sdt>
    </w:p>
    <w:p w14:paraId="5F5EABCF" w14:textId="77777777" w:rsidR="006C53CB" w:rsidRDefault="006C53CB" w:rsidP="004D2790">
      <w:pPr>
        <w:pStyle w:val="ListBullet"/>
      </w:pPr>
      <w:r>
        <w:t xml:space="preserve">Criterion 4: D: </w:t>
      </w:r>
      <w:sdt>
        <w:sdtPr>
          <w:id w:val="-2084978900"/>
          <w:placeholder>
            <w:docPart w:val="CACA701F124A46CC85475FF0708FC4D1"/>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Vulnerable</w:t>
          </w:r>
        </w:sdtContent>
      </w:sdt>
    </w:p>
    <w:p w14:paraId="4DF21258" w14:textId="77777777" w:rsidR="006C53CB" w:rsidRDefault="006C53CB" w:rsidP="003A06CA">
      <w:pPr>
        <w:pStyle w:val="ListBullet"/>
      </w:pPr>
      <w:r>
        <w:t xml:space="preserve">Criterion 5: </w:t>
      </w:r>
      <w:sdt>
        <w:sdtPr>
          <w:id w:val="1205373663"/>
          <w:placeholder>
            <w:docPart w:val="463F2C7247B845E795E5AD3007EC3D6B"/>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Insufficient data</w:t>
          </w:r>
        </w:sdtContent>
      </w:sdt>
    </w:p>
    <w:p w14:paraId="5AB69442" w14:textId="77777777" w:rsidR="006C53CB" w:rsidRPr="00451184" w:rsidRDefault="006C53CB" w:rsidP="005306BA">
      <w:r>
        <w:t xml:space="preserve">The main factors that make the species </w:t>
      </w:r>
      <w:r w:rsidRPr="00451184">
        <w:t xml:space="preserve">proposed for </w:t>
      </w:r>
      <w:r>
        <w:t xml:space="preserve">listing in the </w:t>
      </w:r>
      <w:sdt>
        <w:sdtPr>
          <w:id w:val="-775248640"/>
          <w:placeholder>
            <w:docPart w:val="C55C48C59C9843409F20F6A5E4C7C1FE"/>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t>Endangered</w:t>
          </w:r>
        </w:sdtContent>
      </w:sdt>
      <w:r>
        <w:t xml:space="preserve"> category are: a restricted Area of occupancy (AOO) below 500 km</w:t>
      </w:r>
      <w:r>
        <w:rPr>
          <w:vertAlign w:val="superscript"/>
        </w:rPr>
        <w:t>2</w:t>
      </w:r>
      <w:r>
        <w:t>; a severely fragmented population that occurs at two locations; continuing estimated decline in number of locations and habitat quality; and an estimated low number of mature individuals.</w:t>
      </w:r>
    </w:p>
    <w:p w14:paraId="29627D19" w14:textId="77777777" w:rsidR="006C53CB" w:rsidRDefault="006C53CB" w:rsidP="004D2790">
      <w:r>
        <w:t xml:space="preserve">Species can also be listed as threatened under state and territory legislation. For information on the current listing status of this species under relevant state or territory legislation, see the </w:t>
      </w:r>
      <w:hyperlink r:id="rId26" w:history="1">
        <w:r w:rsidRPr="00624A10">
          <w:rPr>
            <w:rStyle w:val="Hyperlink"/>
          </w:rPr>
          <w:t>Species Profile and Threat Database</w:t>
        </w:r>
      </w:hyperlink>
      <w:r>
        <w:t>.</w:t>
      </w:r>
    </w:p>
    <w:p w14:paraId="4265E8BF" w14:textId="77777777" w:rsidR="006C53CB" w:rsidRDefault="006C53CB" w:rsidP="006D3581">
      <w:pPr>
        <w:pStyle w:val="Heading2"/>
        <w:ind w:left="720" w:hanging="720"/>
      </w:pPr>
      <w:r>
        <w:t>Species information</w:t>
      </w:r>
    </w:p>
    <w:p w14:paraId="5A9EB7DC" w14:textId="77777777" w:rsidR="006C53CB" w:rsidRDefault="006C53CB" w:rsidP="00476948">
      <w:pPr>
        <w:pStyle w:val="Heading3"/>
      </w:pPr>
      <w:r>
        <w:t>Taxonomy</w:t>
      </w:r>
    </w:p>
    <w:p w14:paraId="16004FE9" w14:textId="77777777" w:rsidR="006C53CB" w:rsidRPr="00C83324" w:rsidRDefault="006C53CB" w:rsidP="00980381">
      <w:bookmarkStart w:id="4" w:name="_Hlk46319676"/>
      <w:r>
        <w:t xml:space="preserve">Conventionally accepted as </w:t>
      </w:r>
      <w:r w:rsidRPr="1F054AB6">
        <w:rPr>
          <w:rStyle w:val="Emphasis"/>
        </w:rPr>
        <w:t>Bertya mollissima</w:t>
      </w:r>
      <w:r>
        <w:t xml:space="preserve"> Blakely (1941), family: Euphorbiaceae. </w:t>
      </w:r>
    </w:p>
    <w:p w14:paraId="25066115" w14:textId="77777777" w:rsidR="006C53CB" w:rsidRPr="008064B3" w:rsidRDefault="006C53CB" w:rsidP="008064B3">
      <w:pPr>
        <w:pStyle w:val="Heading3"/>
      </w:pPr>
      <w:bookmarkStart w:id="5" w:name="_Ref445985062"/>
      <w:bookmarkStart w:id="6" w:name="_Toc409769199"/>
      <w:bookmarkStart w:id="7" w:name="_Toc454439316"/>
      <w:bookmarkEnd w:id="4"/>
      <w:r w:rsidRPr="008064B3">
        <w:t>Description</w:t>
      </w:r>
    </w:p>
    <w:p w14:paraId="00C72864" w14:textId="77777777" w:rsidR="006C53CB" w:rsidRPr="00307A2B" w:rsidRDefault="006C53CB" w:rsidP="00307A2B">
      <w:pPr>
        <w:rPr>
          <w:rStyle w:val="Emphasis"/>
        </w:rPr>
      </w:pPr>
      <w:r w:rsidRPr="1F054AB6">
        <w:rPr>
          <w:rStyle w:val="Emphasis"/>
        </w:rPr>
        <w:t xml:space="preserve">Bertya mollissima </w:t>
      </w:r>
      <w:r w:rsidRPr="006C53CB">
        <w:rPr>
          <w:rStyle w:val="Emphasis"/>
          <w:i w:val="0"/>
          <w:iCs w:val="0"/>
        </w:rPr>
        <w:t>is a shrub growing to 3 m tall, completely covered with a medium to dense layer of soft hairs, which they lose with age. The leaves are 5–20 mm long by 2–5 mm wide, dark green on the upper surface and paler on the lower surface, with a prominent midrib. The species have both male and female flowers on the same plant, although can be predominantly male or female. The flowers are shortly pedunculate; male flowers with five small tomentose bracts, two outer ones narrower than the three inner ones; female flowers with two or four bracts. The fruits are oblong in shape, up to 8 mm long by 3.6 mm wide, hairy, and usually single seeded (Halford &amp; Henderson, 2002; PlantNET 2021).</w:t>
      </w:r>
    </w:p>
    <w:p w14:paraId="73653BEC" w14:textId="77777777" w:rsidR="006C53CB" w:rsidRPr="008064B3" w:rsidRDefault="006C53CB" w:rsidP="008064B3">
      <w:pPr>
        <w:pStyle w:val="Heading3"/>
      </w:pPr>
      <w:r w:rsidRPr="008064B3">
        <w:t>Distribution</w:t>
      </w:r>
    </w:p>
    <w:p w14:paraId="0DB8C466" w14:textId="77777777" w:rsidR="006C53CB" w:rsidRPr="006C53CB" w:rsidRDefault="006C53CB" w:rsidP="006C53CB">
      <w:pPr>
        <w:rPr>
          <w:rStyle w:val="Emphasis"/>
          <w:i w:val="0"/>
          <w:iCs w:val="0"/>
        </w:rPr>
      </w:pPr>
      <w:r w:rsidRPr="006C53CB">
        <w:rPr>
          <w:rStyle w:val="Emphasis"/>
        </w:rPr>
        <w:t>Bertya mollissima</w:t>
      </w:r>
      <w:r w:rsidRPr="006C53CB">
        <w:rPr>
          <w:rStyle w:val="Emphasis"/>
          <w:i w:val="0"/>
          <w:iCs w:val="0"/>
        </w:rPr>
        <w:t xml:space="preserve"> is endemic to north-eastern New South Wales (NSW) and has been known to occur historically from Mount Kaputar, Warrumbungle and Liverpool Ranges to the Scone and Singleton districts (Halford &amp; Henderson, 2002). The species appears to be most common within Mount Kaputar National Park (NP) and Warrumbungle NP (Halford &amp; Henderson, 2002). </w:t>
      </w:r>
      <w:r w:rsidRPr="006C53CB">
        <w:t>Historically, the species was known from at least eight subpopulations (Bionet 2021)</w:t>
      </w:r>
      <w:r w:rsidRPr="006C53CB">
        <w:rPr>
          <w:i/>
          <w:iCs/>
        </w:rPr>
        <w:t xml:space="preserve">. </w:t>
      </w:r>
      <w:r w:rsidRPr="006C53CB">
        <w:rPr>
          <w:rStyle w:val="Emphasis"/>
          <w:i w:val="0"/>
          <w:iCs w:val="0"/>
        </w:rPr>
        <w:t xml:space="preserve">However, within the last ~20 years only four subpopulations have been known to be extant: Mount Kaputar summit and Waa Gorge in Mount Kaputar NP, Ukerbarley Aboriginal Area, and Bundella Lookout in Coolah Tops NP (Bionet 2021). As the species occurs in remote locations, it is possible that historical subpopulations are extant and/or that undocumented subpopulations </w:t>
      </w:r>
      <w:r w:rsidRPr="006C53CB">
        <w:rPr>
          <w:rStyle w:val="Emphasis"/>
          <w:i w:val="0"/>
          <w:iCs w:val="0"/>
        </w:rPr>
        <w:lastRenderedPageBreak/>
        <w:t xml:space="preserve">exist. However, some subpopulations were only observed once in the late 1800s or early 1900s, and with no records since it is possible that the species no longer occurs in these areas. The 2019–20 bushfires encompassed 69 percent of the locations where herbarium specimens have been collected for the species, and 10 percent of the species’ modelled distribution (Gallagher et al. 2021). Auld et al. (2020) estimated a maximum of 75 percent of the species’ range was burnt in the 2019–20 fires. </w:t>
      </w:r>
    </w:p>
    <w:p w14:paraId="04533F38" w14:textId="77777777" w:rsidR="006C53CB" w:rsidRPr="006C53CB" w:rsidRDefault="006C53CB" w:rsidP="006C53CB">
      <w:pPr>
        <w:rPr>
          <w:rStyle w:val="Emphasis"/>
          <w:i w:val="0"/>
          <w:iCs w:val="0"/>
        </w:rPr>
      </w:pPr>
      <w:r w:rsidRPr="006C53CB">
        <w:rPr>
          <w:rStyle w:val="Emphasis"/>
          <w:i w:val="0"/>
          <w:iCs w:val="0"/>
        </w:rPr>
        <w:t xml:space="preserve">Post-fire data on the density of mature individuals are available only for the Mount Kaputar summit subpopulation, where a survey was undertaken in 2020. Pre-fire survey data are unavailable; however, it is estimated that 95 percent of mature individuals were killed by the 2019-20 fires at this site (RBGDT 2020) with only two mature plants surviving and over 100 seedlings observed. </w:t>
      </w:r>
    </w:p>
    <w:p w14:paraId="08AD09BC" w14:textId="77777777" w:rsidR="006C53CB" w:rsidRPr="006C53CB" w:rsidRDefault="006C53CB" w:rsidP="006C53CB">
      <w:pPr>
        <w:rPr>
          <w:rStyle w:val="Emphasis"/>
          <w:i w:val="0"/>
          <w:iCs w:val="0"/>
        </w:rPr>
      </w:pPr>
      <w:r w:rsidRPr="006C53CB">
        <w:rPr>
          <w:rStyle w:val="Emphasis"/>
          <w:i w:val="0"/>
          <w:iCs w:val="0"/>
        </w:rPr>
        <w:t xml:space="preserve">The Waa Gorge subpopulation was not burnt in the 2019-20 bushfire and is believed to still be extant (DPIE 2021; Phillips 2021. pers comm 26 November). </w:t>
      </w:r>
    </w:p>
    <w:p w14:paraId="715B2239" w14:textId="182CE867" w:rsidR="006C53CB" w:rsidRPr="006C53CB" w:rsidRDefault="006C53CB" w:rsidP="006C53CB">
      <w:pPr>
        <w:rPr>
          <w:rStyle w:val="Emphasis"/>
          <w:i w:val="0"/>
          <w:iCs w:val="0"/>
        </w:rPr>
      </w:pPr>
      <w:r w:rsidRPr="006C53CB">
        <w:rPr>
          <w:rStyle w:val="Emphasis"/>
          <w:i w:val="0"/>
          <w:iCs w:val="0"/>
        </w:rPr>
        <w:t>It is possible that there is a subpopulation within the Warrumbungle NP, as the species  has historically been found within this area. However, the species has not been collected or observed in the area since 1978 (Halford &amp; Henderson, 2002; Bionet 2021).</w:t>
      </w:r>
    </w:p>
    <w:p w14:paraId="503CD5FF" w14:textId="77777777" w:rsidR="006C53CB" w:rsidRDefault="006C53CB" w:rsidP="1F054AB6">
      <w:pPr>
        <w:rPr>
          <w:rStyle w:val="Emphasis"/>
          <w:i w:val="0"/>
          <w:iCs w:val="0"/>
        </w:rPr>
      </w:pPr>
      <w:r>
        <w:t>There is insufficient information available to describe the species’ distribution in more detail.</w:t>
      </w:r>
    </w:p>
    <w:p w14:paraId="48EA8A0D" w14:textId="77777777" w:rsidR="006C53CB" w:rsidRPr="00C32973" w:rsidRDefault="006C53CB" w:rsidP="00C32973">
      <w:pPr>
        <w:pStyle w:val="Heading4"/>
        <w:rPr>
          <w:rStyle w:val="Emphasis"/>
          <w:i w:val="0"/>
          <w:iCs w:val="0"/>
        </w:rPr>
      </w:pPr>
      <w:r>
        <w:rPr>
          <w:rStyle w:val="Emphasis"/>
        </w:rPr>
        <w:t xml:space="preserve">Table 1: Details on confirmed subpopulations of </w:t>
      </w:r>
      <w:r w:rsidRPr="00A4370E">
        <w:rPr>
          <w:rStyle w:val="Emphasis"/>
        </w:rPr>
        <w:t>Bertya mollissima</w:t>
      </w:r>
    </w:p>
    <w:tbl>
      <w:tblPr>
        <w:tblStyle w:val="TableGrid"/>
        <w:tblW w:w="0" w:type="auto"/>
        <w:tblLook w:val="04A0" w:firstRow="1" w:lastRow="0" w:firstColumn="1" w:lastColumn="0" w:noHBand="0" w:noVBand="1"/>
      </w:tblPr>
      <w:tblGrid>
        <w:gridCol w:w="1610"/>
        <w:gridCol w:w="1043"/>
        <w:gridCol w:w="1737"/>
        <w:gridCol w:w="1701"/>
        <w:gridCol w:w="1984"/>
      </w:tblGrid>
      <w:tr w:rsidR="006C53CB" w14:paraId="2955E81F" w14:textId="77777777" w:rsidTr="6C200F09">
        <w:tc>
          <w:tcPr>
            <w:tcW w:w="1610" w:type="dxa"/>
          </w:tcPr>
          <w:p w14:paraId="68BEFC92" w14:textId="77777777" w:rsidR="006C53CB" w:rsidRPr="00304628" w:rsidRDefault="006C53CB" w:rsidP="00304628">
            <w:pPr>
              <w:pStyle w:val="Heading5"/>
              <w:outlineLvl w:val="4"/>
              <w:rPr>
                <w:rStyle w:val="Emphasis"/>
                <w:i w:val="0"/>
                <w:iCs w:val="0"/>
              </w:rPr>
            </w:pPr>
            <w:r w:rsidRPr="00304628">
              <w:rPr>
                <w:rStyle w:val="Emphasis"/>
              </w:rPr>
              <w:t>Subpopulation</w:t>
            </w:r>
          </w:p>
        </w:tc>
        <w:tc>
          <w:tcPr>
            <w:tcW w:w="1043" w:type="dxa"/>
          </w:tcPr>
          <w:p w14:paraId="01EC63CE" w14:textId="77777777" w:rsidR="006C53CB" w:rsidRPr="00304628" w:rsidRDefault="006C53CB" w:rsidP="00304628">
            <w:pPr>
              <w:pStyle w:val="Heading5"/>
              <w:outlineLvl w:val="4"/>
              <w:rPr>
                <w:rStyle w:val="Emphasis"/>
                <w:i w:val="0"/>
                <w:iCs w:val="0"/>
              </w:rPr>
            </w:pPr>
            <w:r>
              <w:rPr>
                <w:rStyle w:val="Emphasis"/>
              </w:rPr>
              <w:t>Year collected</w:t>
            </w:r>
          </w:p>
        </w:tc>
        <w:tc>
          <w:tcPr>
            <w:tcW w:w="1737" w:type="dxa"/>
          </w:tcPr>
          <w:p w14:paraId="64BD857D" w14:textId="77777777" w:rsidR="006C53CB" w:rsidRPr="00304628" w:rsidRDefault="006C53CB" w:rsidP="00304628">
            <w:pPr>
              <w:pStyle w:val="Heading5"/>
              <w:outlineLvl w:val="4"/>
              <w:rPr>
                <w:rStyle w:val="Emphasis"/>
                <w:i w:val="0"/>
                <w:iCs w:val="0"/>
              </w:rPr>
            </w:pPr>
            <w:r w:rsidRPr="00304628">
              <w:rPr>
                <w:rStyle w:val="Emphasis"/>
              </w:rPr>
              <w:t>Abundance</w:t>
            </w:r>
          </w:p>
        </w:tc>
        <w:tc>
          <w:tcPr>
            <w:tcW w:w="1701" w:type="dxa"/>
          </w:tcPr>
          <w:p w14:paraId="55B6FA55" w14:textId="77777777" w:rsidR="006C53CB" w:rsidRPr="00304628" w:rsidRDefault="006C53CB" w:rsidP="6C200F09">
            <w:pPr>
              <w:pStyle w:val="Heading5"/>
              <w:outlineLvl w:val="4"/>
              <w:rPr>
                <w:rStyle w:val="Emphasis"/>
                <w:i w:val="0"/>
                <w:iCs w:val="0"/>
              </w:rPr>
            </w:pPr>
            <w:r w:rsidRPr="6C200F09">
              <w:rPr>
                <w:rStyle w:val="Emphasis"/>
              </w:rPr>
              <w:t>Fire history</w:t>
            </w:r>
          </w:p>
        </w:tc>
        <w:tc>
          <w:tcPr>
            <w:tcW w:w="1984" w:type="dxa"/>
          </w:tcPr>
          <w:p w14:paraId="67AE6B43" w14:textId="77777777" w:rsidR="006C53CB" w:rsidRDefault="006C53CB" w:rsidP="00304628">
            <w:pPr>
              <w:pStyle w:val="Heading5"/>
              <w:outlineLvl w:val="4"/>
              <w:rPr>
                <w:rStyle w:val="Emphasis"/>
                <w:i w:val="0"/>
                <w:iCs w:val="0"/>
              </w:rPr>
            </w:pPr>
            <w:r>
              <w:rPr>
                <w:rStyle w:val="Emphasis"/>
              </w:rPr>
              <w:t>Habitat Notes</w:t>
            </w:r>
          </w:p>
        </w:tc>
      </w:tr>
      <w:tr w:rsidR="006C53CB" w14:paraId="24544750" w14:textId="77777777" w:rsidTr="6C200F09">
        <w:tc>
          <w:tcPr>
            <w:tcW w:w="1610" w:type="dxa"/>
          </w:tcPr>
          <w:p w14:paraId="5FB6ADA0" w14:textId="77777777" w:rsidR="006C53CB" w:rsidRDefault="006C53CB" w:rsidP="00283995">
            <w:pPr>
              <w:pStyle w:val="TableText"/>
              <w:rPr>
                <w:rStyle w:val="Emphasis"/>
                <w:i w:val="0"/>
                <w:iCs w:val="0"/>
              </w:rPr>
            </w:pPr>
            <w:r>
              <w:rPr>
                <w:rStyle w:val="Emphasis"/>
              </w:rPr>
              <w:t>Mount Kaputar summit, Mount Kaputar NP</w:t>
            </w:r>
          </w:p>
        </w:tc>
        <w:tc>
          <w:tcPr>
            <w:tcW w:w="1043" w:type="dxa"/>
          </w:tcPr>
          <w:p w14:paraId="7E2FAE16" w14:textId="77777777" w:rsidR="006C53CB" w:rsidRDefault="006C53CB" w:rsidP="00283995">
            <w:pPr>
              <w:pStyle w:val="TableText"/>
              <w:rPr>
                <w:rStyle w:val="Emphasis"/>
                <w:i w:val="0"/>
                <w:iCs w:val="0"/>
              </w:rPr>
            </w:pPr>
            <w:r>
              <w:rPr>
                <w:rStyle w:val="Emphasis"/>
              </w:rPr>
              <w:t>1992</w:t>
            </w:r>
          </w:p>
          <w:p w14:paraId="06366F77" w14:textId="77777777" w:rsidR="006C53CB" w:rsidRDefault="006C53CB" w:rsidP="00283995">
            <w:pPr>
              <w:pStyle w:val="TableText"/>
              <w:rPr>
                <w:rStyle w:val="Emphasis"/>
                <w:i w:val="0"/>
                <w:iCs w:val="0"/>
              </w:rPr>
            </w:pPr>
            <w:r>
              <w:rPr>
                <w:rStyle w:val="Emphasis"/>
              </w:rPr>
              <w:t xml:space="preserve">1993 </w:t>
            </w:r>
          </w:p>
          <w:p w14:paraId="715EEA3D" w14:textId="77777777" w:rsidR="006C53CB" w:rsidRDefault="006C53CB" w:rsidP="00283995">
            <w:pPr>
              <w:pStyle w:val="TableText"/>
              <w:rPr>
                <w:rStyle w:val="Emphasis"/>
                <w:i w:val="0"/>
                <w:iCs w:val="0"/>
              </w:rPr>
            </w:pPr>
            <w:r>
              <w:rPr>
                <w:rStyle w:val="Emphasis"/>
              </w:rPr>
              <w:t xml:space="preserve">1997 </w:t>
            </w:r>
          </w:p>
          <w:p w14:paraId="614D2756" w14:textId="77777777" w:rsidR="006C53CB" w:rsidRDefault="006C53CB" w:rsidP="00283995">
            <w:pPr>
              <w:pStyle w:val="TableText"/>
              <w:rPr>
                <w:rStyle w:val="Emphasis"/>
                <w:i w:val="0"/>
                <w:iCs w:val="0"/>
              </w:rPr>
            </w:pPr>
            <w:r>
              <w:rPr>
                <w:rStyle w:val="Emphasis"/>
              </w:rPr>
              <w:t>2000</w:t>
            </w:r>
          </w:p>
          <w:p w14:paraId="67EAEDC6" w14:textId="77777777" w:rsidR="006C53CB" w:rsidRDefault="006C53CB" w:rsidP="00283995">
            <w:pPr>
              <w:pStyle w:val="TableText"/>
              <w:rPr>
                <w:rStyle w:val="Emphasis"/>
                <w:i w:val="0"/>
                <w:iCs w:val="0"/>
              </w:rPr>
            </w:pPr>
            <w:r>
              <w:rPr>
                <w:rStyle w:val="Emphasis"/>
              </w:rPr>
              <w:t>2013</w:t>
            </w:r>
          </w:p>
          <w:p w14:paraId="3AB0B579" w14:textId="77777777" w:rsidR="006C53CB" w:rsidRDefault="006C53CB" w:rsidP="00283995">
            <w:pPr>
              <w:pStyle w:val="TableText"/>
              <w:rPr>
                <w:rStyle w:val="Emphasis"/>
                <w:i w:val="0"/>
                <w:iCs w:val="0"/>
              </w:rPr>
            </w:pPr>
            <w:r>
              <w:rPr>
                <w:rStyle w:val="Emphasis"/>
              </w:rPr>
              <w:t>2020</w:t>
            </w:r>
          </w:p>
        </w:tc>
        <w:tc>
          <w:tcPr>
            <w:tcW w:w="1737" w:type="dxa"/>
          </w:tcPr>
          <w:p w14:paraId="282EB60E" w14:textId="77777777" w:rsidR="006C53CB" w:rsidRDefault="006C53CB" w:rsidP="00283995">
            <w:pPr>
              <w:pStyle w:val="TableText"/>
              <w:rPr>
                <w:rStyle w:val="Emphasis"/>
                <w:i w:val="0"/>
                <w:iCs w:val="0"/>
              </w:rPr>
            </w:pPr>
            <w:r>
              <w:rPr>
                <w:rStyle w:val="Emphasis"/>
              </w:rPr>
              <w:t>Locally frequent</w:t>
            </w:r>
          </w:p>
          <w:p w14:paraId="230AFB6C" w14:textId="77777777" w:rsidR="006C53CB" w:rsidRDefault="006C53CB" w:rsidP="00283995">
            <w:pPr>
              <w:pStyle w:val="TableText"/>
              <w:rPr>
                <w:rStyle w:val="Emphasis"/>
                <w:i w:val="0"/>
                <w:iCs w:val="0"/>
              </w:rPr>
            </w:pPr>
            <w:r>
              <w:rPr>
                <w:rStyle w:val="Emphasis"/>
              </w:rPr>
              <w:t>Very common</w:t>
            </w:r>
          </w:p>
          <w:p w14:paraId="775C2AE2" w14:textId="77777777" w:rsidR="006C53CB" w:rsidRDefault="006C53CB" w:rsidP="00283995">
            <w:pPr>
              <w:pStyle w:val="TableText"/>
              <w:rPr>
                <w:rStyle w:val="Emphasis"/>
                <w:i w:val="0"/>
                <w:iCs w:val="0"/>
              </w:rPr>
            </w:pPr>
            <w:r>
              <w:rPr>
                <w:rStyle w:val="Emphasis"/>
              </w:rPr>
              <w:br/>
            </w:r>
            <w:r>
              <w:rPr>
                <w:rStyle w:val="Emphasis"/>
              </w:rPr>
              <w:br/>
            </w:r>
            <w:r>
              <w:rPr>
                <w:rStyle w:val="Emphasis"/>
              </w:rPr>
              <w:br/>
            </w:r>
            <w:r>
              <w:rPr>
                <w:rStyle w:val="Emphasis"/>
              </w:rPr>
              <w:br/>
              <w:t xml:space="preserve">Locally occasional </w:t>
            </w:r>
          </w:p>
        </w:tc>
        <w:tc>
          <w:tcPr>
            <w:tcW w:w="1701" w:type="dxa"/>
          </w:tcPr>
          <w:p w14:paraId="25E61956" w14:textId="77777777" w:rsidR="006C53CB" w:rsidRDefault="006C53CB" w:rsidP="00283995">
            <w:pPr>
              <w:pStyle w:val="TableText"/>
              <w:rPr>
                <w:rStyle w:val="Emphasis"/>
                <w:i w:val="0"/>
                <w:iCs w:val="0"/>
              </w:rPr>
            </w:pPr>
            <w:r>
              <w:rPr>
                <w:rStyle w:val="Emphasis"/>
              </w:rPr>
              <w:t>1951-52: wildfire</w:t>
            </w:r>
          </w:p>
          <w:p w14:paraId="0766CE30" w14:textId="77777777" w:rsidR="006C53CB" w:rsidRDefault="006C53CB" w:rsidP="00283995">
            <w:pPr>
              <w:pStyle w:val="TableText"/>
              <w:rPr>
                <w:rStyle w:val="Emphasis"/>
                <w:i w:val="0"/>
                <w:iCs w:val="0"/>
              </w:rPr>
            </w:pPr>
            <w:r>
              <w:rPr>
                <w:rStyle w:val="Emphasis"/>
              </w:rPr>
              <w:t>1957-58: wildfire</w:t>
            </w:r>
          </w:p>
          <w:p w14:paraId="0E00C807" w14:textId="77777777" w:rsidR="006C53CB" w:rsidRDefault="006C53CB" w:rsidP="00283995">
            <w:pPr>
              <w:pStyle w:val="TableText"/>
              <w:rPr>
                <w:rStyle w:val="Emphasis"/>
                <w:i w:val="0"/>
                <w:iCs w:val="0"/>
              </w:rPr>
            </w:pPr>
            <w:r>
              <w:rPr>
                <w:rStyle w:val="Emphasis"/>
              </w:rPr>
              <w:t>1974-75: wildfire</w:t>
            </w:r>
          </w:p>
          <w:p w14:paraId="4F067E0C" w14:textId="77777777" w:rsidR="006C53CB" w:rsidRDefault="006C53CB" w:rsidP="00283995">
            <w:pPr>
              <w:pStyle w:val="TableText"/>
              <w:rPr>
                <w:rStyle w:val="Emphasis"/>
                <w:i w:val="0"/>
                <w:iCs w:val="0"/>
              </w:rPr>
            </w:pPr>
            <w:r>
              <w:rPr>
                <w:rStyle w:val="Emphasis"/>
              </w:rPr>
              <w:t>2006-07: wildfire</w:t>
            </w:r>
          </w:p>
          <w:p w14:paraId="471E7377" w14:textId="77777777" w:rsidR="006C53CB" w:rsidRDefault="006C53CB" w:rsidP="00283995">
            <w:pPr>
              <w:pStyle w:val="TableText"/>
              <w:rPr>
                <w:rStyle w:val="Emphasis"/>
                <w:i w:val="0"/>
                <w:iCs w:val="0"/>
              </w:rPr>
            </w:pPr>
            <w:r>
              <w:rPr>
                <w:rStyle w:val="Emphasis"/>
              </w:rPr>
              <w:t>2019-20: wildfire</w:t>
            </w:r>
          </w:p>
        </w:tc>
        <w:tc>
          <w:tcPr>
            <w:tcW w:w="1984" w:type="dxa"/>
          </w:tcPr>
          <w:p w14:paraId="764085A7" w14:textId="77777777" w:rsidR="006C53CB" w:rsidRDefault="006C53CB" w:rsidP="6C200F09">
            <w:pPr>
              <w:pStyle w:val="TableText"/>
              <w:rPr>
                <w:rStyle w:val="Emphasis"/>
                <w:i w:val="0"/>
                <w:iCs w:val="0"/>
              </w:rPr>
            </w:pPr>
            <w:r w:rsidRPr="6C200F09">
              <w:rPr>
                <w:rStyle w:val="Emphasis"/>
              </w:rPr>
              <w:t>Steep rocky slope. Growing in cracks among boulders and scree. Open woodland on basalt rock outcrops.</w:t>
            </w:r>
          </w:p>
        </w:tc>
      </w:tr>
      <w:tr w:rsidR="006C53CB" w14:paraId="1048EB19" w14:textId="77777777" w:rsidTr="6C200F09">
        <w:tc>
          <w:tcPr>
            <w:tcW w:w="1610" w:type="dxa"/>
          </w:tcPr>
          <w:p w14:paraId="5040946A" w14:textId="77777777" w:rsidR="006C53CB" w:rsidRDefault="006C53CB" w:rsidP="00283995">
            <w:pPr>
              <w:pStyle w:val="TableText"/>
              <w:rPr>
                <w:rStyle w:val="Emphasis"/>
                <w:i w:val="0"/>
                <w:iCs w:val="0"/>
              </w:rPr>
            </w:pPr>
            <w:r>
              <w:rPr>
                <w:rStyle w:val="Emphasis"/>
              </w:rPr>
              <w:t>Waa Gorge, Mount Kaputar NP</w:t>
            </w:r>
          </w:p>
          <w:p w14:paraId="588A83DE" w14:textId="77777777" w:rsidR="006C53CB" w:rsidRDefault="006C53CB" w:rsidP="00283995">
            <w:pPr>
              <w:pStyle w:val="TableText"/>
              <w:rPr>
                <w:rStyle w:val="Emphasis"/>
                <w:i w:val="0"/>
                <w:iCs w:val="0"/>
              </w:rPr>
            </w:pPr>
          </w:p>
        </w:tc>
        <w:tc>
          <w:tcPr>
            <w:tcW w:w="1043" w:type="dxa"/>
          </w:tcPr>
          <w:p w14:paraId="54F1C1ED" w14:textId="77777777" w:rsidR="006C53CB" w:rsidRDefault="006C53CB" w:rsidP="00283995">
            <w:pPr>
              <w:pStyle w:val="TableText"/>
              <w:rPr>
                <w:rStyle w:val="Emphasis"/>
                <w:i w:val="0"/>
                <w:iCs w:val="0"/>
              </w:rPr>
            </w:pPr>
            <w:r>
              <w:rPr>
                <w:rStyle w:val="Emphasis"/>
              </w:rPr>
              <w:t>2000</w:t>
            </w:r>
          </w:p>
        </w:tc>
        <w:tc>
          <w:tcPr>
            <w:tcW w:w="1737" w:type="dxa"/>
          </w:tcPr>
          <w:p w14:paraId="59A9789D" w14:textId="77777777" w:rsidR="006C53CB" w:rsidRDefault="006C53CB" w:rsidP="00283995">
            <w:pPr>
              <w:pStyle w:val="TableText"/>
              <w:rPr>
                <w:rStyle w:val="Emphasis"/>
                <w:i w:val="0"/>
                <w:iCs w:val="0"/>
              </w:rPr>
            </w:pPr>
            <w:r>
              <w:rPr>
                <w:rStyle w:val="Emphasis"/>
              </w:rPr>
              <w:t>Unknown</w:t>
            </w:r>
          </w:p>
        </w:tc>
        <w:tc>
          <w:tcPr>
            <w:tcW w:w="1701" w:type="dxa"/>
          </w:tcPr>
          <w:p w14:paraId="5584FEDE" w14:textId="77777777" w:rsidR="006C53CB" w:rsidRDefault="006C53CB" w:rsidP="00283995">
            <w:pPr>
              <w:pStyle w:val="TableText"/>
              <w:rPr>
                <w:rStyle w:val="Emphasis"/>
                <w:i w:val="0"/>
                <w:iCs w:val="0"/>
              </w:rPr>
            </w:pPr>
            <w:r>
              <w:rPr>
                <w:rStyle w:val="Emphasis"/>
              </w:rPr>
              <w:t>1937-38: wildfire</w:t>
            </w:r>
          </w:p>
          <w:p w14:paraId="6A3270B3" w14:textId="77777777" w:rsidR="006C53CB" w:rsidRDefault="006C53CB" w:rsidP="00283995">
            <w:pPr>
              <w:pStyle w:val="TableText"/>
              <w:rPr>
                <w:rStyle w:val="Emphasis"/>
                <w:i w:val="0"/>
                <w:iCs w:val="0"/>
              </w:rPr>
            </w:pPr>
            <w:r>
              <w:rPr>
                <w:rStyle w:val="Emphasis"/>
              </w:rPr>
              <w:t>1957-58: wildfire</w:t>
            </w:r>
          </w:p>
          <w:p w14:paraId="2C1A6C01" w14:textId="77777777" w:rsidR="006C53CB" w:rsidRDefault="006C53CB" w:rsidP="00283995">
            <w:pPr>
              <w:pStyle w:val="TableText"/>
              <w:rPr>
                <w:rStyle w:val="Emphasis"/>
                <w:i w:val="0"/>
                <w:iCs w:val="0"/>
              </w:rPr>
            </w:pPr>
            <w:r>
              <w:rPr>
                <w:rStyle w:val="Emphasis"/>
              </w:rPr>
              <w:t>1984-85: wildfire</w:t>
            </w:r>
          </w:p>
        </w:tc>
        <w:tc>
          <w:tcPr>
            <w:tcW w:w="1984" w:type="dxa"/>
          </w:tcPr>
          <w:p w14:paraId="0CAE2833" w14:textId="77777777" w:rsidR="006C53CB" w:rsidRDefault="006C53CB" w:rsidP="6C200F09">
            <w:pPr>
              <w:pStyle w:val="TableText"/>
              <w:rPr>
                <w:rStyle w:val="Emphasis"/>
                <w:i w:val="0"/>
                <w:iCs w:val="0"/>
              </w:rPr>
            </w:pPr>
            <w:r w:rsidRPr="6C200F09">
              <w:rPr>
                <w:rStyle w:val="Emphasis"/>
              </w:rPr>
              <w:t>Soil loam, chocolate brown. No recent evidence of fire. No apparent recent disturbance.</w:t>
            </w:r>
          </w:p>
        </w:tc>
      </w:tr>
      <w:tr w:rsidR="006C53CB" w14:paraId="3DEE5722" w14:textId="77777777" w:rsidTr="6C200F09">
        <w:tc>
          <w:tcPr>
            <w:tcW w:w="1610" w:type="dxa"/>
          </w:tcPr>
          <w:p w14:paraId="586FC4E5" w14:textId="77777777" w:rsidR="006C53CB" w:rsidRDefault="006C53CB" w:rsidP="00283995">
            <w:pPr>
              <w:pStyle w:val="TableText"/>
              <w:rPr>
                <w:rStyle w:val="Emphasis"/>
                <w:i w:val="0"/>
                <w:iCs w:val="0"/>
              </w:rPr>
            </w:pPr>
            <w:r>
              <w:rPr>
                <w:rStyle w:val="Emphasis"/>
              </w:rPr>
              <w:t>Ukerbarley Aboriginal Area</w:t>
            </w:r>
          </w:p>
        </w:tc>
        <w:tc>
          <w:tcPr>
            <w:tcW w:w="1043" w:type="dxa"/>
          </w:tcPr>
          <w:p w14:paraId="52E1627A" w14:textId="77777777" w:rsidR="006C53CB" w:rsidRDefault="006C53CB" w:rsidP="00283995">
            <w:pPr>
              <w:pStyle w:val="TableText"/>
              <w:rPr>
                <w:rStyle w:val="Emphasis"/>
                <w:i w:val="0"/>
                <w:iCs w:val="0"/>
              </w:rPr>
            </w:pPr>
            <w:r>
              <w:rPr>
                <w:rStyle w:val="Emphasis"/>
              </w:rPr>
              <w:t>2002</w:t>
            </w:r>
          </w:p>
        </w:tc>
        <w:tc>
          <w:tcPr>
            <w:tcW w:w="1737" w:type="dxa"/>
          </w:tcPr>
          <w:p w14:paraId="2B8BC1A1" w14:textId="77777777" w:rsidR="006C53CB" w:rsidRDefault="006C53CB" w:rsidP="00283995">
            <w:pPr>
              <w:pStyle w:val="TableText"/>
              <w:rPr>
                <w:rStyle w:val="Emphasis"/>
                <w:i w:val="0"/>
                <w:iCs w:val="0"/>
              </w:rPr>
            </w:pPr>
            <w:r>
              <w:rPr>
                <w:rStyle w:val="Emphasis"/>
              </w:rPr>
              <w:t>Unknown</w:t>
            </w:r>
          </w:p>
        </w:tc>
        <w:tc>
          <w:tcPr>
            <w:tcW w:w="1701" w:type="dxa"/>
          </w:tcPr>
          <w:p w14:paraId="2B901921" w14:textId="77777777" w:rsidR="006C53CB" w:rsidRDefault="006C53CB" w:rsidP="00283995">
            <w:pPr>
              <w:pStyle w:val="TableText"/>
              <w:rPr>
                <w:rStyle w:val="Emphasis"/>
                <w:i w:val="0"/>
                <w:iCs w:val="0"/>
              </w:rPr>
            </w:pPr>
            <w:r>
              <w:rPr>
                <w:rStyle w:val="Emphasis"/>
              </w:rPr>
              <w:t>1964-65: wildfire</w:t>
            </w:r>
          </w:p>
          <w:p w14:paraId="5220C015" w14:textId="77777777" w:rsidR="006C53CB" w:rsidRDefault="006C53CB" w:rsidP="00283995">
            <w:pPr>
              <w:pStyle w:val="TableText"/>
              <w:rPr>
                <w:rStyle w:val="Emphasis"/>
                <w:i w:val="0"/>
                <w:iCs w:val="0"/>
              </w:rPr>
            </w:pPr>
            <w:r>
              <w:rPr>
                <w:rStyle w:val="Emphasis"/>
              </w:rPr>
              <w:t>2010-11: prescribed burn</w:t>
            </w:r>
          </w:p>
          <w:p w14:paraId="4D75CF34" w14:textId="77777777" w:rsidR="006C53CB" w:rsidRDefault="006C53CB" w:rsidP="00283995">
            <w:pPr>
              <w:pStyle w:val="TableText"/>
              <w:rPr>
                <w:rStyle w:val="Emphasis"/>
                <w:i w:val="0"/>
                <w:iCs w:val="0"/>
              </w:rPr>
            </w:pPr>
            <w:r>
              <w:rPr>
                <w:rStyle w:val="Emphasis"/>
              </w:rPr>
              <w:t>2019-20: wildfire</w:t>
            </w:r>
          </w:p>
        </w:tc>
        <w:tc>
          <w:tcPr>
            <w:tcW w:w="1984" w:type="dxa"/>
          </w:tcPr>
          <w:p w14:paraId="3B9AD51C" w14:textId="77777777" w:rsidR="006C53CB" w:rsidRDefault="006C53CB" w:rsidP="6C200F09">
            <w:pPr>
              <w:pStyle w:val="TableText"/>
              <w:rPr>
                <w:rStyle w:val="Emphasis"/>
                <w:i w:val="0"/>
                <w:iCs w:val="0"/>
              </w:rPr>
            </w:pPr>
            <w:r w:rsidRPr="6C200F09">
              <w:rPr>
                <w:rStyle w:val="Emphasis"/>
              </w:rPr>
              <w:t>White-Box ridge approximately 1km east of creek crossing.</w:t>
            </w:r>
          </w:p>
        </w:tc>
      </w:tr>
      <w:tr w:rsidR="006C53CB" w14:paraId="16DE40B8" w14:textId="77777777" w:rsidTr="6C200F09">
        <w:tc>
          <w:tcPr>
            <w:tcW w:w="1610" w:type="dxa"/>
          </w:tcPr>
          <w:p w14:paraId="7B918386" w14:textId="77777777" w:rsidR="006C53CB" w:rsidRDefault="006C53CB" w:rsidP="00283995">
            <w:pPr>
              <w:pStyle w:val="TableText"/>
              <w:rPr>
                <w:rStyle w:val="Emphasis"/>
                <w:i w:val="0"/>
                <w:iCs w:val="0"/>
              </w:rPr>
            </w:pPr>
            <w:r>
              <w:rPr>
                <w:rStyle w:val="Emphasis"/>
              </w:rPr>
              <w:t>Bundella lookout, Coolah Tops NP</w:t>
            </w:r>
          </w:p>
        </w:tc>
        <w:tc>
          <w:tcPr>
            <w:tcW w:w="1043" w:type="dxa"/>
          </w:tcPr>
          <w:p w14:paraId="186F9329" w14:textId="77777777" w:rsidR="006C53CB" w:rsidRDefault="006C53CB" w:rsidP="00283995">
            <w:pPr>
              <w:pStyle w:val="TableText"/>
              <w:rPr>
                <w:rStyle w:val="Emphasis"/>
                <w:i w:val="0"/>
                <w:iCs w:val="0"/>
              </w:rPr>
            </w:pPr>
            <w:r>
              <w:rPr>
                <w:rStyle w:val="Emphasis"/>
              </w:rPr>
              <w:t>2001</w:t>
            </w:r>
          </w:p>
        </w:tc>
        <w:tc>
          <w:tcPr>
            <w:tcW w:w="1737" w:type="dxa"/>
          </w:tcPr>
          <w:p w14:paraId="0B6D3988" w14:textId="77777777" w:rsidR="006C53CB" w:rsidRDefault="006C53CB" w:rsidP="00283995">
            <w:pPr>
              <w:pStyle w:val="TableText"/>
              <w:rPr>
                <w:rStyle w:val="Emphasis"/>
                <w:i w:val="0"/>
                <w:iCs w:val="0"/>
              </w:rPr>
            </w:pPr>
            <w:r>
              <w:rPr>
                <w:rStyle w:val="Emphasis"/>
              </w:rPr>
              <w:t>Locally occasional</w:t>
            </w:r>
          </w:p>
        </w:tc>
        <w:tc>
          <w:tcPr>
            <w:tcW w:w="1701" w:type="dxa"/>
          </w:tcPr>
          <w:p w14:paraId="7844BB45" w14:textId="77777777" w:rsidR="006C53CB" w:rsidRDefault="006C53CB" w:rsidP="6C200F09">
            <w:pPr>
              <w:pStyle w:val="TableText"/>
              <w:rPr>
                <w:rStyle w:val="Emphasis"/>
                <w:i w:val="0"/>
                <w:iCs w:val="0"/>
              </w:rPr>
            </w:pPr>
            <w:r w:rsidRPr="6C200F09">
              <w:rPr>
                <w:rStyle w:val="Emphasis"/>
              </w:rPr>
              <w:t>No documented history of fire</w:t>
            </w:r>
          </w:p>
        </w:tc>
        <w:tc>
          <w:tcPr>
            <w:tcW w:w="1984" w:type="dxa"/>
          </w:tcPr>
          <w:p w14:paraId="7FD12DFD" w14:textId="77777777" w:rsidR="006C53CB" w:rsidRDefault="006C53CB" w:rsidP="6C200F09">
            <w:pPr>
              <w:pStyle w:val="TableText"/>
              <w:rPr>
                <w:rStyle w:val="Emphasis"/>
                <w:i w:val="0"/>
                <w:iCs w:val="0"/>
              </w:rPr>
            </w:pPr>
            <w:r w:rsidRPr="6C200F09">
              <w:rPr>
                <w:rStyle w:val="Emphasis"/>
              </w:rPr>
              <w:t>Edge of north facing escarpment. Shallow loamy soil over basalt. Shrubby woodland.</w:t>
            </w:r>
          </w:p>
        </w:tc>
      </w:tr>
    </w:tbl>
    <w:p w14:paraId="6765856B" w14:textId="77777777" w:rsidR="006C53CB" w:rsidRPr="00861CBA" w:rsidRDefault="006C53CB" w:rsidP="000C6407">
      <w:pPr>
        <w:pStyle w:val="FigureTableNoteSource"/>
        <w:rPr>
          <w:rStyle w:val="Emphasis"/>
          <w:i w:val="0"/>
          <w:iCs w:val="0"/>
        </w:rPr>
      </w:pPr>
      <w:r>
        <w:rPr>
          <w:rStyle w:val="Emphasis"/>
        </w:rPr>
        <w:t xml:space="preserve">Source: Bionet 2021; DPIE 2021 </w:t>
      </w:r>
    </w:p>
    <w:p w14:paraId="3CBC4B03" w14:textId="138368B3" w:rsidR="006C53CB" w:rsidRDefault="006C53CB" w:rsidP="008064B3">
      <w:pPr>
        <w:pStyle w:val="Caption"/>
      </w:pPr>
      <w:r>
        <w:lastRenderedPageBreak/>
        <w:t xml:space="preserve">Map </w:t>
      </w:r>
      <w:r>
        <w:rPr>
          <w:noProof/>
        </w:rPr>
        <w:fldChar w:fldCharType="begin"/>
      </w:r>
      <w:r>
        <w:rPr>
          <w:noProof/>
        </w:rPr>
        <w:instrText xml:space="preserve"> SEQ Map \* ARABIC </w:instrText>
      </w:r>
      <w:r>
        <w:rPr>
          <w:noProof/>
        </w:rPr>
        <w:fldChar w:fldCharType="separate"/>
      </w:r>
      <w:r w:rsidR="00A82C60">
        <w:rPr>
          <w:noProof/>
        </w:rPr>
        <w:t>1</w:t>
      </w:r>
      <w:r>
        <w:rPr>
          <w:noProof/>
        </w:rPr>
        <w:fldChar w:fldCharType="end"/>
      </w:r>
      <w:bookmarkEnd w:id="5"/>
      <w:r>
        <w:t xml:space="preserve"> </w:t>
      </w:r>
      <w:bookmarkEnd w:id="6"/>
      <w:bookmarkEnd w:id="7"/>
      <w:r>
        <w:t xml:space="preserve">Modelled distribution of </w:t>
      </w:r>
      <w:r w:rsidRPr="001E3546">
        <w:rPr>
          <w:rStyle w:val="Emphasis"/>
        </w:rPr>
        <w:t>Bertya mollissima</w:t>
      </w:r>
    </w:p>
    <w:p w14:paraId="1E969692" w14:textId="77777777" w:rsidR="006C53CB" w:rsidRDefault="006C53CB">
      <w:pPr>
        <w:pStyle w:val="Picture"/>
      </w:pPr>
      <w:r>
        <w:drawing>
          <wp:inline distT="0" distB="0" distL="0" distR="0" wp14:anchorId="7FF1255D" wp14:editId="61335FF0">
            <wp:extent cx="5759450" cy="4067810"/>
            <wp:effectExtent l="0" t="0" r="0" b="8890"/>
            <wp:docPr id="3" name="Picture 3" descr="Map of the modelled distribution of the species showing where it is known or likely to occur, and where it may oc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the modelled distribution of the species showing where it is known or likely to occur, and where it may occu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59450" cy="4067810"/>
                    </a:xfrm>
                    <a:prstGeom prst="rect">
                      <a:avLst/>
                    </a:prstGeom>
                  </pic:spPr>
                </pic:pic>
              </a:graphicData>
            </a:graphic>
          </wp:inline>
        </w:drawing>
      </w:r>
    </w:p>
    <w:p w14:paraId="121B28C6" w14:textId="77777777" w:rsidR="006C53CB" w:rsidRDefault="006C53CB">
      <w:pPr>
        <w:pStyle w:val="FigureTableNoteSource"/>
      </w:pPr>
      <w:r w:rsidRPr="002A3B07">
        <w:rPr>
          <w:b/>
          <w:bCs/>
        </w:rPr>
        <w:t>Source:</w:t>
      </w:r>
      <w:r>
        <w:t xml:space="preserve"> Base map Geoscience Australia; species distribution data </w:t>
      </w:r>
      <w:hyperlink r:id="rId28" w:history="1">
        <w:r w:rsidRPr="008064B3">
          <w:rPr>
            <w:rStyle w:val="Hyperlink"/>
          </w:rPr>
          <w:t>Species of National Environmental Significance</w:t>
        </w:r>
      </w:hyperlink>
      <w:r>
        <w:t xml:space="preserve"> database.</w:t>
      </w:r>
    </w:p>
    <w:p w14:paraId="36F7DD37" w14:textId="77777777" w:rsidR="006C53CB" w:rsidRDefault="006C53CB" w:rsidP="002A3B07">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w:t>
      </w:r>
    </w:p>
    <w:p w14:paraId="5DEE640A" w14:textId="77777777" w:rsidR="006C53CB" w:rsidRPr="0024487C" w:rsidRDefault="006C53CB" w:rsidP="002A3B07">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1D80C467" w14:textId="77777777" w:rsidR="006C53CB" w:rsidRDefault="006C53CB" w:rsidP="00D6549B">
      <w:pPr>
        <w:pStyle w:val="Heading3"/>
        <w:ind w:left="964" w:hanging="964"/>
      </w:pPr>
      <w:r>
        <w:t>Cultural and community significance</w:t>
      </w:r>
    </w:p>
    <w:p w14:paraId="6FFB650D" w14:textId="77777777" w:rsidR="006C53CB" w:rsidRDefault="006C53CB" w:rsidP="005F7FB7">
      <w:r>
        <w:t>The significance of the ecological community, particular species, spiritual and other cultural values are diverse and varied for the many Indigenous peoples that live in the area and care for Country. This section described some examples of this significance but is not intended to be comprehensive or applicable to, or speak for, all Indigenous people. Such knowledge may be only held by Indigenous groups and individuals who are the custodians of this knowledge.</w:t>
      </w:r>
    </w:p>
    <w:p w14:paraId="1A60A86C" w14:textId="77777777" w:rsidR="006C53CB" w:rsidRPr="005F7FB7" w:rsidRDefault="006C53CB" w:rsidP="00D6549B">
      <w:r w:rsidRPr="1F054AB6">
        <w:rPr>
          <w:rStyle w:val="Emphasis"/>
        </w:rPr>
        <w:t>Bertya mollissima</w:t>
      </w:r>
      <w:r>
        <w:t xml:space="preserve"> occurs on the lands of the Gamilaraay (or Kamilaroi) Nation (NSW NPWS 2002b; 2012; 2021; OEH 2018). The cultural significance of </w:t>
      </w:r>
      <w:r w:rsidRPr="1F054AB6">
        <w:rPr>
          <w:rStyle w:val="Emphasis"/>
        </w:rPr>
        <w:t>B. mollissima</w:t>
      </w:r>
      <w:r>
        <w:t xml:space="preserve"> is currently undocumented. However, given the acknowledged importance to Aboriginal peoples of Connection to Country and the widespread importance of Caring for Country (which includes biodiversity, ‘place’, custom and totemic elements), it is considered likely that the species has, or is associated with, some cultural and/or community significance.  </w:t>
      </w:r>
    </w:p>
    <w:p w14:paraId="092A0517" w14:textId="77777777" w:rsidR="006C53CB" w:rsidRDefault="006C53CB" w:rsidP="000532EF">
      <w:pPr>
        <w:pStyle w:val="Heading3"/>
      </w:pPr>
      <w:r>
        <w:lastRenderedPageBreak/>
        <w:t>Relevant biology and ecology</w:t>
      </w:r>
    </w:p>
    <w:p w14:paraId="2C11EC45" w14:textId="77777777" w:rsidR="006C53CB" w:rsidRDefault="006C53CB" w:rsidP="00103A46">
      <w:pPr>
        <w:pStyle w:val="Heading4"/>
      </w:pPr>
      <w:r>
        <w:t>Habitat</w:t>
      </w:r>
    </w:p>
    <w:p w14:paraId="46A1CD49" w14:textId="77777777" w:rsidR="006C53CB" w:rsidRPr="00103A46" w:rsidRDefault="006C53CB" w:rsidP="00103A46">
      <w:r w:rsidRPr="1F054AB6">
        <w:rPr>
          <w:rStyle w:val="Emphasis"/>
        </w:rPr>
        <w:t>Bertya mollissima</w:t>
      </w:r>
      <w:r>
        <w:t xml:space="preserve"> grows on steep hillsides and mountain summits in shallow sandy or gravelly soil in rock cracks and among boulders. The species typically occurs within heath or open woodland communities surrounded by </w:t>
      </w:r>
      <w:r w:rsidRPr="1F054AB6">
        <w:rPr>
          <w:rStyle w:val="Emphasis"/>
        </w:rPr>
        <w:t>Eucalyptus</w:t>
      </w:r>
      <w:r>
        <w:t xml:space="preserve"> spp. between 500 to 1500 m above sea level (Halford &amp; Henderson 2002; PlantNET 2021). Surveys in 2020 of habitat at the Mount Kaputar NP site recorded the area as a rocky mountain summit with </w:t>
      </w:r>
      <w:r w:rsidRPr="1F054AB6">
        <w:rPr>
          <w:rStyle w:val="Emphasis"/>
        </w:rPr>
        <w:t xml:space="preserve">Eucalyptus nobilis </w:t>
      </w:r>
      <w:r>
        <w:t xml:space="preserve">(ribbon gum), </w:t>
      </w:r>
      <w:r w:rsidRPr="1F054AB6">
        <w:rPr>
          <w:rStyle w:val="Emphasis"/>
        </w:rPr>
        <w:t xml:space="preserve">Kunzea ambigua </w:t>
      </w:r>
      <w:r>
        <w:t xml:space="preserve">(tick bush), </w:t>
      </w:r>
      <w:r w:rsidRPr="1F054AB6">
        <w:rPr>
          <w:rStyle w:val="Emphasis"/>
        </w:rPr>
        <w:t>Olearia</w:t>
      </w:r>
      <w:r>
        <w:t xml:space="preserve"> sp., </w:t>
      </w:r>
      <w:r w:rsidRPr="1F054AB6">
        <w:rPr>
          <w:rStyle w:val="Emphasis"/>
        </w:rPr>
        <w:t>Muehlenbackia</w:t>
      </w:r>
      <w:r>
        <w:t xml:space="preserve"> sp. ‘Mt Norman’ and </w:t>
      </w:r>
      <w:r w:rsidRPr="1F054AB6">
        <w:rPr>
          <w:rStyle w:val="Emphasis"/>
        </w:rPr>
        <w:t>Pelargonium inodorum</w:t>
      </w:r>
      <w:r>
        <w:t xml:space="preserve">. </w:t>
      </w:r>
    </w:p>
    <w:p w14:paraId="484D4887" w14:textId="77777777" w:rsidR="006C53CB" w:rsidRDefault="006C53CB" w:rsidP="00C60A34">
      <w:pPr>
        <w:pStyle w:val="Heading4"/>
      </w:pPr>
      <w:r>
        <w:t>Reproductive Ecology and Life History</w:t>
      </w:r>
    </w:p>
    <w:p w14:paraId="57E4492B" w14:textId="77777777" w:rsidR="006C53CB" w:rsidRDefault="006C53CB" w:rsidP="00103A46">
      <w:r>
        <w:t xml:space="preserve">Little is known about the reproductive ecology of </w:t>
      </w:r>
      <w:r w:rsidRPr="1F054AB6">
        <w:rPr>
          <w:rStyle w:val="Emphasis"/>
        </w:rPr>
        <w:t>B. mollissima</w:t>
      </w:r>
      <w:r>
        <w:t xml:space="preserve">. However, other </w:t>
      </w:r>
      <w:r w:rsidRPr="1F054AB6">
        <w:rPr>
          <w:i/>
          <w:iCs/>
        </w:rPr>
        <w:t>Bertya</w:t>
      </w:r>
      <w:r>
        <w:t xml:space="preserve"> species in northern NSW are wind-pollinated, including </w:t>
      </w:r>
      <w:r w:rsidRPr="1F054AB6">
        <w:rPr>
          <w:rStyle w:val="Emphasis"/>
        </w:rPr>
        <w:t>B. opponens</w:t>
      </w:r>
      <w:r>
        <w:t xml:space="preserve"> (Coolabah bertya), </w:t>
      </w:r>
      <w:r w:rsidRPr="1F054AB6">
        <w:rPr>
          <w:rStyle w:val="Emphasis"/>
        </w:rPr>
        <w:t>B. ingramii</w:t>
      </w:r>
      <w:r>
        <w:t xml:space="preserve"> (narrow-leaved bertya) and </w:t>
      </w:r>
      <w:r w:rsidRPr="1F054AB6">
        <w:rPr>
          <w:rStyle w:val="Emphasis"/>
        </w:rPr>
        <w:t>B. rosmarinifolia</w:t>
      </w:r>
      <w:r>
        <w:t xml:space="preserve"> (Fatemi &amp; Gross 2009; DoEE 2016). As all of these species are found in similar habitats and share morphological traits with </w:t>
      </w:r>
      <w:r w:rsidRPr="1F054AB6">
        <w:rPr>
          <w:rStyle w:val="Emphasis"/>
        </w:rPr>
        <w:t>B. mollissima,</w:t>
      </w:r>
      <w:r>
        <w:t xml:space="preserve"> it is probable that they also share reproductive traits. The dispersal distance of pollen is unknown for the species. Flowers have been observed on </w:t>
      </w:r>
      <w:r w:rsidRPr="1F054AB6">
        <w:rPr>
          <w:rStyle w:val="Emphasis"/>
        </w:rPr>
        <w:t>B. mollissima</w:t>
      </w:r>
      <w:r>
        <w:t xml:space="preserve"> from September to December, with fruits in December (Halford &amp; Henderson 2002; PlantNET 2021). </w:t>
      </w:r>
    </w:p>
    <w:p w14:paraId="6BD7E690" w14:textId="77777777" w:rsidR="006C53CB" w:rsidRDefault="006C53CB" w:rsidP="1F054AB6">
      <w:r>
        <w:t xml:space="preserve">Little is known about the life history of </w:t>
      </w:r>
      <w:r w:rsidRPr="1F054AB6">
        <w:rPr>
          <w:rStyle w:val="Emphasis"/>
        </w:rPr>
        <w:t xml:space="preserve"> B. molli</w:t>
      </w:r>
      <w:r>
        <w:rPr>
          <w:rStyle w:val="Emphasis"/>
        </w:rPr>
        <w:t>ssima</w:t>
      </w:r>
      <w:r>
        <w:t xml:space="preserve">. The generation length of </w:t>
      </w:r>
      <w:r w:rsidRPr="6C200F09">
        <w:rPr>
          <w:i/>
          <w:iCs/>
        </w:rPr>
        <w:t>Bertya findlayi</w:t>
      </w:r>
      <w:r>
        <w:t xml:space="preserve"> (mountain bertya) is suspected to be 20 to 30 years, the generation length of </w:t>
      </w:r>
      <w:r w:rsidRPr="6C200F09">
        <w:rPr>
          <w:i/>
          <w:iCs/>
        </w:rPr>
        <w:t>Bertya grampiana</w:t>
      </w:r>
      <w:r>
        <w:t xml:space="preserve"> (Grampians bertya) is estimated to be 10 to 30 years and the generation length of </w:t>
      </w:r>
      <w:r w:rsidRPr="6C200F09">
        <w:rPr>
          <w:i/>
          <w:iCs/>
        </w:rPr>
        <w:t xml:space="preserve">Bertya cunninghamii </w:t>
      </w:r>
      <w:r>
        <w:t>subsp</w:t>
      </w:r>
      <w:r w:rsidRPr="6C200F09">
        <w:rPr>
          <w:i/>
          <w:iCs/>
        </w:rPr>
        <w:t>. pubiramula</w:t>
      </w:r>
      <w:r>
        <w:t xml:space="preserve"> (sticky bertya) is estimated to be 35 to 50 years (DELWP 2021a, b, c), suggesting that </w:t>
      </w:r>
      <w:r w:rsidRPr="1F054AB6">
        <w:rPr>
          <w:rStyle w:val="Emphasis"/>
        </w:rPr>
        <w:t xml:space="preserve">B. mollissima </w:t>
      </w:r>
      <w:r>
        <w:t xml:space="preserve">has a generation length within this timeframe. Age to reproductive maturity in the related Coolabah bertya is inferred to be less than three years based on its fire response (OEH 2020) The exact age to reproductive maturity of </w:t>
      </w:r>
      <w:r w:rsidRPr="1F054AB6">
        <w:rPr>
          <w:rStyle w:val="Emphasis"/>
        </w:rPr>
        <w:t>B. mollissima</w:t>
      </w:r>
      <w:r>
        <w:t xml:space="preserve"> is unknown, but it is probable that it is similar to that of the Coolabah bertya. </w:t>
      </w:r>
    </w:p>
    <w:p w14:paraId="54B50A63" w14:textId="77777777" w:rsidR="006C53CB" w:rsidRDefault="006C53CB" w:rsidP="1F054AB6">
      <w:r>
        <w:t xml:space="preserve">Other </w:t>
      </w:r>
      <w:r w:rsidRPr="1F054AB6">
        <w:rPr>
          <w:rStyle w:val="Emphasis"/>
        </w:rPr>
        <w:t>Bertya</w:t>
      </w:r>
      <w:r>
        <w:t xml:space="preserve"> species have physically dormant seeds, as indicated by its hard seed coat that requires heat or abrasion to assist with germination (Scott 1997 cited in NSW NPWS 2002a; Scott &amp; Gross 2004; Copeland 2008), and it is probable that </w:t>
      </w:r>
      <w:r w:rsidRPr="1F054AB6">
        <w:rPr>
          <w:rStyle w:val="Emphasis"/>
        </w:rPr>
        <w:t>B. mollissima shares this seed trait</w:t>
      </w:r>
      <w:r>
        <w:t xml:space="preserve">. The nature of seed dispersal in the species is unknown, however, post-fire observations at the Mount Kaputar subpopulation found seedlings germinating immediately adjacent to parent material (RBGDT 2020). This may suggest that seed dispersal is limited as some seeds stay in close proximity to the maternal plant, although seed may be moved around the landscape through other dispersal mechanisms. </w:t>
      </w:r>
    </w:p>
    <w:p w14:paraId="405C5D58" w14:textId="77777777" w:rsidR="006C53CB" w:rsidRPr="00103A46" w:rsidRDefault="006C53CB" w:rsidP="1F054AB6">
      <w:r>
        <w:t xml:space="preserve">Observations of </w:t>
      </w:r>
      <w:r w:rsidRPr="1F054AB6">
        <w:rPr>
          <w:rStyle w:val="Emphasis"/>
        </w:rPr>
        <w:t>B. mollissima</w:t>
      </w:r>
      <w:r>
        <w:t xml:space="preserve"> , as well as those from other </w:t>
      </w:r>
      <w:r w:rsidRPr="1F054AB6">
        <w:rPr>
          <w:rStyle w:val="Emphasis"/>
        </w:rPr>
        <w:t>Bertya</w:t>
      </w:r>
      <w:r>
        <w:t xml:space="preserve"> species, show that mature individuals are usually killed by fire and germination should occur from a soil seedbank in the months following fire in suitable abiotic conditions (Copeland 2008; RGBDT 2020). Obligate seeder species may be at increased risk of decline when fires recur within the minimum tolerable fire interval, which is defined as the time required for seedlings to reach reproductive maturity. As described above, the time to reproductive maturity for this species, and hence the minimum tolerable fire interval, is probably approximately three years. </w:t>
      </w:r>
    </w:p>
    <w:p w14:paraId="3275C998" w14:textId="77777777" w:rsidR="006C53CB" w:rsidRDefault="006C53CB" w:rsidP="00C304AA">
      <w:pPr>
        <w:pStyle w:val="Heading3"/>
        <w:ind w:left="964" w:hanging="964"/>
      </w:pPr>
      <w:r>
        <w:lastRenderedPageBreak/>
        <w:t>Habitat critical to the survival</w:t>
      </w:r>
    </w:p>
    <w:p w14:paraId="6BC390C7" w14:textId="77777777" w:rsidR="006C53CB" w:rsidRDefault="006C53CB" w:rsidP="1F054AB6">
      <w:r w:rsidRPr="1F054AB6">
        <w:rPr>
          <w:rStyle w:val="Emphasis"/>
        </w:rPr>
        <w:t>Bertya mollissima</w:t>
      </w:r>
      <w:r>
        <w:t xml:space="preserve"> grows on steep hillsides and mountain summits in shallow sandy or gravelly soil, in cracks and among boulders between 500 to 1500 m above sea level. Given that the four subpopulations have a restricted distribution, habitat critical to the survival of </w:t>
      </w:r>
      <w:r w:rsidRPr="1F054AB6">
        <w:rPr>
          <w:rStyle w:val="Emphasis"/>
        </w:rPr>
        <w:t>B. mollissima</w:t>
      </w:r>
      <w:r>
        <w:t xml:space="preserve"> includes area occupied by all known populations,</w:t>
      </w:r>
      <w:r w:rsidDel="586466E9">
        <w:t xml:space="preserve"> </w:t>
      </w:r>
      <w:r>
        <w:t xml:space="preserve"> areas of similar habitat surrounding the subpopulations (as these areas provide potential habitat for pollinators or other biota essential to the continued existence of the species, and enables the movement of pollinators between localities), areas of similar habitat that may contain other individuals or be suitable sites for future conservation translocations, and the local catchment for the surface and/or groundwater that maintains the habitat of the taxon. Further research is needed to define habitat critical to the survival of </w:t>
      </w:r>
      <w:r w:rsidRPr="1F054AB6">
        <w:rPr>
          <w:rStyle w:val="Emphasis"/>
        </w:rPr>
        <w:t>B. mollissima</w:t>
      </w:r>
      <w:r>
        <w:t xml:space="preserve"> (see conservation actions). Until such information is available, all habitat for this species, in and around all known extant and historical subpopulations, should be considered important for the species’ long-term survival.</w:t>
      </w:r>
    </w:p>
    <w:p w14:paraId="489603D9" w14:textId="77777777" w:rsidR="006C53CB" w:rsidRDefault="006C53CB" w:rsidP="00C304AA">
      <w:r w:rsidRPr="008A18B0">
        <w:t xml:space="preserve">No Critical Habitat as defined under section 207A of </w:t>
      </w:r>
      <w:r>
        <w:t>t</w:t>
      </w:r>
      <w:r w:rsidRPr="008A18B0">
        <w:t>he EPBC Act has been identified or included in the Register of Critical Habitat.</w:t>
      </w:r>
    </w:p>
    <w:p w14:paraId="3E1E88DA" w14:textId="77777777" w:rsidR="006C53CB" w:rsidRDefault="006C53CB" w:rsidP="00476948">
      <w:pPr>
        <w:pStyle w:val="Heading3"/>
        <w:rPr>
          <w:rFonts w:eastAsiaTheme="minorHAnsi"/>
        </w:rPr>
      </w:pPr>
      <w:r w:rsidRPr="00476948">
        <w:rPr>
          <w:rFonts w:eastAsiaTheme="minorHAnsi"/>
        </w:rPr>
        <w:t>Important populations</w:t>
      </w:r>
    </w:p>
    <w:p w14:paraId="3474F80D" w14:textId="77777777" w:rsidR="006C53CB" w:rsidRDefault="006C53CB" w:rsidP="001E3546">
      <w:bookmarkStart w:id="8" w:name="_Hlk80436924"/>
      <w:r w:rsidRPr="001E3546">
        <w:t>In this section, the word ‘population’ is used to refer to a subpopulation, in keeping with the terminology used in the EPBC Act and state/territory environmental legislation.</w:t>
      </w:r>
      <w:bookmarkEnd w:id="8"/>
      <w:r>
        <w:t xml:space="preserve"> Given the restricted distribution and small area of occupancy, every wild population of the species should be considered </w:t>
      </w:r>
      <w:r w:rsidRPr="00617B2C">
        <w:t>as</w:t>
      </w:r>
      <w:r>
        <w:t xml:space="preserve"> an</w:t>
      </w:r>
      <w:r w:rsidRPr="00617B2C">
        <w:t xml:space="preserve"> important population of this species under particular pressure of survival and which therefore require protection to support the recovery of the species</w:t>
      </w:r>
      <w:r>
        <w:t>.</w:t>
      </w:r>
      <w:r w:rsidDel="00332F97">
        <w:t xml:space="preserve"> </w:t>
      </w:r>
    </w:p>
    <w:p w14:paraId="065CD0EF" w14:textId="77777777" w:rsidR="006C53CB" w:rsidRDefault="006C53CB" w:rsidP="001E5131">
      <w:pPr>
        <w:pStyle w:val="Heading3"/>
        <w:ind w:left="964" w:hanging="964"/>
      </w:pPr>
      <w:r>
        <w:t>Threats</w:t>
      </w:r>
    </w:p>
    <w:p w14:paraId="31C81BDE" w14:textId="77777777" w:rsidR="006C53CB" w:rsidRDefault="006C53CB" w:rsidP="00473DF9">
      <w:r w:rsidRPr="1F054AB6">
        <w:rPr>
          <w:rStyle w:val="Emphasis"/>
        </w:rPr>
        <w:t>Bertya mollissima</w:t>
      </w:r>
      <w:r>
        <w:t xml:space="preserve"> is threatened by inappropriate fire regimes (high frequency fire), trampling by humans, unmanaged (feral) goats (</w:t>
      </w:r>
      <w:r w:rsidRPr="1F054AB6">
        <w:rPr>
          <w:rStyle w:val="Emphasis"/>
        </w:rPr>
        <w:t>Capa hircus</w:t>
      </w:r>
      <w:r>
        <w:t xml:space="preserve">), and climate change. These threats may act synergistically, such as the potential for increased seedling herbivory or trampling by feral goats in post-fire environments. Increased erosion due to extreme rainfall events as a result of climate change may deplete the soil seedbank, or placing the remaining seeds at risk of mortality from high-severity fire as the remaining soil may be too shallow to insulate the seeds from extreme heat. </w:t>
      </w:r>
    </w:p>
    <w:p w14:paraId="64E1F295" w14:textId="77777777" w:rsidR="006C53CB" w:rsidRDefault="006C53CB" w:rsidP="009502E2">
      <w:pPr>
        <w:pStyle w:val="Caption"/>
      </w:pPr>
      <w:bookmarkStart w:id="9" w:name="_Ref40886856"/>
      <w:r>
        <w:t xml:space="preserve">Table </w:t>
      </w:r>
      <w:bookmarkEnd w:id="9"/>
      <w:r>
        <w:rPr>
          <w:noProof/>
        </w:rPr>
        <w:t>2</w:t>
      </w:r>
      <w:r>
        <w:t xml:space="preserve"> Threats</w:t>
      </w:r>
    </w:p>
    <w:p w14:paraId="4B241D4A" w14:textId="77777777" w:rsidR="006C53CB" w:rsidRPr="00FF52FC" w:rsidRDefault="006C53CB" w:rsidP="008279A0">
      <w:r>
        <w:t>Threats in Table 1 are noted in approximate order of highest to lowest impact, based on available evidence.</w:t>
      </w:r>
    </w:p>
    <w:tbl>
      <w:tblPr>
        <w:tblStyle w:val="TableGrid"/>
        <w:tblW w:w="0" w:type="auto"/>
        <w:tblLook w:val="04A0" w:firstRow="1" w:lastRow="0" w:firstColumn="1" w:lastColumn="0" w:noHBand="0" w:noVBand="1"/>
      </w:tblPr>
      <w:tblGrid>
        <w:gridCol w:w="2113"/>
        <w:gridCol w:w="2542"/>
        <w:gridCol w:w="4361"/>
      </w:tblGrid>
      <w:tr w:rsidR="006C53CB" w14:paraId="100C635E" w14:textId="77777777" w:rsidTr="000C6407">
        <w:trPr>
          <w:cantSplit/>
          <w:tblHeader/>
        </w:trPr>
        <w:tc>
          <w:tcPr>
            <w:tcW w:w="2122" w:type="dxa"/>
          </w:tcPr>
          <w:p w14:paraId="43846D95" w14:textId="77777777" w:rsidR="006C53CB" w:rsidRDefault="006C53CB" w:rsidP="00D945A0">
            <w:pPr>
              <w:pStyle w:val="TableHeading"/>
            </w:pPr>
            <w:r>
              <w:lastRenderedPageBreak/>
              <w:t xml:space="preserve">Threat </w:t>
            </w:r>
          </w:p>
        </w:tc>
        <w:tc>
          <w:tcPr>
            <w:tcW w:w="2551" w:type="dxa"/>
          </w:tcPr>
          <w:p w14:paraId="4A6CD4D4" w14:textId="77777777" w:rsidR="006C53CB" w:rsidRDefault="006C53CB" w:rsidP="00D945A0">
            <w:pPr>
              <w:pStyle w:val="TableHeading"/>
            </w:pPr>
            <w:r>
              <w:t xml:space="preserve">Status </w:t>
            </w:r>
            <w:r w:rsidRPr="006E5CC3">
              <w:rPr>
                <w:rStyle w:val="Strong"/>
                <w:vertAlign w:val="superscript"/>
              </w:rPr>
              <w:t>a</w:t>
            </w:r>
          </w:p>
        </w:tc>
        <w:tc>
          <w:tcPr>
            <w:tcW w:w="4387" w:type="dxa"/>
          </w:tcPr>
          <w:p w14:paraId="4C2DB1D7" w14:textId="77777777" w:rsidR="006C53CB" w:rsidRDefault="006C53CB" w:rsidP="00D945A0">
            <w:pPr>
              <w:pStyle w:val="TableHeading"/>
            </w:pPr>
            <w:r>
              <w:t xml:space="preserve">Evidence </w:t>
            </w:r>
          </w:p>
        </w:tc>
      </w:tr>
      <w:tr w:rsidR="006C53CB" w:rsidRPr="008A24A1" w14:paraId="0C6C2A6F" w14:textId="77777777" w:rsidTr="1F054AB6">
        <w:tc>
          <w:tcPr>
            <w:tcW w:w="9060" w:type="dxa"/>
            <w:gridSpan w:val="3"/>
          </w:tcPr>
          <w:p w14:paraId="464CD3F5" w14:textId="77777777" w:rsidR="006C53CB" w:rsidRPr="00647F93" w:rsidRDefault="006C53CB" w:rsidP="00D945A0">
            <w:pPr>
              <w:pStyle w:val="TableText"/>
              <w:keepNext/>
              <w:rPr>
                <w:highlight w:val="yellow"/>
              </w:rPr>
            </w:pPr>
            <w:r w:rsidRPr="00575E20">
              <w:t>Climate Change</w:t>
            </w:r>
          </w:p>
        </w:tc>
      </w:tr>
      <w:tr w:rsidR="006C53CB" w14:paraId="0509D1C8" w14:textId="77777777" w:rsidTr="000C6407">
        <w:tc>
          <w:tcPr>
            <w:tcW w:w="2122" w:type="dxa"/>
          </w:tcPr>
          <w:p w14:paraId="2CA4A24B" w14:textId="77777777" w:rsidR="006C53CB" w:rsidRPr="00647F93" w:rsidRDefault="006C53CB" w:rsidP="00647F93">
            <w:pPr>
              <w:pStyle w:val="TableText"/>
            </w:pPr>
            <w:r w:rsidRPr="00FE2810">
              <w:t>Changes to temperature and precipitation patterns</w:t>
            </w:r>
          </w:p>
        </w:tc>
        <w:tc>
          <w:tcPr>
            <w:tcW w:w="2551" w:type="dxa"/>
          </w:tcPr>
          <w:p w14:paraId="42F2D30A" w14:textId="77777777" w:rsidR="006C53CB" w:rsidRDefault="006C53CB" w:rsidP="006C53CB">
            <w:pPr>
              <w:pStyle w:val="TableBullet1"/>
              <w:keepNext/>
              <w:tabs>
                <w:tab w:val="clear" w:pos="360"/>
              </w:tabs>
            </w:pPr>
            <w:r>
              <w:t>Timing: current/future</w:t>
            </w:r>
          </w:p>
          <w:p w14:paraId="7896FE85" w14:textId="77777777" w:rsidR="006C53CB" w:rsidRDefault="006C53CB" w:rsidP="006C53CB">
            <w:pPr>
              <w:pStyle w:val="TableBullet1"/>
              <w:keepNext/>
              <w:tabs>
                <w:tab w:val="clear" w:pos="360"/>
              </w:tabs>
            </w:pPr>
            <w:r>
              <w:t>Confidence: suspected</w:t>
            </w:r>
          </w:p>
          <w:p w14:paraId="53AF36FE" w14:textId="77777777" w:rsidR="006C53CB" w:rsidRDefault="006C53CB" w:rsidP="006C53CB">
            <w:pPr>
              <w:pStyle w:val="TableBullet1"/>
              <w:keepNext/>
              <w:tabs>
                <w:tab w:val="clear" w:pos="360"/>
              </w:tabs>
            </w:pPr>
            <w:r>
              <w:t>Likelihood: likely</w:t>
            </w:r>
          </w:p>
          <w:p w14:paraId="03DD7FB9" w14:textId="77777777" w:rsidR="006C53CB" w:rsidRDefault="006C53CB" w:rsidP="006C53CB">
            <w:pPr>
              <w:pStyle w:val="TableBullet1"/>
              <w:keepNext/>
              <w:tabs>
                <w:tab w:val="clear" w:pos="360"/>
              </w:tabs>
            </w:pPr>
            <w:r>
              <w:t>Consequence: catastrophic</w:t>
            </w:r>
          </w:p>
          <w:p w14:paraId="6379A0B1" w14:textId="77777777" w:rsidR="006C53CB" w:rsidRDefault="006C53CB" w:rsidP="006C53CB">
            <w:pPr>
              <w:pStyle w:val="TableBullet1"/>
              <w:keepNext/>
              <w:tabs>
                <w:tab w:val="clear" w:pos="360"/>
              </w:tabs>
            </w:pPr>
            <w:r>
              <w:t>Trend: increasing</w:t>
            </w:r>
          </w:p>
          <w:p w14:paraId="4C1680E4" w14:textId="77777777" w:rsidR="006C53CB" w:rsidRDefault="006C53CB" w:rsidP="006C53CB">
            <w:pPr>
              <w:pStyle w:val="TableBullet1"/>
              <w:keepNext/>
              <w:tabs>
                <w:tab w:val="clear" w:pos="360"/>
              </w:tabs>
            </w:pPr>
            <w:r>
              <w:t>Extent: across the entire range</w:t>
            </w:r>
          </w:p>
        </w:tc>
        <w:tc>
          <w:tcPr>
            <w:tcW w:w="4387" w:type="dxa"/>
          </w:tcPr>
          <w:p w14:paraId="165B7576" w14:textId="77777777" w:rsidR="006C53CB" w:rsidRDefault="006C53CB" w:rsidP="00575E20">
            <w:pPr>
              <w:pStyle w:val="TableText"/>
              <w:keepNext/>
            </w:pPr>
            <w:r>
              <w:t>The CSIRO &amp; Bureau of Meteorology (2015) predicted that eastern Australia will be exposed to increased average temperatures, and increased frequency of droughts due to climate change. Mount Kaputar NP occurs within the New England Tablelands region of NSW, where maximum temperatures are projected to increase by 0.7 – 1℃ by 2030 and 1.9 – 2.7℃ by 2070 compared to temperatures from 1990 to 2009, with more hot days and fewer cool nights (OEH 2014b). Ukerbarley Aboriginal Area occurs with the Central West and Orana region of NSW, where similar projections of temperature change are made (OEH 2014a). Coolah Tops NP is found on the border of these two regions.</w:t>
            </w:r>
          </w:p>
          <w:p w14:paraId="4DB5E00C" w14:textId="77777777" w:rsidR="006C53CB" w:rsidRDefault="006C53CB" w:rsidP="00575E20">
            <w:pPr>
              <w:pStyle w:val="TableText"/>
              <w:keepNext/>
            </w:pPr>
            <w:r>
              <w:t xml:space="preserve">Increasing temperature and changing precipitation patterns will likely impact the suitability of currently occupied habitat of </w:t>
            </w:r>
            <w:r w:rsidRPr="6C200F09">
              <w:rPr>
                <w:rStyle w:val="Emphasis"/>
              </w:rPr>
              <w:t>B. mollissima</w:t>
            </w:r>
            <w:r>
              <w:t>. The incidence of moist conditions in high altitude forests like those found on Mount Kaputar are projected to contract under future climates  (DECCW, 2010).</w:t>
            </w:r>
          </w:p>
          <w:p w14:paraId="5560FE54" w14:textId="77777777" w:rsidR="006C53CB" w:rsidRDefault="006C53CB" w:rsidP="6C200F09">
            <w:pPr>
              <w:pStyle w:val="TableText"/>
              <w:rPr>
                <w:i/>
                <w:iCs/>
              </w:rPr>
            </w:pPr>
            <w:r>
              <w:t xml:space="preserve">The long-term impact of more frequent and/or severe drought on </w:t>
            </w:r>
            <w:r w:rsidRPr="6C200F09">
              <w:rPr>
                <w:rStyle w:val="Emphasis"/>
              </w:rPr>
              <w:t xml:space="preserve">B. mollissima is unknown. Assessments of other Bertya species suggest that they may be threatened by climatic drying and warming which act synergistically with inappropriate fire regimes to increase the risk of repeat fire events at intervals below or approaching the tolerable fire interval for the taxon, leading to seedbank depletion, exhaustion and local extinction. Post-fire recruitment and seedling survival may be  threatened by drought conditions,  which can lead to seedbank depletion, exhaustion and local extinction (Auld at al. 2020; Gallagher et al. 2021). </w:t>
            </w:r>
            <w:r>
              <w:t xml:space="preserve">The frequency and intensity of extreme rainfall events and east coast lows are projected to increase under future climates, potentially resulting in increased soil erosion, particularly directly after fire events (Climate Council 2014). </w:t>
            </w:r>
            <w:r w:rsidRPr="6C200F09">
              <w:rPr>
                <w:rStyle w:val="Emphasis"/>
              </w:rPr>
              <w:t>B</w:t>
            </w:r>
            <w:r>
              <w:rPr>
                <w:rStyle w:val="Emphasis"/>
              </w:rPr>
              <w:t>ertya</w:t>
            </w:r>
            <w:r w:rsidRPr="6C200F09">
              <w:rPr>
                <w:rStyle w:val="Emphasis"/>
              </w:rPr>
              <w:t xml:space="preserve"> mollissima</w:t>
            </w:r>
            <w:r>
              <w:t xml:space="preserve"> was assessed as vulnerable to post-fire erosion after the 2019-20 fire season which may result in the loss or depletion of the soil seed bank (DPIE 2020). The species is found in soil deposits between boulders, and erosion of these deposits may result in a depletion of the seedbank and removal of suitable habitat for seedling germination.</w:t>
            </w:r>
          </w:p>
        </w:tc>
      </w:tr>
      <w:tr w:rsidR="006C53CB" w14:paraId="73A64D4E" w14:textId="77777777" w:rsidTr="1F054AB6">
        <w:tc>
          <w:tcPr>
            <w:tcW w:w="9060" w:type="dxa"/>
            <w:gridSpan w:val="3"/>
          </w:tcPr>
          <w:p w14:paraId="64C1A365" w14:textId="77777777" w:rsidR="006C53CB" w:rsidRPr="00575E20" w:rsidRDefault="006C53CB" w:rsidP="005F6B54">
            <w:pPr>
              <w:pStyle w:val="TableText"/>
            </w:pPr>
            <w:r>
              <w:t>Habitat disturbance and modification</w:t>
            </w:r>
          </w:p>
        </w:tc>
      </w:tr>
      <w:tr w:rsidR="006C53CB" w14:paraId="3CA85070" w14:textId="77777777" w:rsidTr="000C6407">
        <w:tc>
          <w:tcPr>
            <w:tcW w:w="2122" w:type="dxa"/>
          </w:tcPr>
          <w:p w14:paraId="4DF08D97" w14:textId="77777777" w:rsidR="006C53CB" w:rsidRPr="00647F93" w:rsidRDefault="006C53CB" w:rsidP="00647F93">
            <w:pPr>
              <w:pStyle w:val="TableText"/>
              <w:rPr>
                <w:highlight w:val="yellow"/>
              </w:rPr>
            </w:pPr>
            <w:r w:rsidRPr="00647F93">
              <w:t>Inappropriate fire regimes</w:t>
            </w:r>
            <w:r>
              <w:t xml:space="preserve"> </w:t>
            </w:r>
          </w:p>
        </w:tc>
        <w:tc>
          <w:tcPr>
            <w:tcW w:w="2551" w:type="dxa"/>
          </w:tcPr>
          <w:p w14:paraId="2074B532" w14:textId="77777777" w:rsidR="006C53CB" w:rsidRDefault="006C53CB" w:rsidP="006C53CB">
            <w:pPr>
              <w:pStyle w:val="TableBullet1"/>
              <w:keepNext/>
              <w:tabs>
                <w:tab w:val="clear" w:pos="360"/>
              </w:tabs>
            </w:pPr>
            <w:r>
              <w:t>Timing: current/future</w:t>
            </w:r>
          </w:p>
          <w:p w14:paraId="385802C0" w14:textId="77777777" w:rsidR="006C53CB" w:rsidRDefault="006C53CB" w:rsidP="006C53CB">
            <w:pPr>
              <w:pStyle w:val="TableBullet1"/>
              <w:keepNext/>
              <w:tabs>
                <w:tab w:val="clear" w:pos="360"/>
              </w:tabs>
            </w:pPr>
            <w:r>
              <w:t>Confidence: inferred</w:t>
            </w:r>
          </w:p>
          <w:p w14:paraId="236E5372" w14:textId="77777777" w:rsidR="006C53CB" w:rsidRDefault="006C53CB" w:rsidP="006C53CB">
            <w:pPr>
              <w:pStyle w:val="TableBullet1"/>
              <w:tabs>
                <w:tab w:val="clear" w:pos="360"/>
              </w:tabs>
            </w:pPr>
            <w:r>
              <w:t>Likelihood: likely</w:t>
            </w:r>
          </w:p>
          <w:p w14:paraId="5A841221" w14:textId="77777777" w:rsidR="006C53CB" w:rsidRDefault="006C53CB" w:rsidP="006C53CB">
            <w:pPr>
              <w:pStyle w:val="TableBullet1"/>
              <w:keepNext/>
              <w:tabs>
                <w:tab w:val="clear" w:pos="360"/>
              </w:tabs>
            </w:pPr>
            <w:r>
              <w:t>Consequence: major</w:t>
            </w:r>
          </w:p>
          <w:p w14:paraId="17B87467" w14:textId="77777777" w:rsidR="006C53CB" w:rsidRDefault="006C53CB" w:rsidP="006C53CB">
            <w:pPr>
              <w:pStyle w:val="TableBullet1"/>
              <w:keepNext/>
              <w:tabs>
                <w:tab w:val="clear" w:pos="360"/>
              </w:tabs>
            </w:pPr>
            <w:r>
              <w:t>Trend: increasing</w:t>
            </w:r>
          </w:p>
          <w:p w14:paraId="1A5642ED" w14:textId="77777777" w:rsidR="006C53CB" w:rsidRDefault="006C53CB" w:rsidP="006C53CB">
            <w:pPr>
              <w:pStyle w:val="TableBullet1"/>
              <w:keepNext/>
              <w:tabs>
                <w:tab w:val="clear" w:pos="360"/>
              </w:tabs>
            </w:pPr>
            <w:r>
              <w:t>Extent: across the entire range</w:t>
            </w:r>
          </w:p>
        </w:tc>
        <w:tc>
          <w:tcPr>
            <w:tcW w:w="4387" w:type="dxa"/>
          </w:tcPr>
          <w:p w14:paraId="7A5237B7" w14:textId="77777777" w:rsidR="006C53CB" w:rsidRPr="003D311B" w:rsidRDefault="006C53CB" w:rsidP="005F6B54">
            <w:pPr>
              <w:pStyle w:val="TableText"/>
            </w:pPr>
            <w:r>
              <w:rPr>
                <w:i/>
                <w:iCs/>
              </w:rPr>
              <w:t>Bertya mollissima</w:t>
            </w:r>
            <w:r>
              <w:t xml:space="preserve"> is an obligate seeder, and recruits from seed after fires kill mature plants (RBGDT 2020).</w:t>
            </w:r>
            <w:r w:rsidRPr="003C2D30">
              <w:t xml:space="preserve"> Keith (1996) identified several fire driven mechanisms of plant population decline and extinction for </w:t>
            </w:r>
            <w:r>
              <w:t>obligate seeder</w:t>
            </w:r>
            <w:r w:rsidRPr="003C2D30">
              <w:t xml:space="preserve"> shrubs. These mechanisms included death of standing plants and seeds, failure of seed release and/or germination, failure of seedling establishment, interruption of maturation or developmental growth, and failure of seed production. Keith (1996) also identified fire regimes associated with multiple mechanisms of plant population decline and extinction, including both high frequency and low frequency fires. </w:t>
            </w:r>
            <w:r w:rsidRPr="007D4381">
              <w:rPr>
                <w:szCs w:val="18"/>
              </w:rPr>
              <w:t xml:space="preserve"> </w:t>
            </w:r>
          </w:p>
          <w:p w14:paraId="3F305B78" w14:textId="77777777" w:rsidR="006C53CB" w:rsidRDefault="006C53CB" w:rsidP="6C200F09">
            <w:pPr>
              <w:pStyle w:val="TableText"/>
              <w:rPr>
                <w:rStyle w:val="Emphasis"/>
                <w:i w:val="0"/>
                <w:iCs w:val="0"/>
              </w:rPr>
            </w:pPr>
            <w:r>
              <w:t xml:space="preserve">As an obligate seeder, </w:t>
            </w:r>
            <w:r w:rsidRPr="6C200F09">
              <w:rPr>
                <w:rStyle w:val="Emphasis"/>
              </w:rPr>
              <w:t>B. mollissima</w:t>
            </w:r>
            <w:r>
              <w:t xml:space="preserve"> requires an appropriate interval between fires to reach </w:t>
            </w:r>
            <w:r>
              <w:lastRenderedPageBreak/>
              <w:t xml:space="preserve">reproductive maturity and produce sufficient seed for the next generation whilst not senescing (tolerable fire interval). Little is known about the life history of </w:t>
            </w:r>
            <w:r w:rsidRPr="6C200F09">
              <w:rPr>
                <w:rStyle w:val="Emphasis"/>
              </w:rPr>
              <w:t xml:space="preserve">B. mollissima, however, in the related Coolabah bertya there is a risk of population decline if fires occur more than once every three years and less than once every 20 years (OEH 2020). It is plausible that B. mollissima has similar fire requirements. </w:t>
            </w:r>
            <w:r>
              <w:rPr>
                <w:rStyle w:val="Emphasis"/>
              </w:rPr>
              <w:t xml:space="preserve"> Determining the required fire interval for the species is a research priority that is needed to inform proper management. </w:t>
            </w:r>
            <w:r w:rsidRPr="6C200F09">
              <w:rPr>
                <w:rStyle w:val="Emphasis"/>
              </w:rPr>
              <w:t xml:space="preserve">However, management strategies should utilise a precautionary approach that ensures ecosystem health does not decline due to fire management practises targeted at this species. </w:t>
            </w:r>
          </w:p>
          <w:p w14:paraId="3D31EB54" w14:textId="77777777" w:rsidR="006C53CB" w:rsidRDefault="006C53CB" w:rsidP="00787E32">
            <w:pPr>
              <w:pStyle w:val="TableText"/>
              <w:rPr>
                <w:rStyle w:val="Emphasis"/>
                <w:i w:val="0"/>
                <w:iCs w:val="0"/>
              </w:rPr>
            </w:pPr>
            <w:r>
              <w:rPr>
                <w:rStyle w:val="Emphasis"/>
              </w:rPr>
              <w:t>High fire frequency</w:t>
            </w:r>
          </w:p>
          <w:p w14:paraId="3F1DBC19" w14:textId="77777777" w:rsidR="006C53CB" w:rsidRDefault="006C53CB" w:rsidP="6C200F09">
            <w:pPr>
              <w:pStyle w:val="TableText"/>
              <w:rPr>
                <w:rStyle w:val="Emphasis"/>
                <w:i w:val="0"/>
                <w:iCs w:val="0"/>
              </w:rPr>
            </w:pPr>
            <w:r w:rsidRPr="6C200F09">
              <w:rPr>
                <w:rStyle w:val="Emphasis"/>
              </w:rPr>
              <w:t>Bertya mollissima subpopulations are threatened by a high frequency fire regime that does not allow plants to reach reproductive maturity and replenish the soil seedbank, ultimately leading to a lack of recruitment. However, the juvenile period of B. mollissima is unknown, but reasonably suspected to be ~3 years. Bradstock et al. (1998) found that extinction probabilities in obligate seeder shrubs increased with fire frequency and scale, indicating that too-frequent fire is responsible for extinction more often than too-infrequent fire. Subpopulations may also be threatened by too infrequent fire that leads to  the senescence of mature plants and a decline in the seed bank prior to recruitment(Whelan 1995; Bond &amp; van Wilgen 1996)</w:t>
            </w:r>
            <w:r>
              <w:rPr>
                <w:rStyle w:val="Emphasis"/>
              </w:rPr>
              <w:t>.</w:t>
            </w:r>
            <w:r w:rsidRPr="6C200F09">
              <w:rPr>
                <w:rStyle w:val="Emphasis"/>
              </w:rPr>
              <w:t xml:space="preserve"> </w:t>
            </w:r>
            <w:r>
              <w:rPr>
                <w:rStyle w:val="Emphasis"/>
              </w:rPr>
              <w:t>H</w:t>
            </w:r>
            <w:r w:rsidRPr="6C200F09">
              <w:rPr>
                <w:rStyle w:val="Emphasis"/>
              </w:rPr>
              <w:t xml:space="preserve">owever, this depends on the rate of decay of the soil –stored seedbank, which is currently unknown. </w:t>
            </w:r>
          </w:p>
          <w:p w14:paraId="72C5E8F7" w14:textId="77777777" w:rsidR="006C53CB" w:rsidRPr="003B142C" w:rsidRDefault="006C53CB" w:rsidP="00787E32">
            <w:pPr>
              <w:pStyle w:val="TableText"/>
              <w:rPr>
                <w:rStyle w:val="Emphasis"/>
              </w:rPr>
            </w:pPr>
            <w:r>
              <w:rPr>
                <w:rStyle w:val="Emphasis"/>
              </w:rPr>
              <w:t>F</w:t>
            </w:r>
            <w:r w:rsidRPr="1F054AB6">
              <w:rPr>
                <w:rStyle w:val="Emphasis"/>
              </w:rPr>
              <w:t>ire severity</w:t>
            </w:r>
          </w:p>
          <w:p w14:paraId="2D873C6D" w14:textId="77777777" w:rsidR="006C53CB" w:rsidRDefault="006C53CB" w:rsidP="1F054AB6">
            <w:pPr>
              <w:pStyle w:val="TableText"/>
              <w:rPr>
                <w:rStyle w:val="Emphasis"/>
                <w:i w:val="0"/>
                <w:iCs w:val="0"/>
              </w:rPr>
            </w:pPr>
            <w:r w:rsidRPr="1F054AB6">
              <w:rPr>
                <w:rStyle w:val="Emphasis"/>
              </w:rPr>
              <w:t xml:space="preserve">The response of obligate seeders to fire severity varies among species (Wright &amp; Fensham 2016; Palmer et al. 2018; Gale &amp; Cary 2021). Many obligate seeding species produce dormant seeds that require high temperatures at short durations to trigger germination (Palmer et al. 2018). However, for this to occur, the seed bank must be heated to a temperature hot enough to trigger germination, without causing seed mortality. Many species have been shown to have significantly higher recruitment in sites exposed to high-severity fire than those exposed to low-severity fire (Palmer et al. 2018; Gale &amp; Cary 2021). </w:t>
            </w:r>
            <w:r>
              <w:t xml:space="preserve"> However, the shallow soils on which </w:t>
            </w:r>
            <w:r w:rsidRPr="000C6407">
              <w:rPr>
                <w:i/>
                <w:iCs/>
              </w:rPr>
              <w:t>B. mollissima</w:t>
            </w:r>
            <w:r>
              <w:t xml:space="preserve"> occurs have poor insulating capacity in high severity fires, which may lead to seed mortality. Temperature requirements for seed germination in </w:t>
            </w:r>
            <w:r w:rsidRPr="000C6407">
              <w:rPr>
                <w:rStyle w:val="Emphasis"/>
              </w:rPr>
              <w:t>B. mollissima</w:t>
            </w:r>
            <w:r>
              <w:t xml:space="preserve"> are unknown, and therefore, the extent to which high or low severity fire threatens the species is also unknown.</w:t>
            </w:r>
          </w:p>
          <w:p w14:paraId="3825DC44" w14:textId="77777777" w:rsidR="006C53CB" w:rsidRDefault="006C53CB" w:rsidP="00AD01BC">
            <w:pPr>
              <w:pStyle w:val="TableText"/>
              <w:rPr>
                <w:rStyle w:val="Emphasis"/>
              </w:rPr>
            </w:pPr>
            <w:r>
              <w:rPr>
                <w:rStyle w:val="Emphasis"/>
              </w:rPr>
              <w:t>Fire-herbivore interactions</w:t>
            </w:r>
          </w:p>
          <w:p w14:paraId="1F7FFF29" w14:textId="77777777" w:rsidR="006C53CB" w:rsidRPr="00D7024C" w:rsidRDefault="006C53CB" w:rsidP="6C200F09">
            <w:pPr>
              <w:pStyle w:val="TableText"/>
              <w:rPr>
                <w:rStyle w:val="Emphasis"/>
                <w:i w:val="0"/>
                <w:iCs w:val="0"/>
              </w:rPr>
            </w:pPr>
            <w:r w:rsidRPr="6C200F09">
              <w:rPr>
                <w:rStyle w:val="Emphasis"/>
              </w:rPr>
              <w:t xml:space="preserve">Browsing of seedlings by feral goats post-fire may be a threat to B. mollissima (see below). Leigh and Holgate (1979), and Leigh et al. (1991) found empirical evidence of strong fire-herbivore interactions suppressing survival, growth and reproduction in a range of forest and woodland understorey plants in temperate and subalpine climates. </w:t>
            </w:r>
          </w:p>
          <w:p w14:paraId="0C6C954D" w14:textId="77777777" w:rsidR="006C53CB" w:rsidRPr="006E5CC3" w:rsidRDefault="006C53CB" w:rsidP="6C200F09">
            <w:pPr>
              <w:pStyle w:val="TableText"/>
              <w:rPr>
                <w:rStyle w:val="Emphasis"/>
                <w:i w:val="0"/>
                <w:iCs w:val="0"/>
              </w:rPr>
            </w:pPr>
            <w:r w:rsidRPr="6C200F09">
              <w:rPr>
                <w:rStyle w:val="Emphasis"/>
              </w:rPr>
              <w:t>The 2019-20 bushfires burnt two of the four known subpopulations (</w:t>
            </w:r>
            <w:r>
              <w:rPr>
                <w:rStyle w:val="Emphasis"/>
              </w:rPr>
              <w:t>DPIE</w:t>
            </w:r>
            <w:r w:rsidRPr="6C200F09">
              <w:rPr>
                <w:rStyle w:val="Emphasis"/>
              </w:rPr>
              <w:t xml:space="preserve"> 2021). Recruitment was observed at one of the two sites, however, the second </w:t>
            </w:r>
            <w:r w:rsidRPr="6C200F09">
              <w:rPr>
                <w:rStyle w:val="Emphasis"/>
              </w:rPr>
              <w:lastRenderedPageBreak/>
              <w:t xml:space="preserve">has not been surveyed. </w:t>
            </w:r>
            <w:r>
              <w:rPr>
                <w:rStyle w:val="Emphasis"/>
              </w:rPr>
              <w:t>It is unknown if these sites have been affected by herbivores.</w:t>
            </w:r>
          </w:p>
        </w:tc>
      </w:tr>
      <w:tr w:rsidR="006C53CB" w14:paraId="5B71A0D5" w14:textId="77777777" w:rsidTr="000C6407">
        <w:tc>
          <w:tcPr>
            <w:tcW w:w="2122" w:type="dxa"/>
          </w:tcPr>
          <w:p w14:paraId="2022ABA3" w14:textId="77777777" w:rsidR="006C53CB" w:rsidRPr="00647F93" w:rsidRDefault="006C53CB" w:rsidP="00647F93">
            <w:pPr>
              <w:pStyle w:val="TableText"/>
            </w:pPr>
            <w:r>
              <w:lastRenderedPageBreak/>
              <w:t xml:space="preserve">Trampling by humans </w:t>
            </w:r>
          </w:p>
        </w:tc>
        <w:tc>
          <w:tcPr>
            <w:tcW w:w="2551" w:type="dxa"/>
          </w:tcPr>
          <w:p w14:paraId="6D1F429C" w14:textId="77777777" w:rsidR="006C53CB" w:rsidRDefault="006C53CB" w:rsidP="006C53CB">
            <w:pPr>
              <w:pStyle w:val="TableBullet1"/>
              <w:keepNext/>
              <w:tabs>
                <w:tab w:val="clear" w:pos="360"/>
              </w:tabs>
            </w:pPr>
            <w:r>
              <w:t>Timing: current</w:t>
            </w:r>
          </w:p>
          <w:p w14:paraId="634B55ED" w14:textId="77777777" w:rsidR="006C53CB" w:rsidRDefault="006C53CB" w:rsidP="006C53CB">
            <w:pPr>
              <w:pStyle w:val="TableBullet1"/>
              <w:keepNext/>
              <w:tabs>
                <w:tab w:val="clear" w:pos="360"/>
              </w:tabs>
            </w:pPr>
            <w:r>
              <w:t>Confidence: suspected</w:t>
            </w:r>
          </w:p>
          <w:p w14:paraId="5C2C5DA8" w14:textId="77777777" w:rsidR="006C53CB" w:rsidRDefault="006C53CB" w:rsidP="006C53CB">
            <w:pPr>
              <w:pStyle w:val="TableBullet1"/>
              <w:keepNext/>
              <w:tabs>
                <w:tab w:val="clear" w:pos="360"/>
              </w:tabs>
            </w:pPr>
            <w:r>
              <w:t>Likelihood: possible</w:t>
            </w:r>
          </w:p>
          <w:p w14:paraId="2D11D9D6" w14:textId="77777777" w:rsidR="006C53CB" w:rsidRDefault="006C53CB" w:rsidP="006C53CB">
            <w:pPr>
              <w:pStyle w:val="TableBullet1"/>
              <w:keepNext/>
              <w:tabs>
                <w:tab w:val="clear" w:pos="360"/>
              </w:tabs>
            </w:pPr>
            <w:r>
              <w:t>Consequence: moderate</w:t>
            </w:r>
          </w:p>
          <w:p w14:paraId="20DEBE7C" w14:textId="77777777" w:rsidR="006C53CB" w:rsidRDefault="006C53CB" w:rsidP="006C53CB">
            <w:pPr>
              <w:pStyle w:val="TableBullet1"/>
              <w:keepNext/>
              <w:tabs>
                <w:tab w:val="clear" w:pos="360"/>
              </w:tabs>
            </w:pPr>
            <w:r>
              <w:t>Trend: unknown</w:t>
            </w:r>
          </w:p>
          <w:p w14:paraId="1C3E696D" w14:textId="77777777" w:rsidR="006C53CB" w:rsidRDefault="006C53CB" w:rsidP="006C53CB">
            <w:pPr>
              <w:pStyle w:val="TableBullet1"/>
              <w:keepNext/>
              <w:tabs>
                <w:tab w:val="clear" w:pos="360"/>
              </w:tabs>
            </w:pPr>
            <w:r>
              <w:t>Extent: across part of the range</w:t>
            </w:r>
          </w:p>
        </w:tc>
        <w:tc>
          <w:tcPr>
            <w:tcW w:w="4387" w:type="dxa"/>
          </w:tcPr>
          <w:p w14:paraId="215F2DED" w14:textId="77777777" w:rsidR="006C53CB" w:rsidRPr="00E97C03" w:rsidRDefault="006C53CB" w:rsidP="005F6B54">
            <w:pPr>
              <w:pStyle w:val="TableText"/>
            </w:pPr>
            <w:r w:rsidRPr="1F054AB6">
              <w:rPr>
                <w:rStyle w:val="Emphasis"/>
              </w:rPr>
              <w:t>Bertya mollissima</w:t>
            </w:r>
            <w:r>
              <w:t xml:space="preserve"> seedlings are vulnerable to trampling by humans, as the species occurs on summits and grows in cracks between boulders. The extent of this threat is unknown. However, the Mount Kaputar summit subpopulation occurs within close proximity to the summit lookout and summit walking track.</w:t>
            </w:r>
          </w:p>
        </w:tc>
      </w:tr>
      <w:tr w:rsidR="006C53CB" w14:paraId="30185991" w14:textId="77777777" w:rsidTr="1F054AB6">
        <w:tc>
          <w:tcPr>
            <w:tcW w:w="9060" w:type="dxa"/>
            <w:gridSpan w:val="3"/>
          </w:tcPr>
          <w:p w14:paraId="3133ED03" w14:textId="77777777" w:rsidR="006C53CB" w:rsidRDefault="006C53CB" w:rsidP="00C503D1">
            <w:pPr>
              <w:pStyle w:val="TableText"/>
            </w:pPr>
            <w:r w:rsidRPr="00D369E5">
              <w:t>Invasive species</w:t>
            </w:r>
          </w:p>
        </w:tc>
      </w:tr>
      <w:tr w:rsidR="006C53CB" w14:paraId="293E7CD0" w14:textId="77777777" w:rsidTr="000C6407">
        <w:tc>
          <w:tcPr>
            <w:tcW w:w="2122" w:type="dxa"/>
          </w:tcPr>
          <w:p w14:paraId="3130E279" w14:textId="77777777" w:rsidR="006C53CB" w:rsidRDefault="006C53CB" w:rsidP="00102381">
            <w:pPr>
              <w:pStyle w:val="TableText"/>
            </w:pPr>
            <w:r>
              <w:t>Grazing and trampling by feral goats</w:t>
            </w:r>
          </w:p>
        </w:tc>
        <w:tc>
          <w:tcPr>
            <w:tcW w:w="2551" w:type="dxa"/>
          </w:tcPr>
          <w:p w14:paraId="3B6D0AC8" w14:textId="77777777" w:rsidR="006C53CB" w:rsidRDefault="006C53CB" w:rsidP="006C53CB">
            <w:pPr>
              <w:pStyle w:val="TableBullet1"/>
              <w:keepNext/>
              <w:tabs>
                <w:tab w:val="clear" w:pos="360"/>
              </w:tabs>
            </w:pPr>
            <w:r>
              <w:t>Status: current</w:t>
            </w:r>
          </w:p>
          <w:p w14:paraId="614377CA" w14:textId="77777777" w:rsidR="006C53CB" w:rsidRDefault="006C53CB" w:rsidP="006C53CB">
            <w:pPr>
              <w:pStyle w:val="TableBullet1"/>
              <w:keepNext/>
              <w:tabs>
                <w:tab w:val="clear" w:pos="360"/>
              </w:tabs>
            </w:pPr>
            <w:r>
              <w:t>Confidence: suspected</w:t>
            </w:r>
          </w:p>
          <w:p w14:paraId="7457781E" w14:textId="77777777" w:rsidR="006C53CB" w:rsidRDefault="006C53CB" w:rsidP="006C53CB">
            <w:pPr>
              <w:pStyle w:val="TableBullet1"/>
              <w:keepNext/>
              <w:tabs>
                <w:tab w:val="clear" w:pos="360"/>
              </w:tabs>
            </w:pPr>
            <w:r>
              <w:t>Likelihood: likely</w:t>
            </w:r>
          </w:p>
          <w:p w14:paraId="5AA7FAC7" w14:textId="77777777" w:rsidR="006C53CB" w:rsidRDefault="006C53CB" w:rsidP="006C53CB">
            <w:pPr>
              <w:pStyle w:val="TableBullet1"/>
              <w:keepNext/>
              <w:tabs>
                <w:tab w:val="clear" w:pos="360"/>
              </w:tabs>
            </w:pPr>
            <w:r>
              <w:t>Consequence: moderate</w:t>
            </w:r>
          </w:p>
          <w:p w14:paraId="794C8313" w14:textId="77777777" w:rsidR="006C53CB" w:rsidRDefault="006C53CB" w:rsidP="006C53CB">
            <w:pPr>
              <w:pStyle w:val="TableBullet1"/>
              <w:keepNext/>
              <w:tabs>
                <w:tab w:val="clear" w:pos="360"/>
              </w:tabs>
            </w:pPr>
            <w:r>
              <w:t>Trend: unknown</w:t>
            </w:r>
          </w:p>
          <w:p w14:paraId="074D677E" w14:textId="77777777" w:rsidR="006C53CB" w:rsidRDefault="006C53CB" w:rsidP="006C53CB">
            <w:pPr>
              <w:pStyle w:val="TableBullet1"/>
              <w:keepNext/>
              <w:tabs>
                <w:tab w:val="clear" w:pos="360"/>
              </w:tabs>
            </w:pPr>
            <w:r>
              <w:t>Extent: across parts of the range</w:t>
            </w:r>
          </w:p>
        </w:tc>
        <w:tc>
          <w:tcPr>
            <w:tcW w:w="4387" w:type="dxa"/>
          </w:tcPr>
          <w:p w14:paraId="3F87FC5A" w14:textId="77777777" w:rsidR="006C53CB" w:rsidRDefault="006C53CB" w:rsidP="00F0028A">
            <w:pPr>
              <w:pStyle w:val="TableText"/>
            </w:pPr>
            <w:r>
              <w:t>Feral goats are</w:t>
            </w:r>
            <w:r w:rsidRPr="6C200F09">
              <w:rPr>
                <w:rStyle w:val="TableTextChar"/>
              </w:rPr>
              <w:t xml:space="preserve"> considered a threat to </w:t>
            </w:r>
            <w:r w:rsidRPr="6C200F09">
              <w:rPr>
                <w:rStyle w:val="TableTextChar"/>
                <w:i/>
                <w:iCs/>
              </w:rPr>
              <w:t>B</w:t>
            </w:r>
            <w:r>
              <w:rPr>
                <w:rStyle w:val="TableTextChar"/>
                <w:i/>
                <w:iCs/>
              </w:rPr>
              <w:t>.</w:t>
            </w:r>
            <w:r w:rsidRPr="6C200F09">
              <w:rPr>
                <w:rStyle w:val="TableTextChar"/>
                <w:i/>
                <w:iCs/>
              </w:rPr>
              <w:t xml:space="preserve"> mollissima </w:t>
            </w:r>
            <w:r w:rsidRPr="6C200F09">
              <w:rPr>
                <w:rStyle w:val="TableTextChar"/>
              </w:rPr>
              <w:t>(RBGDT 2020). Unlike many other feral herbivores, goats graze on the rocky outcrops and slopes that the species grows on, and are known to occur in the areas surrounding known subpopulations (</w:t>
            </w:r>
            <w:r>
              <w:t xml:space="preserve">NSW NPWS 2002b; 2012; 2021). Grazing by herbivores can act to significantly limit recruitment by affecting the establishment of seedlings, which constrains post-fire recovery (Legge et al. 2019). </w:t>
            </w:r>
          </w:p>
          <w:p w14:paraId="5EE8EFA5" w14:textId="77777777" w:rsidR="006C53CB" w:rsidRPr="0040353B" w:rsidRDefault="006C53CB" w:rsidP="00974B0F">
            <w:pPr>
              <w:pStyle w:val="TableText"/>
              <w:keepNext/>
            </w:pPr>
            <w:r>
              <w:t xml:space="preserve">The extent to which feral goats threaten </w:t>
            </w:r>
            <w:r w:rsidRPr="6C200F09">
              <w:rPr>
                <w:rStyle w:val="Emphasis"/>
              </w:rPr>
              <w:t>B. mollissima</w:t>
            </w:r>
            <w:r>
              <w:t xml:space="preserve"> is unknown as only one of the four known subpopulations have been surveyed. Mount Kaputar NP, Coolah Tops NP, and Warrumbungle NP are all known to have feral goat populations present. These populations are culled via aerial and occasional ground shooting (NSW NPWS 2002b; 2012; 2021).</w:t>
            </w:r>
          </w:p>
        </w:tc>
      </w:tr>
    </w:tbl>
    <w:p w14:paraId="5D46F24E" w14:textId="77777777" w:rsidR="006C53CB" w:rsidRPr="009A615F" w:rsidRDefault="006C53CB" w:rsidP="00FB52AC">
      <w:pPr>
        <w:pStyle w:val="FigureTableNoteSource"/>
      </w:pPr>
      <w:r w:rsidRPr="009F4586">
        <w:rPr>
          <w:vertAlign w:val="superscript"/>
        </w:rPr>
        <w:t>a</w:t>
      </w:r>
      <w:r>
        <w:t>Timing</w:t>
      </w:r>
      <w:r w:rsidRPr="009A615F">
        <w:t>—identif</w:t>
      </w:r>
      <w:r>
        <w:t>ies</w:t>
      </w:r>
      <w:r w:rsidRPr="009A615F">
        <w:t xml:space="preserve"> the temporal nature of the threat</w:t>
      </w:r>
    </w:p>
    <w:p w14:paraId="05CA83C4" w14:textId="77777777" w:rsidR="006C53CB" w:rsidRPr="009A615F" w:rsidRDefault="006C53CB" w:rsidP="00FB52AC">
      <w:pPr>
        <w:pStyle w:val="FigureTableNoteSource"/>
      </w:pPr>
      <w:r w:rsidRPr="009A615F">
        <w:t>Confidence—identif</w:t>
      </w:r>
      <w:r>
        <w:t>ies</w:t>
      </w:r>
      <w:r w:rsidRPr="009A615F">
        <w:t xml:space="preserve"> the </w:t>
      </w:r>
      <w:r>
        <w:t>nature of the evidence about</w:t>
      </w:r>
      <w:r w:rsidRPr="009A615F">
        <w:t xml:space="preserve"> the impact of the threat on the species</w:t>
      </w:r>
    </w:p>
    <w:p w14:paraId="452D991F" w14:textId="77777777" w:rsidR="006C53CB" w:rsidRDefault="006C53CB" w:rsidP="00FB52AC">
      <w:pPr>
        <w:pStyle w:val="FigureTableNoteSource"/>
      </w:pPr>
      <w:r>
        <w:t>Likelihood</w:t>
      </w:r>
      <w:r w:rsidRPr="009A615F">
        <w:t>—identif</w:t>
      </w:r>
      <w:r>
        <w:t>ies</w:t>
      </w:r>
      <w:r w:rsidRPr="009A615F">
        <w:t xml:space="preserve"> the</w:t>
      </w:r>
      <w:r>
        <w:t xml:space="preserve"> likelihood of the threat impacting on the whole population or extent of the species</w:t>
      </w:r>
    </w:p>
    <w:p w14:paraId="01580678" w14:textId="77777777" w:rsidR="006C53CB" w:rsidRPr="009A615F" w:rsidRDefault="006C53CB" w:rsidP="00FB52AC">
      <w:pPr>
        <w:pStyle w:val="FigureTableNoteSource"/>
      </w:pPr>
      <w:r w:rsidRPr="009A615F">
        <w:t>Consequence—identif</w:t>
      </w:r>
      <w:r>
        <w:t>ies</w:t>
      </w:r>
      <w:r w:rsidRPr="009A615F">
        <w:t xml:space="preserve"> the severity of the threat</w:t>
      </w:r>
    </w:p>
    <w:p w14:paraId="28FCD2A8" w14:textId="77777777" w:rsidR="006C53CB" w:rsidRPr="009A615F" w:rsidRDefault="006C53CB" w:rsidP="00FB52AC">
      <w:pPr>
        <w:pStyle w:val="FigureTableNoteSource"/>
      </w:pPr>
      <w:r w:rsidRPr="009A615F">
        <w:t>Trend—identif</w:t>
      </w:r>
      <w:r>
        <w:t>ies</w:t>
      </w:r>
      <w:r w:rsidRPr="009A615F">
        <w:t xml:space="preserve"> the extent to which it will continue to operate on the species</w:t>
      </w:r>
    </w:p>
    <w:p w14:paraId="062A3F31" w14:textId="77777777" w:rsidR="006C53CB" w:rsidRPr="006E3429" w:rsidRDefault="006C53CB" w:rsidP="006E3429">
      <w:pPr>
        <w:pStyle w:val="FigureTableNoteSource"/>
      </w:pPr>
      <w:r w:rsidRPr="009A615F">
        <w:t>Extent—identif</w:t>
      </w:r>
      <w:r>
        <w:t>ies</w:t>
      </w:r>
      <w:r w:rsidRPr="009A615F">
        <w:t xml:space="preserve"> its spatial conte</w:t>
      </w:r>
      <w:r>
        <w:t>x</w:t>
      </w:r>
      <w:r w:rsidRPr="009A615F">
        <w:t>t in terms of the range of the species</w:t>
      </w:r>
    </w:p>
    <w:p w14:paraId="1DC6F6B5" w14:textId="77777777" w:rsidR="006C53CB" w:rsidRDefault="006C53CB" w:rsidP="006E3429">
      <w:pPr>
        <w:pStyle w:val="FigureTableNoteSource"/>
        <w:rPr>
          <w:b/>
          <w:bCs/>
        </w:rPr>
      </w:pPr>
    </w:p>
    <w:p w14:paraId="74F34CEA" w14:textId="77777777" w:rsidR="006C53CB" w:rsidRDefault="006C53CB" w:rsidP="006E3429">
      <w:pPr>
        <w:pStyle w:val="FigureTableNoteSource"/>
        <w:rPr>
          <w:rFonts w:cs="Calibri"/>
          <w:b/>
          <w:bCs/>
          <w:szCs w:val="18"/>
        </w:rPr>
      </w:pPr>
      <w:r>
        <w:rPr>
          <w:b/>
          <w:bCs/>
        </w:rPr>
        <w:t>Categories for likelihood are defined as follows:</w:t>
      </w:r>
    </w:p>
    <w:p w14:paraId="34DA9652" w14:textId="77777777" w:rsidR="006C53CB" w:rsidRDefault="006C53CB" w:rsidP="006E3429">
      <w:pPr>
        <w:pStyle w:val="FigureTableNoteSource"/>
      </w:pPr>
      <w:r>
        <w:t>Almost certain – expected to occur every year</w:t>
      </w:r>
    </w:p>
    <w:p w14:paraId="40C599D6" w14:textId="77777777" w:rsidR="006C53CB" w:rsidRDefault="006C53CB" w:rsidP="006E3429">
      <w:pPr>
        <w:pStyle w:val="FigureTableNoteSource"/>
      </w:pPr>
      <w:r>
        <w:t>Likely – expected to occur at least once every five years</w:t>
      </w:r>
    </w:p>
    <w:p w14:paraId="77AB7C9B" w14:textId="77777777" w:rsidR="006C53CB" w:rsidRDefault="006C53CB" w:rsidP="006E3429">
      <w:pPr>
        <w:pStyle w:val="FigureTableNoteSource"/>
      </w:pPr>
      <w:r>
        <w:t>Possible – might occur at some time</w:t>
      </w:r>
    </w:p>
    <w:p w14:paraId="08D84CA9" w14:textId="77777777" w:rsidR="006C53CB" w:rsidRDefault="006C53CB" w:rsidP="006E3429">
      <w:pPr>
        <w:pStyle w:val="FigureTableNoteSource"/>
      </w:pPr>
      <w:r>
        <w:t>Unlikely –known to have occurred only a few times</w:t>
      </w:r>
    </w:p>
    <w:p w14:paraId="6D0196BB" w14:textId="77777777" w:rsidR="006C53CB" w:rsidRDefault="006C53CB" w:rsidP="006E3429">
      <w:pPr>
        <w:pStyle w:val="FigureTableNoteSource"/>
      </w:pPr>
      <w:r>
        <w:t>Unknown – currently unknown how often the threat will occur</w:t>
      </w:r>
    </w:p>
    <w:p w14:paraId="71006BA2" w14:textId="77777777" w:rsidR="006C53CB" w:rsidRDefault="006C53CB" w:rsidP="006E3429">
      <w:pPr>
        <w:pStyle w:val="FigureTableNoteSource"/>
        <w:rPr>
          <w:b/>
          <w:bCs/>
        </w:rPr>
      </w:pPr>
      <w:r>
        <w:rPr>
          <w:b/>
          <w:bCs/>
        </w:rPr>
        <w:t xml:space="preserve">Categories for consequences are defined as follows: </w:t>
      </w:r>
    </w:p>
    <w:p w14:paraId="382E0EAD" w14:textId="77777777" w:rsidR="006C53CB" w:rsidRDefault="006C53CB" w:rsidP="006E3429">
      <w:pPr>
        <w:pStyle w:val="FigureTableNoteSource"/>
      </w:pPr>
      <w:r>
        <w:t>Not significant – no long-term effect on individuals or populations</w:t>
      </w:r>
    </w:p>
    <w:p w14:paraId="59F5E12E" w14:textId="77777777" w:rsidR="006C53CB" w:rsidRDefault="006C53CB" w:rsidP="006E3429">
      <w:pPr>
        <w:pStyle w:val="FigureTableNoteSource"/>
      </w:pPr>
      <w:r>
        <w:t>Minor – individuals are adversely affected but no effect at population level</w:t>
      </w:r>
    </w:p>
    <w:p w14:paraId="48CC95D9" w14:textId="77777777" w:rsidR="006C53CB" w:rsidRDefault="006C53CB" w:rsidP="006E3429">
      <w:pPr>
        <w:pStyle w:val="FigureTableNoteSource"/>
      </w:pPr>
      <w:r>
        <w:t>Moderate – population recovery stable or declining</w:t>
      </w:r>
    </w:p>
    <w:p w14:paraId="6B9D9480" w14:textId="77777777" w:rsidR="006C53CB" w:rsidRDefault="006C53CB" w:rsidP="006E3429">
      <w:pPr>
        <w:pStyle w:val="FigureTableNoteSource"/>
        <w:spacing w:before="0"/>
      </w:pPr>
      <w:r>
        <w:t>Major – population decline is ongoing</w:t>
      </w:r>
    </w:p>
    <w:p w14:paraId="1756D735" w14:textId="77777777" w:rsidR="006C53CB" w:rsidRPr="006E3429" w:rsidRDefault="006C53CB" w:rsidP="006E3429">
      <w:pPr>
        <w:pStyle w:val="FigureTableNoteSource"/>
        <w:spacing w:before="0"/>
      </w:pPr>
      <w:r>
        <w:t>Catastrophic – population trajectory close to extinction</w:t>
      </w:r>
    </w:p>
    <w:p w14:paraId="798AC486" w14:textId="7985BFAF" w:rsidR="006C53CB" w:rsidRDefault="006C53CB">
      <w:bookmarkStart w:id="10" w:name="_Toc430782162"/>
      <w:bookmarkStart w:id="11" w:name="_Toc511376531"/>
      <w:r>
        <w:t>Each threat has been described in Table 2 in terms of the extent that it is operating on the species. The risk matrix (</w:t>
      </w:r>
      <w:r>
        <w:fldChar w:fldCharType="begin"/>
      </w:r>
      <w:r>
        <w:instrText xml:space="preserve"> REF _Ref43127879 \h </w:instrText>
      </w:r>
      <w:r>
        <w:fldChar w:fldCharType="separate"/>
      </w:r>
      <w:r w:rsidR="00A82C60">
        <w:t xml:space="preserve">Table </w:t>
      </w:r>
      <w:r>
        <w:fldChar w:fldCharType="end"/>
      </w:r>
      <w:r>
        <w:t>3) provides a visual depiction of the level of risk being imposed by a threat and supports the prioritisation of subsequent management and conservation actions. In preparing a risk matrix, several factors have been taken into consideration, they are: the life stage they affect; the duration of the impact; the spatial extent, and the efficacy of curre</w:t>
      </w:r>
      <w:r w:rsidRPr="00B038DF">
        <w:t xml:space="preserve">nt management regimes, assuming that management will continue to be applied </w:t>
      </w:r>
      <w:r w:rsidRPr="00B038DF">
        <w:lastRenderedPageBreak/>
        <w:t xml:space="preserve">appropriately. The risk matrix and ranking of threats has been developed </w:t>
      </w:r>
      <w:r w:rsidRPr="0049234A">
        <w:t>in consultation with experts and</w:t>
      </w:r>
      <w:r w:rsidRPr="00B038DF">
        <w:t xml:space="preserve"> using available literature.</w:t>
      </w:r>
    </w:p>
    <w:p w14:paraId="5BA23254" w14:textId="77777777" w:rsidR="006C53CB" w:rsidRDefault="006C53CB" w:rsidP="005C125F">
      <w:pPr>
        <w:pStyle w:val="Caption"/>
        <w:keepLines/>
      </w:pPr>
      <w:bookmarkStart w:id="12" w:name="_Ref43127879"/>
      <w:r>
        <w:t xml:space="preserve">Table </w:t>
      </w:r>
      <w:bookmarkEnd w:id="12"/>
      <w:r>
        <w:rPr>
          <w:noProof/>
        </w:rPr>
        <w:t>3</w:t>
      </w:r>
      <w:r>
        <w:t xml:space="preserve"> Risk Matrix</w:t>
      </w:r>
    </w:p>
    <w:p w14:paraId="78719ED9" w14:textId="77777777" w:rsidR="006C53CB" w:rsidRPr="001A3C77" w:rsidRDefault="006C53CB" w:rsidP="005C125F">
      <w:pPr>
        <w:pStyle w:val="Instructiontext"/>
        <w:keepNext/>
        <w:keepLines/>
      </w:pPr>
    </w:p>
    <w:tbl>
      <w:tblPr>
        <w:tblStyle w:val="TableGrid"/>
        <w:tblW w:w="8824" w:type="dxa"/>
        <w:tblCellMar>
          <w:top w:w="85" w:type="dxa"/>
          <w:bottom w:w="85" w:type="dxa"/>
        </w:tblCellMar>
        <w:tblLook w:val="04A0" w:firstRow="1" w:lastRow="0" w:firstColumn="1" w:lastColumn="0" w:noHBand="0" w:noVBand="1"/>
      </w:tblPr>
      <w:tblGrid>
        <w:gridCol w:w="1402"/>
        <w:gridCol w:w="1384"/>
        <w:gridCol w:w="1076"/>
        <w:gridCol w:w="1803"/>
        <w:gridCol w:w="1843"/>
        <w:gridCol w:w="1316"/>
      </w:tblGrid>
      <w:tr w:rsidR="006C53CB" w14:paraId="33E5E349" w14:textId="77777777" w:rsidTr="000C6407">
        <w:trPr>
          <w:tblHeader/>
        </w:trPr>
        <w:tc>
          <w:tcPr>
            <w:tcW w:w="1402" w:type="dxa"/>
            <w:vMerge w:val="restart"/>
          </w:tcPr>
          <w:p w14:paraId="39E7DEF9" w14:textId="77777777" w:rsidR="006C53CB" w:rsidRDefault="006C53CB" w:rsidP="001C2426">
            <w:pPr>
              <w:pStyle w:val="TableHeading"/>
              <w:spacing w:before="0" w:after="0"/>
            </w:pPr>
            <w:r>
              <w:t>Likelihood</w:t>
            </w:r>
          </w:p>
        </w:tc>
        <w:tc>
          <w:tcPr>
            <w:tcW w:w="7422" w:type="dxa"/>
            <w:gridSpan w:val="5"/>
          </w:tcPr>
          <w:p w14:paraId="0F61BEEA" w14:textId="77777777" w:rsidR="006C53CB" w:rsidRDefault="006C53CB" w:rsidP="001C2426">
            <w:pPr>
              <w:pStyle w:val="TableHeading"/>
              <w:spacing w:before="0" w:after="0"/>
            </w:pPr>
            <w:r>
              <w:t>Consequences</w:t>
            </w:r>
          </w:p>
        </w:tc>
      </w:tr>
      <w:tr w:rsidR="006C53CB" w14:paraId="2C8AA320" w14:textId="77777777" w:rsidTr="000C6407">
        <w:trPr>
          <w:tblHeader/>
        </w:trPr>
        <w:tc>
          <w:tcPr>
            <w:tcW w:w="1402" w:type="dxa"/>
            <w:vMerge/>
          </w:tcPr>
          <w:p w14:paraId="154D3DEA" w14:textId="77777777" w:rsidR="006C53CB" w:rsidRDefault="006C53CB" w:rsidP="001C2426">
            <w:pPr>
              <w:pStyle w:val="TableHeading"/>
              <w:spacing w:before="0" w:after="0"/>
            </w:pPr>
          </w:p>
        </w:tc>
        <w:tc>
          <w:tcPr>
            <w:tcW w:w="1384" w:type="dxa"/>
          </w:tcPr>
          <w:p w14:paraId="4F4CFE0B" w14:textId="77777777" w:rsidR="006C53CB" w:rsidRDefault="006C53CB" w:rsidP="001C2426">
            <w:pPr>
              <w:pStyle w:val="TableHeading"/>
              <w:spacing w:before="0" w:after="0"/>
            </w:pPr>
            <w:r>
              <w:t>Not significant</w:t>
            </w:r>
          </w:p>
        </w:tc>
        <w:tc>
          <w:tcPr>
            <w:tcW w:w="1076" w:type="dxa"/>
          </w:tcPr>
          <w:p w14:paraId="57BAC323" w14:textId="77777777" w:rsidR="006C53CB" w:rsidRDefault="006C53CB" w:rsidP="001C2426">
            <w:pPr>
              <w:pStyle w:val="TableHeading"/>
              <w:spacing w:before="0" w:after="0"/>
            </w:pPr>
            <w:r>
              <w:t>Minor</w:t>
            </w:r>
          </w:p>
        </w:tc>
        <w:tc>
          <w:tcPr>
            <w:tcW w:w="1803" w:type="dxa"/>
          </w:tcPr>
          <w:p w14:paraId="32DCF912" w14:textId="77777777" w:rsidR="006C53CB" w:rsidRDefault="006C53CB" w:rsidP="001C2426">
            <w:pPr>
              <w:pStyle w:val="TableHeading"/>
              <w:spacing w:before="0" w:after="0"/>
            </w:pPr>
            <w:r>
              <w:t>Moderate</w:t>
            </w:r>
          </w:p>
        </w:tc>
        <w:tc>
          <w:tcPr>
            <w:tcW w:w="1843" w:type="dxa"/>
          </w:tcPr>
          <w:p w14:paraId="624BFBD5" w14:textId="77777777" w:rsidR="006C53CB" w:rsidRDefault="006C53CB" w:rsidP="001C2426">
            <w:pPr>
              <w:pStyle w:val="TableHeading"/>
              <w:spacing w:before="0" w:after="0"/>
            </w:pPr>
            <w:r>
              <w:t>Major</w:t>
            </w:r>
          </w:p>
        </w:tc>
        <w:tc>
          <w:tcPr>
            <w:tcW w:w="1316" w:type="dxa"/>
          </w:tcPr>
          <w:p w14:paraId="1809017C" w14:textId="77777777" w:rsidR="006C53CB" w:rsidRDefault="006C53CB" w:rsidP="001C2426">
            <w:pPr>
              <w:pStyle w:val="TableHeading"/>
              <w:spacing w:before="0" w:after="0"/>
            </w:pPr>
            <w:r>
              <w:t>Catastrophic</w:t>
            </w:r>
          </w:p>
        </w:tc>
      </w:tr>
      <w:tr w:rsidR="006C53CB" w14:paraId="036C07F4" w14:textId="77777777" w:rsidTr="000C6407">
        <w:trPr>
          <w:tblHeader/>
        </w:trPr>
        <w:tc>
          <w:tcPr>
            <w:tcW w:w="1402" w:type="dxa"/>
          </w:tcPr>
          <w:p w14:paraId="5DA0DB7D" w14:textId="77777777" w:rsidR="006C53CB" w:rsidRPr="00774EAA" w:rsidRDefault="006C53CB" w:rsidP="001C2426">
            <w:pPr>
              <w:pStyle w:val="TableText"/>
              <w:keepNext/>
              <w:spacing w:before="0" w:after="0"/>
              <w:rPr>
                <w:rStyle w:val="Strong"/>
                <w:sz w:val="22"/>
              </w:rPr>
            </w:pPr>
            <w:r w:rsidRPr="00774EAA">
              <w:rPr>
                <w:rStyle w:val="Strong"/>
              </w:rPr>
              <w:t>Almost certain</w:t>
            </w:r>
          </w:p>
        </w:tc>
        <w:tc>
          <w:tcPr>
            <w:tcW w:w="1384" w:type="dxa"/>
            <w:shd w:val="clear" w:color="auto" w:fill="C9C9C9" w:themeFill="accent3" w:themeFillTint="99"/>
          </w:tcPr>
          <w:p w14:paraId="7F113494" w14:textId="77777777" w:rsidR="006C53CB" w:rsidRDefault="006C53CB" w:rsidP="001C2426">
            <w:pPr>
              <w:pStyle w:val="TableText"/>
              <w:keepNext/>
              <w:spacing w:before="0" w:after="0"/>
            </w:pPr>
          </w:p>
        </w:tc>
        <w:tc>
          <w:tcPr>
            <w:tcW w:w="1076" w:type="dxa"/>
            <w:shd w:val="clear" w:color="auto" w:fill="ACB9CA" w:themeFill="text2" w:themeFillTint="66"/>
          </w:tcPr>
          <w:p w14:paraId="521B20BA" w14:textId="77777777" w:rsidR="006C53CB" w:rsidRDefault="006C53CB" w:rsidP="001C2426">
            <w:pPr>
              <w:pStyle w:val="TableText"/>
              <w:keepNext/>
              <w:spacing w:before="0" w:after="0"/>
            </w:pPr>
          </w:p>
        </w:tc>
        <w:tc>
          <w:tcPr>
            <w:tcW w:w="1803" w:type="dxa"/>
            <w:shd w:val="clear" w:color="auto" w:fill="F4B083" w:themeFill="accent2" w:themeFillTint="99"/>
          </w:tcPr>
          <w:p w14:paraId="75C36F49" w14:textId="77777777" w:rsidR="006C53CB" w:rsidRDefault="006C53CB" w:rsidP="001C2426">
            <w:pPr>
              <w:pStyle w:val="TableText"/>
              <w:keepNext/>
              <w:spacing w:before="0" w:after="0"/>
            </w:pPr>
          </w:p>
        </w:tc>
        <w:tc>
          <w:tcPr>
            <w:tcW w:w="1843" w:type="dxa"/>
            <w:shd w:val="clear" w:color="auto" w:fill="F4B083" w:themeFill="accent2" w:themeFillTint="99"/>
          </w:tcPr>
          <w:p w14:paraId="65913D0D" w14:textId="77777777" w:rsidR="006C53CB" w:rsidRDefault="006C53CB" w:rsidP="6C200F09">
            <w:pPr>
              <w:pStyle w:val="TableText"/>
              <w:keepNext/>
              <w:spacing w:before="0" w:after="0"/>
              <w:rPr>
                <w:b/>
                <w:bCs/>
              </w:rPr>
            </w:pPr>
          </w:p>
          <w:p w14:paraId="0FE00D8B" w14:textId="77777777" w:rsidR="006C53CB" w:rsidRDefault="006C53CB" w:rsidP="6C200F09">
            <w:pPr>
              <w:pStyle w:val="TableText"/>
              <w:keepNext/>
              <w:spacing w:before="0" w:after="0"/>
              <w:rPr>
                <w:rFonts w:eastAsia="Calibri"/>
                <w:szCs w:val="18"/>
              </w:rPr>
            </w:pPr>
          </w:p>
        </w:tc>
        <w:tc>
          <w:tcPr>
            <w:tcW w:w="1316" w:type="dxa"/>
            <w:shd w:val="clear" w:color="auto" w:fill="F4B083" w:themeFill="accent2" w:themeFillTint="99"/>
          </w:tcPr>
          <w:p w14:paraId="21743D9A" w14:textId="77777777" w:rsidR="006C53CB" w:rsidRPr="00B1359C" w:rsidRDefault="006C53CB" w:rsidP="001C2426">
            <w:pPr>
              <w:pStyle w:val="TableText"/>
              <w:keepNext/>
              <w:spacing w:before="0" w:after="0"/>
              <w:rPr>
                <w:b/>
                <w:bCs/>
              </w:rPr>
            </w:pPr>
          </w:p>
        </w:tc>
      </w:tr>
      <w:tr w:rsidR="006C53CB" w14:paraId="11C9E332" w14:textId="77777777" w:rsidTr="000C6407">
        <w:trPr>
          <w:tblHeader/>
        </w:trPr>
        <w:tc>
          <w:tcPr>
            <w:tcW w:w="1402" w:type="dxa"/>
          </w:tcPr>
          <w:p w14:paraId="6279C84C" w14:textId="77777777" w:rsidR="006C53CB" w:rsidRPr="00774EAA" w:rsidRDefault="006C53CB" w:rsidP="001C2426">
            <w:pPr>
              <w:pStyle w:val="TableText"/>
              <w:keepNext/>
              <w:spacing w:before="0" w:after="0"/>
              <w:rPr>
                <w:rStyle w:val="Strong"/>
                <w:sz w:val="22"/>
              </w:rPr>
            </w:pPr>
            <w:r w:rsidRPr="00774EAA">
              <w:rPr>
                <w:rStyle w:val="Strong"/>
              </w:rPr>
              <w:t>Likely</w:t>
            </w:r>
          </w:p>
        </w:tc>
        <w:tc>
          <w:tcPr>
            <w:tcW w:w="1384" w:type="dxa"/>
            <w:shd w:val="clear" w:color="auto" w:fill="C9C9C9" w:themeFill="accent3" w:themeFillTint="99"/>
          </w:tcPr>
          <w:p w14:paraId="7505EF56" w14:textId="77777777" w:rsidR="006C53CB" w:rsidRDefault="006C53CB" w:rsidP="001C2426">
            <w:pPr>
              <w:pStyle w:val="TableText"/>
              <w:keepNext/>
              <w:spacing w:before="0" w:after="0"/>
            </w:pPr>
          </w:p>
        </w:tc>
        <w:tc>
          <w:tcPr>
            <w:tcW w:w="1076" w:type="dxa"/>
            <w:shd w:val="clear" w:color="auto" w:fill="ACB9CA" w:themeFill="text2" w:themeFillTint="66"/>
          </w:tcPr>
          <w:p w14:paraId="7FBBAD60" w14:textId="77777777" w:rsidR="006C53CB" w:rsidRDefault="006C53CB" w:rsidP="001C2426">
            <w:pPr>
              <w:pStyle w:val="TableText"/>
              <w:keepNext/>
              <w:spacing w:before="0" w:after="0"/>
            </w:pPr>
          </w:p>
        </w:tc>
        <w:tc>
          <w:tcPr>
            <w:tcW w:w="1803" w:type="dxa"/>
            <w:shd w:val="clear" w:color="auto" w:fill="FFC000"/>
          </w:tcPr>
          <w:p w14:paraId="5DF734E2" w14:textId="77777777" w:rsidR="006C53CB" w:rsidRDefault="006C53CB" w:rsidP="6C200F09">
            <w:pPr>
              <w:pStyle w:val="TableText"/>
              <w:keepNext/>
              <w:spacing w:before="0" w:after="0"/>
              <w:rPr>
                <w:rFonts w:eastAsia="Calibri"/>
                <w:b/>
                <w:bCs/>
                <w:szCs w:val="18"/>
              </w:rPr>
            </w:pPr>
            <w:r w:rsidRPr="6C200F09">
              <w:rPr>
                <w:b/>
                <w:bCs/>
              </w:rPr>
              <w:t>Grazing and trampling by feral goats</w:t>
            </w:r>
          </w:p>
        </w:tc>
        <w:tc>
          <w:tcPr>
            <w:tcW w:w="1843" w:type="dxa"/>
            <w:shd w:val="clear" w:color="auto" w:fill="F4B083" w:themeFill="accent2" w:themeFillTint="99"/>
          </w:tcPr>
          <w:p w14:paraId="6FB4A96D" w14:textId="77777777" w:rsidR="006C53CB" w:rsidRDefault="006C53CB" w:rsidP="001C2426">
            <w:pPr>
              <w:pStyle w:val="TableText"/>
              <w:keepNext/>
              <w:spacing w:before="0" w:after="0"/>
              <w:rPr>
                <w:b/>
                <w:bCs/>
              </w:rPr>
            </w:pPr>
            <w:r>
              <w:rPr>
                <w:b/>
                <w:bCs/>
              </w:rPr>
              <w:t>Changes to temperature and precipitation patterns</w:t>
            </w:r>
          </w:p>
          <w:p w14:paraId="00D4A6F3" w14:textId="77777777" w:rsidR="006C53CB" w:rsidRDefault="006C53CB" w:rsidP="001C2426">
            <w:pPr>
              <w:pStyle w:val="TableText"/>
              <w:keepNext/>
              <w:spacing w:before="0" w:after="0"/>
              <w:rPr>
                <w:b/>
                <w:bCs/>
              </w:rPr>
            </w:pPr>
          </w:p>
          <w:p w14:paraId="79155E90" w14:textId="77777777" w:rsidR="006C53CB" w:rsidRPr="00C83864" w:rsidRDefault="006C53CB" w:rsidP="001C2426">
            <w:pPr>
              <w:pStyle w:val="TableText"/>
              <w:keepNext/>
              <w:spacing w:before="0" w:after="0"/>
              <w:rPr>
                <w:b/>
                <w:bCs/>
              </w:rPr>
            </w:pPr>
            <w:r w:rsidRPr="00C83864">
              <w:rPr>
                <w:b/>
                <w:bCs/>
              </w:rPr>
              <w:t>Inappropriate fire regimes</w:t>
            </w:r>
          </w:p>
        </w:tc>
        <w:tc>
          <w:tcPr>
            <w:tcW w:w="1316" w:type="dxa"/>
            <w:shd w:val="clear" w:color="auto" w:fill="F4B083" w:themeFill="accent2" w:themeFillTint="99"/>
          </w:tcPr>
          <w:p w14:paraId="43D9B38C" w14:textId="77777777" w:rsidR="006C53CB" w:rsidRPr="008D5C40" w:rsidRDefault="006C53CB" w:rsidP="001C2426">
            <w:pPr>
              <w:pStyle w:val="TableText"/>
              <w:keepNext/>
              <w:spacing w:before="0" w:after="0"/>
              <w:rPr>
                <w:b/>
                <w:bCs/>
              </w:rPr>
            </w:pPr>
          </w:p>
        </w:tc>
      </w:tr>
      <w:tr w:rsidR="006C53CB" w14:paraId="01E1BBC9" w14:textId="77777777" w:rsidTr="000C6407">
        <w:trPr>
          <w:tblHeader/>
        </w:trPr>
        <w:tc>
          <w:tcPr>
            <w:tcW w:w="1402" w:type="dxa"/>
          </w:tcPr>
          <w:p w14:paraId="091DA6C5" w14:textId="77777777" w:rsidR="006C53CB" w:rsidRPr="00774EAA" w:rsidRDefault="006C53CB" w:rsidP="001C2426">
            <w:pPr>
              <w:pStyle w:val="TableText"/>
              <w:keepNext/>
              <w:spacing w:before="0" w:after="0"/>
              <w:rPr>
                <w:rStyle w:val="Strong"/>
                <w:sz w:val="22"/>
              </w:rPr>
            </w:pPr>
            <w:r w:rsidRPr="00774EAA">
              <w:rPr>
                <w:rStyle w:val="Strong"/>
              </w:rPr>
              <w:t>Possible</w:t>
            </w:r>
          </w:p>
        </w:tc>
        <w:tc>
          <w:tcPr>
            <w:tcW w:w="1384" w:type="dxa"/>
            <w:shd w:val="clear" w:color="auto" w:fill="C9C9C9" w:themeFill="accent3" w:themeFillTint="99"/>
          </w:tcPr>
          <w:p w14:paraId="5193907B" w14:textId="77777777" w:rsidR="006C53CB" w:rsidRDefault="006C53CB" w:rsidP="001C2426">
            <w:pPr>
              <w:pStyle w:val="TableText"/>
              <w:keepNext/>
              <w:spacing w:before="0" w:after="0"/>
            </w:pPr>
          </w:p>
        </w:tc>
        <w:tc>
          <w:tcPr>
            <w:tcW w:w="1076" w:type="dxa"/>
            <w:shd w:val="clear" w:color="auto" w:fill="ACB9CA" w:themeFill="text2" w:themeFillTint="66"/>
          </w:tcPr>
          <w:p w14:paraId="251AB260" w14:textId="77777777" w:rsidR="006C53CB" w:rsidRPr="00663987" w:rsidRDefault="006C53CB" w:rsidP="001C2426">
            <w:pPr>
              <w:pStyle w:val="TableText"/>
              <w:keepNext/>
              <w:spacing w:before="0" w:after="0"/>
              <w:rPr>
                <w:b/>
                <w:bCs/>
              </w:rPr>
            </w:pPr>
          </w:p>
        </w:tc>
        <w:tc>
          <w:tcPr>
            <w:tcW w:w="1803" w:type="dxa"/>
            <w:shd w:val="clear" w:color="auto" w:fill="FFC000"/>
          </w:tcPr>
          <w:p w14:paraId="0C39D1BD" w14:textId="77777777" w:rsidR="006C53CB" w:rsidRDefault="006C53CB" w:rsidP="001C2426">
            <w:pPr>
              <w:pStyle w:val="TableText"/>
              <w:keepNext/>
              <w:spacing w:before="0" w:after="0"/>
              <w:rPr>
                <w:b/>
                <w:bCs/>
              </w:rPr>
            </w:pPr>
            <w:r>
              <w:br/>
            </w:r>
          </w:p>
          <w:p w14:paraId="212FF05E" w14:textId="77777777" w:rsidR="006C53CB" w:rsidRPr="00B1359C" w:rsidRDefault="006C53CB" w:rsidP="000C6407">
            <w:pPr>
              <w:pStyle w:val="TableText"/>
              <w:keepNext/>
              <w:spacing w:before="0"/>
              <w:rPr>
                <w:rFonts w:eastAsia="Calibri"/>
                <w:b/>
                <w:bCs/>
                <w:szCs w:val="18"/>
              </w:rPr>
            </w:pPr>
            <w:r w:rsidRPr="1F054AB6">
              <w:rPr>
                <w:b/>
                <w:bCs/>
              </w:rPr>
              <w:t>Trampling by humans</w:t>
            </w:r>
          </w:p>
        </w:tc>
        <w:tc>
          <w:tcPr>
            <w:tcW w:w="1843" w:type="dxa"/>
            <w:shd w:val="clear" w:color="auto" w:fill="F4B083" w:themeFill="accent2" w:themeFillTint="99"/>
          </w:tcPr>
          <w:p w14:paraId="4724FC2C" w14:textId="77777777" w:rsidR="006C53CB" w:rsidRDefault="006C53CB" w:rsidP="001C2426">
            <w:pPr>
              <w:pStyle w:val="TableText"/>
              <w:keepNext/>
              <w:spacing w:before="0" w:after="0"/>
            </w:pPr>
          </w:p>
        </w:tc>
        <w:tc>
          <w:tcPr>
            <w:tcW w:w="1316" w:type="dxa"/>
            <w:shd w:val="clear" w:color="auto" w:fill="F4B083" w:themeFill="accent2" w:themeFillTint="99"/>
          </w:tcPr>
          <w:p w14:paraId="70EAFC66" w14:textId="77777777" w:rsidR="006C53CB" w:rsidRDefault="006C53CB" w:rsidP="001C2426">
            <w:pPr>
              <w:pStyle w:val="TableText"/>
              <w:keepNext/>
              <w:spacing w:before="0" w:after="0"/>
            </w:pPr>
          </w:p>
        </w:tc>
      </w:tr>
      <w:tr w:rsidR="006C53CB" w14:paraId="226B6667" w14:textId="77777777" w:rsidTr="000C6407">
        <w:trPr>
          <w:tblHeader/>
        </w:trPr>
        <w:tc>
          <w:tcPr>
            <w:tcW w:w="1402" w:type="dxa"/>
          </w:tcPr>
          <w:p w14:paraId="4BEDC2B2" w14:textId="77777777" w:rsidR="006C53CB" w:rsidRPr="00774EAA" w:rsidRDefault="006C53CB" w:rsidP="001C2426">
            <w:pPr>
              <w:pStyle w:val="TableText"/>
              <w:keepNext/>
              <w:spacing w:before="0" w:after="0"/>
              <w:rPr>
                <w:rStyle w:val="Strong"/>
                <w:sz w:val="22"/>
              </w:rPr>
            </w:pPr>
            <w:r w:rsidRPr="00774EAA">
              <w:rPr>
                <w:rStyle w:val="Strong"/>
              </w:rPr>
              <w:t>Unlikely</w:t>
            </w:r>
          </w:p>
        </w:tc>
        <w:tc>
          <w:tcPr>
            <w:tcW w:w="1384" w:type="dxa"/>
            <w:shd w:val="clear" w:color="auto" w:fill="C9C9C9" w:themeFill="accent3" w:themeFillTint="99"/>
          </w:tcPr>
          <w:p w14:paraId="7B52F4BD" w14:textId="77777777" w:rsidR="006C53CB" w:rsidRDefault="006C53CB" w:rsidP="001C2426">
            <w:pPr>
              <w:pStyle w:val="TableText"/>
              <w:keepNext/>
              <w:spacing w:before="0" w:after="0"/>
            </w:pPr>
          </w:p>
        </w:tc>
        <w:tc>
          <w:tcPr>
            <w:tcW w:w="1076" w:type="dxa"/>
            <w:shd w:val="clear" w:color="auto" w:fill="C9C9C9" w:themeFill="accent3" w:themeFillTint="99"/>
          </w:tcPr>
          <w:p w14:paraId="3883F1D8" w14:textId="77777777" w:rsidR="006C53CB" w:rsidRDefault="006C53CB" w:rsidP="001C2426">
            <w:pPr>
              <w:pStyle w:val="TableText"/>
              <w:keepNext/>
              <w:spacing w:before="0" w:after="0"/>
            </w:pPr>
          </w:p>
        </w:tc>
        <w:tc>
          <w:tcPr>
            <w:tcW w:w="1803" w:type="dxa"/>
            <w:shd w:val="clear" w:color="auto" w:fill="ACB9CA" w:themeFill="text2" w:themeFillTint="66"/>
          </w:tcPr>
          <w:p w14:paraId="38E1B69F" w14:textId="77777777" w:rsidR="006C53CB" w:rsidRDefault="006C53CB" w:rsidP="001C2426">
            <w:pPr>
              <w:pStyle w:val="TableText"/>
              <w:keepNext/>
              <w:spacing w:before="0" w:after="0"/>
            </w:pPr>
          </w:p>
        </w:tc>
        <w:tc>
          <w:tcPr>
            <w:tcW w:w="1843" w:type="dxa"/>
            <w:shd w:val="clear" w:color="auto" w:fill="FFC000"/>
          </w:tcPr>
          <w:p w14:paraId="4627D2B8" w14:textId="77777777" w:rsidR="006C53CB" w:rsidRDefault="006C53CB" w:rsidP="001C2426">
            <w:pPr>
              <w:pStyle w:val="TableText"/>
              <w:keepNext/>
              <w:spacing w:before="0" w:after="0"/>
            </w:pPr>
          </w:p>
        </w:tc>
        <w:tc>
          <w:tcPr>
            <w:tcW w:w="1316" w:type="dxa"/>
            <w:shd w:val="clear" w:color="auto" w:fill="F4B083" w:themeFill="accent2" w:themeFillTint="99"/>
          </w:tcPr>
          <w:p w14:paraId="00CBB856" w14:textId="77777777" w:rsidR="006C53CB" w:rsidRDefault="006C53CB" w:rsidP="001C2426">
            <w:pPr>
              <w:pStyle w:val="TableText"/>
              <w:keepNext/>
              <w:spacing w:before="0" w:after="0"/>
            </w:pPr>
          </w:p>
        </w:tc>
      </w:tr>
      <w:tr w:rsidR="006C53CB" w14:paraId="4E4CF94E" w14:textId="77777777" w:rsidTr="000C6407">
        <w:trPr>
          <w:tblHeader/>
        </w:trPr>
        <w:tc>
          <w:tcPr>
            <w:tcW w:w="1402" w:type="dxa"/>
          </w:tcPr>
          <w:p w14:paraId="0D4448E0" w14:textId="77777777" w:rsidR="006C53CB" w:rsidRPr="00774EAA" w:rsidRDefault="006C53CB" w:rsidP="001C2426">
            <w:pPr>
              <w:pStyle w:val="TableText"/>
              <w:keepNext/>
              <w:spacing w:before="0" w:after="0"/>
              <w:rPr>
                <w:rStyle w:val="Strong"/>
                <w:sz w:val="22"/>
              </w:rPr>
            </w:pPr>
            <w:r w:rsidRPr="00774EAA">
              <w:rPr>
                <w:rStyle w:val="Strong"/>
              </w:rPr>
              <w:t>Unknown</w:t>
            </w:r>
          </w:p>
        </w:tc>
        <w:tc>
          <w:tcPr>
            <w:tcW w:w="1384" w:type="dxa"/>
            <w:shd w:val="clear" w:color="auto" w:fill="C9C9C9" w:themeFill="accent3" w:themeFillTint="99"/>
          </w:tcPr>
          <w:p w14:paraId="0FAC74FC" w14:textId="77777777" w:rsidR="006C53CB" w:rsidRDefault="006C53CB" w:rsidP="001C2426">
            <w:pPr>
              <w:pStyle w:val="TableText"/>
              <w:keepNext/>
              <w:spacing w:before="0" w:after="0"/>
            </w:pPr>
          </w:p>
        </w:tc>
        <w:tc>
          <w:tcPr>
            <w:tcW w:w="1076" w:type="dxa"/>
            <w:shd w:val="clear" w:color="auto" w:fill="C9C9C9" w:themeFill="accent3" w:themeFillTint="99"/>
          </w:tcPr>
          <w:p w14:paraId="66109AD5" w14:textId="77777777" w:rsidR="006C53CB" w:rsidRDefault="006C53CB" w:rsidP="001C2426">
            <w:pPr>
              <w:pStyle w:val="TableText"/>
              <w:keepNext/>
              <w:spacing w:before="0" w:after="0"/>
            </w:pPr>
          </w:p>
        </w:tc>
        <w:tc>
          <w:tcPr>
            <w:tcW w:w="1803" w:type="dxa"/>
            <w:shd w:val="clear" w:color="auto" w:fill="ACB9CA" w:themeFill="text2" w:themeFillTint="66"/>
          </w:tcPr>
          <w:p w14:paraId="2610D72D" w14:textId="77777777" w:rsidR="006C53CB" w:rsidRDefault="006C53CB" w:rsidP="001C2426">
            <w:pPr>
              <w:pStyle w:val="TableText"/>
              <w:keepNext/>
              <w:spacing w:before="0" w:after="0"/>
            </w:pPr>
          </w:p>
        </w:tc>
        <w:tc>
          <w:tcPr>
            <w:tcW w:w="1843" w:type="dxa"/>
            <w:shd w:val="clear" w:color="auto" w:fill="FFC000"/>
          </w:tcPr>
          <w:p w14:paraId="6F1BA9D1" w14:textId="77777777" w:rsidR="006C53CB" w:rsidRDefault="006C53CB" w:rsidP="001C2426">
            <w:pPr>
              <w:pStyle w:val="TableText"/>
              <w:keepNext/>
              <w:spacing w:before="0" w:after="0"/>
            </w:pPr>
          </w:p>
        </w:tc>
        <w:tc>
          <w:tcPr>
            <w:tcW w:w="1316" w:type="dxa"/>
            <w:shd w:val="clear" w:color="auto" w:fill="F4B083" w:themeFill="accent2" w:themeFillTint="99"/>
          </w:tcPr>
          <w:p w14:paraId="134EBA47" w14:textId="77777777" w:rsidR="006C53CB" w:rsidRDefault="006C53CB" w:rsidP="001C2426">
            <w:pPr>
              <w:pStyle w:val="TableText"/>
              <w:keepNext/>
              <w:spacing w:before="0" w:after="0"/>
            </w:pPr>
          </w:p>
        </w:tc>
      </w:tr>
    </w:tbl>
    <w:p w14:paraId="7A04F20F" w14:textId="77777777" w:rsidR="006C53CB" w:rsidRDefault="006C53CB" w:rsidP="005C125F">
      <w:pPr>
        <w:pStyle w:val="FootnoteText"/>
        <w:keepNext/>
      </w:pPr>
      <w:r>
        <w:t xml:space="preserve">Risk Matrix legend/Risk rating: </w:t>
      </w:r>
    </w:p>
    <w:tbl>
      <w:tblPr>
        <w:tblStyle w:val="TableGrid"/>
        <w:tblW w:w="0" w:type="auto"/>
        <w:tblLook w:val="04A0" w:firstRow="1" w:lastRow="0" w:firstColumn="1" w:lastColumn="0" w:noHBand="0" w:noVBand="1"/>
      </w:tblPr>
      <w:tblGrid>
        <w:gridCol w:w="1907"/>
        <w:gridCol w:w="2395"/>
        <w:gridCol w:w="2104"/>
        <w:gridCol w:w="2445"/>
      </w:tblGrid>
      <w:tr w:rsidR="006C53CB" w14:paraId="625BD13D" w14:textId="77777777" w:rsidTr="007F07A7">
        <w:trPr>
          <w:trHeight w:val="198"/>
        </w:trPr>
        <w:tc>
          <w:tcPr>
            <w:tcW w:w="1907" w:type="dxa"/>
            <w:shd w:val="clear" w:color="auto" w:fill="C9C9C9" w:themeFill="accent3" w:themeFillTint="99"/>
          </w:tcPr>
          <w:p w14:paraId="2AC729A7" w14:textId="77777777" w:rsidR="006C53CB" w:rsidRDefault="006C53CB" w:rsidP="005C125F">
            <w:pPr>
              <w:pStyle w:val="TableText"/>
              <w:keepNext/>
              <w:jc w:val="center"/>
            </w:pPr>
            <w:r>
              <w:t>Low Risk</w:t>
            </w:r>
          </w:p>
        </w:tc>
        <w:tc>
          <w:tcPr>
            <w:tcW w:w="2395" w:type="dxa"/>
            <w:shd w:val="clear" w:color="auto" w:fill="ACB9CA" w:themeFill="text2" w:themeFillTint="66"/>
          </w:tcPr>
          <w:p w14:paraId="3595BD6A" w14:textId="77777777" w:rsidR="006C53CB" w:rsidRDefault="006C53CB" w:rsidP="005C125F">
            <w:pPr>
              <w:pStyle w:val="FootnoteText"/>
              <w:keepNext/>
              <w:jc w:val="center"/>
            </w:pPr>
            <w:r>
              <w:t>Moderate Risk</w:t>
            </w:r>
          </w:p>
        </w:tc>
        <w:tc>
          <w:tcPr>
            <w:tcW w:w="2104" w:type="dxa"/>
            <w:shd w:val="clear" w:color="auto" w:fill="FFC000"/>
          </w:tcPr>
          <w:p w14:paraId="4C906BDD" w14:textId="77777777" w:rsidR="006C53CB" w:rsidRDefault="006C53CB" w:rsidP="005C125F">
            <w:pPr>
              <w:pStyle w:val="FootnoteText"/>
              <w:keepNext/>
              <w:jc w:val="center"/>
            </w:pPr>
            <w:r>
              <w:t>High Risk</w:t>
            </w:r>
          </w:p>
        </w:tc>
        <w:tc>
          <w:tcPr>
            <w:tcW w:w="2445" w:type="dxa"/>
            <w:shd w:val="clear" w:color="auto" w:fill="F4B083" w:themeFill="accent2" w:themeFillTint="99"/>
          </w:tcPr>
          <w:p w14:paraId="5B86EDC0" w14:textId="77777777" w:rsidR="006C53CB" w:rsidRDefault="006C53CB" w:rsidP="005C125F">
            <w:pPr>
              <w:pStyle w:val="FootnoteText"/>
              <w:keepNext/>
              <w:jc w:val="center"/>
            </w:pPr>
            <w:r>
              <w:t>Very High Risk</w:t>
            </w:r>
          </w:p>
        </w:tc>
      </w:tr>
    </w:tbl>
    <w:p w14:paraId="7776FFFA" w14:textId="77777777" w:rsidR="006C53CB" w:rsidRDefault="006C53CB" w:rsidP="002B6A3F">
      <w:r w:rsidRPr="00467C58">
        <w:t xml:space="preserve">Priority actions have then been developed to manage the threats, particularly where the risk was deemed to be ‘very high’ (red shading) or ‘high’ (orange shading). </w:t>
      </w:r>
    </w:p>
    <w:p w14:paraId="2B470C76" w14:textId="77777777" w:rsidR="006C53CB" w:rsidRDefault="006C53CB" w:rsidP="002B6A3F">
      <w:pPr>
        <w:pStyle w:val="Heading2"/>
        <w:ind w:left="720" w:hanging="720"/>
      </w:pPr>
      <w:bookmarkStart w:id="13" w:name="_Hlk80441560"/>
      <w:r>
        <w:t xml:space="preserve">Conservation and recovery </w:t>
      </w:r>
      <w:r w:rsidRPr="002B6A3F">
        <w:t>actions</w:t>
      </w:r>
    </w:p>
    <w:bookmarkEnd w:id="13"/>
    <w:p w14:paraId="5FB5E168" w14:textId="77777777" w:rsidR="006C53CB" w:rsidRDefault="006C53CB" w:rsidP="002B6A3F">
      <w:pPr>
        <w:pStyle w:val="Heading3"/>
        <w:ind w:left="964" w:hanging="964"/>
      </w:pPr>
      <w:r>
        <w:t>Primary conservation objective</w:t>
      </w:r>
    </w:p>
    <w:p w14:paraId="5F954B1D" w14:textId="77777777" w:rsidR="006C53CB" w:rsidRPr="00D95DC1" w:rsidRDefault="006C53CB" w:rsidP="00D95DC1">
      <w:r>
        <w:t xml:space="preserve">By 2030, the population of </w:t>
      </w:r>
      <w:r w:rsidRPr="00D95DC1">
        <w:rPr>
          <w:rStyle w:val="Emphasis"/>
        </w:rPr>
        <w:t>Bertya mollissima</w:t>
      </w:r>
      <w:r>
        <w:t xml:space="preserve"> will have increased in abundance and viable subpopulations are sustained in habitats where threats are managed effectively. </w:t>
      </w:r>
    </w:p>
    <w:p w14:paraId="7D6F8CCB" w14:textId="77777777" w:rsidR="006C53CB" w:rsidRDefault="006C53CB" w:rsidP="008A51E7">
      <w:pPr>
        <w:pStyle w:val="Heading3"/>
        <w:ind w:left="964" w:hanging="964"/>
      </w:pPr>
      <w:r>
        <w:t>Conservation and management priorities</w:t>
      </w:r>
    </w:p>
    <w:p w14:paraId="3B795237" w14:textId="77777777" w:rsidR="006C53CB" w:rsidRDefault="006C53CB" w:rsidP="00F0028A">
      <w:pPr>
        <w:pStyle w:val="Heading4"/>
        <w:ind w:left="964" w:hanging="964"/>
      </w:pPr>
      <w:r>
        <w:t>Fire impacts</w:t>
      </w:r>
    </w:p>
    <w:p w14:paraId="3853D53B" w14:textId="77777777" w:rsidR="006C53CB" w:rsidRDefault="006C53CB" w:rsidP="00F0028A">
      <w:pPr>
        <w:pStyle w:val="ListBullet"/>
      </w:pPr>
      <w:r>
        <w:t>Implement a fire management strategy to protect all known subpopulations from fire within three to five years of the previous fire. Exclude planned fire (and bushfire where possible) from all subpopulations until seedlings mature and the soil-stored seed bank is rebuilt. If planned or unplanned fire impacts the subpopulations, managers must ensure that subsequent unplanned fires do not occur within the critical regeneration period to allow the species to rebuild its soil seed bank to sustain the population through the next fire event.</w:t>
      </w:r>
    </w:p>
    <w:p w14:paraId="03281CB1" w14:textId="77777777" w:rsidR="006C53CB" w:rsidRDefault="006C53CB" w:rsidP="00F0028A">
      <w:pPr>
        <w:pStyle w:val="ListBullet"/>
      </w:pPr>
      <w:r>
        <w:t>If required, undertake supplementary watering of post-fire seedlings to protect against drought-induced mortality.</w:t>
      </w:r>
    </w:p>
    <w:p w14:paraId="34E16720" w14:textId="77777777" w:rsidR="006C53CB" w:rsidRDefault="006C53CB" w:rsidP="00F0028A">
      <w:pPr>
        <w:pStyle w:val="Heading4"/>
        <w:ind w:left="964" w:hanging="964"/>
      </w:pPr>
      <w:r>
        <w:lastRenderedPageBreak/>
        <w:t>Climate change and severe weather impacts</w:t>
      </w:r>
    </w:p>
    <w:p w14:paraId="463E12A4" w14:textId="77777777" w:rsidR="006C53CB" w:rsidRDefault="006C53CB" w:rsidP="00F0028A">
      <w:pPr>
        <w:pStyle w:val="ListBullet"/>
      </w:pPr>
      <w:r>
        <w:t xml:space="preserve">Identify and protect habitat likely to remain or become suitable for the species under future climate change scenarios. </w:t>
      </w:r>
    </w:p>
    <w:p w14:paraId="565DEA27" w14:textId="77777777" w:rsidR="006C53CB" w:rsidRDefault="006C53CB" w:rsidP="00F0028A">
      <w:pPr>
        <w:pStyle w:val="ListBullet"/>
      </w:pPr>
      <w:r>
        <w:t xml:space="preserve">Implement an erosion management strategy to protect all known subpopulations from future severe rainfall events that may negatively impact the seed bank. </w:t>
      </w:r>
    </w:p>
    <w:p w14:paraId="6BECCC6E" w14:textId="77777777" w:rsidR="006C53CB" w:rsidRPr="00EE4E28" w:rsidRDefault="006C53CB" w:rsidP="00F0028A">
      <w:pPr>
        <w:pStyle w:val="Heading4"/>
        <w:ind w:left="964" w:hanging="964"/>
      </w:pPr>
      <w:r>
        <w:t>Habitat loss, disturbance and modifications impacts</w:t>
      </w:r>
    </w:p>
    <w:p w14:paraId="766B983C" w14:textId="77777777" w:rsidR="006C53CB" w:rsidRDefault="006C53CB" w:rsidP="002378F1">
      <w:pPr>
        <w:pStyle w:val="ListBullet"/>
      </w:pPr>
      <w:r w:rsidRPr="00271618">
        <w:t>Ensure that</w:t>
      </w:r>
      <w:r>
        <w:t xml:space="preserve"> the locations of all subpopulations are recorded on relevant state databases,</w:t>
      </w:r>
      <w:r w:rsidRPr="00271618">
        <w:t xml:space="preserve"> </w:t>
      </w:r>
      <w:r>
        <w:t>including those used by land management and fire response agencies.</w:t>
      </w:r>
    </w:p>
    <w:p w14:paraId="18BC34CE" w14:textId="77777777" w:rsidR="006C53CB" w:rsidRPr="00EE4E28" w:rsidRDefault="006C53CB" w:rsidP="00BF470D">
      <w:pPr>
        <w:pStyle w:val="ListBullet"/>
      </w:pPr>
      <w:r w:rsidRPr="00271618">
        <w:t xml:space="preserve">Protect subpopulations </w:t>
      </w:r>
      <w:r>
        <w:t>near tracks</w:t>
      </w:r>
      <w:r w:rsidRPr="00271618">
        <w:t xml:space="preserve"> from trampling </w:t>
      </w:r>
      <w:r>
        <w:t>and accidental damage</w:t>
      </w:r>
      <w:r w:rsidRPr="00271618">
        <w:t xml:space="preserve"> using signage, track markers </w:t>
      </w:r>
      <w:r>
        <w:t>or</w:t>
      </w:r>
      <w:r w:rsidRPr="00271618">
        <w:t xml:space="preserve"> fencing</w:t>
      </w:r>
      <w:r>
        <w:t>.</w:t>
      </w:r>
    </w:p>
    <w:p w14:paraId="074271D2" w14:textId="77777777" w:rsidR="006C53CB" w:rsidRDefault="006C53CB" w:rsidP="00A45524">
      <w:pPr>
        <w:pStyle w:val="Heading4"/>
        <w:ind w:left="964" w:hanging="964"/>
      </w:pPr>
      <w:r w:rsidRPr="00921F7C">
        <w:t>Invasive species</w:t>
      </w:r>
      <w:r>
        <w:t xml:space="preserve"> impacts (including from grazing, trampling, predation)</w:t>
      </w:r>
    </w:p>
    <w:p w14:paraId="1B15347F" w14:textId="77777777" w:rsidR="006C53CB" w:rsidRDefault="006C53CB" w:rsidP="00EE4E28">
      <w:pPr>
        <w:pStyle w:val="ListBullet"/>
      </w:pPr>
      <w:r>
        <w:t xml:space="preserve">Install and maintain cages or fencing around subpopulations impacted, or with the possibility to be impacted, by feral goats to protect against grazing, trampling, and habitat disturbance. </w:t>
      </w:r>
    </w:p>
    <w:p w14:paraId="178BB040" w14:textId="77777777" w:rsidR="006C53CB" w:rsidRDefault="006C53CB" w:rsidP="00F0028A">
      <w:pPr>
        <w:pStyle w:val="ListBullet"/>
      </w:pPr>
      <w:r>
        <w:t xml:space="preserve">Maintain feral goat population control measures in place in National Parks where </w:t>
      </w:r>
      <w:r w:rsidRPr="00974B0F">
        <w:rPr>
          <w:rStyle w:val="Emphasis"/>
        </w:rPr>
        <w:t>B. mollissima</w:t>
      </w:r>
      <w:r>
        <w:t xml:space="preserve"> is found, including through the use of aerial and ground shooting, mustering and trapping (DEWHA 2008).</w:t>
      </w:r>
    </w:p>
    <w:p w14:paraId="64F53EFF" w14:textId="77777777" w:rsidR="006C53CB" w:rsidRDefault="006C53CB" w:rsidP="007F5400">
      <w:pPr>
        <w:pStyle w:val="Heading4"/>
        <w:ind w:left="964" w:hanging="964"/>
      </w:pPr>
      <w:r>
        <w:t>Ex situ recovery actions</w:t>
      </w:r>
    </w:p>
    <w:p w14:paraId="2F7E9BDF" w14:textId="77777777" w:rsidR="006C53CB" w:rsidRPr="005E1FC0" w:rsidRDefault="006C53CB" w:rsidP="007F5400">
      <w:pPr>
        <w:pStyle w:val="ListBullet"/>
      </w:pPr>
      <w:r w:rsidRPr="005E1FC0">
        <w:t>Collect and store seed from known subpopulations to preserve genetic material.</w:t>
      </w:r>
    </w:p>
    <w:p w14:paraId="272E8EAF" w14:textId="77777777" w:rsidR="006C53CB" w:rsidRPr="005E1FC0" w:rsidRDefault="006C53CB" w:rsidP="007F5400">
      <w:pPr>
        <w:pStyle w:val="ListBullet"/>
      </w:pPr>
      <w:r w:rsidRPr="005E1FC0">
        <w:t>Investigate the requirements</w:t>
      </w:r>
      <w:r>
        <w:t xml:space="preserve"> of the species</w:t>
      </w:r>
      <w:r w:rsidRPr="005E1FC0">
        <w:t xml:space="preserve"> for ex situ recovery, including the establishment of a seed orchard </w:t>
      </w:r>
      <w:r>
        <w:t>if current seed collections are limited.</w:t>
      </w:r>
      <w:r w:rsidRPr="005E1FC0">
        <w:t xml:space="preserve"> </w:t>
      </w:r>
    </w:p>
    <w:p w14:paraId="40248CCA" w14:textId="77777777" w:rsidR="006C53CB" w:rsidRPr="005E1FC0" w:rsidRDefault="006C53CB" w:rsidP="007F5400">
      <w:pPr>
        <w:pStyle w:val="ListBullet"/>
      </w:pPr>
      <w:r w:rsidRPr="005E1FC0">
        <w:t xml:space="preserve">Identify additional sites suitable for the establishment of new subpopulations through translocation. </w:t>
      </w:r>
    </w:p>
    <w:p w14:paraId="553A0A95" w14:textId="77777777" w:rsidR="006C53CB" w:rsidRPr="007F5400" w:rsidRDefault="006C53CB" w:rsidP="007F5400">
      <w:pPr>
        <w:pStyle w:val="ListBullet"/>
        <w:rPr>
          <w:rFonts w:asciiTheme="minorHAnsi" w:eastAsiaTheme="minorEastAsia" w:hAnsiTheme="minorHAnsi"/>
        </w:rPr>
      </w:pPr>
      <w:r>
        <w:t xml:space="preserve">If appropriate, undertake ex situ propagation </w:t>
      </w:r>
      <w:bookmarkStart w:id="14" w:name="_Hlk54856776"/>
      <w:r>
        <w:t xml:space="preserve">and translocations in accordance with the </w:t>
      </w:r>
      <w:r w:rsidRPr="1075C4F1">
        <w:rPr>
          <w:i/>
          <w:iCs/>
        </w:rPr>
        <w:t xml:space="preserve">Guidelines for the Translocation of Threatened Plants in Australia </w:t>
      </w:r>
      <w:r>
        <w:t>(Commander et al. 2018)</w:t>
      </w:r>
      <w:bookmarkEnd w:id="14"/>
      <w:r>
        <w:t xml:space="preserve">. Monitor all translocated individuals to maturity, seed set and recruitment to ensure they are viable and are contributing to a reduction in the extinction risk for the species.  </w:t>
      </w:r>
    </w:p>
    <w:p w14:paraId="2EB4D0DE" w14:textId="77777777" w:rsidR="006C53CB" w:rsidRPr="00491849" w:rsidRDefault="006C53CB" w:rsidP="000744B3">
      <w:pPr>
        <w:pStyle w:val="Heading3"/>
        <w:ind w:left="964" w:hanging="964"/>
      </w:pPr>
      <w:r>
        <w:t>Stakeholder engagement/community engagement</w:t>
      </w:r>
    </w:p>
    <w:p w14:paraId="69BDAD36" w14:textId="77777777" w:rsidR="006C53CB" w:rsidRDefault="006C53CB" w:rsidP="002A0077">
      <w:pPr>
        <w:pStyle w:val="ListBullet"/>
      </w:pPr>
      <w:r w:rsidRPr="00735C15">
        <w:t xml:space="preserve">Engage and involve </w:t>
      </w:r>
      <w:r>
        <w:t>T</w:t>
      </w:r>
      <w:r w:rsidRPr="00735C15">
        <w:t xml:space="preserve">raditional </w:t>
      </w:r>
      <w:r>
        <w:t>O</w:t>
      </w:r>
      <w:r w:rsidRPr="00735C15">
        <w:t>wners in conservation actions, including</w:t>
      </w:r>
      <w:r>
        <w:t xml:space="preserve"> the implementation of Indigenous fire management,</w:t>
      </w:r>
      <w:r w:rsidRPr="00735C15">
        <w:t xml:space="preserve"> surveying for new populations</w:t>
      </w:r>
      <w:r>
        <w:t>,</w:t>
      </w:r>
      <w:r w:rsidRPr="00735C15">
        <w:t xml:space="preserve"> and management actions. </w:t>
      </w:r>
    </w:p>
    <w:p w14:paraId="2CAAE548" w14:textId="77777777" w:rsidR="006C53CB" w:rsidRPr="00735C15" w:rsidRDefault="006C53CB" w:rsidP="002A0077">
      <w:pPr>
        <w:pStyle w:val="ListBullet"/>
      </w:pPr>
      <w:r>
        <w:t xml:space="preserve">As one of the lesser-known subpopulations occurs within the Ukerbarley Aboriginal Area, communication with Traditional Owners should be established with the goal of surveying the subpopulation.  </w:t>
      </w:r>
    </w:p>
    <w:p w14:paraId="332ACDE1" w14:textId="77777777" w:rsidR="006C53CB" w:rsidRDefault="006C53CB" w:rsidP="000744B3">
      <w:pPr>
        <w:pStyle w:val="ListBullet"/>
      </w:pPr>
      <w:r>
        <w:t>Liaise with relevant land managers to ensure that subpopulations are not accidentally damaged or destroyed. The approval and assistance of land managers should also be sought to implement recovery actions, and</w:t>
      </w:r>
      <w:r w:rsidRPr="00CB3CED">
        <w:t xml:space="preserve"> recent population data</w:t>
      </w:r>
      <w:r>
        <w:t xml:space="preserve"> should</w:t>
      </w:r>
      <w:r w:rsidRPr="00CB3CED">
        <w:t xml:space="preserve"> inform management</w:t>
      </w:r>
      <w:r>
        <w:t>.</w:t>
      </w:r>
    </w:p>
    <w:p w14:paraId="0C28F899" w14:textId="77777777" w:rsidR="006C53CB" w:rsidRPr="000E792F" w:rsidRDefault="006C53CB" w:rsidP="000744B3">
      <w:pPr>
        <w:pStyle w:val="ListBullet"/>
        <w:rPr>
          <w:b/>
        </w:rPr>
      </w:pPr>
      <w:r>
        <w:t>E</w:t>
      </w:r>
      <w:r w:rsidRPr="00735C15">
        <w:t xml:space="preserve">ngage </w:t>
      </w:r>
      <w:r>
        <w:t>community</w:t>
      </w:r>
      <w:r w:rsidRPr="00735C15">
        <w:t xml:space="preserve"> groups </w:t>
      </w:r>
      <w:r>
        <w:t>by encouraging</w:t>
      </w:r>
      <w:r w:rsidRPr="00735C15">
        <w:t xml:space="preserve"> </w:t>
      </w:r>
      <w:r>
        <w:t>participation</w:t>
      </w:r>
      <w:r w:rsidRPr="00735C15">
        <w:t xml:space="preserve"> in surveys or monitoring for the species. </w:t>
      </w:r>
    </w:p>
    <w:p w14:paraId="1AD5C07A" w14:textId="77777777" w:rsidR="006C53CB" w:rsidRDefault="006C53CB" w:rsidP="006C53CB">
      <w:pPr>
        <w:pStyle w:val="ListBullet"/>
        <w:numPr>
          <w:ilvl w:val="0"/>
          <w:numId w:val="37"/>
        </w:numPr>
      </w:pPr>
      <w:r w:rsidRPr="00CB3CED">
        <w:lastRenderedPageBreak/>
        <w:t>Promote public awareness of biodiversity conservation and protection through dissemination of information through p</w:t>
      </w:r>
      <w:r>
        <w:t>rint</w:t>
      </w:r>
      <w:r w:rsidRPr="00CB3CED">
        <w:t xml:space="preserve"> and digital media.</w:t>
      </w:r>
    </w:p>
    <w:p w14:paraId="1545D952" w14:textId="77777777" w:rsidR="006C53CB" w:rsidRPr="00B01F96" w:rsidRDefault="006C53CB" w:rsidP="00B01F96">
      <w:pPr>
        <w:pStyle w:val="ListBullet"/>
      </w:pPr>
      <w:r w:rsidRPr="00B01F96">
        <w:t>Where research identifies potential habitat for the species in areas that are privately-owned, liaise with landholders to provide information on the species and its habitat requirements, and encourage reporting of any sightings.</w:t>
      </w:r>
    </w:p>
    <w:p w14:paraId="33AEDFD4" w14:textId="77777777" w:rsidR="006C53CB" w:rsidRDefault="006C53CB" w:rsidP="00E3101E">
      <w:pPr>
        <w:pStyle w:val="Heading3"/>
        <w:ind w:left="964" w:hanging="964"/>
      </w:pPr>
      <w:r>
        <w:t>Survey and monitoring priorities</w:t>
      </w:r>
    </w:p>
    <w:p w14:paraId="56CD94F7" w14:textId="77777777" w:rsidR="006C53CB" w:rsidRDefault="006C53CB" w:rsidP="00F07B41">
      <w:pPr>
        <w:pStyle w:val="ListBullet"/>
      </w:pPr>
      <w:r>
        <w:t>Establish and maintain a monitoring program to:</w:t>
      </w:r>
    </w:p>
    <w:p w14:paraId="27D8B67A" w14:textId="77777777" w:rsidR="006C53CB" w:rsidRDefault="006C53CB" w:rsidP="00F07B41">
      <w:pPr>
        <w:pStyle w:val="ListBullet3"/>
      </w:pPr>
      <w:r>
        <w:t xml:space="preserve">- monitor species recruitment and plant health after fire events (including the 2019–20 bushfires); </w:t>
      </w:r>
    </w:p>
    <w:p w14:paraId="3FDD2BA1" w14:textId="77777777" w:rsidR="006C53CB" w:rsidRDefault="006C53CB" w:rsidP="00F07B41">
      <w:pPr>
        <w:pStyle w:val="ListBullet3"/>
      </w:pPr>
      <w:r>
        <w:t>- determine minimum tolerable fire interval;</w:t>
      </w:r>
    </w:p>
    <w:p w14:paraId="22DF9A01" w14:textId="77777777" w:rsidR="006C53CB" w:rsidRDefault="006C53CB" w:rsidP="00F07B41">
      <w:pPr>
        <w:pStyle w:val="ListBullet3"/>
      </w:pPr>
      <w:r>
        <w:t>- determine trends in population size;</w:t>
      </w:r>
    </w:p>
    <w:p w14:paraId="7723DC05" w14:textId="77777777" w:rsidR="006C53CB" w:rsidRDefault="006C53CB" w:rsidP="00F07B41">
      <w:pPr>
        <w:pStyle w:val="ListBullet3"/>
      </w:pPr>
      <w:r>
        <w:t>- document the post-fire recovery;</w:t>
      </w:r>
    </w:p>
    <w:p w14:paraId="35BCACD8" w14:textId="77777777" w:rsidR="006C53CB" w:rsidRDefault="006C53CB" w:rsidP="00F07B41">
      <w:pPr>
        <w:pStyle w:val="ListBullet3"/>
      </w:pPr>
      <w:r>
        <w:t>- determine threats and their impacts; and</w:t>
      </w:r>
    </w:p>
    <w:p w14:paraId="223FAC38" w14:textId="77777777" w:rsidR="006C53CB" w:rsidRDefault="006C53CB" w:rsidP="00F07B41">
      <w:pPr>
        <w:pStyle w:val="ListBullet3"/>
      </w:pPr>
      <w:r>
        <w:t>- monitor the effectiveness of management actions and the need to adapt them if necessary.</w:t>
      </w:r>
    </w:p>
    <w:p w14:paraId="7FBE9A56" w14:textId="77777777" w:rsidR="006C53CB" w:rsidRDefault="006C53CB" w:rsidP="00F07B41">
      <w:pPr>
        <w:pStyle w:val="ListBullet"/>
      </w:pPr>
      <w:r>
        <w:t xml:space="preserve">Survey suitable habitat for new subpopulations and to locate suitable sites for translocations. </w:t>
      </w:r>
    </w:p>
    <w:p w14:paraId="4E33C5B6" w14:textId="77777777" w:rsidR="006C53CB" w:rsidRPr="00EE4E28" w:rsidRDefault="006C53CB" w:rsidP="00F07B41">
      <w:pPr>
        <w:pStyle w:val="ListBullet"/>
      </w:pPr>
      <w:r>
        <w:t xml:space="preserve">Keep precise fire history records for the habitat and extant subpopulations (confirmed and suspected) of </w:t>
      </w:r>
      <w:r w:rsidRPr="1F054AB6">
        <w:rPr>
          <w:rStyle w:val="Emphasis"/>
        </w:rPr>
        <w:t>B. mollissima</w:t>
      </w:r>
      <w:r>
        <w:t xml:space="preserve">. </w:t>
      </w:r>
    </w:p>
    <w:p w14:paraId="3334A352" w14:textId="77777777" w:rsidR="006C53CB" w:rsidRDefault="006C53CB" w:rsidP="009E124E">
      <w:pPr>
        <w:pStyle w:val="Heading3"/>
        <w:ind w:left="964" w:hanging="964"/>
      </w:pPr>
      <w:r>
        <w:t>Information and research priorities</w:t>
      </w:r>
    </w:p>
    <w:p w14:paraId="056A5038" w14:textId="77777777" w:rsidR="006C53CB" w:rsidRDefault="006C53CB" w:rsidP="00473DF9">
      <w:pPr>
        <w:pStyle w:val="ListBullet"/>
      </w:pPr>
      <w:r>
        <w:t xml:space="preserve">Investigate the ecological requirements of </w:t>
      </w:r>
      <w:r w:rsidRPr="00A40503">
        <w:rPr>
          <w:rStyle w:val="Emphasis"/>
        </w:rPr>
        <w:t>B</w:t>
      </w:r>
      <w:r>
        <w:rPr>
          <w:rStyle w:val="Emphasis"/>
        </w:rPr>
        <w:t>.</w:t>
      </w:r>
      <w:r w:rsidRPr="00A40503">
        <w:rPr>
          <w:rStyle w:val="Emphasis"/>
        </w:rPr>
        <w:t xml:space="preserve"> mollissima</w:t>
      </w:r>
      <w:r>
        <w:t xml:space="preserve"> that are relevant to persistence and recruitment, including:</w:t>
      </w:r>
    </w:p>
    <w:p w14:paraId="5A941623" w14:textId="77777777" w:rsidR="006C53CB" w:rsidRDefault="006C53CB" w:rsidP="00A40503">
      <w:pPr>
        <w:pStyle w:val="ListBullet2"/>
      </w:pPr>
      <w:r>
        <w:t>population genetic structure, levels of genetic diversity and minimum viable population size.</w:t>
      </w:r>
    </w:p>
    <w:p w14:paraId="7E22137A" w14:textId="77777777" w:rsidR="006C53CB" w:rsidRDefault="006C53CB" w:rsidP="00A40503">
      <w:pPr>
        <w:pStyle w:val="ListBullet2"/>
      </w:pPr>
      <w:r>
        <w:t>reproductive status, longevity, fecundity, and frequency and size of recruitment events.</w:t>
      </w:r>
    </w:p>
    <w:p w14:paraId="7C523C8F" w14:textId="77777777" w:rsidR="006C53CB" w:rsidRDefault="006C53CB" w:rsidP="00A40503">
      <w:pPr>
        <w:pStyle w:val="ListBullet2"/>
      </w:pPr>
      <w:r>
        <w:t>soil seed bank dynamic, particularly the longevity of seed in the soil seed bank.</w:t>
      </w:r>
    </w:p>
    <w:p w14:paraId="79EA22EC" w14:textId="77777777" w:rsidR="006C53CB" w:rsidRDefault="006C53CB" w:rsidP="00EE0F55">
      <w:pPr>
        <w:pStyle w:val="ListBullet2"/>
      </w:pPr>
      <w:r>
        <w:t>the effect of drought on mortality rates of the species.</w:t>
      </w:r>
    </w:p>
    <w:p w14:paraId="264AA402" w14:textId="77777777" w:rsidR="006C53CB" w:rsidRDefault="006C53CB" w:rsidP="00EE0F55">
      <w:pPr>
        <w:pStyle w:val="ListBullet2"/>
      </w:pPr>
      <w:r>
        <w:t xml:space="preserve">pollinator identity, biology and requirements. </w:t>
      </w:r>
    </w:p>
    <w:p w14:paraId="1882A656" w14:textId="77777777" w:rsidR="006C53CB" w:rsidRDefault="006C53CB" w:rsidP="00EE0F55">
      <w:pPr>
        <w:pStyle w:val="ListBullet"/>
      </w:pPr>
      <w:r>
        <w:t xml:space="preserve">Identify an optimal fire regime for </w:t>
      </w:r>
      <w:r w:rsidRPr="00EE0F55">
        <w:rPr>
          <w:rStyle w:val="Emphasis"/>
        </w:rPr>
        <w:t>B</w:t>
      </w:r>
      <w:r>
        <w:rPr>
          <w:rStyle w:val="Emphasis"/>
        </w:rPr>
        <w:t>.</w:t>
      </w:r>
      <w:r w:rsidRPr="00EE0F55">
        <w:rPr>
          <w:rStyle w:val="Emphasis"/>
        </w:rPr>
        <w:t xml:space="preserve"> mollissima</w:t>
      </w:r>
      <w:r>
        <w:t xml:space="preserve"> by assessing population-level responses to a range of fire regimes and modelling population viability across all fire scenarios.</w:t>
      </w:r>
    </w:p>
    <w:p w14:paraId="67340143" w14:textId="77777777" w:rsidR="006C53CB" w:rsidRDefault="006C53CB" w:rsidP="00EE0F55">
      <w:pPr>
        <w:pStyle w:val="ListBullet"/>
      </w:pPr>
      <w:r>
        <w:t>Investigate the presence of feral goats and determine which subpopulations are most likely to be impacted.</w:t>
      </w:r>
    </w:p>
    <w:p w14:paraId="5121673E" w14:textId="77777777" w:rsidR="006C53CB" w:rsidRDefault="006C53CB" w:rsidP="00C741E5">
      <w:pPr>
        <w:pStyle w:val="ListBullet"/>
      </w:pPr>
      <w:r>
        <w:t xml:space="preserve">Understand the potential influence of climate change on the long-term survival prospects of </w:t>
      </w:r>
      <w:r w:rsidRPr="00C741E5">
        <w:rPr>
          <w:rStyle w:val="Emphasis"/>
        </w:rPr>
        <w:t>B</w:t>
      </w:r>
      <w:r>
        <w:rPr>
          <w:rStyle w:val="Emphasis"/>
        </w:rPr>
        <w:t>.</w:t>
      </w:r>
      <w:r w:rsidRPr="00C741E5">
        <w:rPr>
          <w:rStyle w:val="Emphasis"/>
        </w:rPr>
        <w:t xml:space="preserve"> mollissima</w:t>
      </w:r>
      <w:r>
        <w:t>, due to altered temperatures, rainfall patterns, bushfires, and environmental stressors.</w:t>
      </w:r>
    </w:p>
    <w:p w14:paraId="711BD072" w14:textId="0476E53D" w:rsidR="006C53CB" w:rsidRPr="00EE4E28" w:rsidRDefault="006C53CB" w:rsidP="006A6138">
      <w:pPr>
        <w:pStyle w:val="ListBullet"/>
      </w:pPr>
      <w:r>
        <w:t xml:space="preserve">Engage with Indigenous people to understand the cultural significance of </w:t>
      </w:r>
      <w:r w:rsidRPr="6C200F09">
        <w:rPr>
          <w:rStyle w:val="Emphasis"/>
        </w:rPr>
        <w:t>B. mollissima</w:t>
      </w:r>
      <w:r>
        <w:t>.</w:t>
      </w:r>
    </w:p>
    <w:p w14:paraId="53189881" w14:textId="77777777" w:rsidR="006C53CB" w:rsidRDefault="006C53CB" w:rsidP="00387E7C">
      <w:pPr>
        <w:pStyle w:val="Heading3"/>
        <w:ind w:left="964" w:hanging="964"/>
      </w:pPr>
      <w:r>
        <w:t>Recovery Plan decision</w:t>
      </w:r>
    </w:p>
    <w:p w14:paraId="719F66B3" w14:textId="77777777" w:rsidR="006C53CB" w:rsidRDefault="006C53CB" w:rsidP="002B6A3F">
      <w:r w:rsidRPr="005D1735">
        <w:t xml:space="preserve">As an approved, updated, and detailed Conservation Advice for the species would provide sufficient direction to implement priority conservation actions, mitigate against key threats, </w:t>
      </w:r>
      <w:r w:rsidRPr="005D1735">
        <w:lastRenderedPageBreak/>
        <w:t xml:space="preserve">enable recovery and provide foundation for further planning, a national Recovery Plan is not required at this time. </w:t>
      </w:r>
    </w:p>
    <w:p w14:paraId="0B33D911" w14:textId="77777777" w:rsidR="006C53CB" w:rsidRDefault="006C53CB" w:rsidP="00491849">
      <w:r>
        <w:t xml:space="preserve">Consequently, the Threatened Species Scientific Committee </w:t>
      </w:r>
      <w:r w:rsidRPr="005D3AAC">
        <w:t xml:space="preserve">has </w:t>
      </w:r>
      <w:r w:rsidRPr="005D1735">
        <w:t>not</w:t>
      </w:r>
      <w:r>
        <w:t xml:space="preserve"> recommended that a recovery plan be required </w:t>
      </w:r>
      <w:r w:rsidRPr="005D1735">
        <w:t>(see Attachment A for TSSC recommendations regarding the need for a recovery plan)</w:t>
      </w:r>
      <w:r w:rsidRPr="00E560BF">
        <w:t>.</w:t>
      </w:r>
    </w:p>
    <w:p w14:paraId="5F1B145A" w14:textId="77777777" w:rsidR="006C53CB" w:rsidRDefault="006C53CB" w:rsidP="00CC062B">
      <w:pPr>
        <w:pStyle w:val="Heading2"/>
        <w:ind w:left="720" w:hanging="720"/>
      </w:pPr>
      <w:r>
        <w:t>Links to relevant implementation documents</w:t>
      </w:r>
    </w:p>
    <w:p w14:paraId="2CE89CDC" w14:textId="77777777" w:rsidR="006C53CB" w:rsidRDefault="00560C19" w:rsidP="000B0257">
      <w:hyperlink r:id="rId29" w:history="1">
        <w:r w:rsidR="006C53CB" w:rsidRPr="00A67267">
          <w:rPr>
            <w:rStyle w:val="Hyperlink"/>
          </w:rPr>
          <w:t>Threat Abatement Plan for competition and land degradation by unmanaged goats</w:t>
        </w:r>
      </w:hyperlink>
    </w:p>
    <w:p w14:paraId="72D6676E" w14:textId="77777777" w:rsidR="006C53CB" w:rsidRDefault="006C53CB" w:rsidP="000B0257">
      <w:r>
        <w:t>This Conservation Advice is developed to be able to subsequently inform other planning instruments such as a Bioregional Plan or a multi-entity Conservation Plan.</w:t>
      </w:r>
    </w:p>
    <w:p w14:paraId="264ADA0D" w14:textId="77777777" w:rsidR="006C53CB" w:rsidRDefault="006C53CB" w:rsidP="002319AB">
      <w:pPr>
        <w:pStyle w:val="Heading2"/>
        <w:spacing w:before="120"/>
        <w:ind w:left="709" w:hanging="709"/>
      </w:pPr>
      <w:r>
        <w:t>Con</w:t>
      </w:r>
      <w:r>
        <w:rPr>
          <w:bCs w:val="0"/>
        </w:rPr>
        <w:t>se</w:t>
      </w:r>
      <w:r>
        <w:t>rva</w:t>
      </w:r>
      <w:r>
        <w:rPr>
          <w:bCs w:val="0"/>
        </w:rPr>
        <w:t>t</w:t>
      </w:r>
      <w:r>
        <w:t>io</w:t>
      </w:r>
      <w:r>
        <w:rPr>
          <w:bCs w:val="0"/>
        </w:rPr>
        <w:t>n</w:t>
      </w:r>
      <w:r>
        <w:t xml:space="preserve"> Advi</w:t>
      </w:r>
      <w:r>
        <w:rPr>
          <w:bCs w:val="0"/>
        </w:rPr>
        <w:t>c</w:t>
      </w:r>
      <w:r>
        <w:t xml:space="preserve">e and </w:t>
      </w:r>
      <w:bookmarkEnd w:id="10"/>
      <w:bookmarkEnd w:id="11"/>
      <w:r>
        <w:t>Listing Assessment references</w:t>
      </w:r>
    </w:p>
    <w:p w14:paraId="209BFE90" w14:textId="77777777" w:rsidR="006C53CB" w:rsidRDefault="006C53CB" w:rsidP="00862F7A">
      <w:pPr>
        <w:ind w:left="720" w:hanging="720"/>
        <w:rPr>
          <w:rFonts w:cs="Arial"/>
          <w:color w:val="222222"/>
          <w:shd w:val="clear" w:color="auto" w:fill="FFFFFF"/>
        </w:rPr>
      </w:pPr>
      <w:r w:rsidRPr="008F4FD6">
        <w:rPr>
          <w:rFonts w:cs="Arial"/>
          <w:shd w:val="clear" w:color="auto" w:fill="FFFFFF"/>
        </w:rPr>
        <w:t>Auld TD, Mackenzie BE, Le Breton T, Keith DA, Ooi MK, Allen S &amp; Gallagher R (2020</w:t>
      </w:r>
      <w:r>
        <w:rPr>
          <w:rFonts w:cs="Arial"/>
          <w:shd w:val="clear" w:color="auto" w:fill="FFFFFF"/>
        </w:rPr>
        <w:t>)</w:t>
      </w:r>
      <w:r w:rsidRPr="008F4FD6">
        <w:rPr>
          <w:rFonts w:cs="Arial"/>
          <w:i/>
          <w:iCs/>
          <w:shd w:val="clear" w:color="auto" w:fill="FFFFFF"/>
        </w:rPr>
        <w:t xml:space="preserve"> A preliminary assessment of the impact of the 2019/2020 fires on NSW plants of national significance</w:t>
      </w:r>
      <w:r w:rsidRPr="008F4FD6">
        <w:rPr>
          <w:rFonts w:cs="Arial"/>
          <w:shd w:val="clear" w:color="auto" w:fill="FFFFFF"/>
        </w:rPr>
        <w:t>. Department of Planning Industry and Environment</w:t>
      </w:r>
      <w:r>
        <w:rPr>
          <w:rFonts w:cs="Arial"/>
          <w:shd w:val="clear" w:color="auto" w:fill="FFFFFF"/>
        </w:rPr>
        <w:t xml:space="preserve"> (NSW),</w:t>
      </w:r>
      <w:r w:rsidRPr="008F4FD6">
        <w:rPr>
          <w:rFonts w:cs="Arial"/>
          <w:shd w:val="clear" w:color="auto" w:fill="FFFFFF"/>
        </w:rPr>
        <w:t xml:space="preserve"> Paramatta</w:t>
      </w:r>
      <w:r w:rsidRPr="006178DF">
        <w:rPr>
          <w:rFonts w:cs="Arial"/>
          <w:color w:val="222222"/>
          <w:shd w:val="clear" w:color="auto" w:fill="FFFFFF"/>
        </w:rPr>
        <w:t>.</w:t>
      </w:r>
    </w:p>
    <w:p w14:paraId="1B81ABFD" w14:textId="77777777" w:rsidR="006C53CB" w:rsidRPr="00D5476B" w:rsidRDefault="006C53CB" w:rsidP="00D5476B">
      <w:pPr>
        <w:ind w:left="720" w:right="-284" w:hanging="720"/>
        <w:rPr>
          <w:rFonts w:cs="Arial"/>
          <w:color w:val="222222"/>
          <w:shd w:val="clear" w:color="auto" w:fill="FFFFFF"/>
        </w:rPr>
      </w:pPr>
      <w:r w:rsidRPr="006178DF">
        <w:rPr>
          <w:rFonts w:cs="Arial"/>
          <w:color w:val="222222"/>
          <w:shd w:val="clear" w:color="auto" w:fill="FFFFFF"/>
        </w:rPr>
        <w:t>Bayne P, Harden R &amp; Davies I (2005</w:t>
      </w:r>
      <w:r>
        <w:rPr>
          <w:rFonts w:cs="Arial"/>
          <w:color w:val="222222"/>
          <w:shd w:val="clear" w:color="auto" w:fill="FFFFFF"/>
        </w:rPr>
        <w:t>)</w:t>
      </w:r>
      <w:r w:rsidRPr="006178DF">
        <w:rPr>
          <w:rFonts w:cs="Arial"/>
          <w:color w:val="222222"/>
          <w:shd w:val="clear" w:color="auto" w:fill="FFFFFF"/>
        </w:rPr>
        <w:t xml:space="preserve"> Feral goats (</w:t>
      </w:r>
      <w:r w:rsidRPr="006178DF">
        <w:rPr>
          <w:rFonts w:cs="Arial"/>
          <w:i/>
          <w:iCs/>
          <w:color w:val="222222"/>
          <w:shd w:val="clear" w:color="auto" w:fill="FFFFFF"/>
        </w:rPr>
        <w:t>Capra hircus</w:t>
      </w:r>
      <w:r w:rsidRPr="006178DF">
        <w:rPr>
          <w:rFonts w:cs="Arial"/>
          <w:color w:val="222222"/>
          <w:shd w:val="clear" w:color="auto" w:fill="FFFFFF"/>
        </w:rPr>
        <w:t xml:space="preserve"> L.) in the Macleay River gorge system, north-eastern New South Wales, Australia. I. Impacts on soil erosion. </w:t>
      </w:r>
      <w:r w:rsidRPr="006178DF">
        <w:rPr>
          <w:rFonts w:cs="Arial"/>
          <w:i/>
          <w:iCs/>
          <w:color w:val="222222"/>
          <w:shd w:val="clear" w:color="auto" w:fill="FFFFFF"/>
        </w:rPr>
        <w:t xml:space="preserve">Wildlife Research </w:t>
      </w:r>
      <w:r w:rsidRPr="006178DF">
        <w:rPr>
          <w:rFonts w:cs="Arial"/>
          <w:color w:val="222222"/>
          <w:shd w:val="clear" w:color="auto" w:fill="FFFFFF"/>
        </w:rPr>
        <w:t>1,</w:t>
      </w:r>
      <w:r>
        <w:rPr>
          <w:rFonts w:cs="Arial"/>
          <w:color w:val="222222"/>
          <w:shd w:val="clear" w:color="auto" w:fill="FFFFFF"/>
        </w:rPr>
        <w:t xml:space="preserve"> </w:t>
      </w:r>
      <w:r w:rsidRPr="006178DF">
        <w:rPr>
          <w:rFonts w:cs="Arial"/>
          <w:color w:val="222222"/>
          <w:shd w:val="clear" w:color="auto" w:fill="FFFFFF"/>
        </w:rPr>
        <w:t>519</w:t>
      </w:r>
      <w:r>
        <w:rPr>
          <w:rFonts w:cs="Arial"/>
          <w:color w:val="222222"/>
          <w:shd w:val="clear" w:color="auto" w:fill="FFFFFF"/>
        </w:rPr>
        <w:t xml:space="preserve"> – 525</w:t>
      </w:r>
    </w:p>
    <w:p w14:paraId="58AFBBEF" w14:textId="77777777" w:rsidR="006C53CB" w:rsidRDefault="006C53CB" w:rsidP="0043299A">
      <w:pPr>
        <w:ind w:left="720" w:right="-284" w:hanging="720"/>
        <w:rPr>
          <w:rStyle w:val="Hyperlink"/>
          <w:rFonts w:cs="Calibri"/>
          <w:shd w:val="clear" w:color="auto" w:fill="FFFFFF"/>
        </w:rPr>
      </w:pPr>
      <w:r>
        <w:t xml:space="preserve">Bionet (2021) Atlas of NSW Wildlife. </w:t>
      </w:r>
      <w:r w:rsidRPr="00974B0F">
        <w:rPr>
          <w:rStyle w:val="Emphasis"/>
        </w:rPr>
        <w:t>Bertya mollissima</w:t>
      </w:r>
      <w:r>
        <w:rPr>
          <w:rStyle w:val="Emphasis"/>
        </w:rPr>
        <w:t xml:space="preserve"> observation records</w:t>
      </w:r>
      <w:r>
        <w:t xml:space="preserve">. Accessed: 19 November 2021. Available at: </w:t>
      </w:r>
      <w:hyperlink r:id="rId30" w:history="1">
        <w:r>
          <w:rPr>
            <w:rStyle w:val="Hyperlink"/>
            <w:rFonts w:cs="Calibri"/>
            <w:shd w:val="clear" w:color="auto" w:fill="FFFFFF"/>
          </w:rPr>
          <w:t>https://www.environment.nsw.gov.au/atlaspublicapp</w:t>
        </w:r>
      </w:hyperlink>
    </w:p>
    <w:p w14:paraId="68C9B469" w14:textId="77777777" w:rsidR="006C53CB" w:rsidRDefault="006C53CB" w:rsidP="00655B48">
      <w:pPr>
        <w:ind w:left="720" w:hanging="720"/>
        <w:rPr>
          <w:rFonts w:cs="Calibri"/>
          <w:color w:val="222222"/>
        </w:rPr>
      </w:pPr>
      <w:r>
        <w:rPr>
          <w:rFonts w:cs="Calibri"/>
          <w:color w:val="222222"/>
        </w:rPr>
        <w:t xml:space="preserve">Bond W &amp; van Wilgen B (1996) </w:t>
      </w:r>
      <w:r>
        <w:rPr>
          <w:rFonts w:cs="Calibri"/>
          <w:i/>
          <w:iCs/>
          <w:color w:val="222222"/>
        </w:rPr>
        <w:t>Fire and plants.</w:t>
      </w:r>
      <w:r>
        <w:rPr>
          <w:rFonts w:cs="Calibri"/>
          <w:color w:val="222222"/>
        </w:rPr>
        <w:t xml:space="preserve"> Chapman &amp; Hall: London</w:t>
      </w:r>
    </w:p>
    <w:p w14:paraId="1D1B1243" w14:textId="77777777" w:rsidR="006C53CB" w:rsidRPr="0064635E" w:rsidRDefault="006C53CB" w:rsidP="00655B48">
      <w:pPr>
        <w:ind w:left="720" w:hanging="720"/>
        <w:rPr>
          <w:rFonts w:cs="Calibri"/>
          <w:color w:val="222222"/>
        </w:rPr>
      </w:pPr>
      <w:r>
        <w:rPr>
          <w:rFonts w:cs="Calibri"/>
          <w:color w:val="222222"/>
        </w:rPr>
        <w:t xml:space="preserve">Canadell JG, Meyer CP, Cook GD, Dowdy A, Briggs PR, Knauer J, Pepler A &amp; Haverd V (2021) Multi-decadal increase of forest burned area in Australia is linked to climate change. </w:t>
      </w:r>
      <w:r>
        <w:rPr>
          <w:rFonts w:cs="Calibri"/>
          <w:i/>
          <w:iCs/>
          <w:color w:val="222222"/>
        </w:rPr>
        <w:t>Nature Communications</w:t>
      </w:r>
      <w:r>
        <w:rPr>
          <w:rFonts w:cs="Calibri"/>
          <w:color w:val="222222"/>
        </w:rPr>
        <w:t xml:space="preserve"> 12, 6921</w:t>
      </w:r>
    </w:p>
    <w:p w14:paraId="32986051" w14:textId="77777777" w:rsidR="006C53CB" w:rsidRPr="008279A0" w:rsidRDefault="006C53CB" w:rsidP="00143B17">
      <w:pPr>
        <w:ind w:left="720" w:hanging="720"/>
        <w:rPr>
          <w:rFonts w:cs="Calibri"/>
          <w:color w:val="222222"/>
        </w:rPr>
      </w:pPr>
      <w:r>
        <w:rPr>
          <w:rFonts w:cs="Calibri"/>
          <w:color w:val="222222"/>
        </w:rPr>
        <w:t xml:space="preserve">Climate Council (2014) The Critical Decade: Consequences for the New England/Northwest NSW region. </w:t>
      </w:r>
      <w:r>
        <w:rPr>
          <w:rFonts w:cs="Calibri"/>
          <w:i/>
          <w:iCs/>
          <w:color w:val="222222"/>
        </w:rPr>
        <w:t>Climate Commission</w:t>
      </w:r>
      <w:r>
        <w:rPr>
          <w:rFonts w:cs="Calibri"/>
          <w:color w:val="222222"/>
        </w:rPr>
        <w:t xml:space="preserve">. Accessed: 8 December 2021. Available at: </w:t>
      </w:r>
      <w:hyperlink r:id="rId31" w:history="1">
        <w:r w:rsidRPr="009957F3">
          <w:rPr>
            <w:rStyle w:val="Hyperlink"/>
            <w:rFonts w:cs="Calibri"/>
          </w:rPr>
          <w:t>https://www.climatecouncil.org.au/uploads/bd3683de02d94ab5c6c2231cd74ef877.pdf</w:t>
        </w:r>
      </w:hyperlink>
      <w:r>
        <w:rPr>
          <w:rFonts w:cs="Calibri"/>
          <w:color w:val="222222"/>
        </w:rPr>
        <w:t xml:space="preserve"> </w:t>
      </w:r>
    </w:p>
    <w:p w14:paraId="1AB3E450" w14:textId="77777777" w:rsidR="006C53CB" w:rsidRPr="00A96676" w:rsidRDefault="006C53CB" w:rsidP="00143B17">
      <w:pPr>
        <w:ind w:left="720" w:hanging="720"/>
        <w:rPr>
          <w:rFonts w:cs="Calibri"/>
          <w:color w:val="222222"/>
        </w:rPr>
      </w:pPr>
      <w:r w:rsidRPr="00143B17">
        <w:rPr>
          <w:rFonts w:cs="Calibri"/>
          <w:color w:val="222222"/>
        </w:rPr>
        <w:t xml:space="preserve">Commander L, Coates D, Broadhurst L, Offord C, Makinson R </w:t>
      </w:r>
      <w:r>
        <w:rPr>
          <w:rFonts w:cs="Calibri"/>
          <w:color w:val="222222"/>
        </w:rPr>
        <w:t>&amp;</w:t>
      </w:r>
      <w:r w:rsidRPr="00143B17">
        <w:rPr>
          <w:rFonts w:cs="Calibri"/>
          <w:color w:val="222222"/>
        </w:rPr>
        <w:t xml:space="preserve"> Matthes M (2018)</w:t>
      </w:r>
      <w:r>
        <w:rPr>
          <w:rFonts w:cs="Calibri"/>
          <w:color w:val="222222"/>
        </w:rPr>
        <w:t xml:space="preserve"> </w:t>
      </w:r>
      <w:r w:rsidRPr="00BF3714">
        <w:rPr>
          <w:rFonts w:cs="Calibri"/>
          <w:i/>
          <w:iCs/>
          <w:color w:val="222222"/>
        </w:rPr>
        <w:t>Guidelines for the translocation of threatened plants in Australia</w:t>
      </w:r>
      <w:r w:rsidRPr="00143B17">
        <w:rPr>
          <w:rFonts w:cs="Calibri"/>
          <w:color w:val="222222"/>
        </w:rPr>
        <w:t>. Third Edition. Australian Network for Plant Conservation, Canberra.</w:t>
      </w:r>
    </w:p>
    <w:p w14:paraId="024A7F39" w14:textId="77777777" w:rsidR="006C53CB" w:rsidRDefault="006C53CB" w:rsidP="00655B48">
      <w:pPr>
        <w:ind w:left="720" w:hanging="720"/>
      </w:pPr>
      <w:r w:rsidRPr="006178DF">
        <w:t>Copeland L (2008</w:t>
      </w:r>
      <w:r w:rsidRPr="006D0A2B">
        <w:t>)</w:t>
      </w:r>
      <w:r w:rsidRPr="006178DF">
        <w:rPr>
          <w:i/>
          <w:iCs/>
        </w:rPr>
        <w:t xml:space="preserve"> Conservation and taxonomic status of </w:t>
      </w:r>
      <w:r w:rsidRPr="006178DF">
        <w:t>Bertya</w:t>
      </w:r>
      <w:r w:rsidRPr="006178DF">
        <w:rPr>
          <w:i/>
          <w:iCs/>
        </w:rPr>
        <w:t xml:space="preserve"> sp.</w:t>
      </w:r>
      <w:r>
        <w:rPr>
          <w:i/>
          <w:iCs/>
        </w:rPr>
        <w:t xml:space="preserve"> </w:t>
      </w:r>
      <w:r w:rsidRPr="006178DF">
        <w:rPr>
          <w:i/>
          <w:iCs/>
        </w:rPr>
        <w:t xml:space="preserve">A Cobar-Coolabah (Cunningham &amp; Milthorpe s.n., 2/8/73 - Euphorbiaceae) in </w:t>
      </w:r>
      <w:r w:rsidRPr="006178DF">
        <w:t xml:space="preserve">NSW. </w:t>
      </w:r>
      <w:r>
        <w:t>R</w:t>
      </w:r>
      <w:r w:rsidRPr="006178DF">
        <w:t>eport to the Scientific Committee (NSW TSC Act 1995</w:t>
      </w:r>
      <w:r>
        <w:t>).</w:t>
      </w:r>
    </w:p>
    <w:p w14:paraId="7EFF5CFC" w14:textId="77777777" w:rsidR="006C53CB" w:rsidRPr="00CB3728" w:rsidRDefault="006C53CB" w:rsidP="00CB3728">
      <w:pPr>
        <w:ind w:left="720" w:hanging="720"/>
        <w:rPr>
          <w:rFonts w:cs="Arial"/>
        </w:rPr>
      </w:pPr>
      <w:bookmarkStart w:id="15" w:name="_Hlk84891063"/>
      <w:r w:rsidRPr="006178DF">
        <w:rPr>
          <w:rFonts w:cs="Arial"/>
        </w:rPr>
        <w:t>CSIRO and Bureau of Meteorology (2015</w:t>
      </w:r>
      <w:r>
        <w:rPr>
          <w:rFonts w:cs="Arial"/>
        </w:rPr>
        <w:t>)</w:t>
      </w:r>
      <w:r w:rsidRPr="006178DF">
        <w:rPr>
          <w:rFonts w:cs="Arial"/>
        </w:rPr>
        <w:t xml:space="preserve"> </w:t>
      </w:r>
      <w:r w:rsidRPr="006178DF">
        <w:rPr>
          <w:rFonts w:cs="Arial"/>
          <w:i/>
          <w:iCs/>
        </w:rPr>
        <w:t>Climate Change in Australia Information for Australia’s Natural Resource Management Regions</w:t>
      </w:r>
      <w:r w:rsidRPr="006178DF">
        <w:rPr>
          <w:rFonts w:cs="Arial"/>
        </w:rPr>
        <w:t>. Technical Report, CSIRO and Bureau of Meteorology, Australia.</w:t>
      </w:r>
      <w:bookmarkEnd w:id="15"/>
    </w:p>
    <w:p w14:paraId="259F20FE" w14:textId="77777777" w:rsidR="006C53CB" w:rsidRPr="006F48FE" w:rsidRDefault="006C53CB" w:rsidP="00A31F9F">
      <w:pPr>
        <w:ind w:left="720" w:hanging="720"/>
      </w:pPr>
      <w:r>
        <w:t xml:space="preserve">DECCW (2010) </w:t>
      </w:r>
      <w:r>
        <w:rPr>
          <w:i/>
          <w:iCs/>
        </w:rPr>
        <w:t>NSW Climate Impact Profile</w:t>
      </w:r>
      <w:r>
        <w:t>. Department of Environment, Climate Change &amp; Water (NSW), Sydney.</w:t>
      </w:r>
    </w:p>
    <w:p w14:paraId="64C17AFA" w14:textId="77777777" w:rsidR="006C53CB" w:rsidRDefault="006C53CB" w:rsidP="00A31F9F">
      <w:pPr>
        <w:ind w:left="720" w:hanging="720"/>
      </w:pPr>
      <w:r>
        <w:lastRenderedPageBreak/>
        <w:t xml:space="preserve">DELWP (2021a) </w:t>
      </w:r>
      <w:r>
        <w:rPr>
          <w:i/>
          <w:iCs/>
        </w:rPr>
        <w:t>Threatened Species Assessment</w:t>
      </w:r>
      <w:r>
        <w:t xml:space="preserve"> Bertya cunninghamii </w:t>
      </w:r>
      <w:r w:rsidRPr="0013570F">
        <w:rPr>
          <w:i/>
          <w:iCs/>
        </w:rPr>
        <w:t>subsp.</w:t>
      </w:r>
      <w:r>
        <w:t xml:space="preserve"> pubiramula </w:t>
      </w:r>
      <w:r w:rsidRPr="0013570F">
        <w:rPr>
          <w:i/>
          <w:iCs/>
        </w:rPr>
        <w:t xml:space="preserve">Sticky </w:t>
      </w:r>
      <w:r>
        <w:rPr>
          <w:i/>
          <w:iCs/>
        </w:rPr>
        <w:t>Bertya</w:t>
      </w:r>
      <w:r>
        <w:t>. Department of Environment, Land, Water and Planning (Vic), Melbourne.</w:t>
      </w:r>
    </w:p>
    <w:p w14:paraId="6D97A654" w14:textId="77777777" w:rsidR="006C53CB" w:rsidRDefault="006C53CB" w:rsidP="00A31F9F">
      <w:pPr>
        <w:ind w:left="720" w:hanging="720"/>
      </w:pPr>
      <w:r>
        <w:t xml:space="preserve">DELWP (2021b) </w:t>
      </w:r>
      <w:r>
        <w:rPr>
          <w:i/>
          <w:iCs/>
        </w:rPr>
        <w:t>Threatened Species Assessment</w:t>
      </w:r>
      <w:r>
        <w:t xml:space="preserve"> Bertya grampiana </w:t>
      </w:r>
      <w:r w:rsidRPr="00190FF1">
        <w:rPr>
          <w:i/>
          <w:iCs/>
        </w:rPr>
        <w:t>Grampians Bertya</w:t>
      </w:r>
      <w:r>
        <w:t>. Department of Environment, Land, Water and Planning (Vic), Melbourne.</w:t>
      </w:r>
    </w:p>
    <w:p w14:paraId="6DD4D8BA" w14:textId="77777777" w:rsidR="006C53CB" w:rsidRDefault="006C53CB" w:rsidP="00A31F9F">
      <w:pPr>
        <w:ind w:left="720" w:hanging="720"/>
      </w:pPr>
      <w:r>
        <w:t xml:space="preserve">DELWP (2021c) </w:t>
      </w:r>
      <w:r>
        <w:rPr>
          <w:i/>
          <w:iCs/>
        </w:rPr>
        <w:t>Threatened Species Assessment</w:t>
      </w:r>
      <w:r>
        <w:t xml:space="preserve"> </w:t>
      </w:r>
      <w:r w:rsidRPr="00766728">
        <w:t xml:space="preserve">Bertya findlayi </w:t>
      </w:r>
      <w:r w:rsidRPr="00766728">
        <w:rPr>
          <w:i/>
          <w:iCs/>
        </w:rPr>
        <w:t>Mountain Bertya</w:t>
      </w:r>
      <w:r>
        <w:t>. Department of Environment, Land, Water and Planning (Vic), Melbourne.</w:t>
      </w:r>
    </w:p>
    <w:p w14:paraId="198B4D49" w14:textId="77777777" w:rsidR="006C53CB" w:rsidRPr="00A31F9F" w:rsidRDefault="006C53CB" w:rsidP="00F02BBA">
      <w:pPr>
        <w:ind w:left="720" w:right="-284" w:hanging="720"/>
      </w:pPr>
      <w:r w:rsidRPr="006178DF">
        <w:t>DEWHA (2008</w:t>
      </w:r>
      <w:r>
        <w:t>)</w:t>
      </w:r>
      <w:r w:rsidRPr="006178DF">
        <w:t xml:space="preserve"> Threat abatement plan for competition and land degradation by </w:t>
      </w:r>
      <w:r>
        <w:t>Unmanaged</w:t>
      </w:r>
      <w:r w:rsidRPr="006178DF">
        <w:t xml:space="preserve"> goats. Department of the Environment, Water, Heritage and the Arts </w:t>
      </w:r>
      <w:r>
        <w:t xml:space="preserve">(Cwth), </w:t>
      </w:r>
      <w:r w:rsidRPr="006178DF">
        <w:t>Canberra.</w:t>
      </w:r>
    </w:p>
    <w:p w14:paraId="1020AAC9" w14:textId="77777777" w:rsidR="006C53CB" w:rsidRDefault="006C53CB" w:rsidP="0043299A">
      <w:pPr>
        <w:ind w:left="720" w:right="-284" w:hanging="720"/>
        <w:rPr>
          <w:rFonts w:cs="Calibri"/>
          <w:color w:val="222222"/>
        </w:rPr>
      </w:pPr>
      <w:r>
        <w:t xml:space="preserve">DoEE (2016) </w:t>
      </w:r>
      <w:r>
        <w:rPr>
          <w:i/>
          <w:iCs/>
        </w:rPr>
        <w:t xml:space="preserve">Conservation advice </w:t>
      </w:r>
      <w:r>
        <w:t xml:space="preserve">Bertya opponens. Department of the Environment and Energy (Cwth), Canberra. Accessed: 25 November 2021. Available at: </w:t>
      </w:r>
      <w:hyperlink r:id="rId32" w:history="1">
        <w:r>
          <w:rPr>
            <w:rStyle w:val="Hyperlink"/>
            <w:rFonts w:cs="Calibri"/>
            <w:shd w:val="clear" w:color="auto" w:fill="FFFFFF"/>
          </w:rPr>
          <w:t>http://www.environment.gov.au/biodiversity/threatened/species/pubs/13792-conservation-advice-16122016.pdf</w:t>
        </w:r>
      </w:hyperlink>
    </w:p>
    <w:p w14:paraId="50449C83" w14:textId="77777777" w:rsidR="006C53CB" w:rsidRPr="0082382E" w:rsidRDefault="006C53CB" w:rsidP="00340BDF">
      <w:pPr>
        <w:ind w:left="709" w:hanging="709"/>
        <w:rPr>
          <w:color w:val="222222"/>
        </w:rPr>
      </w:pPr>
      <w:r>
        <w:rPr>
          <w:color w:val="222222"/>
        </w:rPr>
        <w:t xml:space="preserve">DPIE (2020) </w:t>
      </w:r>
      <w:r>
        <w:rPr>
          <w:i/>
          <w:iCs/>
          <w:color w:val="222222"/>
        </w:rPr>
        <w:t>Priority NSW plants for post-fire field assessment</w:t>
      </w:r>
      <w:r>
        <w:rPr>
          <w:color w:val="222222"/>
        </w:rPr>
        <w:t xml:space="preserve">. Department of Planning Industry and Environment (NSW), Sydney. Accessed: 19 November 2021. Available at: </w:t>
      </w:r>
      <w:hyperlink r:id="rId33" w:history="1">
        <w:r w:rsidRPr="009957F3">
          <w:rPr>
            <w:rStyle w:val="Hyperlink"/>
          </w:rPr>
          <w:t>https://www.environment.nsw.gov.au/-/media/OEH/Corporate-Site/Documents/Parks-reserves-and-protected-areas/Fire/priority-nsw-plants-for-post-fire-field-assessment-200551.pdf</w:t>
        </w:r>
      </w:hyperlink>
      <w:r>
        <w:rPr>
          <w:color w:val="222222"/>
        </w:rPr>
        <w:t xml:space="preserve"> </w:t>
      </w:r>
    </w:p>
    <w:p w14:paraId="73352FF8" w14:textId="77777777" w:rsidR="006C53CB" w:rsidRDefault="006C53CB" w:rsidP="00340BDF">
      <w:pPr>
        <w:ind w:left="709" w:hanging="709"/>
        <w:rPr>
          <w:rStyle w:val="Hyperlink"/>
        </w:rPr>
      </w:pPr>
      <w:r>
        <w:rPr>
          <w:color w:val="222222"/>
        </w:rPr>
        <w:t xml:space="preserve">DPIE (2021) NPWS Fire History – Wildfires and prescribed burns. Department of Planning, Industry and Environment, New South Wales. Accessed: 25 November 2021. Available at: </w:t>
      </w:r>
      <w:hyperlink r:id="rId34" w:anchor=":~:text=NPWS%20Fire%20History%20-%20Wildfires%20and%20Prescribed%20Burns,year%20and%20they%20often%20extend%20outside%20NPWS%20Estate" w:history="1">
        <w:r w:rsidRPr="005936E6">
          <w:rPr>
            <w:rStyle w:val="Hyperlink"/>
          </w:rPr>
          <w:t>https://datasets.seed.nsw.gov.au/dataset/fire-history-wildfires-and-prescribed-burns-1e8b6#:~:text=NPWS%20Fire%20History%20-%20Wildfires%20and%20Prescribed%20Burns,year%20and%20they%20often%20extend%20outside%20NPWS%20Estate</w:t>
        </w:r>
      </w:hyperlink>
    </w:p>
    <w:p w14:paraId="5A7E29E3" w14:textId="77777777" w:rsidR="006C53CB" w:rsidRDefault="006C53CB" w:rsidP="0043299A">
      <w:pPr>
        <w:ind w:left="720" w:right="-284" w:hanging="720"/>
      </w:pPr>
      <w:r w:rsidRPr="000E792F">
        <w:t>Fatemi M &amp; Gross CL (2009</w:t>
      </w:r>
      <w:r>
        <w:t>)</w:t>
      </w:r>
      <w:r w:rsidRPr="000E792F">
        <w:t xml:space="preserve"> Life on the edge – high levels of genetic diversity in a cliff population of</w:t>
      </w:r>
      <w:r>
        <w:t xml:space="preserve"> </w:t>
      </w:r>
      <w:r w:rsidRPr="000E792F">
        <w:rPr>
          <w:i/>
          <w:iCs/>
        </w:rPr>
        <w:t>Bertya ingramii</w:t>
      </w:r>
      <w:r w:rsidRPr="000E792F">
        <w:t xml:space="preserve"> are attributed to </w:t>
      </w:r>
      <w:r w:rsidRPr="000E792F">
        <w:rPr>
          <w:i/>
          <w:iCs/>
        </w:rPr>
        <w:t>B. rosmarinifolia.</w:t>
      </w:r>
      <w:r w:rsidRPr="000E792F">
        <w:t xml:space="preserve"> </w:t>
      </w:r>
      <w:r w:rsidRPr="000E792F">
        <w:rPr>
          <w:i/>
          <w:iCs/>
        </w:rPr>
        <w:t>Biological Conservation</w:t>
      </w:r>
      <w:r w:rsidRPr="000E792F">
        <w:t xml:space="preserve"> 142, 1461</w:t>
      </w:r>
      <w:r>
        <w:t xml:space="preserve"> – 1468</w:t>
      </w:r>
    </w:p>
    <w:p w14:paraId="3519DFC7" w14:textId="77777777" w:rsidR="006C53CB" w:rsidRDefault="006C53CB" w:rsidP="008279A0">
      <w:pPr>
        <w:ind w:left="720" w:hanging="720"/>
        <w:rPr>
          <w:rFonts w:cs="Calibri"/>
          <w:color w:val="222222"/>
        </w:rPr>
      </w:pPr>
      <w:r w:rsidRPr="000170CA">
        <w:rPr>
          <w:rFonts w:cs="Calibri"/>
          <w:color w:val="222222"/>
        </w:rPr>
        <w:t xml:space="preserve">Gale MG &amp; Cary GJ (2021) Stand boundary effects on obligate seeding Eucalyptus delegatensis regeneration and fuel dynamics following high and low severity fire: Implications for species resilience to recurrent fire. </w:t>
      </w:r>
      <w:r w:rsidRPr="000170CA">
        <w:rPr>
          <w:rFonts w:cs="Calibri"/>
          <w:i/>
          <w:iCs/>
          <w:color w:val="222222"/>
        </w:rPr>
        <w:t>Austral Ecology</w:t>
      </w:r>
      <w:r w:rsidRPr="000170CA">
        <w:rPr>
          <w:rFonts w:cs="Calibri"/>
          <w:color w:val="222222"/>
        </w:rPr>
        <w:t xml:space="preserve"> 46, 802</w:t>
      </w:r>
      <w:r>
        <w:rPr>
          <w:rFonts w:cs="Calibri"/>
          <w:color w:val="222222"/>
        </w:rPr>
        <w:t xml:space="preserve"> – 817</w:t>
      </w:r>
    </w:p>
    <w:p w14:paraId="3CAAA7DD" w14:textId="77777777" w:rsidR="006C53CB" w:rsidRPr="008279A0" w:rsidRDefault="006C53CB" w:rsidP="0045383B">
      <w:pPr>
        <w:ind w:left="720" w:hanging="720"/>
        <w:rPr>
          <w:rFonts w:cs="Calibri"/>
          <w:color w:val="222222"/>
        </w:rPr>
      </w:pPr>
      <w:r>
        <w:rPr>
          <w:rFonts w:cs="Calibri"/>
          <w:color w:val="222222"/>
        </w:rPr>
        <w:t xml:space="preserve">Gallagher RV, Allen S, Mackenzie DBE, Yates CJ, Gosper CR, Keith DA, Merow C, White MD, Wenk E, Maitner BS, He K, Adams VN &amp; Auld TD (2021) High fire frequency and the impacts of the 2019-2020 megafires on Australian plant diversity. </w:t>
      </w:r>
      <w:r>
        <w:rPr>
          <w:rFonts w:cs="Calibri"/>
          <w:i/>
          <w:iCs/>
          <w:color w:val="222222"/>
        </w:rPr>
        <w:t>Diversity and Distributions</w:t>
      </w:r>
      <w:r>
        <w:rPr>
          <w:rFonts w:cs="Calibri"/>
          <w:color w:val="222222"/>
        </w:rPr>
        <w:t xml:space="preserve"> 27, 1166-1179</w:t>
      </w:r>
    </w:p>
    <w:p w14:paraId="79F6A991" w14:textId="77777777" w:rsidR="006C53CB" w:rsidRDefault="006C53CB" w:rsidP="00040999">
      <w:pPr>
        <w:ind w:left="720" w:hanging="720"/>
      </w:pPr>
      <w:r w:rsidRPr="0043299A">
        <w:t>Halford DA &amp; Henderson RJF (2002) Studies in Euphorbiaceae A.L.Juss. sens. lat. 3. A revision of</w:t>
      </w:r>
      <w:r>
        <w:t xml:space="preserve"> </w:t>
      </w:r>
      <w:r w:rsidRPr="0043299A">
        <w:t>Bertya Planch. Austrobaileya 6, 187</w:t>
      </w:r>
      <w:r>
        <w:t xml:space="preserve"> – 245</w:t>
      </w:r>
    </w:p>
    <w:p w14:paraId="06D4092E" w14:textId="77777777" w:rsidR="006C53CB" w:rsidRDefault="006C53CB" w:rsidP="006C29A5">
      <w:pPr>
        <w:ind w:left="720" w:hanging="720"/>
      </w:pPr>
      <w:bookmarkStart w:id="16" w:name="_Hlk84891828"/>
      <w:r>
        <w:t xml:space="preserve">IUCN (2019) </w:t>
      </w:r>
      <w:r w:rsidRPr="00D7580F">
        <w:rPr>
          <w:i/>
          <w:iCs/>
        </w:rPr>
        <w:t>Guidelines for Using the IUCN Red List Categories and Criteria. Version 14.</w:t>
      </w:r>
      <w:r>
        <w:t xml:space="preserve"> Prepared by the Standards and Petitions Committee. Accessed: 29 November 2021. Available at: </w:t>
      </w:r>
      <w:hyperlink r:id="rId35" w:history="1">
        <w:r w:rsidRPr="00114617">
          <w:rPr>
            <w:rStyle w:val="Hyperlink"/>
          </w:rPr>
          <w:t>http://www.iucnredlist.org/documents/RedListGuidelines.pdf</w:t>
        </w:r>
      </w:hyperlink>
      <w:r>
        <w:t>.</w:t>
      </w:r>
      <w:bookmarkEnd w:id="16"/>
    </w:p>
    <w:p w14:paraId="0F70D399" w14:textId="77777777" w:rsidR="006C53CB" w:rsidRDefault="006C53CB" w:rsidP="00F34A16">
      <w:pPr>
        <w:ind w:left="720" w:hanging="720"/>
      </w:pPr>
      <w:r w:rsidRPr="006178DF">
        <w:rPr>
          <w:rFonts w:cs="Arial"/>
        </w:rPr>
        <w:lastRenderedPageBreak/>
        <w:t>Keith D (1996</w:t>
      </w:r>
      <w:r>
        <w:rPr>
          <w:rFonts w:cs="Arial"/>
        </w:rPr>
        <w:t>)</w:t>
      </w:r>
      <w:r w:rsidRPr="006178DF">
        <w:rPr>
          <w:rFonts w:cs="Arial"/>
        </w:rPr>
        <w:t xml:space="preserve"> Fire-driven extinction of plant populations: a synthesis of theory and review of evidence from Australian vegetation</w:t>
      </w:r>
      <w:r>
        <w:rPr>
          <w:rFonts w:cs="Arial"/>
        </w:rPr>
        <w:t>.</w:t>
      </w:r>
      <w:r w:rsidRPr="006178DF">
        <w:rPr>
          <w:rFonts w:cs="Arial"/>
        </w:rPr>
        <w:t xml:space="preserve"> </w:t>
      </w:r>
      <w:r w:rsidRPr="006178DF">
        <w:rPr>
          <w:rFonts w:cs="Arial"/>
          <w:i/>
          <w:iCs/>
        </w:rPr>
        <w:t>Proceedings of the Linnean Society of New South Wales</w:t>
      </w:r>
      <w:r w:rsidRPr="006178DF">
        <w:rPr>
          <w:rFonts w:cs="Arial"/>
        </w:rPr>
        <w:t xml:space="preserve"> 116</w:t>
      </w:r>
      <w:r w:rsidRPr="006178DF">
        <w:rPr>
          <w:rFonts w:cs="Arial"/>
          <w:i/>
          <w:iCs/>
        </w:rPr>
        <w:t>,</w:t>
      </w:r>
      <w:r w:rsidRPr="006178DF">
        <w:rPr>
          <w:rFonts w:cs="Arial"/>
        </w:rPr>
        <w:t xml:space="preserve"> 37–78.</w:t>
      </w:r>
    </w:p>
    <w:p w14:paraId="76725CA9" w14:textId="77777777" w:rsidR="006C53CB" w:rsidRDefault="006C53CB" w:rsidP="00F34A16">
      <w:pPr>
        <w:ind w:left="720" w:hanging="720"/>
      </w:pPr>
      <w:r w:rsidRPr="00F27BCB">
        <w:t xml:space="preserve">Legge S, Smith JG, James A, Tuft KD, Webb T &amp; Woinarski JC (2019) Interactions among threats affect conservation management outcomes: Livestock grazing removes the benefits of fire management for small mammals in Australian tropical savannas. </w:t>
      </w:r>
      <w:r w:rsidRPr="00F27BCB">
        <w:rPr>
          <w:i/>
          <w:iCs/>
        </w:rPr>
        <w:t>Conservation Science and Practice</w:t>
      </w:r>
      <w:r w:rsidRPr="00F27BCB">
        <w:t xml:space="preserve"> 1, e52</w:t>
      </w:r>
    </w:p>
    <w:p w14:paraId="1C59B58F" w14:textId="77777777" w:rsidR="006C53CB" w:rsidRDefault="006C53CB" w:rsidP="00F34A16">
      <w:pPr>
        <w:ind w:left="720" w:hanging="720"/>
      </w:pPr>
      <w:r>
        <w:t xml:space="preserve">Leigh JH &amp; Holgate MD (1979) The responses of the understory of forests and woodlands of the Southern Tablelands to grazing and burning. </w:t>
      </w:r>
      <w:r>
        <w:rPr>
          <w:i/>
          <w:iCs/>
        </w:rPr>
        <w:t>Australian Journal of Ecology</w:t>
      </w:r>
      <w:r>
        <w:t xml:space="preserve"> 4, 25 – 45</w:t>
      </w:r>
    </w:p>
    <w:p w14:paraId="3896F3A9" w14:textId="77777777" w:rsidR="006C53CB" w:rsidRPr="002A0077" w:rsidRDefault="006C53CB" w:rsidP="00F34A16">
      <w:pPr>
        <w:ind w:left="720" w:hanging="720"/>
      </w:pPr>
      <w:r>
        <w:t xml:space="preserve">Leigh JH, Wood DH, Slee AV &amp; Holgate MD (1991) The effects of burning and simulated grazing on productivity, forage quality, mortality and flowering of eight subalpine herbs in Kosciusko National Park. </w:t>
      </w:r>
      <w:r>
        <w:rPr>
          <w:i/>
          <w:iCs/>
        </w:rPr>
        <w:t>Australian Journal of Botany</w:t>
      </w:r>
      <w:r>
        <w:t xml:space="preserve"> 39, 97 – 118</w:t>
      </w:r>
    </w:p>
    <w:p w14:paraId="120E6387" w14:textId="77777777" w:rsidR="006C53CB" w:rsidRDefault="006C53CB" w:rsidP="00F34A16">
      <w:pPr>
        <w:ind w:left="720" w:hanging="720"/>
      </w:pPr>
      <w:r w:rsidRPr="006178DF">
        <w:t>NSW NPWS (2002</w:t>
      </w:r>
      <w:r>
        <w:t>a)</w:t>
      </w:r>
      <w:r w:rsidRPr="006178DF">
        <w:t xml:space="preserve"> </w:t>
      </w:r>
      <w:r w:rsidRPr="006178DF">
        <w:rPr>
          <w:bCs/>
          <w:iCs/>
        </w:rPr>
        <w:t>Bertya</w:t>
      </w:r>
      <w:r w:rsidRPr="006178DF">
        <w:rPr>
          <w:bCs/>
          <w:i/>
          <w:iCs/>
        </w:rPr>
        <w:t xml:space="preserve"> </w:t>
      </w:r>
      <w:r w:rsidRPr="006178DF">
        <w:rPr>
          <w:bCs/>
          <w:i/>
        </w:rPr>
        <w:t>sp. Cobar-Coolabah (Cunningham &amp; Milthorpe s.n., 2/8/73) Approved Recovery Plan.</w:t>
      </w:r>
      <w:r w:rsidRPr="006178DF">
        <w:rPr>
          <w:bCs/>
        </w:rPr>
        <w:t xml:space="preserve"> </w:t>
      </w:r>
      <w:r w:rsidRPr="006178DF">
        <w:t>NSW National Parks &amp; Wildlife Service: Hurstville</w:t>
      </w:r>
      <w:r>
        <w:t>.</w:t>
      </w:r>
    </w:p>
    <w:p w14:paraId="4D0CF04F" w14:textId="77777777" w:rsidR="006C53CB" w:rsidRDefault="006C53CB" w:rsidP="00040999">
      <w:pPr>
        <w:ind w:left="720" w:hanging="720"/>
      </w:pPr>
      <w:r>
        <w:t xml:space="preserve">NSW NPWS (2002b) </w:t>
      </w:r>
      <w:r>
        <w:rPr>
          <w:i/>
          <w:iCs/>
        </w:rPr>
        <w:t>Coolah Tops National Park</w:t>
      </w:r>
      <w:r>
        <w:t xml:space="preserve">. National Parks and Wildlife Services (NSW) Accessed: 19 November 2021. Available at: </w:t>
      </w:r>
      <w:hyperlink r:id="rId36" w:history="1">
        <w:r>
          <w:rPr>
            <w:rStyle w:val="Hyperlink"/>
            <w:rFonts w:cs="Calibri"/>
            <w:shd w:val="clear" w:color="auto" w:fill="FFFFFF"/>
          </w:rPr>
          <w:t>https://www.environment.nsw.gov.au/-/media/OEH/Corporate-Site/Documents/Parks-reserves-and-protected-areas/Parks-plans-of-management/coolah-tops-national-park-plan-of-management-020000.pdf</w:t>
        </w:r>
      </w:hyperlink>
    </w:p>
    <w:p w14:paraId="046BDE5F" w14:textId="77777777" w:rsidR="006C53CB" w:rsidRDefault="006C53CB" w:rsidP="00040999">
      <w:pPr>
        <w:ind w:left="720" w:hanging="720"/>
      </w:pPr>
      <w:r>
        <w:t xml:space="preserve">NSW NPWS (2012) </w:t>
      </w:r>
      <w:r>
        <w:rPr>
          <w:i/>
          <w:iCs/>
        </w:rPr>
        <w:t>Warrumbungle National Park</w:t>
      </w:r>
      <w:r>
        <w:t xml:space="preserve">. National Parks and Wildlife Services (NSW) Accessed: 19 November 2021. Available at: </w:t>
      </w:r>
      <w:hyperlink r:id="rId37" w:history="1">
        <w:r>
          <w:rPr>
            <w:rStyle w:val="Hyperlink"/>
            <w:rFonts w:cs="Calibri"/>
            <w:shd w:val="clear" w:color="auto" w:fill="FFFFFF"/>
          </w:rPr>
          <w:t>https://www.environment.nsw.gov.au/-/media/OEH/Corporate-Site/Documents/Parks-reserves-and-protected-areas/Parks-plans-of-management/warrumbungle-national-park-plan-of-management-120967.pdf</w:t>
        </w:r>
      </w:hyperlink>
    </w:p>
    <w:p w14:paraId="393E838E" w14:textId="77777777" w:rsidR="006C53CB" w:rsidRDefault="006C53CB" w:rsidP="00040999">
      <w:pPr>
        <w:ind w:left="720" w:hanging="720"/>
        <w:rPr>
          <w:rStyle w:val="Hyperlink"/>
          <w:rFonts w:cs="Calibri"/>
          <w:shd w:val="clear" w:color="auto" w:fill="FFFFFF"/>
        </w:rPr>
      </w:pPr>
      <w:r>
        <w:t xml:space="preserve">NSW NPWS (2021) </w:t>
      </w:r>
      <w:r>
        <w:rPr>
          <w:i/>
          <w:iCs/>
        </w:rPr>
        <w:t>Mount Kaputar National Park</w:t>
      </w:r>
      <w:r>
        <w:t xml:space="preserve">. National Parks and Wildlife Services (NSW) Accessed: 19 November 2021. Available at: </w:t>
      </w:r>
      <w:hyperlink r:id="rId38" w:history="1">
        <w:r>
          <w:rPr>
            <w:rStyle w:val="Hyperlink"/>
            <w:rFonts w:cs="Calibri"/>
            <w:shd w:val="clear" w:color="auto" w:fill="FFFFFF"/>
          </w:rPr>
          <w:t>https://www.environment.nsw.gov.au/-/media/OEH/Corporate-Site/Documents/Parks-reserves-and-protected-areas/Parks-plans-of-management/mount-kaputar-national-park-plan-of-management-210368.pdf</w:t>
        </w:r>
      </w:hyperlink>
    </w:p>
    <w:p w14:paraId="2E49BC66" w14:textId="77777777" w:rsidR="006C53CB" w:rsidRDefault="006C53CB" w:rsidP="0079235E">
      <w:pPr>
        <w:ind w:left="720" w:hanging="720"/>
      </w:pPr>
      <w:r>
        <w:t xml:space="preserve">OEH (2014a) </w:t>
      </w:r>
      <w:r w:rsidRPr="00B01F96">
        <w:rPr>
          <w:i/>
          <w:iCs/>
        </w:rPr>
        <w:t>Central West and Orana Climate snapshot</w:t>
      </w:r>
      <w:r>
        <w:t>. Office of Environment &amp; Heritage (NSW), Sydney</w:t>
      </w:r>
    </w:p>
    <w:p w14:paraId="5DCD586A" w14:textId="77777777" w:rsidR="006C53CB" w:rsidRDefault="006C53CB" w:rsidP="0079235E">
      <w:pPr>
        <w:ind w:left="720" w:hanging="720"/>
      </w:pPr>
      <w:r w:rsidRPr="000F257A">
        <w:t>OEH (2014</w:t>
      </w:r>
      <w:r>
        <w:t>b</w:t>
      </w:r>
      <w:r w:rsidRPr="000F257A">
        <w:t xml:space="preserve">) </w:t>
      </w:r>
      <w:r w:rsidRPr="00B01F96">
        <w:rPr>
          <w:i/>
          <w:iCs/>
        </w:rPr>
        <w:t>New England North West Climate change snapshot</w:t>
      </w:r>
      <w:r w:rsidRPr="000F257A">
        <w:t>. Office of Environment &amp; Heritage (NSW), Sydney</w:t>
      </w:r>
    </w:p>
    <w:p w14:paraId="29C5BFAA" w14:textId="77777777" w:rsidR="006C53CB" w:rsidRDefault="006C53CB" w:rsidP="0079235E">
      <w:pPr>
        <w:ind w:left="720" w:hanging="720"/>
      </w:pPr>
      <w:r w:rsidRPr="00F27BCB">
        <w:t xml:space="preserve">OEH (2018) </w:t>
      </w:r>
      <w:r w:rsidRPr="00F27BCB">
        <w:rPr>
          <w:i/>
          <w:iCs/>
        </w:rPr>
        <w:t>Ukerbarley Aboriginal Area</w:t>
      </w:r>
      <w:r w:rsidRPr="00F27BCB">
        <w:t xml:space="preserve">. Office of Environment and Heritage (NSW) Sydney. </w:t>
      </w:r>
      <w:r>
        <w:t>Accessed:</w:t>
      </w:r>
      <w:r w:rsidRPr="00F27BCB">
        <w:t xml:space="preserve"> 6 December 2021. Available at</w:t>
      </w:r>
      <w:r>
        <w:t xml:space="preserve">: </w:t>
      </w:r>
      <w:hyperlink r:id="rId39" w:history="1">
        <w:r w:rsidRPr="00B84A19">
          <w:rPr>
            <w:rStyle w:val="Hyperlink"/>
          </w:rPr>
          <w:t>https://www.environment.nsw.gov.au/-/media/OEH/Corporate-Site/Documents/Parks-reserves-and-protected-areas/Parks-statement-of-management-intent/ukerbarley-aboriginal-area-statement-management-intent-180083.pdf</w:t>
        </w:r>
      </w:hyperlink>
      <w:r>
        <w:t xml:space="preserve"> </w:t>
      </w:r>
    </w:p>
    <w:p w14:paraId="2256987A" w14:textId="77777777" w:rsidR="006C53CB" w:rsidRPr="0079235E" w:rsidRDefault="006C53CB" w:rsidP="0079235E">
      <w:pPr>
        <w:ind w:left="720" w:hanging="720"/>
        <w:rPr>
          <w:color w:val="165788"/>
          <w:u w:val="single"/>
        </w:rPr>
      </w:pPr>
      <w:r w:rsidRPr="006178DF">
        <w:t>OEH (2020</w:t>
      </w:r>
      <w:r>
        <w:t>)</w:t>
      </w:r>
      <w:r w:rsidRPr="006178DF">
        <w:t xml:space="preserve"> Coolabah Bertya– profile.</w:t>
      </w:r>
      <w:r w:rsidRPr="00897453">
        <w:t xml:space="preserve"> </w:t>
      </w:r>
      <w:r w:rsidRPr="006178DF">
        <w:t>Office of Environment and Heritage</w:t>
      </w:r>
      <w:r>
        <w:t xml:space="preserve"> (NSW).</w:t>
      </w:r>
      <w:r w:rsidRPr="006178DF">
        <w:t xml:space="preserve"> </w:t>
      </w:r>
      <w:r>
        <w:t>Accessed</w:t>
      </w:r>
      <w:r w:rsidRPr="006178DF">
        <w:t xml:space="preserve">: </w:t>
      </w:r>
      <w:r>
        <w:t>30 November</w:t>
      </w:r>
      <w:r w:rsidRPr="006178DF">
        <w:t xml:space="preserve"> 2021. Available at: </w:t>
      </w:r>
      <w:hyperlink r:id="rId40" w:history="1">
        <w:r w:rsidRPr="006178DF">
          <w:rPr>
            <w:rStyle w:val="Hyperlink"/>
          </w:rPr>
          <w:t>https://www.environment.nsw.gov.au/threatenedspeciesapp/profile.aspx?id=10093</w:t>
        </w:r>
      </w:hyperlink>
    </w:p>
    <w:p w14:paraId="6F24513E" w14:textId="77777777" w:rsidR="006C53CB" w:rsidRDefault="006C53CB" w:rsidP="00040999">
      <w:pPr>
        <w:ind w:left="720" w:hanging="720"/>
      </w:pPr>
      <w:r w:rsidRPr="000170CA">
        <w:lastRenderedPageBreak/>
        <w:t>Palmer HD, Denham AJ &amp; Ooi MKJ (2018) Fire severity drives variation in post-fire recruitment and residual seed bank size of Acacia species</w:t>
      </w:r>
      <w:r w:rsidRPr="000170CA">
        <w:rPr>
          <w:i/>
          <w:iCs/>
        </w:rPr>
        <w:t>. Plant Ecology</w:t>
      </w:r>
      <w:r w:rsidRPr="000170CA">
        <w:t xml:space="preserve"> 219, 527</w:t>
      </w:r>
      <w:r>
        <w:t xml:space="preserve"> – 537</w:t>
      </w:r>
    </w:p>
    <w:p w14:paraId="5F4D97F4" w14:textId="77777777" w:rsidR="006C53CB" w:rsidRDefault="006C53CB" w:rsidP="00040999">
      <w:pPr>
        <w:ind w:left="720" w:hanging="720"/>
      </w:pPr>
      <w:r>
        <w:t>Phillips G (2021) personal communication via email, 26 November 2021. Seedbank officer, Australian Plantbank</w:t>
      </w:r>
    </w:p>
    <w:p w14:paraId="3ECB6327" w14:textId="77777777" w:rsidR="006C53CB" w:rsidRDefault="006C53CB" w:rsidP="00040999">
      <w:pPr>
        <w:ind w:left="720" w:hanging="720"/>
        <w:rPr>
          <w:rStyle w:val="Hyperlink"/>
          <w:rFonts w:cs="Calibri"/>
          <w:shd w:val="clear" w:color="auto" w:fill="FFFFFF"/>
        </w:rPr>
      </w:pPr>
      <w:r>
        <w:t xml:space="preserve">PlantNET (2021) The New South Wales Plant Information Network System. Royal Botanic Gardens and Domain Trust, Sydney. Accessed: 18 November 2021. Available at: </w:t>
      </w:r>
      <w:hyperlink r:id="rId41" w:history="1">
        <w:r>
          <w:rPr>
            <w:rStyle w:val="Hyperlink"/>
            <w:rFonts w:cs="Calibri"/>
            <w:shd w:val="clear" w:color="auto" w:fill="FFFFFF"/>
          </w:rPr>
          <w:t>https://plantnet.rbgsyd.nsw.gov.au</w:t>
        </w:r>
      </w:hyperlink>
    </w:p>
    <w:p w14:paraId="1BA79E25" w14:textId="77777777" w:rsidR="006C53CB" w:rsidRPr="00CA4CFD" w:rsidRDefault="006C53CB" w:rsidP="00040999">
      <w:pPr>
        <w:ind w:left="720" w:hanging="720"/>
        <w:rPr>
          <w:rFonts w:cs="Calibri"/>
          <w:color w:val="222222"/>
        </w:rPr>
      </w:pPr>
      <w:r>
        <w:t xml:space="preserve">RBGDT (2020) </w:t>
      </w:r>
      <w:r>
        <w:rPr>
          <w:i/>
          <w:iCs/>
        </w:rPr>
        <w:t>Bertya mollissima fire assessment</w:t>
      </w:r>
      <w:r>
        <w:t>. Unpublished data sheets, the Royal Botanic Gardens and Domain Trust (NSW), Sydney</w:t>
      </w:r>
    </w:p>
    <w:p w14:paraId="086AB628" w14:textId="77777777" w:rsidR="006C53CB" w:rsidRDefault="006C53CB" w:rsidP="00FD302E">
      <w:pPr>
        <w:ind w:left="720" w:hanging="720"/>
        <w:rPr>
          <w:rFonts w:cs="Arial"/>
          <w:shd w:val="clear" w:color="auto" w:fill="FFFFFF"/>
        </w:rPr>
      </w:pPr>
      <w:r w:rsidRPr="006178DF">
        <w:rPr>
          <w:rFonts w:cs="Arial"/>
          <w:shd w:val="clear" w:color="auto" w:fill="FFFFFF"/>
        </w:rPr>
        <w:t>Scott B &amp; Gross CL (2004</w:t>
      </w:r>
      <w:r>
        <w:rPr>
          <w:rFonts w:cs="Arial"/>
          <w:shd w:val="clear" w:color="auto" w:fill="FFFFFF"/>
        </w:rPr>
        <w:t>)</w:t>
      </w:r>
      <w:r w:rsidRPr="006178DF">
        <w:rPr>
          <w:rFonts w:cs="Arial"/>
          <w:shd w:val="clear" w:color="auto" w:fill="FFFFFF"/>
        </w:rPr>
        <w:t xml:space="preserve"> Recovery directions for monoecious and endangered </w:t>
      </w:r>
      <w:r w:rsidRPr="006178DF">
        <w:rPr>
          <w:rFonts w:cs="Arial"/>
          <w:i/>
          <w:iCs/>
          <w:shd w:val="clear" w:color="auto" w:fill="FFFFFF"/>
        </w:rPr>
        <w:t>Bertya ingramii</w:t>
      </w:r>
      <w:r w:rsidRPr="006178DF">
        <w:rPr>
          <w:rFonts w:cs="Arial"/>
          <w:shd w:val="clear" w:color="auto" w:fill="FFFFFF"/>
        </w:rPr>
        <w:t xml:space="preserve"> using autecology and comparisons with common B</w:t>
      </w:r>
      <w:r w:rsidRPr="006178DF">
        <w:rPr>
          <w:rFonts w:cs="Arial"/>
          <w:i/>
          <w:iCs/>
          <w:shd w:val="clear" w:color="auto" w:fill="FFFFFF"/>
        </w:rPr>
        <w:t>. rosmarinifolia</w:t>
      </w:r>
      <w:r w:rsidRPr="006178DF">
        <w:rPr>
          <w:rFonts w:cs="Arial"/>
          <w:shd w:val="clear" w:color="auto" w:fill="FFFFFF"/>
        </w:rPr>
        <w:t xml:space="preserve"> (Euphorbiaceae</w:t>
      </w:r>
      <w:r>
        <w:rPr>
          <w:rFonts w:cs="Arial"/>
          <w:shd w:val="clear" w:color="auto" w:fill="FFFFFF"/>
        </w:rPr>
        <w:t>)</w:t>
      </w:r>
      <w:r w:rsidRPr="006178DF">
        <w:rPr>
          <w:rFonts w:cs="Arial"/>
          <w:shd w:val="clear" w:color="auto" w:fill="FFFFFF"/>
        </w:rPr>
        <w:t> </w:t>
      </w:r>
      <w:r w:rsidRPr="006178DF">
        <w:rPr>
          <w:rFonts w:cs="Arial"/>
          <w:i/>
          <w:iCs/>
          <w:shd w:val="clear" w:color="auto" w:fill="FFFFFF"/>
        </w:rPr>
        <w:t>Biodiversity &amp; Conservation</w:t>
      </w:r>
      <w:r w:rsidRPr="006178DF">
        <w:rPr>
          <w:rFonts w:cs="Arial"/>
          <w:shd w:val="clear" w:color="auto" w:fill="FFFFFF"/>
        </w:rPr>
        <w:t xml:space="preserve"> 13, 885</w:t>
      </w:r>
      <w:r>
        <w:rPr>
          <w:rFonts w:cs="Arial"/>
          <w:shd w:val="clear" w:color="auto" w:fill="FFFFFF"/>
        </w:rPr>
        <w:t xml:space="preserve"> – 899</w:t>
      </w:r>
    </w:p>
    <w:p w14:paraId="377F1BF2" w14:textId="77777777" w:rsidR="002B7DAB" w:rsidRDefault="006C53CB" w:rsidP="00FD302E">
      <w:pPr>
        <w:ind w:left="720" w:hanging="720"/>
        <w:rPr>
          <w:rFonts w:cs="Arial"/>
          <w:shd w:val="clear" w:color="auto" w:fill="FFFFFF"/>
        </w:rPr>
        <w:sectPr w:rsidR="002B7DAB" w:rsidSect="001C0000">
          <w:headerReference w:type="even" r:id="rId42"/>
          <w:headerReference w:type="default" r:id="rId43"/>
          <w:headerReference w:type="first" r:id="rId44"/>
          <w:type w:val="continuous"/>
          <w:pgSz w:w="11906" w:h="16838"/>
          <w:pgMar w:top="1440" w:right="1440" w:bottom="1440" w:left="1440" w:header="708" w:footer="708" w:gutter="0"/>
          <w:cols w:space="708"/>
          <w:titlePg/>
          <w:docGrid w:linePitch="360"/>
        </w:sectPr>
      </w:pPr>
      <w:r w:rsidRPr="000170CA">
        <w:rPr>
          <w:rFonts w:cs="Arial"/>
          <w:shd w:val="clear" w:color="auto" w:fill="FFFFFF"/>
        </w:rPr>
        <w:t xml:space="preserve">Wright BR &amp; Fensham RJ (2016) Relationship between fire severity and recruitment in arid grassland dominated by obligate-seeding soft spinifex (Triodia pungens). </w:t>
      </w:r>
      <w:r w:rsidRPr="000170CA">
        <w:rPr>
          <w:rFonts w:cs="Arial"/>
          <w:i/>
          <w:iCs/>
          <w:shd w:val="clear" w:color="auto" w:fill="FFFFFF"/>
        </w:rPr>
        <w:t>International Journal of Wildland Fire</w:t>
      </w:r>
      <w:r w:rsidRPr="000170CA">
        <w:rPr>
          <w:rFonts w:cs="Arial"/>
          <w:shd w:val="clear" w:color="auto" w:fill="FFFFFF"/>
        </w:rPr>
        <w:t xml:space="preserve"> 25, 1264</w:t>
      </w:r>
      <w:r>
        <w:rPr>
          <w:rFonts w:cs="Arial"/>
          <w:shd w:val="clear" w:color="auto" w:fill="FFFFFF"/>
        </w:rPr>
        <w:t xml:space="preserve"> – 1272</w:t>
      </w:r>
    </w:p>
    <w:p w14:paraId="00DABF4D" w14:textId="0FEAA315" w:rsidR="006C53CB" w:rsidRPr="00FD302E" w:rsidRDefault="006C53CB" w:rsidP="00FD302E">
      <w:pPr>
        <w:ind w:left="720" w:hanging="720"/>
        <w:rPr>
          <w:rFonts w:cs="Arial"/>
          <w:shd w:val="clear" w:color="auto" w:fill="FFFFFF"/>
        </w:rPr>
      </w:pPr>
    </w:p>
    <w:p w14:paraId="62E9AB3C" w14:textId="77777777" w:rsidR="006C53CB" w:rsidRDefault="006C53CB" w:rsidP="003A06CA">
      <w:pPr>
        <w:pStyle w:val="Heading2"/>
        <w:pageBreakBefore/>
        <w:ind w:left="720" w:hanging="720"/>
      </w:pPr>
      <w:r>
        <w:lastRenderedPageBreak/>
        <w:t xml:space="preserve">Attachment A: Listing Assessment for </w:t>
      </w:r>
      <w:r>
        <w:rPr>
          <w:i/>
          <w:iCs/>
        </w:rPr>
        <w:t>Bertya mollissima</w:t>
      </w:r>
    </w:p>
    <w:p w14:paraId="395B1AD4" w14:textId="77777777" w:rsidR="006C53CB" w:rsidRDefault="006C53CB" w:rsidP="00933A0D">
      <w:pPr>
        <w:pStyle w:val="Heading3"/>
        <w:ind w:left="964" w:hanging="964"/>
        <w:rPr>
          <w:lang w:eastAsia="ja-JP"/>
        </w:rPr>
      </w:pPr>
      <w:r>
        <w:rPr>
          <w:lang w:eastAsia="ja-JP"/>
        </w:rPr>
        <w:t>Reason for assessment</w:t>
      </w:r>
    </w:p>
    <w:p w14:paraId="772109E2" w14:textId="77777777" w:rsidR="006C53CB" w:rsidRPr="006C7342" w:rsidRDefault="006C53CB" w:rsidP="006C7342">
      <w:pPr>
        <w:rPr>
          <w:lang w:eastAsia="ja-JP"/>
        </w:rPr>
      </w:pPr>
      <w:r w:rsidRPr="000F1DA6">
        <w:t>This assessment follows</w:t>
      </w:r>
      <w:r w:rsidRPr="000F1DA6">
        <w:rPr>
          <w:lang w:eastAsia="ja-JP"/>
        </w:rPr>
        <w:t xml:space="preserve"> prioritisation of a nomination from the TSSC.</w:t>
      </w:r>
    </w:p>
    <w:p w14:paraId="49851F42" w14:textId="77777777" w:rsidR="006C53CB" w:rsidRDefault="006C53CB" w:rsidP="004D61C9">
      <w:pPr>
        <w:pStyle w:val="Heading3"/>
        <w:ind w:left="964" w:hanging="964"/>
        <w:rPr>
          <w:lang w:eastAsia="ja-JP"/>
        </w:rPr>
      </w:pPr>
      <w:r>
        <w:rPr>
          <w:lang w:eastAsia="ja-JP"/>
        </w:rPr>
        <w:t>Assessment of eligibility for listing</w:t>
      </w:r>
    </w:p>
    <w:p w14:paraId="130D0012" w14:textId="77777777" w:rsidR="006C53CB" w:rsidRDefault="006C53CB"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5" w:history="1">
        <w:r w:rsidRPr="00C77CE3">
          <w:rPr>
            <w:rStyle w:val="Hyperlink"/>
            <w:lang w:eastAsia="ja-JP"/>
          </w:rPr>
          <w:t>EPBC Regulations</w:t>
        </w:r>
      </w:hyperlink>
      <w:r>
        <w:rPr>
          <w:lang w:eastAsia="ja-JP"/>
        </w:rPr>
        <w:t xml:space="preserve">. The thresholds used correspond with those in the </w:t>
      </w:r>
      <w:hyperlink r:id="rId4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74C864E3" w14:textId="77777777" w:rsidR="006C53CB" w:rsidRDefault="006C53CB" w:rsidP="0077351A">
      <w:pPr>
        <w:pStyle w:val="Heading3"/>
        <w:rPr>
          <w:lang w:eastAsia="ja-JP"/>
        </w:rPr>
      </w:pPr>
      <w:r>
        <w:rPr>
          <w:lang w:eastAsia="ja-JP"/>
        </w:rPr>
        <w:t>Key assessment parameters</w:t>
      </w:r>
    </w:p>
    <w:p w14:paraId="3C75C937" w14:textId="77777777" w:rsidR="002353B8" w:rsidRDefault="006C53CB" w:rsidP="0077351A">
      <w:pPr>
        <w:rPr>
          <w:lang w:eastAsia="ja-JP"/>
        </w:rPr>
        <w:sectPr w:rsidR="002353B8" w:rsidSect="001C0000">
          <w:headerReference w:type="even" r:id="rId47"/>
          <w:headerReference w:type="default" r:id="rId48"/>
          <w:footerReference w:type="default" r:id="rId49"/>
          <w:headerReference w:type="first" r:id="rId50"/>
          <w:type w:val="continuous"/>
          <w:pgSz w:w="11906" w:h="16838"/>
          <w:pgMar w:top="1440" w:right="1440" w:bottom="1440" w:left="1440" w:header="708" w:footer="708" w:gutter="0"/>
          <w:cols w:space="708"/>
          <w:titlePg/>
          <w:docGrid w:linePitch="360"/>
        </w:sectPr>
      </w:pPr>
      <w:r>
        <w:rPr>
          <w:lang w:eastAsia="ja-JP"/>
        </w:rPr>
        <w:t xml:space="preserve">Table 4 includes the key assessment parameters used in the </w:t>
      </w:r>
      <w:r w:rsidRPr="008D2DCF">
        <w:rPr>
          <w:lang w:eastAsia="ja-JP"/>
        </w:rPr>
        <w:t>assessment</w:t>
      </w:r>
      <w:r>
        <w:rPr>
          <w:lang w:eastAsia="ja-JP"/>
        </w:rPr>
        <w:t xml:space="preserve"> of eligibility for listing against the criteria. The definition of each of the parameters follows the </w:t>
      </w:r>
      <w:hyperlink r:id="rId51" w:history="1">
        <w:r w:rsidRPr="00F83D60">
          <w:rPr>
            <w:rStyle w:val="Hyperlink"/>
            <w:lang w:eastAsia="ja-JP"/>
          </w:rPr>
          <w:t>Guidelines for Using the IUCN Red List Categories and Criteria</w:t>
        </w:r>
      </w:hyperlink>
      <w:r>
        <w:rPr>
          <w:lang w:eastAsia="ja-JP"/>
        </w:rPr>
        <w:t>.</w:t>
      </w:r>
    </w:p>
    <w:p w14:paraId="46D35B11" w14:textId="59DE33CB" w:rsidR="006C53CB" w:rsidRDefault="006C53CB" w:rsidP="0077351A">
      <w:pPr>
        <w:rPr>
          <w:lang w:eastAsia="ja-JP"/>
        </w:rPr>
      </w:pPr>
    </w:p>
    <w:p w14:paraId="355965BB" w14:textId="77777777" w:rsidR="006C53CB" w:rsidRPr="009502E2" w:rsidRDefault="006C53CB" w:rsidP="0077351A">
      <w:pPr>
        <w:pStyle w:val="Caption"/>
      </w:pPr>
      <w:r w:rsidRPr="009502E2">
        <w:lastRenderedPageBreak/>
        <w:t xml:space="preserve">Table </w:t>
      </w:r>
      <w:r>
        <w:t>4</w:t>
      </w:r>
      <w:r w:rsidRPr="009502E2">
        <w:t xml:space="preserve"> </w:t>
      </w:r>
      <w:r>
        <w:t>K</w:t>
      </w:r>
      <w:r w:rsidRPr="009502E2">
        <w:t>ey assessment parameters</w:t>
      </w:r>
    </w:p>
    <w:tbl>
      <w:tblPr>
        <w:tblStyle w:val="TableGrid"/>
        <w:tblW w:w="0" w:type="auto"/>
        <w:tblLayout w:type="fixed"/>
        <w:tblLook w:val="04A0" w:firstRow="1" w:lastRow="0" w:firstColumn="1" w:lastColumn="0" w:noHBand="0" w:noVBand="1"/>
      </w:tblPr>
      <w:tblGrid>
        <w:gridCol w:w="1413"/>
        <w:gridCol w:w="1276"/>
        <w:gridCol w:w="1275"/>
        <w:gridCol w:w="1276"/>
        <w:gridCol w:w="3820"/>
      </w:tblGrid>
      <w:tr w:rsidR="006C53CB" w:rsidRPr="00D20C80" w14:paraId="772D9620" w14:textId="77777777" w:rsidTr="000C6407">
        <w:trPr>
          <w:cantSplit/>
          <w:tblHeader/>
        </w:trPr>
        <w:tc>
          <w:tcPr>
            <w:tcW w:w="1413" w:type="dxa"/>
          </w:tcPr>
          <w:p w14:paraId="41A08682" w14:textId="77777777" w:rsidR="006C53CB" w:rsidRPr="00D20C80" w:rsidRDefault="006C53CB" w:rsidP="00C5493E">
            <w:pPr>
              <w:pStyle w:val="TableHeading"/>
              <w:keepNext w:val="0"/>
            </w:pPr>
            <w:bookmarkStart w:id="17" w:name="_Hlk66963083"/>
            <w:r w:rsidRPr="00D20C80">
              <w:t>Metric</w:t>
            </w:r>
          </w:p>
        </w:tc>
        <w:tc>
          <w:tcPr>
            <w:tcW w:w="1276" w:type="dxa"/>
          </w:tcPr>
          <w:p w14:paraId="4654FF52" w14:textId="77777777" w:rsidR="006C53CB" w:rsidRPr="00D20C80" w:rsidRDefault="006C53CB" w:rsidP="00FD515C">
            <w:pPr>
              <w:pStyle w:val="TableHeading"/>
              <w:keepNext w:val="0"/>
            </w:pPr>
            <w:r w:rsidRPr="00D20C80">
              <w:t>Estimate</w:t>
            </w:r>
            <w:r>
              <w:t xml:space="preserve"> used in the assessment</w:t>
            </w:r>
          </w:p>
        </w:tc>
        <w:tc>
          <w:tcPr>
            <w:tcW w:w="1275" w:type="dxa"/>
          </w:tcPr>
          <w:p w14:paraId="45D3BB50" w14:textId="77777777" w:rsidR="006C53CB" w:rsidRPr="00D20C80" w:rsidRDefault="006C53CB" w:rsidP="00FD515C">
            <w:pPr>
              <w:pStyle w:val="TableHeading"/>
              <w:keepNext w:val="0"/>
            </w:pPr>
            <w:r w:rsidRPr="00D20C80">
              <w:t>Minimum</w:t>
            </w:r>
            <w:r>
              <w:t xml:space="preserve"> plausible value</w:t>
            </w:r>
          </w:p>
        </w:tc>
        <w:tc>
          <w:tcPr>
            <w:tcW w:w="1276" w:type="dxa"/>
          </w:tcPr>
          <w:p w14:paraId="66C5D3B0" w14:textId="77777777" w:rsidR="006C53CB" w:rsidRPr="00D20C80" w:rsidRDefault="006C53CB" w:rsidP="00FD515C">
            <w:pPr>
              <w:pStyle w:val="TableHeading"/>
              <w:keepNext w:val="0"/>
            </w:pPr>
            <w:r w:rsidRPr="00D20C80">
              <w:t>Maximum</w:t>
            </w:r>
            <w:r>
              <w:t xml:space="preserve"> plausible value</w:t>
            </w:r>
          </w:p>
        </w:tc>
        <w:tc>
          <w:tcPr>
            <w:tcW w:w="3820" w:type="dxa"/>
          </w:tcPr>
          <w:p w14:paraId="4E56E8CB" w14:textId="77777777" w:rsidR="006C53CB" w:rsidRPr="00D20C80" w:rsidRDefault="006C53CB" w:rsidP="002C6C3D">
            <w:pPr>
              <w:pStyle w:val="TableHeading"/>
              <w:keepNext w:val="0"/>
            </w:pPr>
            <w:r w:rsidRPr="00D20C80">
              <w:t>Justification</w:t>
            </w:r>
          </w:p>
        </w:tc>
      </w:tr>
      <w:tr w:rsidR="006C53CB" w14:paraId="5B9F7FD5" w14:textId="77777777" w:rsidTr="000C6407">
        <w:trPr>
          <w:cantSplit/>
        </w:trPr>
        <w:tc>
          <w:tcPr>
            <w:tcW w:w="1413" w:type="dxa"/>
          </w:tcPr>
          <w:p w14:paraId="2AE5366C" w14:textId="77777777" w:rsidR="006C53CB" w:rsidRPr="00D20C80" w:rsidRDefault="006C53CB" w:rsidP="00F83D60">
            <w:pPr>
              <w:pStyle w:val="TableHeading"/>
              <w:keepNext w:val="0"/>
              <w:rPr>
                <w:rStyle w:val="Strong"/>
                <w:b/>
                <w:bCs w:val="0"/>
              </w:rPr>
            </w:pPr>
            <w:r w:rsidRPr="00D20C80">
              <w:rPr>
                <w:rStyle w:val="Strong"/>
              </w:rPr>
              <w:t>Number of mature individuals</w:t>
            </w:r>
          </w:p>
        </w:tc>
        <w:tc>
          <w:tcPr>
            <w:tcW w:w="1276" w:type="dxa"/>
            <w:shd w:val="clear" w:color="auto" w:fill="auto"/>
          </w:tcPr>
          <w:p w14:paraId="36659D2F" w14:textId="77777777" w:rsidR="006C53CB" w:rsidRDefault="006C53CB" w:rsidP="002E31FA">
            <w:pPr>
              <w:pStyle w:val="TableText"/>
            </w:pPr>
            <w:r>
              <w:t>&lt;2500</w:t>
            </w:r>
          </w:p>
        </w:tc>
        <w:tc>
          <w:tcPr>
            <w:tcW w:w="1275" w:type="dxa"/>
            <w:shd w:val="clear" w:color="auto" w:fill="auto"/>
          </w:tcPr>
          <w:p w14:paraId="734BE6A4" w14:textId="77777777" w:rsidR="006C53CB" w:rsidRDefault="006C53CB" w:rsidP="002E31FA">
            <w:pPr>
              <w:pStyle w:val="TableText"/>
            </w:pPr>
            <w:r>
              <w:t>Unknown</w:t>
            </w:r>
          </w:p>
        </w:tc>
        <w:tc>
          <w:tcPr>
            <w:tcW w:w="1276" w:type="dxa"/>
            <w:shd w:val="clear" w:color="auto" w:fill="auto"/>
          </w:tcPr>
          <w:p w14:paraId="41DC2839" w14:textId="77777777" w:rsidR="006C53CB" w:rsidRDefault="006C53CB" w:rsidP="002E31FA">
            <w:pPr>
              <w:pStyle w:val="TableText"/>
            </w:pPr>
            <w:r>
              <w:t>Unknown</w:t>
            </w:r>
          </w:p>
        </w:tc>
        <w:tc>
          <w:tcPr>
            <w:tcW w:w="3820" w:type="dxa"/>
            <w:shd w:val="clear" w:color="auto" w:fill="auto"/>
          </w:tcPr>
          <w:p w14:paraId="35FFFC48" w14:textId="77777777" w:rsidR="006C53CB" w:rsidRDefault="006C53CB" w:rsidP="002E31FA">
            <w:pPr>
              <w:pStyle w:val="TableText"/>
            </w:pPr>
            <w:r>
              <w:t xml:space="preserve">Data on population size is available from only one of the sites occupied by </w:t>
            </w:r>
            <w:r w:rsidRPr="000C6407">
              <w:rPr>
                <w:i/>
                <w:iCs/>
              </w:rPr>
              <w:t>B. mollissima</w:t>
            </w:r>
            <w:r>
              <w:t xml:space="preserve">. Occurrence records for the species state that the species is ‘locally occasional’ at other sites  however specific data on population size are unavailable at this time, therefore the maximum and minimum values are unknown. </w:t>
            </w:r>
          </w:p>
          <w:p w14:paraId="387E2D60" w14:textId="77777777" w:rsidR="006C53CB" w:rsidRDefault="006C53CB" w:rsidP="002E31FA">
            <w:pPr>
              <w:pStyle w:val="TableText"/>
            </w:pPr>
            <w:r>
              <w:t>The Mount Kaputar subpopulation was burnt in the 2019-20 bushfires. Surveys post-fire found two mature individuals, with &gt;100 seedlings immediately adjacent to parent plants. It is estimated that 95 percent of mature individuals were killed by the fire (RBGDT 2020). Given only two mature plants remained, the pre-fire subpopulation is estimated at 40 mature individuals. The subpopulation on the summit of Mount Kaputar is the only subpopulation to have multiple observation records. This may be because it is the most accessible of all the subpopulations, or that a significant number of individual plants occur at the site. Given this, as well as the low number of mature individuals estimated at the Mount Kaputar summit subpopulation, it is unlikely that other subpopulations would contain significantly more individuals. However, there are insufficient data available to estimate population size at the remaining sites. Therefore, there are insufficient data available to make an exact estimate of population size. However, given the low estimated number of mature individuals before the 2019-20 bushfires, it is considered very likely that the entire population contains &lt;2500 mature individuals.</w:t>
            </w:r>
          </w:p>
        </w:tc>
      </w:tr>
      <w:tr w:rsidR="006C53CB" w14:paraId="06C9A2BF" w14:textId="77777777" w:rsidTr="000C6407">
        <w:trPr>
          <w:cantSplit/>
        </w:trPr>
        <w:tc>
          <w:tcPr>
            <w:tcW w:w="1413" w:type="dxa"/>
          </w:tcPr>
          <w:p w14:paraId="10F804EB" w14:textId="77777777" w:rsidR="006C53CB" w:rsidRPr="00D20C80" w:rsidRDefault="006C53CB" w:rsidP="002E31FA">
            <w:pPr>
              <w:pStyle w:val="TableHeading"/>
              <w:keepNext w:val="0"/>
              <w:rPr>
                <w:rStyle w:val="Strong"/>
                <w:b/>
                <w:bCs w:val="0"/>
              </w:rPr>
            </w:pPr>
            <w:r w:rsidRPr="00D20C80">
              <w:rPr>
                <w:rStyle w:val="Strong"/>
              </w:rPr>
              <w:t>Trend</w:t>
            </w:r>
          </w:p>
        </w:tc>
        <w:tc>
          <w:tcPr>
            <w:tcW w:w="3827" w:type="dxa"/>
            <w:gridSpan w:val="3"/>
            <w:shd w:val="clear" w:color="auto" w:fill="auto"/>
          </w:tcPr>
          <w:p w14:paraId="15E16C7D" w14:textId="77777777" w:rsidR="006C53CB" w:rsidRDefault="006C53CB" w:rsidP="00361AD9">
            <w:pPr>
              <w:pStyle w:val="TableText"/>
            </w:pPr>
            <w:r>
              <w:t>Unknown</w:t>
            </w:r>
          </w:p>
          <w:p w14:paraId="040BA4F8" w14:textId="77777777" w:rsidR="006C53CB" w:rsidRDefault="006C53CB" w:rsidP="001376F1">
            <w:pPr>
              <w:pStyle w:val="TableText"/>
            </w:pPr>
          </w:p>
        </w:tc>
        <w:tc>
          <w:tcPr>
            <w:tcW w:w="3820" w:type="dxa"/>
            <w:shd w:val="clear" w:color="auto" w:fill="auto"/>
          </w:tcPr>
          <w:p w14:paraId="4DC4825A" w14:textId="77777777" w:rsidR="006C53CB" w:rsidRDefault="006C53CB" w:rsidP="002E31FA">
            <w:pPr>
              <w:pStyle w:val="TableText"/>
            </w:pPr>
            <w:r>
              <w:t xml:space="preserve">There are insufficient data available to determine the trend of population size at this time. Two of the four known subpopulations were burnt in the 2019-20 bushfires, with one showing post-fire recruitment. However, the remaining sites are yet to be surveyed. </w:t>
            </w:r>
          </w:p>
        </w:tc>
      </w:tr>
      <w:tr w:rsidR="006C53CB" w14:paraId="52095969" w14:textId="77777777" w:rsidTr="000C6407">
        <w:trPr>
          <w:cantSplit/>
        </w:trPr>
        <w:tc>
          <w:tcPr>
            <w:tcW w:w="1413" w:type="dxa"/>
          </w:tcPr>
          <w:p w14:paraId="00752A05" w14:textId="77777777" w:rsidR="006C53CB" w:rsidRPr="00D20C80" w:rsidRDefault="006C53CB" w:rsidP="004F27D8">
            <w:pPr>
              <w:pStyle w:val="TableHeading"/>
              <w:keepNext w:val="0"/>
              <w:rPr>
                <w:rStyle w:val="Strong"/>
                <w:b/>
                <w:bCs w:val="0"/>
              </w:rPr>
            </w:pPr>
            <w:r w:rsidRPr="00D20C80">
              <w:rPr>
                <w:rStyle w:val="Strong"/>
              </w:rPr>
              <w:t>Generation time (years)</w:t>
            </w:r>
          </w:p>
        </w:tc>
        <w:tc>
          <w:tcPr>
            <w:tcW w:w="1276" w:type="dxa"/>
            <w:shd w:val="clear" w:color="auto" w:fill="auto"/>
          </w:tcPr>
          <w:p w14:paraId="29D9B0E0" w14:textId="77777777" w:rsidR="006C53CB" w:rsidRDefault="006C53CB" w:rsidP="004F27D8">
            <w:pPr>
              <w:pStyle w:val="TableText"/>
            </w:pPr>
            <w:r>
              <w:t>20</w:t>
            </w:r>
          </w:p>
        </w:tc>
        <w:tc>
          <w:tcPr>
            <w:tcW w:w="1275" w:type="dxa"/>
            <w:shd w:val="clear" w:color="auto" w:fill="auto"/>
          </w:tcPr>
          <w:p w14:paraId="1F63378D" w14:textId="77777777" w:rsidR="006C53CB" w:rsidRDefault="006C53CB" w:rsidP="004F27D8">
            <w:pPr>
              <w:pStyle w:val="TableText"/>
            </w:pPr>
            <w:r>
              <w:t>10</w:t>
            </w:r>
          </w:p>
        </w:tc>
        <w:tc>
          <w:tcPr>
            <w:tcW w:w="1276" w:type="dxa"/>
            <w:shd w:val="clear" w:color="auto" w:fill="auto"/>
          </w:tcPr>
          <w:p w14:paraId="3C56E7B7" w14:textId="77777777" w:rsidR="006C53CB" w:rsidRDefault="006C53CB" w:rsidP="004F27D8">
            <w:pPr>
              <w:pStyle w:val="TableText"/>
            </w:pPr>
            <w:r>
              <w:t>50</w:t>
            </w:r>
          </w:p>
        </w:tc>
        <w:tc>
          <w:tcPr>
            <w:tcW w:w="3820" w:type="dxa"/>
            <w:shd w:val="clear" w:color="auto" w:fill="auto"/>
          </w:tcPr>
          <w:p w14:paraId="6D041E3F" w14:textId="77777777" w:rsidR="006C53CB" w:rsidRDefault="006C53CB" w:rsidP="004F27D8">
            <w:pPr>
              <w:pStyle w:val="TableText"/>
            </w:pPr>
            <w:r>
              <w:t xml:space="preserve">The generation length of </w:t>
            </w:r>
            <w:r w:rsidRPr="6C200F09">
              <w:rPr>
                <w:rStyle w:val="Emphasis"/>
              </w:rPr>
              <w:t xml:space="preserve">B. mollissima </w:t>
            </w:r>
            <w:r>
              <w:t xml:space="preserve">is unknown. However, other </w:t>
            </w:r>
            <w:r w:rsidRPr="000C6407">
              <w:rPr>
                <w:rStyle w:val="Emphasis"/>
              </w:rPr>
              <w:t>Bertya</w:t>
            </w:r>
            <w:r>
              <w:t xml:space="preserve"> species are estimated to have a generation length of 10 to 50 years (DELWP 2021a, b, c). Accordingly, the generation length of </w:t>
            </w:r>
            <w:r w:rsidRPr="6C200F09">
              <w:rPr>
                <w:rStyle w:val="Emphasis"/>
              </w:rPr>
              <w:t>B. mollissima</w:t>
            </w:r>
            <w:r>
              <w:t xml:space="preserve"> is tentatively suggested to be between 10 and 50 years.</w:t>
            </w:r>
          </w:p>
        </w:tc>
      </w:tr>
      <w:tr w:rsidR="006C53CB" w14:paraId="3F086DFC" w14:textId="77777777" w:rsidTr="000C6407">
        <w:trPr>
          <w:cantSplit/>
        </w:trPr>
        <w:tc>
          <w:tcPr>
            <w:tcW w:w="1413" w:type="dxa"/>
          </w:tcPr>
          <w:p w14:paraId="4BB7FB2B" w14:textId="77777777" w:rsidR="006C53CB" w:rsidRPr="00F83D60" w:rsidRDefault="006C53CB" w:rsidP="004F27D8">
            <w:pPr>
              <w:pStyle w:val="TableHeading"/>
              <w:keepNext w:val="0"/>
              <w:rPr>
                <w:rStyle w:val="Strong"/>
                <w:b/>
                <w:sz w:val="22"/>
              </w:rPr>
            </w:pPr>
            <w:r w:rsidRPr="00D20C80">
              <w:rPr>
                <w:rStyle w:val="Strong"/>
              </w:rPr>
              <w:lastRenderedPageBreak/>
              <w:t>Extent of occurrence</w:t>
            </w:r>
          </w:p>
        </w:tc>
        <w:tc>
          <w:tcPr>
            <w:tcW w:w="1276" w:type="dxa"/>
            <w:shd w:val="clear" w:color="auto" w:fill="auto"/>
          </w:tcPr>
          <w:p w14:paraId="6C2B7B48" w14:textId="77777777" w:rsidR="006C53CB" w:rsidRPr="0071274D" w:rsidRDefault="006C53CB" w:rsidP="004F27D8">
            <w:pPr>
              <w:pStyle w:val="TableText"/>
              <w:rPr>
                <w:vertAlign w:val="superscript"/>
              </w:rPr>
            </w:pPr>
            <w:r>
              <w:t>7672 km</w:t>
            </w:r>
            <w:r w:rsidRPr="1F054AB6">
              <w:rPr>
                <w:vertAlign w:val="superscript"/>
              </w:rPr>
              <w:t>2</w:t>
            </w:r>
          </w:p>
        </w:tc>
        <w:tc>
          <w:tcPr>
            <w:tcW w:w="1275" w:type="dxa"/>
            <w:shd w:val="clear" w:color="auto" w:fill="auto"/>
          </w:tcPr>
          <w:p w14:paraId="5B25711D" w14:textId="77777777" w:rsidR="006C53CB" w:rsidRPr="00FC36E1" w:rsidRDefault="006C53CB" w:rsidP="004F27D8">
            <w:pPr>
              <w:pStyle w:val="TableText"/>
              <w:rPr>
                <w:vertAlign w:val="superscript"/>
              </w:rPr>
            </w:pPr>
            <w:r>
              <w:t>7672 km</w:t>
            </w:r>
            <w:r w:rsidRPr="1F054AB6">
              <w:rPr>
                <w:vertAlign w:val="superscript"/>
              </w:rPr>
              <w:t>2</w:t>
            </w:r>
          </w:p>
        </w:tc>
        <w:tc>
          <w:tcPr>
            <w:tcW w:w="1276" w:type="dxa"/>
            <w:shd w:val="clear" w:color="auto" w:fill="auto"/>
          </w:tcPr>
          <w:p w14:paraId="46715E65" w14:textId="77777777" w:rsidR="006C53CB" w:rsidRPr="00FC36E1" w:rsidRDefault="006C53CB" w:rsidP="004F27D8">
            <w:pPr>
              <w:pStyle w:val="TableText"/>
              <w:rPr>
                <w:vertAlign w:val="superscript"/>
              </w:rPr>
            </w:pPr>
            <w:r>
              <w:t>&gt;32,200 km</w:t>
            </w:r>
            <w:r>
              <w:rPr>
                <w:vertAlign w:val="superscript"/>
              </w:rPr>
              <w:t>2</w:t>
            </w:r>
          </w:p>
        </w:tc>
        <w:tc>
          <w:tcPr>
            <w:tcW w:w="3820" w:type="dxa"/>
            <w:shd w:val="clear" w:color="auto" w:fill="auto"/>
          </w:tcPr>
          <w:p w14:paraId="063F2203" w14:textId="77777777" w:rsidR="006C53CB" w:rsidRPr="00B41D5B" w:rsidRDefault="006C53CB" w:rsidP="004F27D8">
            <w:pPr>
              <w:pStyle w:val="TableText"/>
            </w:pPr>
            <w:r>
              <w:t>The extent of occurrence (EOO) is estimated at 7672 km</w:t>
            </w:r>
            <w:r w:rsidRPr="1F054AB6">
              <w:rPr>
                <w:vertAlign w:val="superscript"/>
              </w:rPr>
              <w:t>2</w:t>
            </w:r>
            <w:r>
              <w:t>. This figure is based on the mapping of point records from 2000 to 2021 (Bionet 2021). There were a small number of observations made in the early 1990s, as well as a number of records dating back to the early 1970s. These points were discarded as the majority had only been observed once and given the continuing threats of inappropriate fire regimes, climate change, and herbivory, it is possible that the species no longer persists at these sites. The EOO was calculated using a minimum convex hull, based on the IUCN Red List Guidelines (IUCN 2019). As the species occurs in remote areas, additional subpopulations could exist, which could result in a slightly larger EOO. The maximum plausible value represents the plausible EOO if all historic subpopulations are extant. This figure comes from mapping of point records from all historically recorded observations (Bionet 2021).</w:t>
            </w:r>
          </w:p>
        </w:tc>
      </w:tr>
      <w:tr w:rsidR="006C53CB" w14:paraId="08CEF892" w14:textId="77777777" w:rsidTr="000C6407">
        <w:trPr>
          <w:cantSplit/>
        </w:trPr>
        <w:tc>
          <w:tcPr>
            <w:tcW w:w="1413" w:type="dxa"/>
          </w:tcPr>
          <w:p w14:paraId="41702C6C" w14:textId="77777777" w:rsidR="006C53CB" w:rsidRPr="00D20C80" w:rsidRDefault="006C53CB" w:rsidP="004F27D8">
            <w:pPr>
              <w:pStyle w:val="TableHeading"/>
              <w:keepNext w:val="0"/>
              <w:rPr>
                <w:rStyle w:val="Strong"/>
                <w:b/>
                <w:sz w:val="22"/>
              </w:rPr>
            </w:pPr>
            <w:r>
              <w:rPr>
                <w:rStyle w:val="Strong"/>
              </w:rPr>
              <w:t xml:space="preserve"> </w:t>
            </w:r>
            <w:r w:rsidRPr="00D20C80">
              <w:rPr>
                <w:rStyle w:val="Strong"/>
              </w:rPr>
              <w:t>Trend</w:t>
            </w:r>
          </w:p>
        </w:tc>
        <w:tc>
          <w:tcPr>
            <w:tcW w:w="3827" w:type="dxa"/>
            <w:gridSpan w:val="3"/>
            <w:shd w:val="clear" w:color="auto" w:fill="auto"/>
          </w:tcPr>
          <w:p w14:paraId="0764F6D7" w14:textId="77777777" w:rsidR="006C53CB" w:rsidRDefault="006C53CB" w:rsidP="004F27D8">
            <w:pPr>
              <w:pStyle w:val="TableText"/>
            </w:pPr>
            <w:r>
              <w:t>Declining</w:t>
            </w:r>
          </w:p>
        </w:tc>
        <w:tc>
          <w:tcPr>
            <w:tcW w:w="3820" w:type="dxa"/>
            <w:shd w:val="clear" w:color="auto" w:fill="auto"/>
          </w:tcPr>
          <w:p w14:paraId="475E5425" w14:textId="77777777" w:rsidR="006C53CB" w:rsidRDefault="006C53CB" w:rsidP="004F27D8">
            <w:pPr>
              <w:pStyle w:val="TableText"/>
            </w:pPr>
            <w:r w:rsidRPr="6C200F09">
              <w:rPr>
                <w:rStyle w:val="Emphasis"/>
              </w:rPr>
              <w:t>Bertya mollissima</w:t>
            </w:r>
            <w:r>
              <w:t xml:space="preserve"> is a rarely observed species. Historically the species was known from at least eight subpopulations. However, within the last 20 years only four of these have been observed. It is unknown how much survey effort there has been. This lack of observations may be due to a lack of sampling effort as the species occurs in remote locations or be the result of subpopulations going extinct. However, given the historical data available, EOO is estimated to be declining. </w:t>
            </w:r>
          </w:p>
        </w:tc>
      </w:tr>
      <w:tr w:rsidR="006C53CB" w14:paraId="4C5BB521" w14:textId="77777777" w:rsidTr="000C6407">
        <w:trPr>
          <w:cantSplit/>
        </w:trPr>
        <w:tc>
          <w:tcPr>
            <w:tcW w:w="1413" w:type="dxa"/>
          </w:tcPr>
          <w:p w14:paraId="0722A673" w14:textId="77777777" w:rsidR="006C53CB" w:rsidRPr="00F83D60" w:rsidRDefault="006C53CB" w:rsidP="004F27D8">
            <w:pPr>
              <w:pStyle w:val="TableHeading"/>
              <w:keepNext w:val="0"/>
              <w:rPr>
                <w:rStyle w:val="Strong"/>
                <w:b/>
                <w:sz w:val="22"/>
              </w:rPr>
            </w:pPr>
            <w:r w:rsidRPr="00D20C80">
              <w:rPr>
                <w:rStyle w:val="Strong"/>
              </w:rPr>
              <w:t>Area of Occupancy</w:t>
            </w:r>
          </w:p>
        </w:tc>
        <w:tc>
          <w:tcPr>
            <w:tcW w:w="1276" w:type="dxa"/>
            <w:shd w:val="clear" w:color="auto" w:fill="auto"/>
          </w:tcPr>
          <w:p w14:paraId="57584019" w14:textId="77777777" w:rsidR="006C53CB" w:rsidRPr="002D6B2B" w:rsidRDefault="006C53CB" w:rsidP="004F27D8">
            <w:pPr>
              <w:pStyle w:val="TableText"/>
              <w:rPr>
                <w:vertAlign w:val="superscript"/>
              </w:rPr>
            </w:pPr>
            <w:r>
              <w:t>20 km</w:t>
            </w:r>
            <w:r>
              <w:rPr>
                <w:vertAlign w:val="superscript"/>
              </w:rPr>
              <w:t>2</w:t>
            </w:r>
          </w:p>
        </w:tc>
        <w:tc>
          <w:tcPr>
            <w:tcW w:w="1275" w:type="dxa"/>
            <w:shd w:val="clear" w:color="auto" w:fill="auto"/>
          </w:tcPr>
          <w:p w14:paraId="6F9FF35E" w14:textId="77777777" w:rsidR="006C53CB" w:rsidRPr="002D6B2B" w:rsidRDefault="006C53CB" w:rsidP="004F27D8">
            <w:pPr>
              <w:pStyle w:val="TableText"/>
              <w:rPr>
                <w:vertAlign w:val="superscript"/>
              </w:rPr>
            </w:pPr>
            <w:r>
              <w:t>20 km</w:t>
            </w:r>
            <w:r>
              <w:rPr>
                <w:vertAlign w:val="superscript"/>
              </w:rPr>
              <w:t>2</w:t>
            </w:r>
          </w:p>
        </w:tc>
        <w:tc>
          <w:tcPr>
            <w:tcW w:w="1276" w:type="dxa"/>
            <w:shd w:val="clear" w:color="auto" w:fill="auto"/>
          </w:tcPr>
          <w:p w14:paraId="664859C1" w14:textId="77777777" w:rsidR="006C53CB" w:rsidRPr="009B2B17" w:rsidRDefault="006C53CB" w:rsidP="004F27D8">
            <w:pPr>
              <w:pStyle w:val="TableText"/>
              <w:rPr>
                <w:vertAlign w:val="superscript"/>
              </w:rPr>
            </w:pPr>
            <w:r>
              <w:t>&gt;60 km</w:t>
            </w:r>
            <w:r>
              <w:rPr>
                <w:vertAlign w:val="superscript"/>
              </w:rPr>
              <w:t>2</w:t>
            </w:r>
          </w:p>
        </w:tc>
        <w:tc>
          <w:tcPr>
            <w:tcW w:w="3820" w:type="dxa"/>
            <w:shd w:val="clear" w:color="auto" w:fill="auto"/>
          </w:tcPr>
          <w:p w14:paraId="00A81DA7" w14:textId="77777777" w:rsidR="006C53CB" w:rsidRDefault="006C53CB" w:rsidP="004F27D8">
            <w:pPr>
              <w:pStyle w:val="TableText"/>
            </w:pPr>
            <w:r>
              <w:t>The current Area of Occupancy (AOO) is estimated at 20 km</w:t>
            </w:r>
            <w:r w:rsidRPr="1F054AB6">
              <w:rPr>
                <w:vertAlign w:val="superscript"/>
              </w:rPr>
              <w:t>2</w:t>
            </w:r>
            <w:r>
              <w:t xml:space="preserve">. This figure is based on the mapping of point records from the last 20 years (Bionet 2021). </w:t>
            </w:r>
          </w:p>
          <w:p w14:paraId="4C864FA8" w14:textId="77777777" w:rsidR="006C53CB" w:rsidRDefault="006C53CB" w:rsidP="004F27D8">
            <w:pPr>
              <w:pStyle w:val="TableText"/>
            </w:pPr>
            <w:r>
              <w:t>The historical AOO, using all historically known subpopulations, is 60 km</w:t>
            </w:r>
            <w:r w:rsidRPr="1F054AB6">
              <w:rPr>
                <w:vertAlign w:val="superscript"/>
              </w:rPr>
              <w:t>2</w:t>
            </w:r>
            <w:r>
              <w:t xml:space="preserve">. As many of these subpopulations have not been observed in the last 20 years, and some for the last 100 years, it is unknown whether they are extant in those areas. </w:t>
            </w:r>
          </w:p>
          <w:p w14:paraId="57AABE84" w14:textId="77777777" w:rsidR="006C53CB" w:rsidRPr="00B7680C" w:rsidRDefault="006C53CB" w:rsidP="004F27D8">
            <w:pPr>
              <w:pStyle w:val="TableText"/>
            </w:pPr>
            <w:r>
              <w:t xml:space="preserve">The species occurs in remote areas. Therefore, additional subpopulations may exist, which would increase the AOO. </w:t>
            </w:r>
          </w:p>
        </w:tc>
      </w:tr>
      <w:tr w:rsidR="006C53CB" w:rsidRPr="00F83D60" w14:paraId="4916CACC" w14:textId="77777777" w:rsidTr="000C6407">
        <w:trPr>
          <w:cantSplit/>
        </w:trPr>
        <w:tc>
          <w:tcPr>
            <w:tcW w:w="9060" w:type="dxa"/>
            <w:gridSpan w:val="5"/>
          </w:tcPr>
          <w:p w14:paraId="75409165" w14:textId="77777777" w:rsidR="006C53CB" w:rsidRPr="00F83D60" w:rsidRDefault="006C53CB" w:rsidP="004F27D8">
            <w:pPr>
              <w:pStyle w:val="TableHeading"/>
              <w:keepNext w:val="0"/>
              <w:rPr>
                <w:rStyle w:val="Strong"/>
                <w:w w:val="90"/>
              </w:rPr>
            </w:pPr>
            <w:r w:rsidRPr="00F83D60">
              <w:rPr>
                <w:rStyle w:val="Strong"/>
                <w:w w:val="90"/>
              </w:rPr>
              <w:t>AOO is a standardised spatial measure of the risk of extinction, that represents the area of suitable habitat known, inferred or projected to be currently occupied by the taxon. It is estimated using a 2 x 2 km grid to enable comparison with the criteria thresholds.</w:t>
            </w:r>
            <w:r>
              <w:t xml:space="preserve"> </w:t>
            </w:r>
            <w:r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taxon (e.g. breeding sites for migratory species).</w:t>
            </w:r>
          </w:p>
        </w:tc>
      </w:tr>
      <w:tr w:rsidR="006C53CB" w14:paraId="214C46C5" w14:textId="77777777" w:rsidTr="000C6407">
        <w:trPr>
          <w:cantSplit/>
        </w:trPr>
        <w:tc>
          <w:tcPr>
            <w:tcW w:w="1413" w:type="dxa"/>
          </w:tcPr>
          <w:p w14:paraId="0A6EDEBC" w14:textId="77777777" w:rsidR="006C53CB" w:rsidRPr="00D20C80" w:rsidRDefault="006C53CB" w:rsidP="004F27D8">
            <w:pPr>
              <w:pStyle w:val="TableHeading"/>
              <w:keepNext w:val="0"/>
              <w:rPr>
                <w:rStyle w:val="Strong"/>
                <w:b/>
                <w:sz w:val="22"/>
              </w:rPr>
            </w:pPr>
            <w:r w:rsidRPr="00D20C80">
              <w:rPr>
                <w:rStyle w:val="Strong"/>
              </w:rPr>
              <w:lastRenderedPageBreak/>
              <w:t>Trend</w:t>
            </w:r>
          </w:p>
        </w:tc>
        <w:tc>
          <w:tcPr>
            <w:tcW w:w="3827" w:type="dxa"/>
            <w:gridSpan w:val="3"/>
            <w:shd w:val="clear" w:color="auto" w:fill="auto"/>
          </w:tcPr>
          <w:p w14:paraId="5A6397FB" w14:textId="77777777" w:rsidR="006C53CB" w:rsidRDefault="006C53CB" w:rsidP="004F27D8">
            <w:pPr>
              <w:pStyle w:val="TableText"/>
            </w:pPr>
            <w:r>
              <w:t>Declining</w:t>
            </w:r>
          </w:p>
        </w:tc>
        <w:tc>
          <w:tcPr>
            <w:tcW w:w="3820" w:type="dxa"/>
            <w:shd w:val="clear" w:color="auto" w:fill="auto"/>
          </w:tcPr>
          <w:p w14:paraId="39CA4F2D" w14:textId="77777777" w:rsidR="006C53CB" w:rsidRDefault="006C53CB" w:rsidP="004F27D8">
            <w:pPr>
              <w:pStyle w:val="TableText"/>
            </w:pPr>
            <w:r>
              <w:t xml:space="preserve">As stated above, </w:t>
            </w:r>
            <w:r w:rsidRPr="6C200F09">
              <w:rPr>
                <w:i/>
                <w:iCs/>
              </w:rPr>
              <w:t>B. mollissima</w:t>
            </w:r>
            <w:r>
              <w:t xml:space="preserve"> has been observed in at least eight subpopulations historically. However, only four have been observed within the last 20 years, although survey effort may have been low in some remote areas. Whether the historically observed subpopulations are extant is unknown. However, given the historical observation data, AOO is inferred to be declining. </w:t>
            </w:r>
          </w:p>
        </w:tc>
      </w:tr>
      <w:tr w:rsidR="006C53CB" w14:paraId="1B5E6EE9" w14:textId="77777777" w:rsidTr="000C6407">
        <w:trPr>
          <w:cantSplit/>
        </w:trPr>
        <w:tc>
          <w:tcPr>
            <w:tcW w:w="1413" w:type="dxa"/>
          </w:tcPr>
          <w:p w14:paraId="0643A9BE" w14:textId="77777777" w:rsidR="006C53CB" w:rsidRPr="00F83D60" w:rsidRDefault="006C53CB" w:rsidP="004F27D8">
            <w:pPr>
              <w:pStyle w:val="TableHeading"/>
              <w:keepNext w:val="0"/>
              <w:rPr>
                <w:rStyle w:val="Strong"/>
                <w:b/>
                <w:sz w:val="22"/>
              </w:rPr>
            </w:pPr>
            <w:r w:rsidRPr="00D20C80">
              <w:rPr>
                <w:rStyle w:val="Strong"/>
              </w:rPr>
              <w:t>Number of subpopulations</w:t>
            </w:r>
          </w:p>
        </w:tc>
        <w:tc>
          <w:tcPr>
            <w:tcW w:w="1276" w:type="dxa"/>
            <w:shd w:val="clear" w:color="auto" w:fill="auto"/>
          </w:tcPr>
          <w:p w14:paraId="6CD39E03" w14:textId="77777777" w:rsidR="006C53CB" w:rsidRDefault="006C53CB" w:rsidP="004F27D8">
            <w:pPr>
              <w:pStyle w:val="TableText"/>
            </w:pPr>
            <w:r>
              <w:t>4</w:t>
            </w:r>
          </w:p>
        </w:tc>
        <w:tc>
          <w:tcPr>
            <w:tcW w:w="1275" w:type="dxa"/>
            <w:shd w:val="clear" w:color="auto" w:fill="auto"/>
          </w:tcPr>
          <w:p w14:paraId="0D61B794" w14:textId="77777777" w:rsidR="006C53CB" w:rsidRDefault="006C53CB" w:rsidP="004F27D8">
            <w:pPr>
              <w:pStyle w:val="TableText"/>
            </w:pPr>
            <w:r>
              <w:t>3</w:t>
            </w:r>
          </w:p>
        </w:tc>
        <w:tc>
          <w:tcPr>
            <w:tcW w:w="1276" w:type="dxa"/>
            <w:shd w:val="clear" w:color="auto" w:fill="auto"/>
          </w:tcPr>
          <w:p w14:paraId="78CC5E30" w14:textId="77777777" w:rsidR="006C53CB" w:rsidRDefault="006C53CB" w:rsidP="004F27D8">
            <w:pPr>
              <w:pStyle w:val="TableText"/>
            </w:pPr>
            <w:r>
              <w:t>&gt;8</w:t>
            </w:r>
          </w:p>
        </w:tc>
        <w:tc>
          <w:tcPr>
            <w:tcW w:w="3820" w:type="dxa"/>
            <w:shd w:val="clear" w:color="auto" w:fill="auto"/>
          </w:tcPr>
          <w:p w14:paraId="534644D5" w14:textId="77777777" w:rsidR="006C53CB" w:rsidRDefault="006C53CB" w:rsidP="004F27D8">
            <w:pPr>
              <w:pStyle w:val="TableText"/>
            </w:pPr>
            <w:r>
              <w:t>Historically the species was known from at least eight subpopulations (Bionet 2021). However, within the last 20 years it has only been found in four subpopulations. Two of these subpopulations were burnt in the 2019-20 bushfires, with post-fire recruitment being observed at one (Table 1). As the species is an obligate seeder it can be assumed that the second subpopulation has also achieved post-fire recruitment. Based on spatial analysis it appears that the other two known subpopulations were not burnt in the 2019-20 bushfires (DPIE 2021). These subpopulations are assumed extant for the purposes of this assessment.</w:t>
            </w:r>
          </w:p>
          <w:p w14:paraId="49CB80B6" w14:textId="77777777" w:rsidR="006C53CB" w:rsidRDefault="006C53CB" w:rsidP="004F27D8">
            <w:pPr>
              <w:pStyle w:val="TableText"/>
            </w:pPr>
            <w:r>
              <w:t xml:space="preserve">The Mount Kaputar summit subpopulation and the Waa Gorge subpopulation are c. 25 km apart. The species is wind pollinated, therefore, there is a chance that genetic material is being shared between these subpopulations. Little is known about dispersal of the species pollen and whether or not these subpopulations are genetically distinct. </w:t>
            </w:r>
          </w:p>
          <w:p w14:paraId="1F159E16" w14:textId="77777777" w:rsidR="006C53CB" w:rsidRDefault="006C53CB" w:rsidP="004F27D8">
            <w:pPr>
              <w:pStyle w:val="TableText"/>
            </w:pPr>
            <w:r>
              <w:t>The species is known to occur in remote locations on steep hillsides and rocky summits. Therefore, undiscovered subpopulations may exist in unsearched habitat, particularly in the Warrumbungle NP where it  was previously observed in 1974 (Halford &amp; Henderson, 2002).</w:t>
            </w:r>
          </w:p>
        </w:tc>
      </w:tr>
      <w:tr w:rsidR="006C53CB" w14:paraId="1828F363" w14:textId="77777777" w:rsidTr="000C6407">
        <w:trPr>
          <w:cantSplit/>
        </w:trPr>
        <w:tc>
          <w:tcPr>
            <w:tcW w:w="1413" w:type="dxa"/>
          </w:tcPr>
          <w:p w14:paraId="10D1ADF9" w14:textId="77777777" w:rsidR="006C53CB" w:rsidRPr="00D20C80" w:rsidRDefault="006C53CB" w:rsidP="004F27D8">
            <w:pPr>
              <w:pStyle w:val="TableHeading"/>
              <w:keepNext w:val="0"/>
              <w:rPr>
                <w:rStyle w:val="Strong"/>
                <w:b/>
                <w:sz w:val="22"/>
              </w:rPr>
            </w:pPr>
            <w:r w:rsidRPr="00D20C80">
              <w:rPr>
                <w:rStyle w:val="Strong"/>
              </w:rPr>
              <w:t>Trend</w:t>
            </w:r>
          </w:p>
        </w:tc>
        <w:tc>
          <w:tcPr>
            <w:tcW w:w="3827" w:type="dxa"/>
            <w:gridSpan w:val="3"/>
            <w:shd w:val="clear" w:color="auto" w:fill="auto"/>
          </w:tcPr>
          <w:p w14:paraId="570BEE51" w14:textId="77777777" w:rsidR="006C53CB" w:rsidRDefault="006C53CB" w:rsidP="004F27D8">
            <w:pPr>
              <w:pStyle w:val="TableText"/>
            </w:pPr>
            <w:r>
              <w:t>Declining</w:t>
            </w:r>
          </w:p>
        </w:tc>
        <w:tc>
          <w:tcPr>
            <w:tcW w:w="3820" w:type="dxa"/>
            <w:shd w:val="clear" w:color="auto" w:fill="auto"/>
          </w:tcPr>
          <w:p w14:paraId="7FC2707D" w14:textId="77777777" w:rsidR="006C53CB" w:rsidRDefault="006C53CB" w:rsidP="006662B7">
            <w:pPr>
              <w:pStyle w:val="TableText"/>
            </w:pPr>
            <w:r>
              <w:t xml:space="preserve">Historically at least eight subpopulations have been recorded. However, within the last 20 years only four have been observed. The mechanisms behind this apparent decline in subpopulations is unknown and may be due to lack of sampling effort as the species occurs in remote locations. </w:t>
            </w:r>
          </w:p>
          <w:p w14:paraId="61626E29" w14:textId="77777777" w:rsidR="006C53CB" w:rsidRPr="001B7D1F" w:rsidRDefault="006C53CB" w:rsidP="006662B7">
            <w:pPr>
              <w:pStyle w:val="TableText"/>
            </w:pPr>
            <w:r>
              <w:t>However, given only four subpopulations have been confirmed to be extant the number of subpopulations is inferred to be declining.</w:t>
            </w:r>
          </w:p>
        </w:tc>
      </w:tr>
      <w:tr w:rsidR="006C53CB" w14:paraId="19C33FB3" w14:textId="77777777" w:rsidTr="000C6407">
        <w:trPr>
          <w:cantSplit/>
        </w:trPr>
        <w:tc>
          <w:tcPr>
            <w:tcW w:w="1413" w:type="dxa"/>
          </w:tcPr>
          <w:p w14:paraId="760DE44B" w14:textId="77777777" w:rsidR="006C53CB" w:rsidRPr="00F83D60" w:rsidRDefault="006C53CB" w:rsidP="004F27D8">
            <w:pPr>
              <w:pStyle w:val="TableHeading"/>
              <w:keepNext w:val="0"/>
              <w:rPr>
                <w:rStyle w:val="Strong"/>
                <w:b/>
                <w:sz w:val="22"/>
              </w:rPr>
            </w:pPr>
            <w:r w:rsidRPr="00D20C80">
              <w:rPr>
                <w:rStyle w:val="Strong"/>
              </w:rPr>
              <w:t>Basis of assessment of subpopulation number</w:t>
            </w:r>
          </w:p>
        </w:tc>
        <w:tc>
          <w:tcPr>
            <w:tcW w:w="7647" w:type="dxa"/>
            <w:gridSpan w:val="4"/>
            <w:shd w:val="clear" w:color="auto" w:fill="auto"/>
          </w:tcPr>
          <w:p w14:paraId="0DFC0E74" w14:textId="77777777" w:rsidR="006C53CB" w:rsidRDefault="006C53CB" w:rsidP="004F27D8">
            <w:pPr>
              <w:pStyle w:val="TableText"/>
            </w:pPr>
            <w:r>
              <w:t xml:space="preserve">Subpopulations were identified through occurrence records (Bionet 2021). </w:t>
            </w:r>
            <w:r w:rsidRPr="006662B7">
              <w:rPr>
                <w:rStyle w:val="Emphasis"/>
              </w:rPr>
              <w:t>B. mollissima</w:t>
            </w:r>
            <w:r>
              <w:t xml:space="preserve"> has been recorded from four sites within the last 20 years, the closest two being c. 25 km apart. Although the species is wind pollinated, seed dispersal across this distance is unlikely. Sites with recordings older than 20 years were not included in the estimate. </w:t>
            </w:r>
          </w:p>
        </w:tc>
      </w:tr>
      <w:tr w:rsidR="006C53CB" w14:paraId="316E2446" w14:textId="77777777" w:rsidTr="000C6407">
        <w:trPr>
          <w:cantSplit/>
        </w:trPr>
        <w:tc>
          <w:tcPr>
            <w:tcW w:w="1413" w:type="dxa"/>
          </w:tcPr>
          <w:p w14:paraId="726F7B68" w14:textId="77777777" w:rsidR="006C53CB" w:rsidRPr="00F83D60" w:rsidRDefault="006C53CB" w:rsidP="004F27D8">
            <w:pPr>
              <w:pStyle w:val="TableHeading"/>
              <w:keepNext w:val="0"/>
              <w:rPr>
                <w:rStyle w:val="Strong"/>
                <w:b/>
                <w:sz w:val="22"/>
              </w:rPr>
            </w:pPr>
            <w:r w:rsidRPr="00D20C80">
              <w:rPr>
                <w:rStyle w:val="Strong"/>
              </w:rPr>
              <w:lastRenderedPageBreak/>
              <w:t>No. locations</w:t>
            </w:r>
          </w:p>
        </w:tc>
        <w:tc>
          <w:tcPr>
            <w:tcW w:w="1276" w:type="dxa"/>
            <w:shd w:val="clear" w:color="auto" w:fill="auto"/>
          </w:tcPr>
          <w:p w14:paraId="39DE4CA0" w14:textId="77777777" w:rsidR="006C53CB" w:rsidRDefault="006C53CB" w:rsidP="004F27D8">
            <w:pPr>
              <w:pStyle w:val="TableText"/>
            </w:pPr>
            <w:r>
              <w:t>2</w:t>
            </w:r>
          </w:p>
        </w:tc>
        <w:tc>
          <w:tcPr>
            <w:tcW w:w="1275" w:type="dxa"/>
            <w:shd w:val="clear" w:color="auto" w:fill="auto"/>
          </w:tcPr>
          <w:p w14:paraId="202E7C1B" w14:textId="77777777" w:rsidR="006C53CB" w:rsidRDefault="006C53CB" w:rsidP="004F27D8">
            <w:pPr>
              <w:pStyle w:val="TableText"/>
            </w:pPr>
            <w:r>
              <w:t>1</w:t>
            </w:r>
          </w:p>
        </w:tc>
        <w:tc>
          <w:tcPr>
            <w:tcW w:w="1276" w:type="dxa"/>
            <w:shd w:val="clear" w:color="auto" w:fill="auto"/>
          </w:tcPr>
          <w:p w14:paraId="325BD374" w14:textId="77777777" w:rsidR="006C53CB" w:rsidRDefault="006C53CB" w:rsidP="004F27D8">
            <w:pPr>
              <w:pStyle w:val="TableText"/>
            </w:pPr>
            <w:r>
              <w:t>4</w:t>
            </w:r>
          </w:p>
        </w:tc>
        <w:tc>
          <w:tcPr>
            <w:tcW w:w="3820" w:type="dxa"/>
            <w:shd w:val="clear" w:color="auto" w:fill="auto"/>
          </w:tcPr>
          <w:p w14:paraId="07CBD319" w14:textId="77777777" w:rsidR="006C53CB" w:rsidRDefault="006C53CB" w:rsidP="00525D61">
            <w:pPr>
              <w:pStyle w:val="TableText"/>
            </w:pPr>
            <w:r>
              <w:t xml:space="preserve">The number of locations is estimated at two. Half of the known subpopulations were impacted by the 2019-20 bushfires, evidence that even distant subpopulations can be affected by a single threat. The minimum plausible value is estimated at one, as the extent of the 2019-20 bushfires has shown that a single threat can cover an area large enough to threaten all known subpopulations. </w:t>
            </w:r>
          </w:p>
        </w:tc>
      </w:tr>
      <w:tr w:rsidR="006C53CB" w14:paraId="5CB80335" w14:textId="77777777" w:rsidTr="000C6407">
        <w:trPr>
          <w:cantSplit/>
        </w:trPr>
        <w:tc>
          <w:tcPr>
            <w:tcW w:w="1413" w:type="dxa"/>
          </w:tcPr>
          <w:p w14:paraId="69726220" w14:textId="77777777" w:rsidR="006C53CB" w:rsidRPr="00D20C80" w:rsidRDefault="006C53CB" w:rsidP="004F27D8">
            <w:pPr>
              <w:pStyle w:val="TableHeading"/>
              <w:keepNext w:val="0"/>
              <w:rPr>
                <w:rStyle w:val="Strong"/>
                <w:b/>
                <w:sz w:val="22"/>
              </w:rPr>
            </w:pPr>
            <w:r w:rsidRPr="00D20C80">
              <w:rPr>
                <w:rStyle w:val="Strong"/>
              </w:rPr>
              <w:t>Trend</w:t>
            </w:r>
          </w:p>
        </w:tc>
        <w:tc>
          <w:tcPr>
            <w:tcW w:w="3827" w:type="dxa"/>
            <w:gridSpan w:val="3"/>
            <w:shd w:val="clear" w:color="auto" w:fill="auto"/>
          </w:tcPr>
          <w:p w14:paraId="642B5784" w14:textId="77777777" w:rsidR="006C53CB" w:rsidRDefault="006C53CB" w:rsidP="004F27D8">
            <w:pPr>
              <w:pStyle w:val="TableText"/>
            </w:pPr>
            <w:r>
              <w:t>Declining</w:t>
            </w:r>
          </w:p>
        </w:tc>
        <w:tc>
          <w:tcPr>
            <w:tcW w:w="3820" w:type="dxa"/>
            <w:shd w:val="clear" w:color="auto" w:fill="auto"/>
          </w:tcPr>
          <w:p w14:paraId="6DC94063" w14:textId="77777777" w:rsidR="006C53CB" w:rsidRDefault="006C53CB" w:rsidP="004F27D8">
            <w:pPr>
              <w:pStyle w:val="TableText"/>
            </w:pPr>
            <w:r>
              <w:t xml:space="preserve">There has been an annual increase in forest area burned in Australia which has been attributed to climate change (Canadell et al. 2021). This increasing trend is projected to continue, putting even distant subpopulations at threat from single bushfire events. </w:t>
            </w:r>
          </w:p>
        </w:tc>
      </w:tr>
      <w:tr w:rsidR="006C53CB" w14:paraId="5AA9D2EC" w14:textId="77777777" w:rsidTr="000C6407">
        <w:trPr>
          <w:cantSplit/>
        </w:trPr>
        <w:tc>
          <w:tcPr>
            <w:tcW w:w="1413" w:type="dxa"/>
          </w:tcPr>
          <w:p w14:paraId="1A60022A" w14:textId="77777777" w:rsidR="006C53CB" w:rsidRPr="00D20C80" w:rsidRDefault="006C53CB" w:rsidP="004F27D8">
            <w:pPr>
              <w:pStyle w:val="TableHeading"/>
              <w:keepNext w:val="0"/>
              <w:rPr>
                <w:rStyle w:val="Strong"/>
                <w:b/>
                <w:sz w:val="22"/>
              </w:rPr>
            </w:pPr>
            <w:bookmarkStart w:id="18" w:name="_Hlk51878889"/>
            <w:r w:rsidRPr="00D20C80">
              <w:rPr>
                <w:rStyle w:val="Strong"/>
              </w:rPr>
              <w:t>Basis of assessment of location number</w:t>
            </w:r>
            <w:bookmarkEnd w:id="18"/>
          </w:p>
        </w:tc>
        <w:tc>
          <w:tcPr>
            <w:tcW w:w="7647" w:type="dxa"/>
            <w:gridSpan w:val="4"/>
            <w:shd w:val="clear" w:color="auto" w:fill="auto"/>
          </w:tcPr>
          <w:p w14:paraId="703FCD09" w14:textId="77777777" w:rsidR="006C53CB" w:rsidRDefault="006C53CB" w:rsidP="004F27D8">
            <w:pPr>
              <w:pStyle w:val="TableText"/>
            </w:pPr>
            <w:r>
              <w:t>The number of locations is estimated at two. Half of the known subpopulations were burnt in the 2019-20 bushfires, evidence that even distant subpopulations can be affected by a singular threat event. With an increasing fire threat due to climate change (Canadell et al. 2021), another event similar to this one occurring within the minimum fire tolerable interval for the species could deplete the seedbank and threaten local extinction at two of the four subpopulations.</w:t>
            </w:r>
          </w:p>
        </w:tc>
      </w:tr>
      <w:tr w:rsidR="006C53CB" w14:paraId="6FB82B11" w14:textId="77777777" w:rsidTr="000C6407">
        <w:trPr>
          <w:cantSplit/>
        </w:trPr>
        <w:tc>
          <w:tcPr>
            <w:tcW w:w="1413" w:type="dxa"/>
          </w:tcPr>
          <w:p w14:paraId="400D7CEE" w14:textId="77777777" w:rsidR="006C53CB" w:rsidRPr="00D20C80" w:rsidRDefault="006C53CB" w:rsidP="004F27D8">
            <w:pPr>
              <w:pStyle w:val="TableHeading"/>
              <w:keepNext w:val="0"/>
              <w:rPr>
                <w:rStyle w:val="Strong"/>
                <w:b/>
                <w:bCs w:val="0"/>
              </w:rPr>
            </w:pPr>
            <w:r w:rsidRPr="00D20C80">
              <w:rPr>
                <w:rStyle w:val="Strong"/>
              </w:rPr>
              <w:t>Fragmentation</w:t>
            </w:r>
          </w:p>
        </w:tc>
        <w:tc>
          <w:tcPr>
            <w:tcW w:w="7647" w:type="dxa"/>
            <w:gridSpan w:val="4"/>
            <w:shd w:val="clear" w:color="auto" w:fill="auto"/>
          </w:tcPr>
          <w:p w14:paraId="607E7E17" w14:textId="77777777" w:rsidR="006C53CB" w:rsidRDefault="006C53CB" w:rsidP="004F27D8">
            <w:pPr>
              <w:pStyle w:val="TableText"/>
            </w:pPr>
            <w:r>
              <w:t xml:space="preserve">The population is likely severely fragmented. Each subpopulation is isolated, and although population data are unavailable for the majority of sites it is unlikely that more than 50% of the AOO is in habitat patches that are supporting minimum viable population. The species may be wind pollinated like other members of the genus (Fatemi &amp; Gross 2009), which means that genetic material can more easily flow between subpopulations; however, the closest subpopulations are c. 25 km apart, and pollen movement across this distance is unlikely. </w:t>
            </w:r>
          </w:p>
        </w:tc>
      </w:tr>
      <w:tr w:rsidR="006C53CB" w14:paraId="713069A2" w14:textId="77777777" w:rsidTr="000C6407">
        <w:trPr>
          <w:cantSplit/>
        </w:trPr>
        <w:tc>
          <w:tcPr>
            <w:tcW w:w="1413" w:type="dxa"/>
          </w:tcPr>
          <w:p w14:paraId="07592EE7" w14:textId="77777777" w:rsidR="006C53CB" w:rsidRPr="00F83D60" w:rsidRDefault="006C53CB" w:rsidP="004F27D8">
            <w:pPr>
              <w:pStyle w:val="TableHeading"/>
              <w:keepNext w:val="0"/>
              <w:rPr>
                <w:rStyle w:val="Strong"/>
                <w:b/>
                <w:sz w:val="22"/>
              </w:rPr>
            </w:pPr>
            <w:r w:rsidRPr="00D20C80">
              <w:rPr>
                <w:rStyle w:val="Strong"/>
              </w:rPr>
              <w:t>Fluctuations</w:t>
            </w:r>
          </w:p>
        </w:tc>
        <w:tc>
          <w:tcPr>
            <w:tcW w:w="7647" w:type="dxa"/>
            <w:gridSpan w:val="4"/>
            <w:shd w:val="clear" w:color="auto" w:fill="auto"/>
          </w:tcPr>
          <w:p w14:paraId="036913FC" w14:textId="77777777" w:rsidR="006C53CB" w:rsidRPr="00CD0DEF" w:rsidRDefault="006C53CB" w:rsidP="00CD0DEF">
            <w:pPr>
              <w:pStyle w:val="TableText"/>
            </w:pPr>
            <w:r>
              <w:t xml:space="preserve">It is unknown whether </w:t>
            </w:r>
            <w:r w:rsidRPr="004F6135">
              <w:rPr>
                <w:rStyle w:val="Emphasis"/>
              </w:rPr>
              <w:t>B</w:t>
            </w:r>
            <w:r>
              <w:rPr>
                <w:rStyle w:val="Emphasis"/>
              </w:rPr>
              <w:t>.</w:t>
            </w:r>
            <w:r w:rsidRPr="004F6135">
              <w:rPr>
                <w:rStyle w:val="Emphasis"/>
              </w:rPr>
              <w:t xml:space="preserve"> mollissima</w:t>
            </w:r>
            <w:r>
              <w:t xml:space="preserve"> experiences extreme fluctuations. </w:t>
            </w:r>
          </w:p>
        </w:tc>
      </w:tr>
      <w:bookmarkEnd w:id="17"/>
    </w:tbl>
    <w:p w14:paraId="695169CE" w14:textId="77777777" w:rsidR="006C53CB" w:rsidRDefault="006C53CB" w:rsidP="00D447A7">
      <w:pPr>
        <w:pStyle w:val="Caption"/>
        <w:rPr>
          <w:lang w:eastAsia="ja-JP"/>
        </w:rPr>
      </w:pPr>
    </w:p>
    <w:p w14:paraId="7354EAB6" w14:textId="77777777" w:rsidR="006C53CB" w:rsidRDefault="006C53CB" w:rsidP="00D447A7">
      <w:pPr>
        <w:pStyle w:val="Caption"/>
        <w:rPr>
          <w:lang w:eastAsia="ja-JP"/>
        </w:rPr>
      </w:pPr>
      <w:r>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6C53CB" w:rsidRPr="00556843" w14:paraId="440E4BAE" w14:textId="77777777" w:rsidTr="0050535B">
        <w:trPr>
          <w:cantSplit/>
          <w:trHeight w:val="606"/>
        </w:trPr>
        <w:tc>
          <w:tcPr>
            <w:tcW w:w="9975" w:type="dxa"/>
            <w:gridSpan w:val="6"/>
            <w:shd w:val="clear" w:color="auto" w:fill="595959" w:themeFill="text1" w:themeFillTint="A6"/>
            <w:vAlign w:val="center"/>
          </w:tcPr>
          <w:p w14:paraId="1BBD3105" w14:textId="77777777" w:rsidR="006C53CB" w:rsidRPr="008B78CE" w:rsidRDefault="006C53CB" w:rsidP="00476948">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6C53CB" w:rsidRPr="00556843" w14:paraId="6FE7EF82"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7A3B42" w14:textId="77777777" w:rsidR="006C53CB" w:rsidRPr="00556843" w:rsidRDefault="006C53CB" w:rsidP="00476948">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3404624" w14:textId="77777777" w:rsidR="006C53CB" w:rsidRPr="00936152" w:rsidRDefault="006C53CB" w:rsidP="00476948">
            <w:pPr>
              <w:pStyle w:val="TableText"/>
              <w:keepNext/>
              <w:rPr>
                <w:rStyle w:val="Strong"/>
              </w:rPr>
            </w:pPr>
            <w:r w:rsidRPr="00936152">
              <w:rPr>
                <w:rStyle w:val="Strong"/>
              </w:rPr>
              <w:t>Critically Endangered</w:t>
            </w:r>
          </w:p>
          <w:p w14:paraId="43CFB3F6" w14:textId="77777777" w:rsidR="006C53CB" w:rsidRPr="00936152" w:rsidRDefault="006C53CB"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237B8E4" w14:textId="77777777" w:rsidR="006C53CB" w:rsidRPr="00936152" w:rsidRDefault="006C53CB" w:rsidP="00476948">
            <w:pPr>
              <w:pStyle w:val="TableText"/>
              <w:keepNext/>
              <w:rPr>
                <w:rStyle w:val="Strong"/>
              </w:rPr>
            </w:pPr>
            <w:r w:rsidRPr="00936152">
              <w:rPr>
                <w:rStyle w:val="Strong"/>
              </w:rPr>
              <w:t>Endangered</w:t>
            </w:r>
          </w:p>
          <w:p w14:paraId="7EBCB21B" w14:textId="77777777" w:rsidR="006C53CB" w:rsidRPr="00936152" w:rsidRDefault="006C53CB"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809A740" w14:textId="77777777" w:rsidR="006C53CB" w:rsidRPr="00936152" w:rsidRDefault="006C53CB" w:rsidP="00476948">
            <w:pPr>
              <w:pStyle w:val="TableText"/>
              <w:keepNext/>
              <w:rPr>
                <w:rStyle w:val="Strong"/>
              </w:rPr>
            </w:pPr>
            <w:r w:rsidRPr="00936152">
              <w:rPr>
                <w:rStyle w:val="Strong"/>
              </w:rPr>
              <w:t>Vulnerable</w:t>
            </w:r>
          </w:p>
          <w:p w14:paraId="15621C64" w14:textId="77777777" w:rsidR="006C53CB" w:rsidRPr="00936152" w:rsidRDefault="006C53CB" w:rsidP="00476948">
            <w:pPr>
              <w:pStyle w:val="TableText"/>
              <w:keepNext/>
              <w:rPr>
                <w:rStyle w:val="Strong"/>
              </w:rPr>
            </w:pPr>
            <w:r w:rsidRPr="00936152">
              <w:rPr>
                <w:rStyle w:val="Strong"/>
              </w:rPr>
              <w:t>Substantial reduction</w:t>
            </w:r>
          </w:p>
        </w:tc>
      </w:tr>
      <w:tr w:rsidR="006C53CB" w:rsidRPr="00556843" w14:paraId="54CCC75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2FDC3D7F" w14:textId="77777777" w:rsidR="006C53CB" w:rsidRPr="00936152" w:rsidRDefault="006C53CB"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F3000F0" w14:textId="77777777" w:rsidR="006C53CB" w:rsidRPr="00556843" w:rsidRDefault="006C53CB"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5FA0BBD2" w14:textId="77777777" w:rsidR="006C53CB" w:rsidRPr="00556843" w:rsidRDefault="006C53CB"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4524FD1" w14:textId="77777777" w:rsidR="006C53CB" w:rsidRPr="00556843" w:rsidRDefault="006C53CB" w:rsidP="00476948">
            <w:pPr>
              <w:pStyle w:val="TableText"/>
              <w:keepNext/>
            </w:pPr>
            <w:r w:rsidRPr="00556843">
              <w:t>≥ 50%</w:t>
            </w:r>
          </w:p>
        </w:tc>
      </w:tr>
      <w:tr w:rsidR="006C53CB" w:rsidRPr="00556843" w14:paraId="7ACE52B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4F071F5A" w14:textId="77777777" w:rsidR="006C53CB" w:rsidRPr="00936152" w:rsidRDefault="006C53CB"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F4AB0FC" w14:textId="77777777" w:rsidR="006C53CB" w:rsidRPr="00556843" w:rsidRDefault="006C53CB"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F74A5F6" w14:textId="77777777" w:rsidR="006C53CB" w:rsidRPr="00556843" w:rsidRDefault="006C53CB"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90FB638" w14:textId="77777777" w:rsidR="006C53CB" w:rsidRPr="00556843" w:rsidRDefault="006C53CB" w:rsidP="00476948">
            <w:pPr>
              <w:pStyle w:val="TableText"/>
              <w:keepNext/>
            </w:pPr>
            <w:r w:rsidRPr="00556843">
              <w:t>≥ 30%</w:t>
            </w:r>
          </w:p>
        </w:tc>
      </w:tr>
      <w:tr w:rsidR="006C53CB" w:rsidRPr="00556843" w14:paraId="48032D2B"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5849190A" w14:textId="77777777" w:rsidR="006C53CB" w:rsidRPr="00556843" w:rsidRDefault="006C53CB" w:rsidP="000D55BC">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0752828E" w14:textId="77777777" w:rsidR="006C53CB" w:rsidRPr="00556843" w:rsidRDefault="006C53CB" w:rsidP="000D55BC">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036746F9" w14:textId="77777777" w:rsidR="006C53CB" w:rsidRPr="00556843" w:rsidRDefault="006C53CB"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2C1A7994" w14:textId="77777777" w:rsidR="006C53CB" w:rsidRPr="00556843" w:rsidRDefault="006C53CB" w:rsidP="000D55BC">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EB6E24F" w14:textId="77777777" w:rsidR="006C53CB" w:rsidRPr="00556843" w:rsidRDefault="006C53CB" w:rsidP="006C7342">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9264" behindDoc="0" locked="0" layoutInCell="1" allowOverlap="1" wp14:anchorId="0AF45D79" wp14:editId="5BB291EB">
                      <wp:simplePos x="0" y="0"/>
                      <wp:positionH relativeFrom="column">
                        <wp:posOffset>-207010</wp:posOffset>
                      </wp:positionH>
                      <wp:positionV relativeFrom="paragraph">
                        <wp:posOffset>19050</wp:posOffset>
                      </wp:positionV>
                      <wp:extent cx="295275" cy="24479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59F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t>B</w:t>
            </w:r>
            <w:r w:rsidRPr="00CE7C59">
              <w:t>ased on any of the following</w:t>
            </w:r>
          </w:p>
        </w:tc>
        <w:tc>
          <w:tcPr>
            <w:tcW w:w="2664" w:type="dxa"/>
            <w:gridSpan w:val="2"/>
            <w:tcBorders>
              <w:top w:val="nil"/>
              <w:left w:val="nil"/>
            </w:tcBorders>
          </w:tcPr>
          <w:p w14:paraId="1914A560" w14:textId="77777777" w:rsidR="006C53CB" w:rsidRPr="00556843" w:rsidRDefault="006C53CB" w:rsidP="000D55BC">
            <w:pPr>
              <w:pStyle w:val="TableText"/>
              <w:ind w:left="312" w:hanging="312"/>
            </w:pPr>
            <w:r w:rsidRPr="00556843">
              <w:t>(a)</w:t>
            </w:r>
            <w:r w:rsidRPr="00556843">
              <w:tab/>
              <w:t>direct observation [</w:t>
            </w:r>
            <w:r w:rsidRPr="00266DC5">
              <w:t>except A3</w:t>
            </w:r>
            <w:r w:rsidRPr="00556843">
              <w:t>]</w:t>
            </w:r>
          </w:p>
          <w:p w14:paraId="481921F3" w14:textId="77777777" w:rsidR="006C53CB" w:rsidRDefault="006C53CB" w:rsidP="000D55BC">
            <w:pPr>
              <w:pStyle w:val="TableText"/>
              <w:ind w:left="312" w:hanging="312"/>
            </w:pPr>
            <w:r w:rsidRPr="00556843">
              <w:t>(b)</w:t>
            </w:r>
            <w:r w:rsidRPr="00556843">
              <w:tab/>
              <w:t>an index of abundance appropriate to the taxon</w:t>
            </w:r>
          </w:p>
          <w:p w14:paraId="07384B76" w14:textId="77777777" w:rsidR="006C53CB" w:rsidRPr="00556843" w:rsidRDefault="006C53CB" w:rsidP="000D55BC">
            <w:pPr>
              <w:pStyle w:val="TableText"/>
              <w:ind w:left="312" w:hanging="312"/>
            </w:pPr>
            <w:r w:rsidRPr="00556843">
              <w:t>(c)</w:t>
            </w:r>
            <w:r w:rsidRPr="00556843">
              <w:tab/>
              <w:t>a decline in area of occupancy, extent of occurrence and/or quality of habitat</w:t>
            </w:r>
          </w:p>
          <w:p w14:paraId="15B39BBA" w14:textId="77777777" w:rsidR="006C53CB" w:rsidRPr="00556843" w:rsidRDefault="006C53CB" w:rsidP="000D55BC">
            <w:pPr>
              <w:pStyle w:val="TableText"/>
              <w:ind w:left="312" w:hanging="312"/>
            </w:pPr>
            <w:r w:rsidRPr="00556843">
              <w:t>(d)</w:t>
            </w:r>
            <w:r w:rsidRPr="00556843">
              <w:tab/>
              <w:t>actual or potential levels of exploitation</w:t>
            </w:r>
          </w:p>
          <w:p w14:paraId="2669E858" w14:textId="77777777" w:rsidR="006C53CB" w:rsidRPr="00556843" w:rsidRDefault="006C53CB" w:rsidP="000D55BC">
            <w:pPr>
              <w:pStyle w:val="TableText"/>
              <w:ind w:left="312" w:hanging="312"/>
            </w:pPr>
            <w:r w:rsidRPr="00556843">
              <w:t>(e)</w:t>
            </w:r>
            <w:r w:rsidRPr="00556843">
              <w:tab/>
              <w:t>the effects of introduced taxa, hybridization, pathogens, pollutants, competitors or parasites</w:t>
            </w:r>
          </w:p>
        </w:tc>
      </w:tr>
    </w:tbl>
    <w:p w14:paraId="3CE8A31D" w14:textId="77777777" w:rsidR="006C53CB" w:rsidRDefault="006C53CB" w:rsidP="00B52E90">
      <w:pPr>
        <w:pStyle w:val="Heading3"/>
        <w:rPr>
          <w:lang w:eastAsia="ja-JP"/>
        </w:rPr>
      </w:pPr>
      <w:r>
        <w:rPr>
          <w:lang w:eastAsia="ja-JP"/>
        </w:rPr>
        <w:t>Criterion 1 evidence</w:t>
      </w:r>
    </w:p>
    <w:p w14:paraId="43C656DE" w14:textId="77777777" w:rsidR="006C53CB" w:rsidRDefault="006C53CB" w:rsidP="000F3D21">
      <w:pPr>
        <w:rPr>
          <w:lang w:eastAsia="ja-JP"/>
        </w:rPr>
      </w:pPr>
      <w:r w:rsidRPr="009F2B4D">
        <w:rPr>
          <w:b/>
          <w:bCs/>
          <w:lang w:eastAsia="ja-JP"/>
        </w:rPr>
        <w:t>Insufficient data to determine eligibility</w:t>
      </w:r>
    </w:p>
    <w:p w14:paraId="2AFF597E" w14:textId="77777777" w:rsidR="006C53CB" w:rsidRDefault="006C53CB" w:rsidP="000F3D21">
      <w:r w:rsidRPr="6C200F09">
        <w:rPr>
          <w:i/>
          <w:iCs/>
        </w:rPr>
        <w:t>Generation time</w:t>
      </w:r>
      <w:r>
        <w:br/>
        <w:t xml:space="preserve">The juvenile period of the species is estimated to be approximately 3 years (based on similar </w:t>
      </w:r>
      <w:r w:rsidRPr="6C200F09">
        <w:rPr>
          <w:i/>
          <w:iCs/>
        </w:rPr>
        <w:t>Bertya</w:t>
      </w:r>
      <w:r>
        <w:t xml:space="preserve"> species) </w:t>
      </w:r>
      <w:r w:rsidRPr="6C200F09">
        <w:rPr>
          <w:noProof/>
        </w:rPr>
        <w:t>(OEH 2020)</w:t>
      </w:r>
      <w:r>
        <w:t xml:space="preserve">. The age structure of senescing individuals is unknown. Generation length is inferred to be between 10 and 50 years, based on the generation length of other </w:t>
      </w:r>
      <w:r w:rsidRPr="000C6407">
        <w:rPr>
          <w:i/>
          <w:iCs/>
        </w:rPr>
        <w:t xml:space="preserve">Bertya </w:t>
      </w:r>
      <w:r>
        <w:t>species (DELWP 2021a, b, c). This gives an estimated three generation period of between 30 and 150 years.</w:t>
      </w:r>
    </w:p>
    <w:p w14:paraId="2118FE42" w14:textId="77777777" w:rsidR="006C53CB" w:rsidRDefault="006C53CB" w:rsidP="00982C33">
      <w:r w:rsidRPr="6C200F09">
        <w:rPr>
          <w:i/>
          <w:iCs/>
        </w:rPr>
        <w:t>Population decline</w:t>
      </w:r>
      <w:r>
        <w:br/>
        <w:t xml:space="preserve">Of the four known subpopulations, only one has current population data available. Post-fire, the Mount Kaputar subpopulation comprised of two mature individuals and over 100 seedlings. The exact number of mature individuals lost during the 2019-20 fires is unknown; however, it is estimated that there was a loss of 95 percent of mature plants (RBGDT 2020). Therefore, it is estimated that the subpopulation contained roughly 40 mature individuals prior to the 2019-20 fires. Pre-fire population data are unavailable for any of the subpopulations, making it impossible to estimate any decline in population over a three-generation period. </w:t>
      </w:r>
    </w:p>
    <w:p w14:paraId="56DEE864" w14:textId="77777777" w:rsidR="006C53CB" w:rsidRPr="00982C33" w:rsidRDefault="006C53CB" w:rsidP="000F3D21">
      <w:pPr>
        <w:rPr>
          <w:i/>
          <w:iCs/>
        </w:rPr>
      </w:pPr>
      <w:r>
        <w:rPr>
          <w:i/>
          <w:iCs/>
        </w:rPr>
        <w:t>Conclusion</w:t>
      </w:r>
      <w:r>
        <w:rPr>
          <w:i/>
          <w:iCs/>
        </w:rPr>
        <w:br/>
      </w:r>
      <w:r>
        <w:rPr>
          <w:lang w:eastAsia="ja-JP"/>
        </w:rPr>
        <w:t xml:space="preserve">There are no robust estimates of population size for any of the subpopulations and it is not possible to determine any population reduction. Therefore, the Committee considers that there </w:t>
      </w:r>
      <w:r>
        <w:rPr>
          <w:lang w:eastAsia="ja-JP"/>
        </w:rPr>
        <w:lastRenderedPageBreak/>
        <w:t xml:space="preserve">is insufficient information to determine the eligibility of the </w:t>
      </w:r>
      <w:r w:rsidRPr="009F2B4D">
        <w:rPr>
          <w:rStyle w:val="Emphasis"/>
        </w:rPr>
        <w:t>B</w:t>
      </w:r>
      <w:r>
        <w:rPr>
          <w:rStyle w:val="Emphasis"/>
        </w:rPr>
        <w:t>.</w:t>
      </w:r>
      <w:r w:rsidRPr="009F2B4D">
        <w:rPr>
          <w:rStyle w:val="Emphasis"/>
        </w:rPr>
        <w:t xml:space="preserve"> mollissima</w:t>
      </w:r>
      <w:r>
        <w:rPr>
          <w:lang w:eastAsia="ja-JP"/>
        </w:rPr>
        <w:t xml:space="preserve"> for listing in any category under this criterion.</w:t>
      </w:r>
    </w:p>
    <w:p w14:paraId="408629EE" w14:textId="77777777" w:rsidR="006C53CB" w:rsidRDefault="006C53CB" w:rsidP="000F3D21">
      <w:pPr>
        <w:rPr>
          <w:lang w:eastAsia="ja-JP"/>
        </w:rPr>
      </w:pPr>
      <w:r w:rsidRPr="003230C4">
        <w:rPr>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760374FC" w14:textId="77777777" w:rsidR="006C53CB" w:rsidRDefault="006C53C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54"/>
        <w:gridCol w:w="1948"/>
        <w:gridCol w:w="1850"/>
        <w:gridCol w:w="1898"/>
      </w:tblGrid>
      <w:tr w:rsidR="006C53CB" w:rsidRPr="00556843" w14:paraId="479B9A6D" w14:textId="77777777" w:rsidTr="00B6264B">
        <w:trPr>
          <w:trHeight w:val="350"/>
        </w:trPr>
        <w:tc>
          <w:tcPr>
            <w:tcW w:w="10738" w:type="dxa"/>
            <w:gridSpan w:val="4"/>
            <w:tcBorders>
              <w:bottom w:val="nil"/>
            </w:tcBorders>
            <w:shd w:val="clear" w:color="auto" w:fill="595959" w:themeFill="text1" w:themeFillTint="A6"/>
            <w:vAlign w:val="center"/>
          </w:tcPr>
          <w:p w14:paraId="7DABEC77" w14:textId="77777777" w:rsidR="006C53CB" w:rsidRPr="00556843" w:rsidRDefault="006C53CB" w:rsidP="000E630E">
            <w:pPr>
              <w:keepNext/>
              <w:tabs>
                <w:tab w:val="left" w:pos="284"/>
              </w:tabs>
              <w:ind w:left="1452" w:hanging="1452"/>
              <w:rPr>
                <w:rFonts w:ascii="Arial" w:hAnsi="Arial" w:cs="Arial"/>
                <w:b/>
                <w:color w:val="FFFFFF" w:themeColor="background1"/>
              </w:rPr>
            </w:pPr>
          </w:p>
        </w:tc>
      </w:tr>
      <w:tr w:rsidR="006C53CB" w:rsidRPr="00556843" w14:paraId="70C947E5" w14:textId="77777777" w:rsidTr="00B6264B">
        <w:tc>
          <w:tcPr>
            <w:tcW w:w="4111" w:type="dxa"/>
            <w:tcBorders>
              <w:top w:val="nil"/>
              <w:bottom w:val="nil"/>
              <w:right w:val="nil"/>
            </w:tcBorders>
          </w:tcPr>
          <w:p w14:paraId="3780118D" w14:textId="77777777" w:rsidR="006C53CB" w:rsidRPr="00556843" w:rsidRDefault="006C53CB"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472E32C7" w14:textId="77777777" w:rsidR="006C53CB" w:rsidRPr="00795F43" w:rsidRDefault="006C53CB" w:rsidP="000E630E">
            <w:pPr>
              <w:pStyle w:val="TableText"/>
              <w:keepNext/>
              <w:rPr>
                <w:rStyle w:val="Strong"/>
              </w:rPr>
            </w:pPr>
            <w:r w:rsidRPr="00795F43">
              <w:rPr>
                <w:rStyle w:val="Strong"/>
              </w:rPr>
              <w:t>Critically Endangered</w:t>
            </w:r>
          </w:p>
          <w:p w14:paraId="525ECCFD" w14:textId="77777777" w:rsidR="006C53CB" w:rsidRPr="00556843" w:rsidRDefault="006C53C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9EAF7CE" w14:textId="77777777" w:rsidR="006C53CB" w:rsidRPr="00556843" w:rsidRDefault="006C53CB" w:rsidP="000E630E">
            <w:pPr>
              <w:pStyle w:val="TableText"/>
              <w:keepNext/>
              <w:rPr>
                <w:b/>
              </w:rPr>
            </w:pPr>
            <w:r w:rsidRPr="00556843">
              <w:rPr>
                <w:b/>
              </w:rPr>
              <w:t>Endangered</w:t>
            </w:r>
          </w:p>
          <w:p w14:paraId="663150E8" w14:textId="77777777" w:rsidR="006C53CB" w:rsidRPr="00556843" w:rsidRDefault="006C53C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0CF9C188" w14:textId="77777777" w:rsidR="006C53CB" w:rsidRPr="00556843" w:rsidRDefault="006C53CB" w:rsidP="000E630E">
            <w:pPr>
              <w:pStyle w:val="TableText"/>
              <w:keepNext/>
              <w:rPr>
                <w:b/>
              </w:rPr>
            </w:pPr>
            <w:r w:rsidRPr="00556843">
              <w:rPr>
                <w:b/>
              </w:rPr>
              <w:t>Vulnerable</w:t>
            </w:r>
          </w:p>
          <w:p w14:paraId="64822B70" w14:textId="77777777" w:rsidR="006C53CB" w:rsidRPr="00556843" w:rsidRDefault="006C53CB" w:rsidP="000E630E">
            <w:pPr>
              <w:pStyle w:val="TableText"/>
              <w:keepNext/>
              <w:rPr>
                <w:b/>
              </w:rPr>
            </w:pPr>
            <w:r w:rsidRPr="00556843">
              <w:rPr>
                <w:b/>
              </w:rPr>
              <w:t>Limited</w:t>
            </w:r>
          </w:p>
        </w:tc>
      </w:tr>
      <w:tr w:rsidR="006C53CB" w:rsidRPr="00556843" w14:paraId="6015B420"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74D7FEB8" w14:textId="77777777" w:rsidR="006C53CB" w:rsidRPr="00556843" w:rsidRDefault="006C53C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1D53D3A7" w14:textId="77777777" w:rsidR="006C53CB" w:rsidRPr="00556843" w:rsidRDefault="006C53C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3EB7C6B" w14:textId="77777777" w:rsidR="006C53CB" w:rsidRPr="00556843" w:rsidRDefault="006C53C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C10EB09" w14:textId="77777777" w:rsidR="006C53CB" w:rsidRPr="00556843" w:rsidRDefault="006C53CB" w:rsidP="000E630E">
            <w:pPr>
              <w:pStyle w:val="TableText"/>
              <w:keepNext/>
            </w:pPr>
            <w:r w:rsidRPr="00556843">
              <w:rPr>
                <w:b/>
              </w:rPr>
              <w:t>&lt; 20,000 km</w:t>
            </w:r>
            <w:r w:rsidRPr="00556843">
              <w:rPr>
                <w:b/>
                <w:vertAlign w:val="superscript"/>
              </w:rPr>
              <w:t>2</w:t>
            </w:r>
          </w:p>
        </w:tc>
      </w:tr>
      <w:tr w:rsidR="006C53CB" w:rsidRPr="00556843" w14:paraId="7FA447D1"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3BAC1335" w14:textId="77777777" w:rsidR="006C53CB" w:rsidRPr="00556843" w:rsidRDefault="006C53C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3699B17" w14:textId="77777777" w:rsidR="006C53CB" w:rsidRPr="00556843" w:rsidRDefault="006C53C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56F9C19" w14:textId="77777777" w:rsidR="006C53CB" w:rsidRPr="00556843" w:rsidRDefault="006C53C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5C41D48" w14:textId="77777777" w:rsidR="006C53CB" w:rsidRPr="00556843" w:rsidRDefault="006C53CB" w:rsidP="000E630E">
            <w:pPr>
              <w:pStyle w:val="TableText"/>
              <w:keepNext/>
            </w:pPr>
            <w:r w:rsidRPr="00556843">
              <w:rPr>
                <w:b/>
              </w:rPr>
              <w:t>&lt; 2,000 km</w:t>
            </w:r>
            <w:r w:rsidRPr="00556843">
              <w:rPr>
                <w:b/>
                <w:vertAlign w:val="superscript"/>
              </w:rPr>
              <w:t>2</w:t>
            </w:r>
          </w:p>
        </w:tc>
      </w:tr>
      <w:tr w:rsidR="006C53CB" w:rsidRPr="00556843" w14:paraId="06B018E5" w14:textId="77777777" w:rsidTr="00B6264B">
        <w:tc>
          <w:tcPr>
            <w:tcW w:w="10738" w:type="dxa"/>
            <w:gridSpan w:val="4"/>
            <w:tcBorders>
              <w:top w:val="nil"/>
              <w:bottom w:val="nil"/>
            </w:tcBorders>
          </w:tcPr>
          <w:p w14:paraId="5C641615" w14:textId="77777777" w:rsidR="006C53CB" w:rsidRPr="00936152" w:rsidRDefault="006C53CB" w:rsidP="000E630E">
            <w:pPr>
              <w:pStyle w:val="TableText"/>
              <w:keepNext/>
              <w:rPr>
                <w:rStyle w:val="Strong"/>
              </w:rPr>
            </w:pPr>
            <w:r w:rsidRPr="00936152">
              <w:rPr>
                <w:rStyle w:val="Strong"/>
              </w:rPr>
              <w:t>AND at least 2 of the following 3 conditions:</w:t>
            </w:r>
          </w:p>
        </w:tc>
      </w:tr>
      <w:tr w:rsidR="006C53CB" w:rsidRPr="00556843" w14:paraId="0E3164DC"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CB7C6EF" w14:textId="77777777" w:rsidR="006C53CB" w:rsidRPr="00556843" w:rsidRDefault="006C53C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1578C14" w14:textId="77777777" w:rsidR="006C53CB" w:rsidRPr="00556843" w:rsidRDefault="006C53C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6A59928" w14:textId="77777777" w:rsidR="006C53CB" w:rsidRPr="00556843" w:rsidRDefault="006C53C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09F16EB9" w14:textId="77777777" w:rsidR="006C53CB" w:rsidRPr="00556843" w:rsidRDefault="006C53CB" w:rsidP="000E630E">
            <w:pPr>
              <w:pStyle w:val="TableText"/>
              <w:keepNext/>
              <w:rPr>
                <w:b/>
              </w:rPr>
            </w:pPr>
            <w:r w:rsidRPr="00556843">
              <w:rPr>
                <w:b/>
              </w:rPr>
              <w:t>≤ 10</w:t>
            </w:r>
          </w:p>
        </w:tc>
      </w:tr>
      <w:tr w:rsidR="006C53CB" w:rsidRPr="00556843" w14:paraId="7A013A1A"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17F70180" w14:textId="77777777" w:rsidR="006C53CB" w:rsidRPr="00556843" w:rsidRDefault="006C53CB" w:rsidP="000D55BC">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6C53CB" w:rsidRPr="00556843" w14:paraId="6AF2AE58" w14:textId="77777777" w:rsidTr="00B6264B">
        <w:tc>
          <w:tcPr>
            <w:tcW w:w="10738" w:type="dxa"/>
            <w:gridSpan w:val="4"/>
            <w:tcBorders>
              <w:top w:val="single" w:sz="4" w:space="0" w:color="FFFFFF" w:themeColor="background1"/>
            </w:tcBorders>
            <w:shd w:val="clear" w:color="auto" w:fill="BFBFBF" w:themeFill="background1" w:themeFillShade="BF"/>
          </w:tcPr>
          <w:p w14:paraId="1C1EF6E7" w14:textId="77777777" w:rsidR="006C53CB" w:rsidRPr="00556843" w:rsidRDefault="006C53C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7B17492C" w14:textId="77777777" w:rsidR="006C53CB" w:rsidRPr="00B6264B" w:rsidRDefault="006C53CB" w:rsidP="00AE31DA">
      <w:pPr>
        <w:pStyle w:val="Heading3"/>
        <w:spacing w:before="240"/>
        <w:ind w:left="964" w:hanging="964"/>
        <w:rPr>
          <w:lang w:eastAsia="ja-JP"/>
        </w:rPr>
      </w:pPr>
      <w:r>
        <w:rPr>
          <w:lang w:eastAsia="ja-JP"/>
        </w:rPr>
        <w:t>Criterion 2 e</w:t>
      </w:r>
      <w:r w:rsidRPr="00B6264B">
        <w:rPr>
          <w:lang w:eastAsia="ja-JP"/>
        </w:rPr>
        <w:t>vidence</w:t>
      </w:r>
    </w:p>
    <w:p w14:paraId="475F09B5" w14:textId="77777777" w:rsidR="006C53CB" w:rsidRPr="00B8472D" w:rsidRDefault="006C53CB" w:rsidP="00B6264B">
      <w:pPr>
        <w:rPr>
          <w:b/>
          <w:bCs/>
          <w:lang w:eastAsia="ja-JP"/>
        </w:rPr>
      </w:pPr>
      <w:r w:rsidRPr="006157FE">
        <w:rPr>
          <w:rStyle w:val="Strong"/>
        </w:rPr>
        <w:t>Eligible</w:t>
      </w:r>
      <w:r w:rsidRPr="00AE31DA">
        <w:rPr>
          <w:rStyle w:val="Strong"/>
        </w:rPr>
        <w:t xml:space="preserve"> under Criterion 2</w:t>
      </w:r>
      <w:r w:rsidRPr="00B6264B">
        <w:rPr>
          <w:bCs/>
          <w:lang w:eastAsia="ja-JP"/>
        </w:rPr>
        <w:t xml:space="preserve"> </w:t>
      </w:r>
      <w:r w:rsidRPr="00B8472D">
        <w:rPr>
          <w:b/>
          <w:lang w:eastAsia="ja-JP"/>
        </w:rPr>
        <w:t>B2ab(</w:t>
      </w:r>
      <w:r>
        <w:rPr>
          <w:b/>
          <w:lang w:eastAsia="ja-JP"/>
        </w:rPr>
        <w:t>i,ii,</w:t>
      </w:r>
      <w:r w:rsidRPr="00B8472D">
        <w:rPr>
          <w:b/>
          <w:lang w:eastAsia="ja-JP"/>
        </w:rPr>
        <w:t>iii,iv)</w:t>
      </w:r>
      <w:r w:rsidRPr="00B8472D">
        <w:rPr>
          <w:bCs/>
          <w:lang w:eastAsia="ja-JP"/>
        </w:rPr>
        <w:t xml:space="preserve"> </w:t>
      </w:r>
      <w:r w:rsidRPr="00B8472D">
        <w:rPr>
          <w:rStyle w:val="Strong"/>
        </w:rPr>
        <w:t>for listing as</w:t>
      </w:r>
      <w:r w:rsidRPr="00B8472D">
        <w:rPr>
          <w:b/>
          <w:bCs/>
          <w:lang w:eastAsia="ja-JP"/>
        </w:rPr>
        <w:t xml:space="preserve"> </w:t>
      </w:r>
      <w:sdt>
        <w:sdtPr>
          <w:rPr>
            <w:b/>
            <w:bCs/>
          </w:rPr>
          <w:id w:val="1779288282"/>
          <w:placeholder>
            <w:docPart w:val="C5623E3184C7441BBA873E15BF82ACE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Pr="00B8472D">
            <w:rPr>
              <w:b/>
              <w:bCs/>
            </w:rPr>
            <w:t>Endangered</w:t>
          </w:r>
        </w:sdtContent>
      </w:sdt>
    </w:p>
    <w:p w14:paraId="24042DD0" w14:textId="77777777" w:rsidR="006C53CB" w:rsidRPr="00732BFD" w:rsidRDefault="006C53CB" w:rsidP="009C6F2C">
      <w:pPr>
        <w:rPr>
          <w:i/>
          <w:iCs/>
          <w:color w:val="404040" w:themeColor="text1" w:themeTint="BF"/>
        </w:rPr>
      </w:pPr>
      <w:r>
        <w:rPr>
          <w:rStyle w:val="SubtleEmphasis"/>
        </w:rPr>
        <w:t>EOO and AOO</w:t>
      </w:r>
      <w:r>
        <w:rPr>
          <w:rStyle w:val="SubtleEmphasis"/>
        </w:rPr>
        <w:br/>
      </w:r>
      <w:r w:rsidRPr="00C935C5">
        <w:rPr>
          <w:rStyle w:val="Emphasis"/>
        </w:rPr>
        <w:t>Bertya mollissima</w:t>
      </w:r>
      <w:r>
        <w:rPr>
          <w:lang w:eastAsia="ja-JP"/>
        </w:rPr>
        <w:t xml:space="preserve"> is known from only four subpopulations. The EOO of the known sites is estimated at 7672 km</w:t>
      </w:r>
      <w:r w:rsidRPr="006857C3">
        <w:rPr>
          <w:vertAlign w:val="superscript"/>
          <w:lang w:eastAsia="ja-JP"/>
        </w:rPr>
        <w:t>2</w:t>
      </w:r>
      <w:r>
        <w:rPr>
          <w:lang w:eastAsia="ja-JP"/>
        </w:rPr>
        <w:t xml:space="preserve"> and the AOO of known sites is 20 km</w:t>
      </w:r>
      <w:r w:rsidRPr="006857C3">
        <w:rPr>
          <w:vertAlign w:val="superscript"/>
          <w:lang w:eastAsia="ja-JP"/>
        </w:rPr>
        <w:t>2</w:t>
      </w:r>
      <w:r>
        <w:rPr>
          <w:lang w:eastAsia="ja-JP"/>
        </w:rPr>
        <w:t xml:space="preserve">. The figures for EOO and AOO are based on mapping of point records from 2000 to 2021. </w:t>
      </w:r>
    </w:p>
    <w:p w14:paraId="4F5E3BDC" w14:textId="77777777" w:rsidR="006C53CB" w:rsidRPr="00982C33" w:rsidRDefault="006C53CB" w:rsidP="009C6F2C">
      <w:pPr>
        <w:rPr>
          <w:rFonts w:asciiTheme="majorHAnsi" w:hAnsiTheme="majorHAnsi"/>
          <w:lang w:eastAsia="ja-JP"/>
        </w:rPr>
      </w:pPr>
      <w:r>
        <w:t>T</w:t>
      </w:r>
      <w:r w:rsidRPr="009A6E8A">
        <w:t xml:space="preserve">he species’ EOO </w:t>
      </w:r>
      <w:r>
        <w:t>appears</w:t>
      </w:r>
      <w:r w:rsidRPr="009A6E8A">
        <w:t xml:space="preserve"> </w:t>
      </w:r>
      <w:r>
        <w:t xml:space="preserve">to </w:t>
      </w:r>
      <w:r w:rsidRPr="009A6E8A">
        <w:t xml:space="preserve">meet the requirements for listing as </w:t>
      </w:r>
      <w:r>
        <w:t xml:space="preserve">Vulnerable </w:t>
      </w:r>
      <w:r w:rsidRPr="009A6E8A">
        <w:t>under B1 (&lt;</w:t>
      </w:r>
      <w:r>
        <w:t>20,000</w:t>
      </w:r>
      <w:r w:rsidRPr="009A6E8A">
        <w:t xml:space="preserve"> km</w:t>
      </w:r>
      <w:r w:rsidRPr="009A6E8A">
        <w:rPr>
          <w:vertAlign w:val="superscript"/>
        </w:rPr>
        <w:t>2</w:t>
      </w:r>
      <w:r w:rsidRPr="009A6E8A">
        <w:t>)</w:t>
      </w:r>
      <w:r>
        <w:t xml:space="preserve">. The species’ AOO appears to meet the requirements for listing as Endangered under B2 </w:t>
      </w:r>
      <w:r w:rsidRPr="009A6E8A">
        <w:t>(&lt;</w:t>
      </w:r>
      <w:r>
        <w:t>500 </w:t>
      </w:r>
      <w:r w:rsidRPr="009A6E8A">
        <w:t>km</w:t>
      </w:r>
      <w:r w:rsidRPr="009A6E8A">
        <w:rPr>
          <w:vertAlign w:val="superscript"/>
        </w:rPr>
        <w:t>2</w:t>
      </w:r>
      <w:r w:rsidRPr="009A6E8A">
        <w:t>)</w:t>
      </w:r>
      <w:r>
        <w:t>.</w:t>
      </w:r>
    </w:p>
    <w:p w14:paraId="6D2B42B5" w14:textId="77777777" w:rsidR="006C53CB" w:rsidRPr="00732BFD" w:rsidRDefault="006C53CB" w:rsidP="6C200F09">
      <w:pPr>
        <w:rPr>
          <w:i/>
          <w:iCs/>
          <w:color w:val="404040" w:themeColor="text1" w:themeTint="BF"/>
        </w:rPr>
      </w:pPr>
      <w:r w:rsidRPr="6C200F09">
        <w:rPr>
          <w:rStyle w:val="SubtleEmphasis"/>
        </w:rPr>
        <w:t>Severely fragmented and number of locations</w:t>
      </w:r>
      <w:r>
        <w:br/>
      </w:r>
      <w:r w:rsidRPr="6C200F09">
        <w:rPr>
          <w:rStyle w:val="Emphasis"/>
        </w:rPr>
        <w:t>Bertya mollissima</w:t>
      </w:r>
      <w:r>
        <w:t xml:space="preserve"> is likely severely fragmented, as it occurs at isolated sites with specialised habitat and has limited dispersal ability. To be considered severely fragmented, over 50 percent of the AOO must be in small and isolated patches that cannot support a minimum viable population (IUCN 2019). The species may be wind pollinated like other members of the genus (Fatemi &amp; Gross 2009); however, genetic exchange is unlikely as the nearest known subpopulations are c. 25 km apart. Frankham et al. (2014) estimates that 1000 individuals are required as general minimum viable population size for resilience to genetic threats associated </w:t>
      </w:r>
      <w:r>
        <w:lastRenderedPageBreak/>
        <w:t xml:space="preserve">with small populations. There are population data for only one of the four known subpopulations, although it is unlikely that any one subpopulation contains more than 1000 individuals as the site the species is best known from has been recorded with only two mature plants, with over one hundred seedlings after the 2019-20 fires. Although it is possible that other subpopulations contain more individuals than the Mount Kaputar summit subpopulation, it is unlikely that they exceed 1000 individuals. It is therefore likely that the majority (&gt;50 percent) of the AOO of the species is in habitat patches supporting small subpopulations less than a rudimentary estimate of minimum viable population size. </w:t>
      </w:r>
    </w:p>
    <w:p w14:paraId="2FAB0727" w14:textId="77777777" w:rsidR="006C53CB" w:rsidRDefault="006C53CB" w:rsidP="00162128">
      <w:r w:rsidRPr="6C200F09">
        <w:rPr>
          <w:rStyle w:val="Emphasis"/>
        </w:rPr>
        <w:t>Bertya mollissima</w:t>
      </w:r>
      <w:r>
        <w:t xml:space="preserve"> is considered to occur at two locations, based on the most plausible serious threat (fire) as per the IUCN Guidelines (IUCN 2019) (Table 3). The 2019-20 bushfires burnt half of the known subpopulations. If a similar fire was to occur (Canadell et al. 2021)), within the minimum tolerable fire interval for the species subpopulations could be subject to local extinction dependent on the size and quality of the seedbank. Therefore, the species meets the threshold for listing as Endangered under sub-criterion (a).</w:t>
      </w:r>
    </w:p>
    <w:p w14:paraId="4F3E1E23" w14:textId="77777777" w:rsidR="006C53CB" w:rsidRDefault="006C53CB" w:rsidP="00162128">
      <w:r w:rsidRPr="1F054AB6">
        <w:rPr>
          <w:rStyle w:val="SubtleEmphasis"/>
        </w:rPr>
        <w:t>Continuing decline</w:t>
      </w:r>
      <w:r>
        <w:br/>
        <w:t>Extent of Occurrence, Area of Occupancy, number of locations and habitat quality are all inferred to be declining, thereby meeting sub-criterion (b) (i,ii,iii,iv). Habitat quality is likely declining due to grazing and trampling by feral goats, and threatens to decline further due to change to precipitation regimes and the potential for erosion caused by extreme weather events under climate change (Table 2). Continuing decline may also result from interactions between fire and feral goat herbivory, leading to a further loss of seedlings..</w:t>
      </w:r>
    </w:p>
    <w:p w14:paraId="1D16FCAF" w14:textId="77777777" w:rsidR="006C53CB" w:rsidRPr="00732BFD" w:rsidRDefault="006C53CB" w:rsidP="009C6F2C">
      <w:pPr>
        <w:rPr>
          <w:i/>
          <w:iCs/>
          <w:color w:val="404040" w:themeColor="text1" w:themeTint="BF"/>
        </w:rPr>
      </w:pPr>
      <w:r w:rsidRPr="00DC7C8D">
        <w:rPr>
          <w:rStyle w:val="SubtleEmphasis"/>
        </w:rPr>
        <w:t>Fluctuations</w:t>
      </w:r>
      <w:r>
        <w:rPr>
          <w:rStyle w:val="SubtleEmphasis"/>
        </w:rPr>
        <w:br/>
      </w:r>
      <w:r>
        <w:t xml:space="preserve">There are no known extreme fluctuations in EOO, AOO, number of subpopulations, locations or mature individuals. </w:t>
      </w:r>
      <w:r w:rsidRPr="006C2173" w:rsidDel="00DC71D2">
        <w:t xml:space="preserve"> </w:t>
      </w:r>
    </w:p>
    <w:p w14:paraId="15E8827E" w14:textId="77777777" w:rsidR="006C53CB" w:rsidRDefault="006C53CB" w:rsidP="006E74FD">
      <w:pPr>
        <w:rPr>
          <w:lang w:eastAsia="ja-JP"/>
        </w:rPr>
      </w:pPr>
      <w:r w:rsidRPr="00D573DC">
        <w:rPr>
          <w:rStyle w:val="SubtleEmphasis"/>
        </w:rPr>
        <w:t>Conclusion</w:t>
      </w:r>
      <w:r>
        <w:rPr>
          <w:lang w:eastAsia="ja-JP"/>
        </w:rPr>
        <w:br/>
      </w:r>
      <w:r w:rsidRPr="008155CB">
        <w:rPr>
          <w:lang w:eastAsia="ja-JP"/>
        </w:rPr>
        <w:t xml:space="preserve">The data presented above appear to demonstrate that the species is eligible for listing as </w:t>
      </w:r>
      <w:r w:rsidRPr="00173944">
        <w:rPr>
          <w:lang w:eastAsia="ja-JP"/>
        </w:rPr>
        <w:t>Endangered</w:t>
      </w:r>
      <w:r w:rsidRPr="008155CB">
        <w:rPr>
          <w:lang w:eastAsia="ja-JP"/>
        </w:rPr>
        <w:t xml:space="preserve">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r>
        <w:rPr>
          <w:lang w:eastAsia="ja-JP"/>
        </w:rPr>
        <w:t xml:space="preserve"> </w:t>
      </w:r>
    </w:p>
    <w:p w14:paraId="13E2E91A" w14:textId="77777777" w:rsidR="006C53CB" w:rsidRPr="008C531D" w:rsidRDefault="006C53CB" w:rsidP="002B69E4">
      <w:pPr>
        <w:pStyle w:val="Caption"/>
        <w:rPr>
          <w:lang w:eastAsia="ja-JP"/>
        </w:rPr>
      </w:pPr>
      <w:r w:rsidRPr="002B69E4">
        <w:rPr>
          <w:lang w:eastAsia="ja-JP"/>
        </w:rPr>
        <w:lastRenderedPageBreak/>
        <w:t>Criterion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58"/>
        <w:gridCol w:w="1921"/>
        <w:gridCol w:w="1825"/>
        <w:gridCol w:w="1893"/>
      </w:tblGrid>
      <w:tr w:rsidR="006C53CB" w:rsidRPr="00556843" w14:paraId="63903A67"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03154F4F" w14:textId="77777777" w:rsidR="006C53CB" w:rsidRPr="00556843" w:rsidRDefault="006C53CB" w:rsidP="00F658E8">
            <w:pPr>
              <w:keepNext/>
              <w:tabs>
                <w:tab w:val="left" w:pos="284"/>
              </w:tabs>
              <w:rPr>
                <w:rFonts w:ascii="Arial" w:hAnsi="Arial" w:cs="Arial"/>
                <w:b/>
                <w:color w:val="FFFFFF" w:themeColor="background1"/>
              </w:rPr>
            </w:pPr>
          </w:p>
        </w:tc>
      </w:tr>
      <w:tr w:rsidR="006C53CB" w:rsidRPr="00556843" w14:paraId="0B7C4E7F" w14:textId="77777777" w:rsidTr="002B134C">
        <w:tc>
          <w:tcPr>
            <w:tcW w:w="3395" w:type="dxa"/>
            <w:gridSpan w:val="2"/>
            <w:tcBorders>
              <w:top w:val="nil"/>
              <w:left w:val="single" w:sz="4" w:space="0" w:color="auto"/>
              <w:bottom w:val="nil"/>
              <w:right w:val="nil"/>
            </w:tcBorders>
          </w:tcPr>
          <w:p w14:paraId="2F1D5DCF" w14:textId="77777777" w:rsidR="006C53CB" w:rsidRPr="00AE31DA" w:rsidRDefault="006C53CB"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14A49742" w14:textId="77777777" w:rsidR="006C53CB" w:rsidRPr="00556843" w:rsidRDefault="006C53CB" w:rsidP="00F658E8">
            <w:pPr>
              <w:pStyle w:val="TableText"/>
              <w:keepNext/>
              <w:rPr>
                <w:b/>
              </w:rPr>
            </w:pPr>
            <w:r w:rsidRPr="00556843">
              <w:rPr>
                <w:b/>
              </w:rPr>
              <w:t>Critically Endangered</w:t>
            </w:r>
          </w:p>
          <w:p w14:paraId="094B7647" w14:textId="77777777" w:rsidR="006C53CB" w:rsidRPr="00556843" w:rsidRDefault="006C53CB"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2F053738" w14:textId="77777777" w:rsidR="006C53CB" w:rsidRPr="00556843" w:rsidRDefault="006C53CB" w:rsidP="00F658E8">
            <w:pPr>
              <w:pStyle w:val="TableText"/>
              <w:keepNext/>
              <w:rPr>
                <w:b/>
              </w:rPr>
            </w:pPr>
            <w:r w:rsidRPr="00556843">
              <w:rPr>
                <w:b/>
              </w:rPr>
              <w:t>Endangered</w:t>
            </w:r>
          </w:p>
          <w:p w14:paraId="7624265F" w14:textId="77777777" w:rsidR="006C53CB" w:rsidRPr="00556843" w:rsidRDefault="006C53CB"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63E11234" w14:textId="77777777" w:rsidR="006C53CB" w:rsidRPr="00556843" w:rsidRDefault="006C53CB" w:rsidP="00F658E8">
            <w:pPr>
              <w:pStyle w:val="TableText"/>
              <w:keepNext/>
              <w:rPr>
                <w:b/>
              </w:rPr>
            </w:pPr>
            <w:r w:rsidRPr="00556843">
              <w:rPr>
                <w:b/>
              </w:rPr>
              <w:t>Vulnerable</w:t>
            </w:r>
          </w:p>
          <w:p w14:paraId="4C84534B" w14:textId="77777777" w:rsidR="006C53CB" w:rsidRPr="00556843" w:rsidRDefault="006C53CB" w:rsidP="00F658E8">
            <w:pPr>
              <w:pStyle w:val="TableText"/>
              <w:keepNext/>
              <w:rPr>
                <w:b/>
              </w:rPr>
            </w:pPr>
            <w:r w:rsidRPr="00556843">
              <w:rPr>
                <w:b/>
              </w:rPr>
              <w:t>Limited</w:t>
            </w:r>
          </w:p>
        </w:tc>
      </w:tr>
      <w:tr w:rsidR="006C53CB" w:rsidRPr="00556843" w14:paraId="7568D3E1"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3ADC2758" w14:textId="77777777" w:rsidR="006C53CB" w:rsidRPr="00556843" w:rsidRDefault="006C53CB"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ADE2034" w14:textId="77777777" w:rsidR="006C53CB" w:rsidRPr="00556843" w:rsidRDefault="006C53CB"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6863E70" w14:textId="77777777" w:rsidR="006C53CB" w:rsidRPr="00556843" w:rsidRDefault="006C53CB"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07161679" w14:textId="77777777" w:rsidR="006C53CB" w:rsidRPr="00556843" w:rsidRDefault="006C53CB" w:rsidP="00F658E8">
            <w:pPr>
              <w:pStyle w:val="TableText"/>
              <w:keepNext/>
            </w:pPr>
            <w:r w:rsidRPr="00556843">
              <w:rPr>
                <w:b/>
              </w:rPr>
              <w:t xml:space="preserve">&lt; 10,000 </w:t>
            </w:r>
          </w:p>
        </w:tc>
      </w:tr>
      <w:tr w:rsidR="006C53CB" w:rsidRPr="00556843" w14:paraId="2184C835"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1955A38" w14:textId="77777777" w:rsidR="006C53CB" w:rsidRPr="00556843" w:rsidRDefault="006C53CB"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69B2FD5E" w14:textId="77777777" w:rsidR="006C53CB" w:rsidRPr="00556843" w:rsidRDefault="006C53CB"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12AEF5FD" w14:textId="77777777" w:rsidR="006C53CB" w:rsidRPr="00556843" w:rsidRDefault="006C53CB"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5D1FA188" w14:textId="77777777" w:rsidR="006C53CB" w:rsidRPr="00556843" w:rsidRDefault="006C53CB" w:rsidP="00F658E8">
            <w:pPr>
              <w:pStyle w:val="TableText"/>
              <w:keepNext/>
              <w:rPr>
                <w:b/>
              </w:rPr>
            </w:pPr>
          </w:p>
        </w:tc>
      </w:tr>
      <w:tr w:rsidR="006C53CB" w:rsidRPr="00556843" w14:paraId="591FE847"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E015F02" w14:textId="77777777" w:rsidR="006C53CB" w:rsidRPr="00556843" w:rsidRDefault="006C53CB" w:rsidP="00F658E8">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15A6D40E" w14:textId="77777777" w:rsidR="006C53CB" w:rsidRPr="00556843" w:rsidRDefault="006C53CB" w:rsidP="00F658E8">
            <w:pPr>
              <w:pStyle w:val="TableText"/>
              <w:keepNext/>
              <w:rPr>
                <w:b/>
              </w:rPr>
            </w:pPr>
            <w:r w:rsidRPr="00556843">
              <w:rPr>
                <w:b/>
              </w:rPr>
              <w:t>Very high rate</w:t>
            </w:r>
          </w:p>
          <w:p w14:paraId="3C21C82C" w14:textId="77777777" w:rsidR="006C53CB" w:rsidRPr="00556843" w:rsidRDefault="006C53CB" w:rsidP="00F658E8">
            <w:pPr>
              <w:pStyle w:val="TableText"/>
              <w:keepNext/>
              <w:rPr>
                <w:b/>
              </w:rPr>
            </w:pPr>
            <w:r w:rsidRPr="00556843">
              <w:rPr>
                <w:b/>
              </w:rPr>
              <w:t>25% in 3 years or 1 generation</w:t>
            </w:r>
          </w:p>
          <w:p w14:paraId="77090477" w14:textId="77777777" w:rsidR="006C53CB" w:rsidRPr="00556843" w:rsidRDefault="006C53CB"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FFD4A2F" w14:textId="77777777" w:rsidR="006C53CB" w:rsidRPr="00556843" w:rsidRDefault="006C53CB" w:rsidP="00F658E8">
            <w:pPr>
              <w:pStyle w:val="TableText"/>
              <w:keepNext/>
              <w:rPr>
                <w:b/>
              </w:rPr>
            </w:pPr>
            <w:r w:rsidRPr="00556843">
              <w:rPr>
                <w:b/>
              </w:rPr>
              <w:t>High rate</w:t>
            </w:r>
          </w:p>
          <w:p w14:paraId="2313B7C8" w14:textId="77777777" w:rsidR="006C53CB" w:rsidRPr="00556843" w:rsidRDefault="006C53CB" w:rsidP="00F658E8">
            <w:pPr>
              <w:pStyle w:val="TableText"/>
              <w:keepNext/>
              <w:rPr>
                <w:b/>
              </w:rPr>
            </w:pPr>
            <w:r w:rsidRPr="00556843">
              <w:rPr>
                <w:b/>
              </w:rPr>
              <w:t>20% in 5 years or 2 generation</w:t>
            </w:r>
          </w:p>
          <w:p w14:paraId="467E2ACE" w14:textId="77777777" w:rsidR="006C53CB" w:rsidRPr="00556843" w:rsidRDefault="006C53CB"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13CEEAF" w14:textId="77777777" w:rsidR="006C53CB" w:rsidRPr="00556843" w:rsidRDefault="006C53CB" w:rsidP="00F658E8">
            <w:pPr>
              <w:pStyle w:val="TableText"/>
              <w:keepNext/>
              <w:rPr>
                <w:b/>
              </w:rPr>
            </w:pPr>
            <w:r w:rsidRPr="00556843">
              <w:rPr>
                <w:b/>
              </w:rPr>
              <w:t>Substantial rate</w:t>
            </w:r>
          </w:p>
          <w:p w14:paraId="499DA536" w14:textId="77777777" w:rsidR="006C53CB" w:rsidRPr="00556843" w:rsidRDefault="006C53CB" w:rsidP="00F658E8">
            <w:pPr>
              <w:pStyle w:val="TableText"/>
              <w:keepNext/>
              <w:rPr>
                <w:b/>
              </w:rPr>
            </w:pPr>
            <w:r w:rsidRPr="00556843">
              <w:rPr>
                <w:b/>
              </w:rPr>
              <w:t>10% in 10 years or 3 generations</w:t>
            </w:r>
          </w:p>
          <w:p w14:paraId="3FD7E95A" w14:textId="77777777" w:rsidR="006C53CB" w:rsidRPr="00556843" w:rsidRDefault="006C53CB" w:rsidP="00F658E8">
            <w:pPr>
              <w:pStyle w:val="TableText"/>
              <w:keepNext/>
              <w:rPr>
                <w:b/>
              </w:rPr>
            </w:pPr>
            <w:r w:rsidRPr="00556843">
              <w:rPr>
                <w:b/>
              </w:rPr>
              <w:t>(whichever is longer)</w:t>
            </w:r>
          </w:p>
        </w:tc>
      </w:tr>
      <w:tr w:rsidR="006C53CB" w:rsidRPr="00556843" w14:paraId="6E254407"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381EC9AE" w14:textId="77777777" w:rsidR="006C53CB" w:rsidRPr="00556843" w:rsidRDefault="006C53CB" w:rsidP="00F658E8">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02BE28B" w14:textId="77777777" w:rsidR="006C53CB" w:rsidRPr="00556843" w:rsidRDefault="006C53CB" w:rsidP="00F658E8">
            <w:pPr>
              <w:pStyle w:val="TableText"/>
              <w:keepNext/>
            </w:pPr>
          </w:p>
        </w:tc>
        <w:tc>
          <w:tcPr>
            <w:tcW w:w="1833" w:type="dxa"/>
            <w:tcBorders>
              <w:top w:val="nil"/>
              <w:left w:val="nil"/>
              <w:bottom w:val="nil"/>
              <w:right w:val="nil"/>
            </w:tcBorders>
          </w:tcPr>
          <w:p w14:paraId="7E9EA929" w14:textId="77777777" w:rsidR="006C53CB" w:rsidRPr="00556843" w:rsidRDefault="006C53CB" w:rsidP="00F658E8">
            <w:pPr>
              <w:pStyle w:val="TableText"/>
              <w:keepNext/>
            </w:pPr>
          </w:p>
        </w:tc>
        <w:tc>
          <w:tcPr>
            <w:tcW w:w="1902" w:type="dxa"/>
            <w:tcBorders>
              <w:top w:val="nil"/>
              <w:left w:val="nil"/>
              <w:bottom w:val="nil"/>
              <w:right w:val="single" w:sz="4" w:space="0" w:color="auto"/>
            </w:tcBorders>
          </w:tcPr>
          <w:p w14:paraId="27CC92B7" w14:textId="77777777" w:rsidR="006C53CB" w:rsidRPr="00556843" w:rsidRDefault="006C53CB" w:rsidP="00F658E8">
            <w:pPr>
              <w:pStyle w:val="TableText"/>
              <w:keepNext/>
            </w:pPr>
          </w:p>
        </w:tc>
      </w:tr>
      <w:tr w:rsidR="006C53CB" w:rsidRPr="00556843" w14:paraId="054B15AA"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26AFC0AC" w14:textId="77777777" w:rsidR="006C53CB" w:rsidRPr="00556843" w:rsidRDefault="006C53CB"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F7F5157" w14:textId="77777777" w:rsidR="006C53CB" w:rsidRPr="00556843" w:rsidRDefault="006C53CB"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2603BB1" w14:textId="77777777" w:rsidR="006C53CB" w:rsidRPr="00556843" w:rsidRDefault="006C53CB"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0DEBAEA" w14:textId="77777777" w:rsidR="006C53CB" w:rsidRPr="00556843" w:rsidRDefault="006C53CB"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4BB54CAB" w14:textId="77777777" w:rsidR="006C53CB" w:rsidRPr="00556843" w:rsidRDefault="006C53CB" w:rsidP="00F658E8">
            <w:pPr>
              <w:pStyle w:val="TableText"/>
              <w:keepNext/>
              <w:rPr>
                <w:b/>
              </w:rPr>
            </w:pPr>
            <w:r w:rsidRPr="00556843">
              <w:rPr>
                <w:b/>
              </w:rPr>
              <w:t>≤ 1,000</w:t>
            </w:r>
          </w:p>
        </w:tc>
      </w:tr>
      <w:tr w:rsidR="006C53CB" w:rsidRPr="00556843" w14:paraId="367B0CA7"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C8AD08F" w14:textId="77777777" w:rsidR="006C53CB" w:rsidRPr="00556843" w:rsidRDefault="006C53CB"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6FC175" w14:textId="77777777" w:rsidR="006C53CB" w:rsidRPr="00556843" w:rsidRDefault="006C53CB"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E5D9898" w14:textId="77777777" w:rsidR="006C53CB" w:rsidRPr="00556843" w:rsidRDefault="006C53CB"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7B3D90F" w14:textId="77777777" w:rsidR="006C53CB" w:rsidRPr="00556843" w:rsidRDefault="006C53CB"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99AE61F" w14:textId="77777777" w:rsidR="006C53CB" w:rsidRPr="00556843" w:rsidRDefault="006C53CB" w:rsidP="00F658E8">
            <w:pPr>
              <w:pStyle w:val="TableText"/>
              <w:keepNext/>
              <w:rPr>
                <w:b/>
              </w:rPr>
            </w:pPr>
            <w:r w:rsidRPr="00556843">
              <w:rPr>
                <w:b/>
              </w:rPr>
              <w:t>100%</w:t>
            </w:r>
          </w:p>
        </w:tc>
      </w:tr>
      <w:tr w:rsidR="006C53CB" w:rsidRPr="00556843" w14:paraId="7A2C9CB5"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9A130E5" w14:textId="77777777" w:rsidR="006C53CB" w:rsidRPr="00556843" w:rsidRDefault="006C53CB"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7DD8CF2" w14:textId="77777777" w:rsidR="006C53CB" w:rsidRPr="00556843" w:rsidRDefault="006C53CB" w:rsidP="00F658E8">
            <w:pPr>
              <w:pStyle w:val="TableText"/>
              <w:keepNext/>
            </w:pPr>
          </w:p>
        </w:tc>
        <w:tc>
          <w:tcPr>
            <w:tcW w:w="1833" w:type="dxa"/>
            <w:tcBorders>
              <w:top w:val="single" w:sz="4" w:space="0" w:color="FFFFFF" w:themeColor="background1"/>
              <w:left w:val="nil"/>
              <w:right w:val="nil"/>
            </w:tcBorders>
            <w:shd w:val="clear" w:color="auto" w:fill="auto"/>
          </w:tcPr>
          <w:p w14:paraId="7974EBE3" w14:textId="77777777" w:rsidR="006C53CB" w:rsidRPr="00556843" w:rsidRDefault="006C53CB"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58A6AB7" w14:textId="77777777" w:rsidR="006C53CB" w:rsidRPr="00556843" w:rsidRDefault="006C53CB" w:rsidP="00F658E8">
            <w:pPr>
              <w:pStyle w:val="TableText"/>
              <w:keepNext/>
            </w:pPr>
          </w:p>
        </w:tc>
      </w:tr>
    </w:tbl>
    <w:p w14:paraId="1C84CEBB" w14:textId="77777777" w:rsidR="006C53CB" w:rsidRPr="002B69E4" w:rsidRDefault="006C53CB" w:rsidP="00CD30FC">
      <w:pPr>
        <w:pStyle w:val="Heading3"/>
        <w:spacing w:before="240"/>
        <w:ind w:left="964" w:hanging="964"/>
      </w:pPr>
      <w:r>
        <w:t>Criterion 3 e</w:t>
      </w:r>
      <w:r w:rsidRPr="002B69E4">
        <w:t>vidence</w:t>
      </w:r>
    </w:p>
    <w:p w14:paraId="2DFBA2E4" w14:textId="77777777" w:rsidR="006C53CB" w:rsidRPr="00B01F96" w:rsidRDefault="006C53CB" w:rsidP="002B69E4">
      <w:pPr>
        <w:rPr>
          <w:rStyle w:val="Strong"/>
          <w:b w:val="0"/>
          <w:bCs w:val="0"/>
          <w:lang w:eastAsia="ja-JP"/>
        </w:rPr>
      </w:pPr>
      <w:r w:rsidRPr="008155CB">
        <w:rPr>
          <w:rStyle w:val="Strong"/>
        </w:rPr>
        <w:t xml:space="preserve">Eligible </w:t>
      </w:r>
      <w:r w:rsidRPr="0071736B">
        <w:rPr>
          <w:rStyle w:val="Strong"/>
        </w:rPr>
        <w:t>under Criteri</w:t>
      </w:r>
      <w:r>
        <w:rPr>
          <w:rStyle w:val="Strong"/>
        </w:rPr>
        <w:t>on C2a(i)</w:t>
      </w:r>
      <w:r w:rsidRPr="0071736B">
        <w:rPr>
          <w:lang w:eastAsia="ja-JP"/>
        </w:rPr>
        <w:t xml:space="preserve"> </w:t>
      </w:r>
      <w:r>
        <w:rPr>
          <w:b/>
          <w:bCs/>
        </w:rPr>
        <w:t xml:space="preserve">as </w:t>
      </w:r>
      <w:sdt>
        <w:sdtPr>
          <w:rPr>
            <w:b/>
            <w:bCs/>
          </w:rPr>
          <w:id w:val="1013104026"/>
          <w:placeholder>
            <w:docPart w:val="552BE7A04F4C49FEA1D503A6516414A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Endangered</w:t>
          </w:r>
        </w:sdtContent>
      </w:sdt>
    </w:p>
    <w:p w14:paraId="29A4DF31" w14:textId="77777777" w:rsidR="006C53CB" w:rsidRDefault="006C53CB" w:rsidP="002B69E4">
      <w:r>
        <w:t xml:space="preserve">There is no current estimate for number of mature individuals. Post-fire observations have only been carried out at one of the four known subpopulations, where only two mature individuals were found. However, </w:t>
      </w:r>
      <w:r w:rsidRPr="6C200F09">
        <w:rPr>
          <w:rStyle w:val="Emphasis"/>
        </w:rPr>
        <w:t>B. mollissima</w:t>
      </w:r>
      <w:r>
        <w:t xml:space="preserve"> survives fire by seedling recruitment, and there were &gt;100 seedlings found at the Mount Kaputar subpopulation after the 2019-20 fires. It is estimated that the pre-fire subpopulation contained c. 40 mature individuals (see Criterion 1). The Mount Kaputar summit subpopulation is the most frequently observed, and the only subpopulation to have more than one observation record within the last 20 years. This may be because it is the most accessible of all the subpopulations, or that a significant number of individual plants occur at the site.. Although subpopulation numbers at the remaining sites are unknown, it is unlikely that they significantly exceed that of the pre-fire population estimated at Mount Kaputar summit. Therefore, while there are insufficient data available at this time to precisely estimate population size, it is reasonable to infer that it is less than 2500 mature individuals. </w:t>
      </w:r>
    </w:p>
    <w:p w14:paraId="351336E3" w14:textId="77777777" w:rsidR="006C53CB" w:rsidRDefault="006C53CB" w:rsidP="002B69E4">
      <w:pPr>
        <w:rPr>
          <w:bCs/>
        </w:rPr>
      </w:pPr>
      <w:r>
        <w:rPr>
          <w:bCs/>
        </w:rPr>
        <w:t xml:space="preserve">There is insufficient evidence available to determine a trend in the number of mature individuals across the population. However, due to the continuing decline in location and habitat quality (see criterion 2), it is plausible to assume that a decline in mature individuals is occurring. Although three of the subpopulations lack population data, it is unlikely that they </w:t>
      </w:r>
      <w:r>
        <w:rPr>
          <w:bCs/>
        </w:rPr>
        <w:lastRenderedPageBreak/>
        <w:t xml:space="preserve">significantly exceed that of the estimated pre-fire population at Mount Kaputar summit of 40 mature individuals. It is likely that all of the known subpopulations contain less than 250 mature individuals. Therefore, the species appears eligible for the Endangered category under criterion C2(a)(i). However, the purpose of this consultation document is to elicit additional information to better understand the species’ status. This conclusion should therefore be considered to be tentative at this stage, as it may be changed as a result of responses to this consultation process. </w:t>
      </w:r>
    </w:p>
    <w:p w14:paraId="3D2D855F" w14:textId="77777777" w:rsidR="006C53CB" w:rsidRDefault="006C53CB"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6C53CB" w:rsidRPr="00166185" w14:paraId="56CAC8E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16625E5D" w14:textId="77777777" w:rsidR="006C53CB" w:rsidRPr="00166185" w:rsidRDefault="006C53CB" w:rsidP="000E630E">
            <w:pPr>
              <w:pStyle w:val="TableText"/>
              <w:keepNext/>
            </w:pPr>
          </w:p>
        </w:tc>
      </w:tr>
      <w:tr w:rsidR="006C53CB" w:rsidRPr="00166185" w14:paraId="30AEE11A"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3C8981A9" w14:textId="77777777" w:rsidR="006C53CB" w:rsidRPr="00166185" w:rsidRDefault="006C53CB"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023FF808" w14:textId="77777777" w:rsidR="006C53CB" w:rsidRPr="009E3E71" w:rsidRDefault="006C53CB" w:rsidP="000E630E">
            <w:pPr>
              <w:pStyle w:val="TableText"/>
              <w:keepNext/>
              <w:rPr>
                <w:rStyle w:val="Strong"/>
              </w:rPr>
            </w:pPr>
            <w:r w:rsidRPr="009E3E71">
              <w:rPr>
                <w:rStyle w:val="Strong"/>
              </w:rPr>
              <w:t>Critically Endangered</w:t>
            </w:r>
          </w:p>
          <w:p w14:paraId="6B1AF0E5" w14:textId="77777777" w:rsidR="006C53CB" w:rsidRPr="009E3E71" w:rsidRDefault="006C53CB"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3985E8F" w14:textId="77777777" w:rsidR="006C53CB" w:rsidRPr="009E3E71" w:rsidRDefault="006C53CB" w:rsidP="000E630E">
            <w:pPr>
              <w:pStyle w:val="TableText"/>
              <w:keepNext/>
              <w:rPr>
                <w:rStyle w:val="Strong"/>
              </w:rPr>
            </w:pPr>
            <w:r w:rsidRPr="009E3E71">
              <w:rPr>
                <w:rStyle w:val="Strong"/>
              </w:rPr>
              <w:t>Endangered</w:t>
            </w:r>
          </w:p>
          <w:p w14:paraId="07704495" w14:textId="77777777" w:rsidR="006C53CB" w:rsidRPr="009E3E71" w:rsidRDefault="006C53CB"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903B72E" w14:textId="77777777" w:rsidR="006C53CB" w:rsidRPr="009E3E71" w:rsidRDefault="006C53CB" w:rsidP="000E630E">
            <w:pPr>
              <w:pStyle w:val="TableText"/>
              <w:keepNext/>
              <w:rPr>
                <w:rStyle w:val="Strong"/>
              </w:rPr>
            </w:pPr>
            <w:r w:rsidRPr="009E3E71">
              <w:rPr>
                <w:rStyle w:val="Strong"/>
              </w:rPr>
              <w:t>Vulnerable</w:t>
            </w:r>
          </w:p>
          <w:p w14:paraId="1E97629D" w14:textId="77777777" w:rsidR="006C53CB" w:rsidRPr="009E3E71" w:rsidRDefault="006C53CB" w:rsidP="000E630E">
            <w:pPr>
              <w:pStyle w:val="TableText"/>
              <w:keepNext/>
              <w:rPr>
                <w:rStyle w:val="Strong"/>
              </w:rPr>
            </w:pPr>
            <w:r w:rsidRPr="009E3E71">
              <w:rPr>
                <w:rStyle w:val="Strong"/>
              </w:rPr>
              <w:t>Low</w:t>
            </w:r>
          </w:p>
        </w:tc>
      </w:tr>
      <w:tr w:rsidR="006C53CB" w:rsidRPr="00166185" w14:paraId="0A6CCE9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3FFE6189" w14:textId="77777777" w:rsidR="006C53CB" w:rsidRPr="00166185" w:rsidRDefault="006C53CB" w:rsidP="000E630E">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CF09C5D" w14:textId="77777777" w:rsidR="006C53CB" w:rsidRPr="00166185" w:rsidRDefault="006C53CB"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5AB5C39" w14:textId="77777777" w:rsidR="006C53CB" w:rsidRPr="00166185" w:rsidRDefault="006C53CB"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9FDD8A4" w14:textId="77777777" w:rsidR="006C53CB" w:rsidRPr="00166185" w:rsidRDefault="006C53CB" w:rsidP="000E630E">
            <w:pPr>
              <w:pStyle w:val="TableText"/>
              <w:keepNext/>
              <w:rPr>
                <w:rFonts w:ascii="Times New Roman" w:hAnsi="Times New Roman" w:cs="Times New Roman"/>
                <w:szCs w:val="18"/>
              </w:rPr>
            </w:pPr>
            <w:r w:rsidRPr="00166185">
              <w:rPr>
                <w:szCs w:val="18"/>
              </w:rPr>
              <w:t>&lt; 1,000</w:t>
            </w:r>
          </w:p>
        </w:tc>
      </w:tr>
      <w:tr w:rsidR="006C53CB" w:rsidRPr="00166185" w14:paraId="7BBA70A8"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0B3D52FE" w14:textId="77777777" w:rsidR="006C53CB" w:rsidRPr="00166185" w:rsidRDefault="006C53CB" w:rsidP="000E630E">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4AA5843C" w14:textId="77777777" w:rsidR="006C53CB" w:rsidRPr="00166185" w:rsidRDefault="006C53CB"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4ACEC0D9" w14:textId="77777777" w:rsidR="006C53CB" w:rsidRPr="00A034C7" w:rsidRDefault="006C53CB"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78C91082" w14:textId="77777777" w:rsidR="006C53CB" w:rsidRPr="00A034C7" w:rsidRDefault="006C53CB"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548B3699" w14:textId="77777777" w:rsidR="006C53CB" w:rsidRPr="00166185" w:rsidRDefault="006C53CB"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3A80DE82" w14:textId="77777777" w:rsidR="006C53CB" w:rsidRPr="00166185" w:rsidRDefault="006C53CB"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52" w:history="1">
        <w:r w:rsidRPr="00166185">
          <w:rPr>
            <w:rStyle w:val="Hyperlink"/>
            <w:bCs/>
            <w:i/>
            <w:iCs/>
          </w:rPr>
          <w:t>common assessment method</w:t>
        </w:r>
      </w:hyperlink>
      <w:r w:rsidRPr="00166185">
        <w:t>.</w:t>
      </w:r>
    </w:p>
    <w:p w14:paraId="7CE4F644" w14:textId="77777777" w:rsidR="006C53CB" w:rsidRPr="00C2736A" w:rsidRDefault="006C53CB">
      <w:pPr>
        <w:pStyle w:val="Heading3"/>
        <w:ind w:left="964" w:hanging="964"/>
      </w:pPr>
      <w:r>
        <w:t>Criterion 4 e</w:t>
      </w:r>
      <w:r w:rsidRPr="00BE530B">
        <w:t>vidence</w:t>
      </w:r>
    </w:p>
    <w:p w14:paraId="76C8951F" w14:textId="77777777" w:rsidR="006C53CB" w:rsidRDefault="006C53CB" w:rsidP="00BE530B">
      <w:r w:rsidRPr="008155CB">
        <w:rPr>
          <w:rStyle w:val="Strong"/>
        </w:rPr>
        <w:t xml:space="preserve">Eligible </w:t>
      </w:r>
      <w:r w:rsidRPr="0071736B">
        <w:rPr>
          <w:rStyle w:val="Strong"/>
        </w:rPr>
        <w:t>under Criteri</w:t>
      </w:r>
      <w:r>
        <w:rPr>
          <w:rStyle w:val="Strong"/>
        </w:rPr>
        <w:t>on D</w:t>
      </w:r>
      <w:r w:rsidRPr="0071736B">
        <w:rPr>
          <w:lang w:eastAsia="ja-JP"/>
        </w:rPr>
        <w:t xml:space="preserve"> </w:t>
      </w:r>
      <w:r>
        <w:rPr>
          <w:b/>
          <w:bCs/>
        </w:rPr>
        <w:t xml:space="preserve">as </w:t>
      </w:r>
      <w:sdt>
        <w:sdtPr>
          <w:rPr>
            <w:b/>
            <w:bCs/>
          </w:rPr>
          <w:id w:val="1422220951"/>
          <w:placeholder>
            <w:docPart w:val="170BB8F614B44BBBB6C3050077F10E8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Pr>
              <w:b/>
              <w:bCs/>
            </w:rPr>
            <w:t>Vulnerable</w:t>
          </w:r>
        </w:sdtContent>
      </w:sdt>
      <w:r w:rsidRPr="6C200F09">
        <w:t xml:space="preserve"> </w:t>
      </w:r>
    </w:p>
    <w:p w14:paraId="080DC15F" w14:textId="77777777" w:rsidR="006C53CB" w:rsidRDefault="006C53CB" w:rsidP="00BE530B">
      <w:r w:rsidRPr="6C200F09">
        <w:t>Population data are available for only one of the known subpopulations. However, as the only surveyed population contained 40 mature individuals pre-fire, it is unlikely that the total population contains more than 1000</w:t>
      </w:r>
      <w:r>
        <w:t xml:space="preserve"> mature individuals</w:t>
      </w:r>
      <w:r w:rsidRPr="6C200F09">
        <w:t xml:space="preserve">. Therefore, the species appears eligible for listing as Vulnerable under criterion 4. However, the purpose of this consultation document is to elicit additional information to better understand the species’ status. This conclusion should therefore be considered to be tentative at this stage, as it may be changed as a result of responses to this consultation process. </w:t>
      </w:r>
    </w:p>
    <w:p w14:paraId="12C01DC6" w14:textId="77777777" w:rsidR="006C53CB" w:rsidRDefault="006C53CB" w:rsidP="005D1735">
      <w:pPr>
        <w:pStyle w:val="Caption"/>
      </w:pPr>
      <w:r w:rsidRPr="00AD2722">
        <w:lastRenderedPageBreak/>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52"/>
        <w:gridCol w:w="1974"/>
        <w:gridCol w:w="1872"/>
        <w:gridCol w:w="1918"/>
      </w:tblGrid>
      <w:tr w:rsidR="006C53CB" w:rsidRPr="00556843" w14:paraId="77953006"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6F42FA9C" w14:textId="77777777" w:rsidR="006C53CB" w:rsidRPr="00556843" w:rsidRDefault="006C53CB" w:rsidP="005D1735">
            <w:pPr>
              <w:keepNext/>
              <w:tabs>
                <w:tab w:val="left" w:pos="284"/>
              </w:tabs>
              <w:rPr>
                <w:rFonts w:ascii="Arial" w:hAnsi="Arial" w:cs="Arial"/>
                <w:b/>
                <w:color w:val="FFFFFF" w:themeColor="background1"/>
              </w:rPr>
            </w:pPr>
          </w:p>
        </w:tc>
      </w:tr>
      <w:tr w:rsidR="006C53CB" w:rsidRPr="00556843" w14:paraId="7E07140E" w14:textId="77777777" w:rsidTr="001C7420">
        <w:trPr>
          <w:trHeight w:val="439"/>
        </w:trPr>
        <w:tc>
          <w:tcPr>
            <w:tcW w:w="4042" w:type="dxa"/>
            <w:tcBorders>
              <w:top w:val="nil"/>
              <w:left w:val="single" w:sz="4" w:space="0" w:color="auto"/>
              <w:bottom w:val="nil"/>
              <w:right w:val="nil"/>
            </w:tcBorders>
          </w:tcPr>
          <w:p w14:paraId="3160520A" w14:textId="77777777" w:rsidR="006C53CB" w:rsidRPr="00556843" w:rsidRDefault="006C53CB" w:rsidP="005D1735">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573806D9" w14:textId="77777777" w:rsidR="006C53CB" w:rsidRPr="009E3E71" w:rsidRDefault="006C53CB" w:rsidP="005D1735">
            <w:pPr>
              <w:pStyle w:val="TableText"/>
              <w:keepNext/>
              <w:rPr>
                <w:rStyle w:val="Strong"/>
              </w:rPr>
            </w:pPr>
            <w:r w:rsidRPr="009E3E71">
              <w:rPr>
                <w:rStyle w:val="Strong"/>
              </w:rPr>
              <w:t>Critically Endangered</w:t>
            </w:r>
          </w:p>
          <w:p w14:paraId="1B6B9C09" w14:textId="77777777" w:rsidR="006C53CB" w:rsidRPr="00556843" w:rsidRDefault="006C53CB" w:rsidP="005D1735">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A4DB9A6" w14:textId="77777777" w:rsidR="006C53CB" w:rsidRPr="009E3E71" w:rsidRDefault="006C53CB" w:rsidP="005D1735">
            <w:pPr>
              <w:pStyle w:val="TableText"/>
              <w:keepNext/>
              <w:rPr>
                <w:rStyle w:val="Strong"/>
              </w:rPr>
            </w:pPr>
            <w:r w:rsidRPr="009E3E71">
              <w:rPr>
                <w:rStyle w:val="Strong"/>
              </w:rPr>
              <w:t>Endangered</w:t>
            </w:r>
          </w:p>
          <w:p w14:paraId="62D7C781" w14:textId="77777777" w:rsidR="006C53CB" w:rsidRPr="009E3E71" w:rsidRDefault="006C53CB" w:rsidP="005D1735">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B0D9488" w14:textId="77777777" w:rsidR="006C53CB" w:rsidRPr="009E3E71" w:rsidRDefault="006C53CB" w:rsidP="005D1735">
            <w:pPr>
              <w:pStyle w:val="TableText"/>
              <w:keepNext/>
              <w:rPr>
                <w:rStyle w:val="Strong"/>
              </w:rPr>
            </w:pPr>
            <w:r w:rsidRPr="009E3E71">
              <w:rPr>
                <w:rStyle w:val="Strong"/>
              </w:rPr>
              <w:t>Vulnerable</w:t>
            </w:r>
          </w:p>
          <w:p w14:paraId="2307D1C4" w14:textId="77777777" w:rsidR="006C53CB" w:rsidRPr="009E3E71" w:rsidRDefault="006C53CB" w:rsidP="005D1735">
            <w:pPr>
              <w:pStyle w:val="TableText"/>
              <w:keepNext/>
              <w:rPr>
                <w:rStyle w:val="Strong"/>
              </w:rPr>
            </w:pPr>
            <w:r w:rsidRPr="009E3E71">
              <w:rPr>
                <w:rStyle w:val="Strong"/>
              </w:rPr>
              <w:t>Medium-term future</w:t>
            </w:r>
          </w:p>
        </w:tc>
      </w:tr>
      <w:tr w:rsidR="006C53CB" w:rsidRPr="004F5429" w14:paraId="056491F1"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709964B4" w14:textId="77777777" w:rsidR="006C53CB" w:rsidRPr="004F5429" w:rsidRDefault="006C53CB" w:rsidP="005D1735">
            <w:pPr>
              <w:pStyle w:val="TableText"/>
              <w:keepN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47B944E7" w14:textId="77777777" w:rsidR="006C53CB" w:rsidRPr="004F5429" w:rsidRDefault="006C53CB" w:rsidP="005D1735">
            <w:pPr>
              <w:pStyle w:val="TableText"/>
              <w:keepNext/>
              <w:rPr>
                <w:rStyle w:val="Strong"/>
                <w:b w:val="0"/>
                <w:bCs w:val="0"/>
              </w:rPr>
            </w:pPr>
            <w:r w:rsidRPr="004F5429">
              <w:rPr>
                <w:rStyle w:val="Strong"/>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299520F8" w14:textId="77777777" w:rsidR="006C53CB" w:rsidRPr="004F5429" w:rsidRDefault="006C53CB" w:rsidP="005D1735">
            <w:pPr>
              <w:pStyle w:val="TableText"/>
              <w:keepNext/>
              <w:rPr>
                <w:rStyle w:val="Strong"/>
                <w:b w:val="0"/>
                <w:bCs w:val="0"/>
              </w:rPr>
            </w:pPr>
            <w:r w:rsidRPr="004F5429">
              <w:rPr>
                <w:rStyle w:val="Strong"/>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591E95C5" w14:textId="77777777" w:rsidR="006C53CB" w:rsidRPr="004F5429" w:rsidRDefault="006C53CB" w:rsidP="005D1735">
            <w:pPr>
              <w:pStyle w:val="TableText"/>
              <w:keepNext/>
              <w:rPr>
                <w:rStyle w:val="Strong"/>
                <w:b w:val="0"/>
                <w:bCs w:val="0"/>
              </w:rPr>
            </w:pPr>
            <w:r w:rsidRPr="004F5429">
              <w:rPr>
                <w:rStyle w:val="Strong"/>
              </w:rPr>
              <w:t xml:space="preserve">≥ 10% in 100 years </w:t>
            </w:r>
          </w:p>
        </w:tc>
      </w:tr>
    </w:tbl>
    <w:p w14:paraId="7E3F8930" w14:textId="77777777" w:rsidR="006C53CB" w:rsidRPr="00AD2722" w:rsidRDefault="006C53CB" w:rsidP="005D1735">
      <w:pPr>
        <w:pStyle w:val="Heading3"/>
        <w:spacing w:before="240"/>
        <w:ind w:left="964" w:hanging="964"/>
      </w:pPr>
      <w:r>
        <w:t>Criterion 5 e</w:t>
      </w:r>
      <w:r w:rsidRPr="00AD2722">
        <w:t>vidence</w:t>
      </w:r>
    </w:p>
    <w:p w14:paraId="667EF0F1" w14:textId="77777777" w:rsidR="006C53CB" w:rsidRDefault="006C53CB" w:rsidP="005D1735">
      <w:pPr>
        <w:keepNext/>
        <w:rPr>
          <w:rStyle w:val="Strong"/>
        </w:rPr>
      </w:pPr>
      <w:r w:rsidRPr="00603E98">
        <w:rPr>
          <w:rStyle w:val="Strong"/>
        </w:rPr>
        <w:t>Insufficient data to determine eligibility</w:t>
      </w:r>
    </w:p>
    <w:p w14:paraId="2EEE4D28" w14:textId="77777777" w:rsidR="006C53CB" w:rsidRDefault="006C53CB" w:rsidP="00AD2722">
      <w:pPr>
        <w:rPr>
          <w:bCs/>
        </w:rPr>
      </w:pPr>
      <w:r w:rsidRPr="00AD2722">
        <w:rPr>
          <w:bCs/>
        </w:rPr>
        <w:t xml:space="preserve">Population viability analysis has not been undertaken. </w:t>
      </w:r>
    </w:p>
    <w:p w14:paraId="0712B7D3" w14:textId="77777777" w:rsidR="006C53CB" w:rsidRDefault="006C53CB" w:rsidP="00AD2722">
      <w:pPr>
        <w:rPr>
          <w:lang w:eastAsia="ja-JP"/>
        </w:rPr>
      </w:pPr>
      <w:r w:rsidRPr="008155CB">
        <w:rPr>
          <w:bCs/>
        </w:rPr>
        <w:t>There are insufficient data to demonstrate if the species is eligible for listing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7422C748" w14:textId="77777777" w:rsidR="006C53CB" w:rsidRPr="00AD2722" w:rsidRDefault="006C53CB" w:rsidP="00F20180">
      <w:pPr>
        <w:pStyle w:val="Heading3"/>
        <w:ind w:left="964" w:hanging="964"/>
      </w:pPr>
      <w:r w:rsidRPr="00AD2722">
        <w:t>Adequacy of survey</w:t>
      </w:r>
    </w:p>
    <w:p w14:paraId="754406BF" w14:textId="77777777" w:rsidR="006C53CB" w:rsidRDefault="006C53CB" w:rsidP="005D2CE0">
      <w:r w:rsidRPr="00603E98">
        <w:t>The survey effort has been considered adequate and there is sufficient scientific evidence to support the assessment.</w:t>
      </w:r>
    </w:p>
    <w:p w14:paraId="4DC3B550" w14:textId="77777777" w:rsidR="006C53CB" w:rsidRPr="00AD2722" w:rsidRDefault="006C53CB" w:rsidP="00F20180">
      <w:pPr>
        <w:pStyle w:val="Heading3"/>
        <w:ind w:left="964" w:hanging="964"/>
      </w:pPr>
      <w:r w:rsidRPr="00AD2722">
        <w:t>Public consultation</w:t>
      </w:r>
    </w:p>
    <w:p w14:paraId="680F9580" w14:textId="77777777" w:rsidR="006C53CB" w:rsidRDefault="006C53CB" w:rsidP="005D2CE0">
      <w:pPr>
        <w:rPr>
          <w:bCs/>
        </w:rPr>
      </w:pPr>
      <w:r w:rsidRPr="005D1735">
        <w:rPr>
          <w:bCs/>
        </w:rPr>
        <w:t>Notice of the proposed amendment and a consultation document is made available for public comment for a minimum of 30 business days. Any comments received relevant to the survival of the species are considered by the Committee as part of the assessment process.</w:t>
      </w:r>
    </w:p>
    <w:p w14:paraId="38E74EBB" w14:textId="77777777" w:rsidR="006C53CB" w:rsidRPr="00AD2722" w:rsidRDefault="006C53CB" w:rsidP="00243014">
      <w:pPr>
        <w:pStyle w:val="Heading3"/>
      </w:pPr>
      <w:r w:rsidRPr="00AD2722">
        <w:t>Listing and Recovery Plan Recommendations</w:t>
      </w:r>
    </w:p>
    <w:p w14:paraId="7CCB2C66" w14:textId="77777777" w:rsidR="003D7210" w:rsidRDefault="006C53CB" w:rsidP="005A4BB6">
      <w:pPr>
        <w:rPr>
          <w:lang w:eastAsia="ja-JP"/>
        </w:rPr>
        <w:sectPr w:rsidR="003D7210" w:rsidSect="002353B8">
          <w:headerReference w:type="even" r:id="rId53"/>
          <w:headerReference w:type="default" r:id="rId54"/>
          <w:headerReference w:type="first" r:id="rId55"/>
          <w:type w:val="continuous"/>
          <w:pgSz w:w="11906" w:h="16838"/>
          <w:pgMar w:top="1440" w:right="1440" w:bottom="1440" w:left="1440" w:header="708" w:footer="708" w:gutter="0"/>
          <w:cols w:space="708"/>
          <w:docGrid w:linePitch="360"/>
        </w:sectPr>
      </w:pPr>
      <w:r w:rsidRPr="005D1735">
        <w:rPr>
          <w:lang w:eastAsia="ja-JP"/>
        </w:rPr>
        <w:t>A decision about whether there should be a Recovery Plan for this species has not yet been made. The purpose of this consultation document is to elicit additional information to help inform the decision.</w:t>
      </w:r>
    </w:p>
    <w:p w14:paraId="1CC41FBF" w14:textId="20086303" w:rsidR="006C53CB" w:rsidRPr="00074648" w:rsidRDefault="006C53CB" w:rsidP="005A4BB6">
      <w:pPr>
        <w:rPr>
          <w:lang w:eastAsia="ja-JP"/>
        </w:rPr>
      </w:pPr>
    </w:p>
    <w:p w14:paraId="2B02A4A0" w14:textId="77777777" w:rsidR="006C53CB" w:rsidRDefault="006C53CB" w:rsidP="000202F4">
      <w:pPr>
        <w:pStyle w:val="Normalsmall"/>
        <w:pageBreakBefore/>
      </w:pPr>
      <w:r>
        <w:lastRenderedPageBreak/>
        <w:t xml:space="preserve">© Commonwealth of Australia </w:t>
      </w:r>
      <w:r w:rsidRPr="00E8094A">
        <w:t>202</w:t>
      </w:r>
      <w:r>
        <w:t xml:space="preserve">2 </w:t>
      </w:r>
      <w:r w:rsidRPr="00D431C8">
        <w:rPr>
          <w:noProof/>
          <w:lang w:eastAsia="en-AU"/>
        </w:rPr>
        <w:drawing>
          <wp:inline distT="0" distB="0" distL="0" distR="0" wp14:anchorId="6C94CF97" wp14:editId="23ECD14A">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25166" cy="218731"/>
                    </a:xfrm>
                    <a:prstGeom prst="rect">
                      <a:avLst/>
                    </a:prstGeom>
                  </pic:spPr>
                </pic:pic>
              </a:graphicData>
            </a:graphic>
          </wp:inline>
        </w:drawing>
      </w:r>
    </w:p>
    <w:p w14:paraId="1F72577B" w14:textId="77777777" w:rsidR="006C53CB" w:rsidRDefault="006C53CB" w:rsidP="00AD44EA">
      <w:pPr>
        <w:pStyle w:val="Normalsmall"/>
        <w:rPr>
          <w:rStyle w:val="Strong"/>
        </w:rPr>
      </w:pPr>
      <w:r>
        <w:rPr>
          <w:rStyle w:val="Strong"/>
        </w:rPr>
        <w:t>Ownership of intellectual property rights</w:t>
      </w:r>
    </w:p>
    <w:p w14:paraId="0092DCDC" w14:textId="77777777" w:rsidR="006C53CB" w:rsidRDefault="006C53CB" w:rsidP="00AD44EA">
      <w:pPr>
        <w:pStyle w:val="Normalsmall"/>
      </w:pPr>
      <w:r>
        <w:t>Unless otherwise noted, copyright (and any other intellectual property rights) in this publication is owned by the Commonwealth of Australia (referred to as the Commonwealth).</w:t>
      </w:r>
    </w:p>
    <w:p w14:paraId="1D2F88DD" w14:textId="77777777" w:rsidR="006C53CB" w:rsidRDefault="006C53CB" w:rsidP="00AD44EA">
      <w:pPr>
        <w:pStyle w:val="Normalsmall"/>
        <w:rPr>
          <w:rStyle w:val="Strong"/>
        </w:rPr>
      </w:pPr>
      <w:r>
        <w:rPr>
          <w:rStyle w:val="Strong"/>
        </w:rPr>
        <w:t>Creative Commons licence</w:t>
      </w:r>
    </w:p>
    <w:p w14:paraId="43A24ED1" w14:textId="77777777" w:rsidR="006C53CB" w:rsidRDefault="006C53CB" w:rsidP="00AD44EA">
      <w:pPr>
        <w:pStyle w:val="Normalsmall"/>
      </w:pPr>
      <w:r>
        <w:t xml:space="preserve">All material in this publication is licensed under a </w:t>
      </w:r>
      <w:hyperlink r:id="rId57" w:history="1">
        <w:r>
          <w:rPr>
            <w:rStyle w:val="Hyperlink"/>
          </w:rPr>
          <w:t>Creative Commons Attribution 4.0 International Licence</w:t>
        </w:r>
      </w:hyperlink>
      <w:r>
        <w:t xml:space="preserve"> except content supplied by third parties, logos and the Commonwealth Coat of Arms.</w:t>
      </w:r>
    </w:p>
    <w:p w14:paraId="44B686AC" w14:textId="77777777" w:rsidR="006C53CB" w:rsidRDefault="006C53CB" w:rsidP="00AD44EA">
      <w:pPr>
        <w:pStyle w:val="Normalsmall"/>
      </w:pPr>
      <w:r>
        <w:t xml:space="preserve">Inquiries about the licence and any use of this document should be emailed to </w:t>
      </w:r>
      <w:hyperlink r:id="rId58" w:history="1">
        <w:r w:rsidRPr="00CD29E9">
          <w:rPr>
            <w:rStyle w:val="Hyperlink"/>
          </w:rPr>
          <w:t>copyright@awe.gov.au</w:t>
        </w:r>
      </w:hyperlink>
      <w:r>
        <w:t>.</w:t>
      </w:r>
    </w:p>
    <w:p w14:paraId="29595571" w14:textId="77777777" w:rsidR="006C53CB" w:rsidRDefault="006C53CB" w:rsidP="00AD44EA">
      <w:pPr>
        <w:pStyle w:val="Normalsmall"/>
        <w:rPr>
          <w:rStyle w:val="Strong"/>
        </w:rPr>
      </w:pPr>
      <w:r>
        <w:rPr>
          <w:rStyle w:val="Strong"/>
        </w:rPr>
        <w:t>Cataloguing data</w:t>
      </w:r>
    </w:p>
    <w:p w14:paraId="632FAB89" w14:textId="77777777" w:rsidR="006C53CB" w:rsidRDefault="006C53CB" w:rsidP="00AD44EA">
      <w:pPr>
        <w:pStyle w:val="Normalsmall"/>
      </w:pPr>
      <w:r>
        <w:t xml:space="preserve">This publication (and any material sourced from it) should be attributed as: </w:t>
      </w:r>
      <w:r w:rsidRPr="00AD44EA">
        <w:t>Department of Agriculture, Water and the Environment</w:t>
      </w:r>
      <w:r w:rsidRPr="00E8094A">
        <w:t xml:space="preserve"> 202</w:t>
      </w:r>
      <w:r>
        <w:t>2</w:t>
      </w:r>
      <w:r w:rsidRPr="00E8094A">
        <w:t xml:space="preserve">, </w:t>
      </w:r>
      <w:r>
        <w:rPr>
          <w:i/>
        </w:rPr>
        <w:t xml:space="preserve">Conservation Advice for </w:t>
      </w:r>
      <w:r>
        <w:rPr>
          <w:i/>
          <w:iCs/>
        </w:rPr>
        <w:t>Bertya mollissima</w:t>
      </w:r>
      <w:r>
        <w:t xml:space="preserve">, Canberra. </w:t>
      </w:r>
      <w:r w:rsidRPr="00D431C8">
        <w:rPr>
          <w:noProof/>
          <w:lang w:eastAsia="en-AU"/>
        </w:rPr>
        <w:drawing>
          <wp:inline distT="0" distB="0" distL="0" distR="0" wp14:anchorId="4F25BA0E" wp14:editId="755F916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25166" cy="218731"/>
                    </a:xfrm>
                    <a:prstGeom prst="rect">
                      <a:avLst/>
                    </a:prstGeom>
                  </pic:spPr>
                </pic:pic>
              </a:graphicData>
            </a:graphic>
          </wp:inline>
        </w:drawing>
      </w:r>
    </w:p>
    <w:p w14:paraId="36D49EA8" w14:textId="77777777" w:rsidR="006C53CB" w:rsidRPr="00BA28D1" w:rsidRDefault="006C53CB" w:rsidP="00BA28D1">
      <w:pPr>
        <w:pStyle w:val="Instructiontext"/>
      </w:pPr>
    </w:p>
    <w:p w14:paraId="15D75E7D" w14:textId="77777777" w:rsidR="006C53CB" w:rsidRDefault="006C53CB" w:rsidP="00AD44EA">
      <w:pPr>
        <w:pStyle w:val="Normalsmall"/>
      </w:pPr>
      <w:r>
        <w:t xml:space="preserve">This publication is </w:t>
      </w:r>
      <w:r w:rsidRPr="00E20810">
        <w:t>available at</w:t>
      </w:r>
      <w:r>
        <w:t xml:space="preserve"> the </w:t>
      </w:r>
      <w:hyperlink r:id="rId59" w:history="1">
        <w:r w:rsidRPr="00BA28D1">
          <w:rPr>
            <w:rStyle w:val="Hyperlink"/>
          </w:rPr>
          <w:t xml:space="preserve">SPRAT profile for </w:t>
        </w:r>
        <w:r>
          <w:rPr>
            <w:rStyle w:val="Hyperlink"/>
            <w:i/>
            <w:iCs/>
          </w:rPr>
          <w:t>Bertya mollissima</w:t>
        </w:r>
        <w:r w:rsidRPr="00BA28D1">
          <w:rPr>
            <w:rStyle w:val="Hyperlink"/>
            <w:i/>
          </w:rPr>
          <w:t>.</w:t>
        </w:r>
      </w:hyperlink>
    </w:p>
    <w:p w14:paraId="02509185" w14:textId="77777777" w:rsidR="006C53CB" w:rsidRDefault="006C53CB" w:rsidP="00AD44EA">
      <w:pPr>
        <w:pStyle w:val="Normalsmall"/>
        <w:spacing w:after="0"/>
      </w:pPr>
      <w:r>
        <w:t>Department of Agriculture, Water and the Environment</w:t>
      </w:r>
    </w:p>
    <w:p w14:paraId="67EB3FF4" w14:textId="77777777" w:rsidR="006C53CB" w:rsidRDefault="006C53CB" w:rsidP="00AD44EA">
      <w:pPr>
        <w:pStyle w:val="Normalsmall"/>
        <w:spacing w:after="0"/>
      </w:pPr>
      <w:r>
        <w:t>GPO Box 858, Canberra ACT 2601</w:t>
      </w:r>
    </w:p>
    <w:p w14:paraId="47016D07" w14:textId="77777777" w:rsidR="006C53CB" w:rsidRDefault="006C53CB" w:rsidP="00AD44EA">
      <w:pPr>
        <w:pStyle w:val="Normalsmall"/>
        <w:spacing w:after="0"/>
      </w:pPr>
      <w:r>
        <w:t xml:space="preserve">Telephone </w:t>
      </w:r>
      <w:r w:rsidRPr="00773056">
        <w:t>1800 900 090</w:t>
      </w:r>
    </w:p>
    <w:p w14:paraId="1CC079EA" w14:textId="77777777" w:rsidR="006C53CB" w:rsidRDefault="006C53CB" w:rsidP="00AD44EA">
      <w:pPr>
        <w:pStyle w:val="Normalsmall"/>
      </w:pPr>
      <w:r w:rsidRPr="00E20810">
        <w:t xml:space="preserve">Web </w:t>
      </w:r>
      <w:hyperlink r:id="rId60" w:history="1">
        <w:r w:rsidRPr="00E20810">
          <w:rPr>
            <w:rStyle w:val="Hyperlink"/>
          </w:rPr>
          <w:t>awe.gov.au</w:t>
        </w:r>
      </w:hyperlink>
    </w:p>
    <w:p w14:paraId="1F11CDB7" w14:textId="77777777" w:rsidR="006C53CB" w:rsidRDefault="006C53CB" w:rsidP="00AD44EA">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90DB8CE" w14:textId="77777777" w:rsidR="006C53CB" w:rsidRPr="005D1735" w:rsidRDefault="006C53CB" w:rsidP="00AD44EA">
      <w:pPr>
        <w:pStyle w:val="Normalsmall"/>
        <w:rPr>
          <w:rStyle w:val="Strong"/>
        </w:rPr>
      </w:pPr>
      <w:r w:rsidRPr="005D1735">
        <w:rPr>
          <w:rStyle w:val="Strong"/>
        </w:rPr>
        <w:t>Acknowledgements</w:t>
      </w:r>
    </w:p>
    <w:p w14:paraId="6E7769B6" w14:textId="77777777" w:rsidR="006C53CB" w:rsidRPr="00B24814" w:rsidRDefault="006C53CB" w:rsidP="00571190">
      <w:r w:rsidRPr="00571190">
        <w:t>The Threatened Species Scientific Committee and the Department of Agriculture, Water and the Environment acknowledge the contributions of</w:t>
      </w:r>
      <w:r>
        <w:t xml:space="preserve"> the Royal Botanic Gardens and Domain Trust</w:t>
      </w:r>
      <w:r w:rsidRPr="00571190">
        <w:t xml:space="preserve"> in preparing this document.</w:t>
      </w:r>
    </w:p>
    <w:p w14:paraId="761F51C4" w14:textId="77777777" w:rsidR="006C53CB" w:rsidRPr="00AF6941" w:rsidRDefault="006C53CB" w:rsidP="005D173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6C53CB" w14:paraId="1809141D" w14:textId="77777777" w:rsidTr="005F3E72">
        <w:trPr>
          <w:cantSplit/>
          <w:tblHeader/>
        </w:trPr>
        <w:tc>
          <w:tcPr>
            <w:tcW w:w="3020" w:type="dxa"/>
            <w:tcBorders>
              <w:top w:val="single" w:sz="4" w:space="0" w:color="auto"/>
              <w:bottom w:val="single" w:sz="4" w:space="0" w:color="auto"/>
            </w:tcBorders>
          </w:tcPr>
          <w:p w14:paraId="2A90C6B6" w14:textId="77777777" w:rsidR="006C53CB" w:rsidRDefault="006C53CB" w:rsidP="009E30E5">
            <w:pPr>
              <w:pStyle w:val="TableHeading"/>
            </w:pPr>
            <w:r>
              <w:t>Document type</w:t>
            </w:r>
          </w:p>
        </w:tc>
        <w:tc>
          <w:tcPr>
            <w:tcW w:w="3020" w:type="dxa"/>
            <w:tcBorders>
              <w:top w:val="single" w:sz="4" w:space="0" w:color="auto"/>
              <w:bottom w:val="single" w:sz="4" w:space="0" w:color="auto"/>
            </w:tcBorders>
          </w:tcPr>
          <w:p w14:paraId="0F240D5C" w14:textId="77777777" w:rsidR="006C53CB" w:rsidRDefault="006C53CB" w:rsidP="009E30E5">
            <w:pPr>
              <w:pStyle w:val="TableHeading"/>
            </w:pPr>
            <w:r>
              <w:t>Title</w:t>
            </w:r>
          </w:p>
        </w:tc>
        <w:tc>
          <w:tcPr>
            <w:tcW w:w="3020" w:type="dxa"/>
            <w:tcBorders>
              <w:top w:val="single" w:sz="4" w:space="0" w:color="auto"/>
              <w:bottom w:val="single" w:sz="4" w:space="0" w:color="auto"/>
            </w:tcBorders>
          </w:tcPr>
          <w:p w14:paraId="752142B5" w14:textId="77777777" w:rsidR="006C53CB" w:rsidRDefault="006C53CB" w:rsidP="009E30E5">
            <w:pPr>
              <w:pStyle w:val="TableHeading"/>
            </w:pPr>
            <w:r>
              <w:t>Date [dd mm yyyy]</w:t>
            </w:r>
          </w:p>
        </w:tc>
      </w:tr>
      <w:tr w:rsidR="006C53CB" w14:paraId="189EC437" w14:textId="77777777" w:rsidTr="009E30E5">
        <w:tc>
          <w:tcPr>
            <w:tcW w:w="3020" w:type="dxa"/>
            <w:tcBorders>
              <w:top w:val="single" w:sz="4" w:space="0" w:color="auto"/>
            </w:tcBorders>
          </w:tcPr>
          <w:p w14:paraId="2F5567D7" w14:textId="77777777" w:rsidR="006C53CB" w:rsidRDefault="006C53CB" w:rsidP="009E30E5">
            <w:pPr>
              <w:pStyle w:val="TableText"/>
            </w:pPr>
            <w:r>
              <w:t>–</w:t>
            </w:r>
          </w:p>
        </w:tc>
        <w:tc>
          <w:tcPr>
            <w:tcW w:w="3020" w:type="dxa"/>
            <w:tcBorders>
              <w:top w:val="single" w:sz="4" w:space="0" w:color="auto"/>
            </w:tcBorders>
          </w:tcPr>
          <w:p w14:paraId="7A7D6BA2" w14:textId="77777777" w:rsidR="006C53CB" w:rsidRDefault="006C53CB" w:rsidP="009E30E5">
            <w:pPr>
              <w:pStyle w:val="TableText"/>
            </w:pPr>
            <w:r>
              <w:t>–</w:t>
            </w:r>
          </w:p>
        </w:tc>
        <w:tc>
          <w:tcPr>
            <w:tcW w:w="3020" w:type="dxa"/>
            <w:tcBorders>
              <w:top w:val="single" w:sz="4" w:space="0" w:color="auto"/>
            </w:tcBorders>
          </w:tcPr>
          <w:p w14:paraId="38971F76" w14:textId="77777777" w:rsidR="006C53CB" w:rsidRDefault="006C53CB" w:rsidP="009E30E5">
            <w:pPr>
              <w:pStyle w:val="TableText"/>
            </w:pPr>
            <w:r>
              <w:t>–</w:t>
            </w:r>
          </w:p>
        </w:tc>
      </w:tr>
      <w:tr w:rsidR="006C53CB" w14:paraId="503A4F91" w14:textId="77777777" w:rsidTr="009E30E5">
        <w:tc>
          <w:tcPr>
            <w:tcW w:w="3020" w:type="dxa"/>
          </w:tcPr>
          <w:p w14:paraId="1DDA3D5C" w14:textId="77777777" w:rsidR="006C53CB" w:rsidRDefault="006C53CB" w:rsidP="009E30E5">
            <w:pPr>
              <w:pStyle w:val="TableText"/>
            </w:pPr>
            <w:r>
              <w:t>–</w:t>
            </w:r>
          </w:p>
        </w:tc>
        <w:tc>
          <w:tcPr>
            <w:tcW w:w="3020" w:type="dxa"/>
          </w:tcPr>
          <w:p w14:paraId="5870C1EB" w14:textId="77777777" w:rsidR="006C53CB" w:rsidRDefault="006C53CB" w:rsidP="009E30E5">
            <w:pPr>
              <w:pStyle w:val="TableText"/>
            </w:pPr>
            <w:r>
              <w:t>–</w:t>
            </w:r>
          </w:p>
        </w:tc>
        <w:tc>
          <w:tcPr>
            <w:tcW w:w="3020" w:type="dxa"/>
          </w:tcPr>
          <w:p w14:paraId="78CC49DB" w14:textId="77777777" w:rsidR="006C53CB" w:rsidRDefault="006C53CB" w:rsidP="009E30E5">
            <w:pPr>
              <w:pStyle w:val="TableText"/>
            </w:pPr>
            <w:r>
              <w:t>–</w:t>
            </w:r>
          </w:p>
        </w:tc>
      </w:tr>
    </w:tbl>
    <w:p w14:paraId="680B5500" w14:textId="77777777" w:rsidR="006C53CB" w:rsidRPr="009E30E5" w:rsidRDefault="006C53CB" w:rsidP="009E30E5"/>
    <w:p w14:paraId="06B5655C" w14:textId="77777777" w:rsidR="006C53CB" w:rsidRPr="006C53CB" w:rsidRDefault="006C53CB" w:rsidP="006C53CB">
      <w:pPr>
        <w:autoSpaceDE w:val="0"/>
        <w:autoSpaceDN w:val="0"/>
        <w:adjustRightInd w:val="0"/>
        <w:ind w:left="369" w:hanging="369"/>
        <w:contextualSpacing/>
        <w:rPr>
          <w:rFonts w:ascii="Arial" w:hAnsi="Arial" w:cs="Arial"/>
          <w:color w:val="000000"/>
        </w:rPr>
      </w:pPr>
    </w:p>
    <w:p w14:paraId="7FEAE887" w14:textId="77777777" w:rsidR="006C53CB" w:rsidRPr="00EF53FF" w:rsidRDefault="006C53CB" w:rsidP="009779CB"/>
    <w:p w14:paraId="71E7742F" w14:textId="77777777" w:rsidR="006C53CB" w:rsidRPr="009779CB" w:rsidRDefault="006C53CB" w:rsidP="009779CB"/>
    <w:p w14:paraId="586C80A1" w14:textId="77777777" w:rsidR="00DA6F87" w:rsidRDefault="00DA6F87"/>
    <w:sectPr w:rsidR="00DA6F87" w:rsidSect="002353B8">
      <w:headerReference w:type="even" r:id="rId61"/>
      <w:headerReference w:type="default" r:id="rId62"/>
      <w:footerReference w:type="default" r:id="rId63"/>
      <w:headerReference w:type="first" r:id="rId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1312" w14:textId="77777777" w:rsidR="00560C19" w:rsidRDefault="00560C19" w:rsidP="002549CD">
      <w:pPr>
        <w:spacing w:after="0" w:line="240" w:lineRule="auto"/>
      </w:pPr>
      <w:r>
        <w:separator/>
      </w:r>
    </w:p>
  </w:endnote>
  <w:endnote w:type="continuationSeparator" w:id="0">
    <w:p w14:paraId="46A2898A" w14:textId="77777777" w:rsidR="00560C19" w:rsidRDefault="00560C19" w:rsidP="0025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7C6E" w14:textId="55C2D1C5" w:rsidR="00BF1C48" w:rsidRPr="00067476" w:rsidRDefault="00BF1C48" w:rsidP="00BF1C48">
    <w:pPr>
      <w:pStyle w:val="Footer"/>
      <w:jc w:val="center"/>
      <w:rPr>
        <w:rFonts w:ascii="Calibri" w:eastAsia="Calibri" w:hAnsi="Calibri" w:cs="Arial"/>
        <w:sz w:val="20"/>
        <w:szCs w:val="20"/>
      </w:rPr>
    </w:pPr>
    <w:r w:rsidRPr="00067476">
      <w:rPr>
        <w:rFonts w:ascii="Calibri" w:eastAsia="Calibri" w:hAnsi="Calibri" w:cs="Arial"/>
        <w:sz w:val="20"/>
        <w:szCs w:val="20"/>
      </w:rPr>
      <w:t>Department of Agriculture, Water and the Environment</w:t>
    </w:r>
  </w:p>
  <w:sdt>
    <w:sdtPr>
      <w:rPr>
        <w:rFonts w:ascii="Calibri" w:eastAsia="Calibri" w:hAnsi="Calibri" w:cs="Arial"/>
        <w:sz w:val="20"/>
        <w:szCs w:val="20"/>
      </w:rPr>
      <w:id w:val="1777218065"/>
      <w:docPartObj>
        <w:docPartGallery w:val="Page Numbers (Bottom of Page)"/>
        <w:docPartUnique/>
      </w:docPartObj>
    </w:sdtPr>
    <w:sdtEndPr/>
    <w:sdtContent>
      <w:p w14:paraId="6A224E3E" w14:textId="77777777" w:rsidR="00BF1C48" w:rsidRPr="00BF1C48" w:rsidRDefault="00BF1C48" w:rsidP="00BF1C48">
        <w:pPr>
          <w:framePr w:wrap="none" w:vAnchor="text" w:hAnchor="page" w:x="5868" w:y="108"/>
          <w:tabs>
            <w:tab w:val="center" w:pos="4536"/>
          </w:tabs>
          <w:spacing w:after="120" w:line="240" w:lineRule="auto"/>
          <w:rPr>
            <w:rFonts w:ascii="Calibri" w:eastAsia="Calibri" w:hAnsi="Calibri" w:cs="Arial"/>
            <w:sz w:val="20"/>
            <w:szCs w:val="20"/>
          </w:rPr>
        </w:pPr>
        <w:r w:rsidRPr="00BF1C48">
          <w:rPr>
            <w:rFonts w:ascii="Calibri" w:eastAsia="Calibri" w:hAnsi="Calibri" w:cs="Arial"/>
            <w:sz w:val="20"/>
            <w:szCs w:val="20"/>
          </w:rPr>
          <w:fldChar w:fldCharType="begin"/>
        </w:r>
        <w:r w:rsidRPr="00BF1C48">
          <w:rPr>
            <w:rFonts w:ascii="Calibri" w:eastAsia="Calibri" w:hAnsi="Calibri" w:cs="Arial"/>
            <w:sz w:val="20"/>
            <w:szCs w:val="20"/>
          </w:rPr>
          <w:instrText xml:space="preserve"> PAGE </w:instrText>
        </w:r>
        <w:r w:rsidRPr="00BF1C48">
          <w:rPr>
            <w:rFonts w:ascii="Calibri" w:eastAsia="Calibri" w:hAnsi="Calibri" w:cs="Arial"/>
            <w:sz w:val="20"/>
            <w:szCs w:val="20"/>
          </w:rPr>
          <w:fldChar w:fldCharType="separate"/>
        </w:r>
        <w:r w:rsidRPr="00BF1C48">
          <w:rPr>
            <w:rFonts w:ascii="Calibri" w:eastAsia="Calibri" w:hAnsi="Calibri" w:cs="Arial"/>
            <w:sz w:val="20"/>
            <w:szCs w:val="20"/>
          </w:rPr>
          <w:t>2</w:t>
        </w:r>
        <w:r w:rsidRPr="00BF1C48">
          <w:rPr>
            <w:rFonts w:ascii="Calibri" w:eastAsia="Calibri" w:hAnsi="Calibri" w:cs="Arial"/>
            <w:sz w:val="20"/>
            <w:szCs w:val="20"/>
          </w:rPr>
          <w:fldChar w:fldCharType="end"/>
        </w:r>
      </w:p>
    </w:sdtContent>
  </w:sdt>
  <w:p w14:paraId="198C23AF" w14:textId="6C9CC873" w:rsidR="006C53CB" w:rsidRPr="00067476" w:rsidRDefault="006C53CB" w:rsidP="00BF1C4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FB9" w14:textId="77777777" w:rsidR="00780D47" w:rsidRDefault="00780D47" w:rsidP="0044247F">
    <w:pPr>
      <w:pStyle w:val="Footer"/>
      <w:jc w:val="center"/>
      <w:rPr>
        <w:rFonts w:ascii="Calibri" w:eastAsia="Calibri" w:hAnsi="Calibri" w:cs="Arial"/>
        <w:sz w:val="20"/>
        <w:szCs w:val="20"/>
      </w:rPr>
    </w:pPr>
  </w:p>
  <w:p w14:paraId="6B89653D" w14:textId="42B10940" w:rsidR="0044247F" w:rsidRPr="00067476" w:rsidRDefault="0044247F" w:rsidP="0044247F">
    <w:pPr>
      <w:pStyle w:val="Footer"/>
      <w:jc w:val="center"/>
      <w:rPr>
        <w:rFonts w:ascii="Calibri" w:eastAsia="Calibri" w:hAnsi="Calibri" w:cs="Arial"/>
        <w:sz w:val="20"/>
        <w:szCs w:val="20"/>
      </w:rPr>
    </w:pPr>
    <w:r w:rsidRPr="00067476">
      <w:rPr>
        <w:rFonts w:ascii="Calibri" w:eastAsia="Calibri" w:hAnsi="Calibri" w:cs="Arial"/>
        <w:sz w:val="20"/>
        <w:szCs w:val="20"/>
      </w:rPr>
      <w:t>Department of Agriculture, Water and the Environment</w:t>
    </w:r>
  </w:p>
  <w:p w14:paraId="249E64AF" w14:textId="77777777" w:rsidR="0044247F" w:rsidRPr="0044247F" w:rsidRDefault="0044247F">
    <w:pPr>
      <w:pStyle w:val="Footer"/>
      <w:jc w:val="center"/>
      <w:rPr>
        <w:sz w:val="20"/>
        <w:szCs w:val="20"/>
      </w:rPr>
    </w:pPr>
  </w:p>
  <w:sdt>
    <w:sdtPr>
      <w:rPr>
        <w:sz w:val="20"/>
        <w:szCs w:val="20"/>
      </w:rPr>
      <w:id w:val="1251625662"/>
      <w:docPartObj>
        <w:docPartGallery w:val="Page Numbers (Bottom of Page)"/>
        <w:docPartUnique/>
      </w:docPartObj>
    </w:sdtPr>
    <w:sdtEndPr>
      <w:rPr>
        <w:noProof/>
      </w:rPr>
    </w:sdtEndPr>
    <w:sdtContent>
      <w:p w14:paraId="3171870A" w14:textId="35790F33" w:rsidR="000C3E96" w:rsidRPr="0044247F" w:rsidRDefault="0044247F" w:rsidP="0044247F">
        <w:pPr>
          <w:pStyle w:val="Footer"/>
          <w:jc w:val="center"/>
          <w:rPr>
            <w:sz w:val="20"/>
            <w:szCs w:val="20"/>
          </w:rPr>
        </w:pPr>
        <w:r w:rsidRPr="0044247F">
          <w:rPr>
            <w:sz w:val="20"/>
            <w:szCs w:val="20"/>
          </w:rPr>
          <w:fldChar w:fldCharType="begin"/>
        </w:r>
        <w:r w:rsidRPr="0044247F">
          <w:rPr>
            <w:sz w:val="20"/>
            <w:szCs w:val="20"/>
          </w:rPr>
          <w:instrText xml:space="preserve"> PAGE   \* MERGEFORMAT </w:instrText>
        </w:r>
        <w:r w:rsidRPr="0044247F">
          <w:rPr>
            <w:sz w:val="20"/>
            <w:szCs w:val="20"/>
          </w:rPr>
          <w:fldChar w:fldCharType="separate"/>
        </w:r>
        <w:r w:rsidRPr="0044247F">
          <w:rPr>
            <w:noProof/>
            <w:sz w:val="20"/>
            <w:szCs w:val="20"/>
          </w:rPr>
          <w:t>2</w:t>
        </w:r>
        <w:r w:rsidRPr="0044247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700C" w14:textId="20F84C59" w:rsidR="002353B8" w:rsidRPr="00067476" w:rsidRDefault="002353B8" w:rsidP="00BF1C48">
    <w:pPr>
      <w:pStyle w:val="Footer"/>
      <w:jc w:val="center"/>
      <w:rPr>
        <w:rFonts w:ascii="Calibri" w:eastAsia="Calibri" w:hAnsi="Calibri" w:cs="Arial"/>
        <w:sz w:val="20"/>
        <w:szCs w:val="20"/>
      </w:rPr>
    </w:pPr>
    <w:r>
      <w:rPr>
        <w:rFonts w:ascii="Calibri" w:eastAsia="Calibri" w:hAnsi="Calibri" w:cs="Arial"/>
        <w:sz w:val="20"/>
        <w:szCs w:val="20"/>
      </w:rPr>
      <w:t>Threatened Species Scientific Committee</w:t>
    </w:r>
  </w:p>
  <w:sdt>
    <w:sdtPr>
      <w:rPr>
        <w:rFonts w:ascii="Calibri" w:eastAsia="Calibri" w:hAnsi="Calibri" w:cs="Arial"/>
        <w:sz w:val="20"/>
        <w:szCs w:val="20"/>
      </w:rPr>
      <w:id w:val="1881658549"/>
      <w:docPartObj>
        <w:docPartGallery w:val="Page Numbers (Bottom of Page)"/>
        <w:docPartUnique/>
      </w:docPartObj>
    </w:sdtPr>
    <w:sdtEndPr/>
    <w:sdtContent>
      <w:p w14:paraId="5C3A5F0A" w14:textId="77777777" w:rsidR="002353B8" w:rsidRPr="00BF1C48" w:rsidRDefault="002353B8" w:rsidP="00BF1C48">
        <w:pPr>
          <w:framePr w:wrap="none" w:vAnchor="text" w:hAnchor="page" w:x="5868" w:y="108"/>
          <w:tabs>
            <w:tab w:val="center" w:pos="4536"/>
          </w:tabs>
          <w:spacing w:after="120" w:line="240" w:lineRule="auto"/>
          <w:rPr>
            <w:rFonts w:ascii="Calibri" w:eastAsia="Calibri" w:hAnsi="Calibri" w:cs="Arial"/>
            <w:sz w:val="20"/>
            <w:szCs w:val="20"/>
          </w:rPr>
        </w:pPr>
        <w:r w:rsidRPr="00BF1C48">
          <w:rPr>
            <w:rFonts w:ascii="Calibri" w:eastAsia="Calibri" w:hAnsi="Calibri" w:cs="Arial"/>
            <w:sz w:val="20"/>
            <w:szCs w:val="20"/>
          </w:rPr>
          <w:fldChar w:fldCharType="begin"/>
        </w:r>
        <w:r w:rsidRPr="00BF1C48">
          <w:rPr>
            <w:rFonts w:ascii="Calibri" w:eastAsia="Calibri" w:hAnsi="Calibri" w:cs="Arial"/>
            <w:sz w:val="20"/>
            <w:szCs w:val="20"/>
          </w:rPr>
          <w:instrText xml:space="preserve"> PAGE </w:instrText>
        </w:r>
        <w:r w:rsidRPr="00BF1C48">
          <w:rPr>
            <w:rFonts w:ascii="Calibri" w:eastAsia="Calibri" w:hAnsi="Calibri" w:cs="Arial"/>
            <w:sz w:val="20"/>
            <w:szCs w:val="20"/>
          </w:rPr>
          <w:fldChar w:fldCharType="separate"/>
        </w:r>
        <w:r w:rsidRPr="00BF1C48">
          <w:rPr>
            <w:rFonts w:ascii="Calibri" w:eastAsia="Calibri" w:hAnsi="Calibri" w:cs="Arial"/>
            <w:sz w:val="20"/>
            <w:szCs w:val="20"/>
          </w:rPr>
          <w:t>2</w:t>
        </w:r>
        <w:r w:rsidRPr="00BF1C48">
          <w:rPr>
            <w:rFonts w:ascii="Calibri" w:eastAsia="Calibri" w:hAnsi="Calibri" w:cs="Arial"/>
            <w:sz w:val="20"/>
            <w:szCs w:val="20"/>
          </w:rPr>
          <w:fldChar w:fldCharType="end"/>
        </w:r>
      </w:p>
    </w:sdtContent>
  </w:sdt>
  <w:p w14:paraId="465CE4F0" w14:textId="77777777" w:rsidR="002353B8" w:rsidRPr="00067476" w:rsidRDefault="002353B8" w:rsidP="00BF1C48">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7610" w14:textId="5007E3A8" w:rsidR="003D7210" w:rsidRPr="00067476" w:rsidRDefault="003D7210" w:rsidP="00BF1C48">
    <w:pPr>
      <w:pStyle w:val="Footer"/>
      <w:jc w:val="center"/>
      <w:rPr>
        <w:rFonts w:ascii="Calibri" w:eastAsia="Calibri" w:hAnsi="Calibri" w:cs="Arial"/>
        <w:sz w:val="20"/>
        <w:szCs w:val="20"/>
      </w:rPr>
    </w:pPr>
    <w:r>
      <w:rPr>
        <w:rFonts w:ascii="Calibri" w:eastAsia="Calibri" w:hAnsi="Calibri" w:cs="Arial"/>
        <w:sz w:val="20"/>
        <w:szCs w:val="20"/>
      </w:rPr>
      <w:t>Department of Agriculture, Water and the Environment</w:t>
    </w:r>
  </w:p>
  <w:sdt>
    <w:sdtPr>
      <w:rPr>
        <w:rFonts w:ascii="Calibri" w:eastAsia="Calibri" w:hAnsi="Calibri" w:cs="Arial"/>
        <w:sz w:val="20"/>
        <w:szCs w:val="20"/>
      </w:rPr>
      <w:id w:val="-741719170"/>
      <w:docPartObj>
        <w:docPartGallery w:val="Page Numbers (Bottom of Page)"/>
        <w:docPartUnique/>
      </w:docPartObj>
    </w:sdtPr>
    <w:sdtEndPr/>
    <w:sdtContent>
      <w:p w14:paraId="5E6823CB" w14:textId="77777777" w:rsidR="003D7210" w:rsidRPr="00BF1C48" w:rsidRDefault="003D7210" w:rsidP="00BF1C48">
        <w:pPr>
          <w:framePr w:wrap="none" w:vAnchor="text" w:hAnchor="page" w:x="5868" w:y="108"/>
          <w:tabs>
            <w:tab w:val="center" w:pos="4536"/>
          </w:tabs>
          <w:spacing w:after="120" w:line="240" w:lineRule="auto"/>
          <w:rPr>
            <w:rFonts w:ascii="Calibri" w:eastAsia="Calibri" w:hAnsi="Calibri" w:cs="Arial"/>
            <w:sz w:val="20"/>
            <w:szCs w:val="20"/>
          </w:rPr>
        </w:pPr>
        <w:r w:rsidRPr="00BF1C48">
          <w:rPr>
            <w:rFonts w:ascii="Calibri" w:eastAsia="Calibri" w:hAnsi="Calibri" w:cs="Arial"/>
            <w:sz w:val="20"/>
            <w:szCs w:val="20"/>
          </w:rPr>
          <w:fldChar w:fldCharType="begin"/>
        </w:r>
        <w:r w:rsidRPr="00BF1C48">
          <w:rPr>
            <w:rFonts w:ascii="Calibri" w:eastAsia="Calibri" w:hAnsi="Calibri" w:cs="Arial"/>
            <w:sz w:val="20"/>
            <w:szCs w:val="20"/>
          </w:rPr>
          <w:instrText xml:space="preserve"> PAGE </w:instrText>
        </w:r>
        <w:r w:rsidRPr="00BF1C48">
          <w:rPr>
            <w:rFonts w:ascii="Calibri" w:eastAsia="Calibri" w:hAnsi="Calibri" w:cs="Arial"/>
            <w:sz w:val="20"/>
            <w:szCs w:val="20"/>
          </w:rPr>
          <w:fldChar w:fldCharType="separate"/>
        </w:r>
        <w:r w:rsidRPr="00BF1C48">
          <w:rPr>
            <w:rFonts w:ascii="Calibri" w:eastAsia="Calibri" w:hAnsi="Calibri" w:cs="Arial"/>
            <w:sz w:val="20"/>
            <w:szCs w:val="20"/>
          </w:rPr>
          <w:t>2</w:t>
        </w:r>
        <w:r w:rsidRPr="00BF1C48">
          <w:rPr>
            <w:rFonts w:ascii="Calibri" w:eastAsia="Calibri" w:hAnsi="Calibri" w:cs="Arial"/>
            <w:sz w:val="20"/>
            <w:szCs w:val="20"/>
          </w:rPr>
          <w:fldChar w:fldCharType="end"/>
        </w:r>
      </w:p>
    </w:sdtContent>
  </w:sdt>
  <w:p w14:paraId="5C3216BC" w14:textId="77777777" w:rsidR="003D7210" w:rsidRPr="00067476" w:rsidRDefault="003D7210" w:rsidP="00BF1C4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762A" w14:textId="77777777" w:rsidR="00560C19" w:rsidRDefault="00560C19" w:rsidP="002549CD">
      <w:pPr>
        <w:spacing w:after="0" w:line="240" w:lineRule="auto"/>
      </w:pPr>
      <w:r>
        <w:separator/>
      </w:r>
    </w:p>
  </w:footnote>
  <w:footnote w:type="continuationSeparator" w:id="0">
    <w:p w14:paraId="4DCE91F8" w14:textId="77777777" w:rsidR="00560C19" w:rsidRDefault="00560C19" w:rsidP="0025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1828" w14:textId="33924295" w:rsidR="002549CD" w:rsidRPr="00A270E3" w:rsidRDefault="00560C19" w:rsidP="006B7C10">
    <w:pPr>
      <w:pStyle w:val="Header"/>
      <w:jc w:val="center"/>
      <w:rPr>
        <w:sz w:val="20"/>
        <w:szCs w:val="20"/>
      </w:rPr>
    </w:pPr>
    <w:r>
      <w:rPr>
        <w:i/>
        <w:iCs/>
        <w:noProof/>
        <w:sz w:val="20"/>
        <w:szCs w:val="20"/>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55.45pt;margin-top:280.3pt;width:412.4pt;height:247.45pt;rotation:315;z-index:-251654144;mso-position-horizontal-relative:margin;mso-position-vertical-relative:margin" o:allowincell="f" fillcolor="silver" stroked="f">
          <v:fill opacity=".5"/>
          <v:textpath style="font-family:&quot;Calibri&quot;;font-size:1pt" string="DRAFT"/>
          <w10:wrap anchorx="margin" anchory="margin"/>
        </v:shape>
      </w:pict>
    </w:r>
    <w:r w:rsidR="006B7C10" w:rsidRPr="00A270E3">
      <w:rPr>
        <w:i/>
        <w:iCs/>
        <w:noProof/>
        <w:sz w:val="20"/>
        <w:szCs w:val="20"/>
      </w:rPr>
      <w:t>Bertya</w:t>
    </w:r>
    <w:r w:rsidR="000C3E96" w:rsidRPr="00A270E3">
      <w:rPr>
        <w:i/>
        <w:iCs/>
        <w:noProof/>
        <w:sz w:val="20"/>
        <w:szCs w:val="20"/>
      </w:rPr>
      <w:t xml:space="preserve"> mollissima</w:t>
    </w:r>
    <w:r w:rsidR="000C3E96" w:rsidRPr="00A270E3">
      <w:rPr>
        <w:noProof/>
        <w:sz w:val="20"/>
        <w:szCs w:val="20"/>
      </w:rPr>
      <w:t xml:space="preserve"> Conservation Advice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F79F" w14:textId="2F6918E0" w:rsidR="00024033" w:rsidRPr="00024033" w:rsidRDefault="00024033" w:rsidP="002353B8">
    <w:pPr>
      <w:tabs>
        <w:tab w:val="center" w:pos="4820"/>
      </w:tabs>
      <w:spacing w:line="240" w:lineRule="auto"/>
      <w:jc w:val="center"/>
      <w:rPr>
        <w:rFonts w:ascii="Calibri" w:eastAsia="Calibri" w:hAnsi="Calibri" w:cs="Arial"/>
        <w:sz w:val="28"/>
        <w:szCs w:val="28"/>
        <w14:shadow w14:blurRad="50800" w14:dist="38100" w14:dir="2700000" w14:sx="100000" w14:sy="100000" w14:kx="0" w14:ky="0" w14:algn="tl">
          <w14:srgbClr w14:val="000000">
            <w14:alpha w14:val="60000"/>
          </w14:srgbClr>
        </w14:shadow>
      </w:rPr>
    </w:pPr>
    <w:r w:rsidRPr="00024033">
      <w:rPr>
        <w:rFonts w:ascii="Calibri" w:eastAsia="Calibri" w:hAnsi="Calibri" w:cs="Arial"/>
        <w:sz w:val="28"/>
        <w:szCs w:val="28"/>
        <w:lang w:val="en-US"/>
        <w14:shadow w14:blurRad="50800" w14:dist="38100" w14:dir="2700000" w14:sx="100000" w14:sy="100000" w14:kx="0" w14:ky="0" w14:algn="tl">
          <w14:srgbClr w14:val="000000">
            <w14:alpha w14:val="60000"/>
          </w14:srgbClr>
        </w14:shadow>
      </w:rPr>
      <w:t>THREATENED SPECIES SCIENTIFIC COMMITTEE</w:t>
    </w:r>
  </w:p>
  <w:p w14:paraId="77E46347" w14:textId="77777777" w:rsidR="00024033" w:rsidRPr="00024033" w:rsidRDefault="00024033" w:rsidP="002353B8">
    <w:pPr>
      <w:pBdr>
        <w:bottom w:val="single" w:sz="6" w:space="1" w:color="auto"/>
      </w:pBdr>
      <w:tabs>
        <w:tab w:val="center" w:pos="4820"/>
      </w:tabs>
      <w:spacing w:line="240" w:lineRule="auto"/>
      <w:jc w:val="center"/>
      <w:rPr>
        <w:rFonts w:eastAsia="Calibri" w:cs="Arial"/>
        <w:b/>
        <w:bCs/>
        <w:i/>
        <w:iCs/>
        <w:sz w:val="20"/>
      </w:rPr>
    </w:pPr>
    <w:r w:rsidRPr="00024033">
      <w:rPr>
        <w:rFonts w:eastAsia="Calibri" w:cs="Arial"/>
        <w:b/>
        <w:bCs/>
        <w:sz w:val="20"/>
      </w:rPr>
      <w:t xml:space="preserve">Established under the </w:t>
    </w:r>
    <w:r w:rsidRPr="00024033">
      <w:rPr>
        <w:rFonts w:eastAsia="Calibri" w:cs="Arial"/>
        <w:b/>
        <w:bCs/>
        <w:i/>
        <w:iCs/>
        <w:sz w:val="20"/>
      </w:rPr>
      <w:t>Environment Protection and Biodiversity Conservation Act 1999</w:t>
    </w:r>
  </w:p>
  <w:p w14:paraId="4AC375E1" w14:textId="152497D7" w:rsidR="002B7DAB" w:rsidRDefault="00024033" w:rsidP="002353B8">
    <w:pPr>
      <w:pStyle w:val="Header"/>
      <w:jc w:val="center"/>
      <w:rPr>
        <w:sz w:val="20"/>
        <w:szCs w:val="20"/>
      </w:rPr>
    </w:pPr>
    <w:r w:rsidRPr="00024033">
      <w:rPr>
        <w:rFonts w:eastAsia="Calibri" w:cs="Arial"/>
      </w:rPr>
      <w:t xml:space="preserve">The Threatened Species Scientific Committee finalised this assessment on </w:t>
    </w:r>
    <w:r w:rsidRPr="00024033">
      <w:rPr>
        <w:rFonts w:eastAsia="Calibri" w:cs="Arial"/>
        <w:highlight w:val="yellow"/>
      </w:rPr>
      <w:t>DD Month Year</w:t>
    </w:r>
    <w:r w:rsidRPr="00024033">
      <w:rPr>
        <w:rFonts w:eastAsia="Calibri" w:cs="Arial"/>
      </w:rPr>
      <w:t>.</w:t>
    </w:r>
  </w:p>
  <w:p w14:paraId="478E2862" w14:textId="37E1BD5E" w:rsidR="002B7DAB" w:rsidRPr="00A270E3" w:rsidRDefault="00560C19" w:rsidP="00F4613A">
    <w:pPr>
      <w:pStyle w:val="Header"/>
      <w:rPr>
        <w:sz w:val="20"/>
        <w:szCs w:val="20"/>
      </w:rPr>
    </w:pPr>
    <w:r>
      <w:rPr>
        <w:rFonts w:eastAsia="Calibri" w:cs="Arial"/>
        <w:noProof/>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8" type="#_x0000_t136" style="position:absolute;margin-left:79.45pt;margin-top:263.15pt;width:412.4pt;height:247.45pt;rotation:315;z-index:-251652096;mso-position-horizontal-relative:margin;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72F" w14:textId="77777777" w:rsidR="00996B51" w:rsidRDefault="00996B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7CB" w14:textId="77777777" w:rsidR="00996B51" w:rsidRDefault="00996B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9D43" w14:textId="6A2A83B5" w:rsidR="002353B8" w:rsidRPr="004606FB" w:rsidRDefault="00560C19" w:rsidP="004606FB">
    <w:pPr>
      <w:pStyle w:val="Header"/>
      <w:jc w:val="center"/>
      <w:rPr>
        <w:sz w:val="20"/>
        <w:szCs w:val="20"/>
      </w:rPr>
    </w:pPr>
    <w:r>
      <w:rPr>
        <w:i/>
        <w:iCs/>
        <w:noProof/>
        <w:sz w:val="20"/>
        <w:szCs w:val="20"/>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91.45pt;margin-top:316.3pt;width:412.4pt;height:247.45pt;rotation:315;z-index:-251651072;mso-position-horizontal-relative:margin;mso-position-vertical-relative:margin" o:allowincell="f" fillcolor="silver" stroked="f">
          <v:fill opacity=".5"/>
          <v:textpath style="font-family:&quot;Calibri&quot;;font-size:1pt" string="DRAFT"/>
          <w10:wrap anchorx="margin" anchory="margin"/>
        </v:shape>
      </w:pict>
    </w:r>
    <w:r w:rsidR="004606FB">
      <w:rPr>
        <w:i/>
        <w:iCs/>
        <w:sz w:val="20"/>
        <w:szCs w:val="20"/>
      </w:rPr>
      <w:t xml:space="preserve">Bertya mollissima </w:t>
    </w:r>
    <w:r w:rsidR="004606FB">
      <w:rPr>
        <w:sz w:val="20"/>
        <w:szCs w:val="20"/>
      </w:rPr>
      <w:t>Conservation Advice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7BDA" w14:textId="77777777" w:rsidR="00996B51" w:rsidRDefault="00996B5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8596" w14:textId="77777777" w:rsidR="00996B51" w:rsidRDefault="00996B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261" w14:textId="65DCBB05" w:rsidR="00996B51" w:rsidRPr="006A6138" w:rsidRDefault="006A6138" w:rsidP="006A6138">
    <w:pPr>
      <w:pStyle w:val="Header"/>
      <w:jc w:val="center"/>
      <w:rPr>
        <w:sz w:val="20"/>
        <w:szCs w:val="20"/>
      </w:rPr>
    </w:pPr>
    <w:r>
      <w:rPr>
        <w:i/>
        <w:iCs/>
        <w:sz w:val="20"/>
        <w:szCs w:val="20"/>
      </w:rPr>
      <w:t xml:space="preserve">Bertya mollissima </w:t>
    </w:r>
    <w:r>
      <w:rPr>
        <w:sz w:val="20"/>
        <w:szCs w:val="20"/>
      </w:rPr>
      <w:t>Conservation Advice</w:t>
    </w:r>
    <w:r w:rsidR="00560C19">
      <w:rPr>
        <w:noProof/>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103.45pt;margin-top:328.3pt;width:412.4pt;height:247.45pt;rotation:315;z-index:-251650048;mso-position-horizontal-relative:margin;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5C13" w14:textId="77777777" w:rsidR="00996B51" w:rsidRDefault="0099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F051" w14:textId="5B583272" w:rsidR="00101967" w:rsidRDefault="00D76B23">
    <w:pPr>
      <w:pStyle w:val="Header"/>
    </w:pPr>
    <w:r>
      <w:rPr>
        <w:noProof/>
        <w:lang w:eastAsia="en-AU"/>
      </w:rPr>
      <w:drawing>
        <wp:inline distT="0" distB="0" distL="0" distR="0" wp14:anchorId="41DE6571" wp14:editId="0BE68236">
          <wp:extent cx="2417064" cy="725424"/>
          <wp:effectExtent l="0" t="0" r="254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32B6ED9A" w14:textId="61941FFF" w:rsidR="001703BB" w:rsidRDefault="00560C19">
    <w:pPr>
      <w:pStyle w:val="Header"/>
    </w:pPr>
    <w:r>
      <w:rPr>
        <w:noProof/>
        <w:lang w:eastAsia="en-AU"/>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67.45pt;margin-top:258.9pt;width:412.4pt;height:247.45pt;rotation:315;z-index:-251653120;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1FA8" w14:textId="77777777" w:rsidR="00996B51" w:rsidRDefault="00996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B9BB" w14:textId="703B4621" w:rsidR="00F4613A" w:rsidRDefault="00F4613A" w:rsidP="00F4613A">
    <w:pPr>
      <w:pStyle w:val="Header"/>
      <w:rPr>
        <w:sz w:val="20"/>
        <w:szCs w:val="20"/>
      </w:rPr>
    </w:pPr>
    <w:r>
      <w:rPr>
        <w:noProof/>
        <w:lang w:eastAsia="en-AU"/>
      </w:rPr>
      <w:drawing>
        <wp:inline distT="0" distB="0" distL="0" distR="0" wp14:anchorId="0B8E5D38" wp14:editId="6F9AD760">
          <wp:extent cx="2417064" cy="725424"/>
          <wp:effectExtent l="0" t="0" r="254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7E5057A5" w14:textId="2CFE51BB" w:rsidR="00F4613A" w:rsidRPr="00A270E3" w:rsidRDefault="00560C19" w:rsidP="00F4613A">
    <w:pPr>
      <w:pStyle w:val="Header"/>
      <w:rPr>
        <w:sz w:val="20"/>
        <w:szCs w:val="20"/>
      </w:rPr>
    </w:pPr>
    <w:r>
      <w:rPr>
        <w:noProof/>
        <w:lang w:eastAsia="en-AU"/>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43.45pt;margin-top:236.1pt;width:412.4pt;height:247.45pt;rotation:315;z-index:-251655168;mso-position-horizontal-relative:margin;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8A43" w14:textId="77777777" w:rsidR="00996B51" w:rsidRDefault="00996B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6043" w14:textId="77777777" w:rsidR="00996B51" w:rsidRDefault="00996B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247E" w14:textId="1BF091DF" w:rsidR="002B7DAB" w:rsidRPr="00780D47" w:rsidRDefault="00560C19" w:rsidP="002B7DAB">
    <w:pPr>
      <w:pStyle w:val="Header"/>
      <w:jc w:val="center"/>
      <w:rPr>
        <w:sz w:val="20"/>
        <w:szCs w:val="20"/>
      </w:rPr>
    </w:pPr>
    <w:sdt>
      <w:sdtPr>
        <w:rPr>
          <w:i/>
          <w:iCs/>
          <w:noProof/>
          <w:sz w:val="20"/>
          <w:szCs w:val="20"/>
        </w:rPr>
        <w:id w:val="-298837301"/>
        <w:docPartObj>
          <w:docPartGallery w:val="Watermarks"/>
          <w:docPartUnique/>
        </w:docPartObj>
      </w:sdtPr>
      <w:sdtEndPr/>
      <w:sdtContent>
        <w:r>
          <w:rPr>
            <w:i/>
            <w:iCs/>
            <w:noProof/>
            <w:sz w:val="20"/>
            <w:szCs w:val="20"/>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7DAB" w:rsidRPr="00A270E3">
      <w:rPr>
        <w:i/>
        <w:iCs/>
        <w:noProof/>
        <w:sz w:val="20"/>
        <w:szCs w:val="20"/>
      </w:rPr>
      <w:t>Bertya mollissima</w:t>
    </w:r>
    <w:r w:rsidR="002B7DAB" w:rsidRPr="00A270E3">
      <w:rPr>
        <w:noProof/>
        <w:sz w:val="20"/>
        <w:szCs w:val="20"/>
      </w:rPr>
      <w:t xml:space="preserve"> Conservation Advice</w:t>
    </w:r>
  </w:p>
  <w:p w14:paraId="312F3270" w14:textId="5CE58CF7" w:rsidR="002B7DAB" w:rsidRDefault="002B7DAB" w:rsidP="00F4613A">
    <w:pPr>
      <w:pStyle w:val="Header"/>
      <w:rPr>
        <w:sz w:val="20"/>
        <w:szCs w:val="20"/>
      </w:rPr>
    </w:pPr>
  </w:p>
  <w:p w14:paraId="7AAECA93" w14:textId="77777777" w:rsidR="002B7DAB" w:rsidRPr="00A270E3" w:rsidRDefault="002B7DAB" w:rsidP="00F4613A">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9CE2" w14:textId="7FC2A964" w:rsidR="00780D47" w:rsidRPr="00780D47" w:rsidRDefault="00560C19" w:rsidP="00780D47">
    <w:pPr>
      <w:pStyle w:val="Header"/>
      <w:jc w:val="center"/>
      <w:rPr>
        <w:sz w:val="20"/>
        <w:szCs w:val="20"/>
      </w:rPr>
    </w:pPr>
    <w:r>
      <w:rPr>
        <w:i/>
        <w:iCs/>
        <w:noProof/>
        <w:sz w:val="20"/>
        <w:szCs w:val="20"/>
      </w:rPr>
      <w:pict w14:anchorId="24C5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31.45pt;margin-top:256.3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780D47" w:rsidRPr="00A270E3">
      <w:rPr>
        <w:i/>
        <w:iCs/>
        <w:noProof/>
        <w:sz w:val="20"/>
        <w:szCs w:val="20"/>
      </w:rPr>
      <w:t>Bertya mollissima</w:t>
    </w:r>
    <w:r w:rsidR="00780D47" w:rsidRPr="00A270E3">
      <w:rPr>
        <w:noProof/>
        <w:sz w:val="20"/>
        <w:szCs w:val="20"/>
      </w:rPr>
      <w:t xml:space="preserve"> Conservation Advice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FC6C" w14:textId="77777777" w:rsidR="00996B51" w:rsidRDefault="0099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44F258"/>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23961"/>
    <w:multiLevelType w:val="hybridMultilevel"/>
    <w:tmpl w:val="F0CC5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414F4729"/>
    <w:multiLevelType w:val="multilevel"/>
    <w:tmpl w:val="23887CA2"/>
    <w:numStyleLink w:val="List1"/>
  </w:abstractNum>
  <w:abstractNum w:abstractNumId="22" w15:restartNumberingAfterBreak="0">
    <w:nsid w:val="486800B4"/>
    <w:multiLevelType w:val="multilevel"/>
    <w:tmpl w:val="23887CA2"/>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3934B7"/>
    <w:multiLevelType w:val="multilevel"/>
    <w:tmpl w:val="23887CA2"/>
    <w:numStyleLink w:val="List1"/>
  </w:abstractNum>
  <w:num w:numId="1">
    <w:abstractNumId w:val="17"/>
  </w:num>
  <w:num w:numId="2">
    <w:abstractNumId w:va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23"/>
  </w:num>
  <w:num w:numId="7">
    <w:abstractNumId w:val="12"/>
  </w:num>
  <w:num w:numId="8">
    <w:abstractNumId w:val="28"/>
  </w:num>
  <w:num w:numId="9">
    <w:abstractNumId w:val="29"/>
  </w:num>
  <w:num w:numId="10">
    <w:abstractNumId w:val="9"/>
  </w:num>
  <w:num w:numId="11">
    <w:abstractNumId w:val="15"/>
  </w:num>
  <w:num w:numId="12">
    <w:abstractNumId w:val="20"/>
  </w:num>
  <w:num w:numId="13">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3"/>
  </w:num>
  <w:num w:numId="17">
    <w:abstractNumId w:val="2"/>
  </w:num>
  <w:num w:numId="18">
    <w:abstractNumId w:val="13"/>
  </w:num>
  <w:num w:numId="19">
    <w:abstractNumId w:val="2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
  </w:num>
  <w:num w:numId="23">
    <w:abstractNumId w:val="0"/>
  </w:num>
  <w:num w:numId="24">
    <w:abstractNumId w:val="16"/>
  </w:num>
  <w:num w:numId="25">
    <w:abstractNumId w:val="24"/>
  </w:num>
  <w:num w:numId="26">
    <w:abstractNumId w:val="31"/>
  </w:num>
  <w:num w:numId="27">
    <w:abstractNumId w:val="14"/>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27"/>
  </w:num>
  <w:num w:numId="33">
    <w:abstractNumId w:val="10"/>
  </w:num>
  <w:num w:numId="34">
    <w:abstractNumId w:val="5"/>
  </w:num>
  <w:num w:numId="35">
    <w:abstractNumId w:val="32"/>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0C"/>
    <w:rsid w:val="00024033"/>
    <w:rsid w:val="00067476"/>
    <w:rsid w:val="000C3E96"/>
    <w:rsid w:val="00101967"/>
    <w:rsid w:val="00156154"/>
    <w:rsid w:val="001703BB"/>
    <w:rsid w:val="001C0000"/>
    <w:rsid w:val="001F76CA"/>
    <w:rsid w:val="002353B8"/>
    <w:rsid w:val="002438EB"/>
    <w:rsid w:val="002549CD"/>
    <w:rsid w:val="002B7DAB"/>
    <w:rsid w:val="003D7210"/>
    <w:rsid w:val="003E4E89"/>
    <w:rsid w:val="0044247F"/>
    <w:rsid w:val="004606FB"/>
    <w:rsid w:val="00484FDD"/>
    <w:rsid w:val="00500090"/>
    <w:rsid w:val="005351B0"/>
    <w:rsid w:val="00560C19"/>
    <w:rsid w:val="005F06C4"/>
    <w:rsid w:val="006A6138"/>
    <w:rsid w:val="006B3FEB"/>
    <w:rsid w:val="006B7C10"/>
    <w:rsid w:val="006C1B8C"/>
    <w:rsid w:val="006C53CB"/>
    <w:rsid w:val="00703A3C"/>
    <w:rsid w:val="007548D8"/>
    <w:rsid w:val="00780D47"/>
    <w:rsid w:val="00961FFA"/>
    <w:rsid w:val="00996B51"/>
    <w:rsid w:val="00A270E3"/>
    <w:rsid w:val="00A56393"/>
    <w:rsid w:val="00A82C60"/>
    <w:rsid w:val="00BF1C48"/>
    <w:rsid w:val="00C14FC6"/>
    <w:rsid w:val="00C529F7"/>
    <w:rsid w:val="00CA02B8"/>
    <w:rsid w:val="00D42DD2"/>
    <w:rsid w:val="00D53A20"/>
    <w:rsid w:val="00D5630C"/>
    <w:rsid w:val="00D62628"/>
    <w:rsid w:val="00D76B23"/>
    <w:rsid w:val="00DA4623"/>
    <w:rsid w:val="00DA6F87"/>
    <w:rsid w:val="00E079EE"/>
    <w:rsid w:val="00F4613A"/>
    <w:rsid w:val="00F470F8"/>
    <w:rsid w:val="00FA23C6"/>
    <w:rsid w:val="00FF4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94F84"/>
  <w15:chartTrackingRefBased/>
  <w15:docId w15:val="{91B2B58A-D4B7-4FA8-A873-87E3BE9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0C"/>
    <w:pPr>
      <w:spacing w:after="200" w:line="276" w:lineRule="auto"/>
    </w:pPr>
    <w:rPr>
      <w:rFonts w:ascii="Cambria" w:hAnsi="Cambria"/>
    </w:rPr>
  </w:style>
  <w:style w:type="paragraph" w:styleId="Heading1">
    <w:name w:val="heading 1"/>
    <w:next w:val="Normal"/>
    <w:link w:val="Heading1Char"/>
    <w:uiPriority w:val="1"/>
    <w:qFormat/>
    <w:rsid w:val="006C53CB"/>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6C53CB"/>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6C53CB"/>
    <w:pPr>
      <w:keepNext/>
      <w:keepLines/>
      <w:spacing w:before="120" w:after="12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6C53CB"/>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6C53CB"/>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unhideWhenUsed/>
    <w:rsid w:val="002549CD"/>
    <w:pPr>
      <w:tabs>
        <w:tab w:val="center" w:pos="4513"/>
        <w:tab w:val="right" w:pos="9026"/>
      </w:tabs>
      <w:spacing w:after="0" w:line="240" w:lineRule="auto"/>
    </w:pPr>
  </w:style>
  <w:style w:type="character" w:customStyle="1" w:styleId="HeaderChar">
    <w:name w:val="Header Char"/>
    <w:basedOn w:val="DefaultParagraphFont"/>
    <w:link w:val="Header"/>
    <w:uiPriority w:val="26"/>
    <w:rsid w:val="002549CD"/>
    <w:rPr>
      <w:rFonts w:ascii="Cambria" w:hAnsi="Cambria"/>
    </w:rPr>
  </w:style>
  <w:style w:type="paragraph" w:styleId="Footer">
    <w:name w:val="footer"/>
    <w:basedOn w:val="Normal"/>
    <w:link w:val="FooterChar"/>
    <w:uiPriority w:val="99"/>
    <w:unhideWhenUsed/>
    <w:rsid w:val="00254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CD"/>
    <w:rPr>
      <w:rFonts w:ascii="Cambria" w:hAnsi="Cambria"/>
    </w:rPr>
  </w:style>
  <w:style w:type="paragraph" w:styleId="ListParagraph">
    <w:name w:val="List Paragraph"/>
    <w:basedOn w:val="Normal"/>
    <w:uiPriority w:val="99"/>
    <w:qFormat/>
    <w:rsid w:val="006C53CB"/>
    <w:pPr>
      <w:numPr>
        <w:numId w:val="1"/>
      </w:numPr>
      <w:spacing w:after="0" w:line="240" w:lineRule="auto"/>
    </w:pPr>
    <w:rPr>
      <w:rFonts w:ascii="Times New Roman" w:eastAsia="Times New Roman" w:hAnsi="Times New Roman" w:cs="Times New Roman"/>
      <w:sz w:val="20"/>
      <w:szCs w:val="20"/>
    </w:rPr>
  </w:style>
  <w:style w:type="paragraph" w:customStyle="1" w:styleId="TSSC">
    <w:name w:val="TSSC"/>
    <w:basedOn w:val="Normal"/>
    <w:qFormat/>
    <w:rsid w:val="006C53CB"/>
    <w:pPr>
      <w:numPr>
        <w:numId w:val="2"/>
      </w:numPr>
      <w:tabs>
        <w:tab w:val="left" w:pos="567"/>
      </w:tabs>
      <w:spacing w:after="240" w:line="240" w:lineRule="auto"/>
      <w:ind w:left="567" w:hanging="567"/>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6C53CB"/>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6C53CB"/>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6C53CB"/>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6C53CB"/>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6C53CB"/>
    <w:rPr>
      <w:rFonts w:ascii="Calibri" w:hAnsi="Calibri"/>
      <w:b/>
    </w:rPr>
  </w:style>
  <w:style w:type="paragraph" w:styleId="CommentText">
    <w:name w:val="annotation text"/>
    <w:basedOn w:val="Normal"/>
    <w:link w:val="CommentTextChar"/>
    <w:uiPriority w:val="99"/>
    <w:unhideWhenUsed/>
    <w:rsid w:val="006C53CB"/>
    <w:rPr>
      <w:sz w:val="20"/>
      <w:szCs w:val="20"/>
    </w:rPr>
  </w:style>
  <w:style w:type="character" w:customStyle="1" w:styleId="CommentTextChar">
    <w:name w:val="Comment Text Char"/>
    <w:basedOn w:val="DefaultParagraphFont"/>
    <w:link w:val="CommentText"/>
    <w:uiPriority w:val="99"/>
    <w:rsid w:val="006C53CB"/>
    <w:rPr>
      <w:rFonts w:ascii="Cambria" w:hAnsi="Cambria"/>
      <w:sz w:val="20"/>
      <w:szCs w:val="20"/>
    </w:rPr>
  </w:style>
  <w:style w:type="character" w:styleId="CommentReference">
    <w:name w:val="annotation reference"/>
    <w:basedOn w:val="DefaultParagraphFont"/>
    <w:uiPriority w:val="99"/>
    <w:semiHidden/>
    <w:unhideWhenUsed/>
    <w:rsid w:val="006C53CB"/>
    <w:rPr>
      <w:sz w:val="16"/>
      <w:szCs w:val="16"/>
    </w:rPr>
  </w:style>
  <w:style w:type="paragraph" w:styleId="CommentSubject">
    <w:name w:val="annotation subject"/>
    <w:basedOn w:val="CommentText"/>
    <w:next w:val="CommentText"/>
    <w:link w:val="CommentSubjectChar"/>
    <w:uiPriority w:val="99"/>
    <w:semiHidden/>
    <w:unhideWhenUsed/>
    <w:rsid w:val="006C53CB"/>
    <w:rPr>
      <w:b/>
      <w:bCs/>
    </w:rPr>
  </w:style>
  <w:style w:type="character" w:customStyle="1" w:styleId="CommentSubjectChar">
    <w:name w:val="Comment Subject Char"/>
    <w:basedOn w:val="CommentTextChar"/>
    <w:link w:val="CommentSubject"/>
    <w:uiPriority w:val="99"/>
    <w:semiHidden/>
    <w:rsid w:val="006C53CB"/>
    <w:rPr>
      <w:rFonts w:ascii="Cambria" w:hAnsi="Cambria"/>
      <w:b/>
      <w:bCs/>
      <w:sz w:val="20"/>
      <w:szCs w:val="20"/>
    </w:rPr>
  </w:style>
  <w:style w:type="paragraph" w:styleId="BalloonText">
    <w:name w:val="Balloon Text"/>
    <w:basedOn w:val="Normal"/>
    <w:link w:val="BalloonTextChar"/>
    <w:uiPriority w:val="99"/>
    <w:semiHidden/>
    <w:unhideWhenUsed/>
    <w:rsid w:val="006C53CB"/>
    <w:rPr>
      <w:rFonts w:ascii="Calibri" w:hAnsi="Calibri"/>
      <w:sz w:val="18"/>
      <w:szCs w:val="18"/>
    </w:rPr>
  </w:style>
  <w:style w:type="character" w:customStyle="1" w:styleId="BalloonTextChar">
    <w:name w:val="Balloon Text Char"/>
    <w:basedOn w:val="DefaultParagraphFont"/>
    <w:link w:val="BalloonText"/>
    <w:uiPriority w:val="99"/>
    <w:semiHidden/>
    <w:rsid w:val="006C53CB"/>
    <w:rPr>
      <w:rFonts w:ascii="Calibri" w:hAnsi="Calibri"/>
      <w:sz w:val="18"/>
      <w:szCs w:val="18"/>
    </w:rPr>
  </w:style>
  <w:style w:type="table" w:styleId="TableGrid">
    <w:name w:val="Table Grid"/>
    <w:basedOn w:val="TableNormal"/>
    <w:rsid w:val="006C53CB"/>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C53CB"/>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6C53CB"/>
    <w:pPr>
      <w:ind w:left="709" w:right="567"/>
    </w:pPr>
    <w:rPr>
      <w:iCs/>
      <w:color w:val="000000"/>
    </w:rPr>
  </w:style>
  <w:style w:type="character" w:customStyle="1" w:styleId="QuoteChar">
    <w:name w:val="Quote Char"/>
    <w:basedOn w:val="DefaultParagraphFont"/>
    <w:link w:val="Quote"/>
    <w:uiPriority w:val="18"/>
    <w:rsid w:val="006C53CB"/>
    <w:rPr>
      <w:rFonts w:ascii="Cambria" w:hAnsi="Cambria"/>
      <w:iCs/>
      <w:color w:val="000000"/>
    </w:rPr>
  </w:style>
  <w:style w:type="paragraph" w:customStyle="1" w:styleId="BoxText">
    <w:name w:val="Box Text"/>
    <w:basedOn w:val="Normal"/>
    <w:uiPriority w:val="19"/>
    <w:qFormat/>
    <w:rsid w:val="006C53CB"/>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C53CB"/>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6C53CB"/>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C53CB"/>
    <w:pPr>
      <w:spacing w:before="120"/>
    </w:pPr>
    <w:rPr>
      <w:b w:val="0"/>
      <w:sz w:val="44"/>
      <w:szCs w:val="56"/>
    </w:rPr>
  </w:style>
  <w:style w:type="character" w:customStyle="1" w:styleId="SubtitleChar">
    <w:name w:val="Subtitle Char"/>
    <w:basedOn w:val="DefaultParagraphFont"/>
    <w:link w:val="Subtitle"/>
    <w:uiPriority w:val="23"/>
    <w:rsid w:val="006C53CB"/>
    <w:rPr>
      <w:rFonts w:ascii="Calibri" w:hAnsi="Calibri"/>
      <w:bCs/>
      <w:color w:val="000000"/>
      <w:spacing w:val="5"/>
      <w:kern w:val="28"/>
      <w:sz w:val="44"/>
      <w:szCs w:val="56"/>
    </w:rPr>
  </w:style>
  <w:style w:type="paragraph" w:styleId="TOCHeading">
    <w:name w:val="TOC Heading"/>
    <w:next w:val="Normal"/>
    <w:uiPriority w:val="39"/>
    <w:qFormat/>
    <w:rsid w:val="006C53CB"/>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6C53CB"/>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6C53CB"/>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6C53CB"/>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6C53CB"/>
    <w:rPr>
      <w:color w:val="165788"/>
      <w:u w:val="single"/>
    </w:rPr>
  </w:style>
  <w:style w:type="paragraph" w:styleId="ListBullet">
    <w:name w:val="List Bullet"/>
    <w:basedOn w:val="Normal"/>
    <w:uiPriority w:val="99"/>
    <w:qFormat/>
    <w:rsid w:val="006C53CB"/>
    <w:pPr>
      <w:numPr>
        <w:numId w:val="8"/>
      </w:numPr>
      <w:spacing w:before="120" w:after="120"/>
    </w:pPr>
  </w:style>
  <w:style w:type="paragraph" w:styleId="TableofFigures">
    <w:name w:val="table of figures"/>
    <w:basedOn w:val="Normal"/>
    <w:next w:val="Normal"/>
    <w:uiPriority w:val="99"/>
    <w:rsid w:val="006C53CB"/>
    <w:pPr>
      <w:spacing w:before="120" w:after="120" w:line="240" w:lineRule="auto"/>
    </w:pPr>
  </w:style>
  <w:style w:type="paragraph" w:styleId="ListBullet2">
    <w:name w:val="List Bullet 2"/>
    <w:basedOn w:val="Normal"/>
    <w:uiPriority w:val="8"/>
    <w:qFormat/>
    <w:rsid w:val="006C53CB"/>
    <w:pPr>
      <w:numPr>
        <w:ilvl w:val="1"/>
        <w:numId w:val="8"/>
      </w:numPr>
      <w:spacing w:before="120" w:after="120"/>
      <w:contextualSpacing/>
    </w:pPr>
  </w:style>
  <w:style w:type="paragraph" w:styleId="ListNumber">
    <w:name w:val="List Number"/>
    <w:basedOn w:val="Normal"/>
    <w:uiPriority w:val="9"/>
    <w:qFormat/>
    <w:rsid w:val="006C53CB"/>
    <w:pPr>
      <w:numPr>
        <w:numId w:val="27"/>
      </w:numPr>
      <w:tabs>
        <w:tab w:val="left" w:pos="142"/>
      </w:tabs>
      <w:spacing w:before="120" w:after="120"/>
    </w:pPr>
  </w:style>
  <w:style w:type="paragraph" w:styleId="ListNumber2">
    <w:name w:val="List Number 2"/>
    <w:uiPriority w:val="10"/>
    <w:qFormat/>
    <w:rsid w:val="006C53CB"/>
    <w:pPr>
      <w:numPr>
        <w:ilvl w:val="1"/>
        <w:numId w:val="27"/>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6C53CB"/>
    <w:pPr>
      <w:numPr>
        <w:ilvl w:val="2"/>
        <w:numId w:val="27"/>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6C53CB"/>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C53CB"/>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6C53CB"/>
    <w:pPr>
      <w:spacing w:before="60" w:after="60" w:line="240" w:lineRule="auto"/>
    </w:pPr>
    <w:rPr>
      <w:sz w:val="18"/>
    </w:rPr>
  </w:style>
  <w:style w:type="table" w:styleId="TableGrid1">
    <w:name w:val="Table Grid 1"/>
    <w:basedOn w:val="TableNormal"/>
    <w:uiPriority w:val="99"/>
    <w:semiHidden/>
    <w:unhideWhenUsed/>
    <w:rsid w:val="006C53CB"/>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C53CB"/>
    <w:pPr>
      <w:keepNext/>
    </w:pPr>
    <w:rPr>
      <w:b/>
    </w:rPr>
  </w:style>
  <w:style w:type="character" w:styleId="PlaceholderText">
    <w:name w:val="Placeholder Text"/>
    <w:basedOn w:val="DefaultParagraphFont"/>
    <w:uiPriority w:val="99"/>
    <w:semiHidden/>
    <w:rsid w:val="006C53CB"/>
    <w:rPr>
      <w:color w:val="808080"/>
    </w:rPr>
  </w:style>
  <w:style w:type="paragraph" w:customStyle="1" w:styleId="Author">
    <w:name w:val="Author"/>
    <w:basedOn w:val="Normal"/>
    <w:next w:val="Normal"/>
    <w:uiPriority w:val="24"/>
    <w:qFormat/>
    <w:rsid w:val="006C53CB"/>
    <w:pPr>
      <w:spacing w:after="60"/>
    </w:pPr>
    <w:rPr>
      <w:b/>
      <w:sz w:val="24"/>
      <w:szCs w:val="28"/>
    </w:rPr>
  </w:style>
  <w:style w:type="paragraph" w:customStyle="1" w:styleId="AuthorOrganisationAffiliation">
    <w:name w:val="Author Organisation/Affiliation"/>
    <w:basedOn w:val="Normal"/>
    <w:next w:val="Normal"/>
    <w:uiPriority w:val="25"/>
    <w:qFormat/>
    <w:rsid w:val="006C53CB"/>
  </w:style>
  <w:style w:type="character" w:styleId="Strong">
    <w:name w:val="Strong"/>
    <w:basedOn w:val="DefaultParagraphFont"/>
    <w:uiPriority w:val="99"/>
    <w:qFormat/>
    <w:rsid w:val="006C53CB"/>
    <w:rPr>
      <w:b/>
      <w:bCs/>
    </w:rPr>
  </w:style>
  <w:style w:type="paragraph" w:customStyle="1" w:styleId="Glossary">
    <w:name w:val="Glossary"/>
    <w:basedOn w:val="Normal"/>
    <w:link w:val="GlossaryChar"/>
    <w:uiPriority w:val="28"/>
    <w:semiHidden/>
    <w:locked/>
    <w:rsid w:val="006C53CB"/>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6C53CB"/>
    <w:rPr>
      <w:rFonts w:ascii="Cambria" w:eastAsia="Calibri" w:hAnsi="Cambria"/>
      <w:color w:val="000000"/>
    </w:rPr>
  </w:style>
  <w:style w:type="character" w:styleId="Emphasis">
    <w:name w:val="Emphasis"/>
    <w:basedOn w:val="DefaultParagraphFont"/>
    <w:uiPriority w:val="99"/>
    <w:qFormat/>
    <w:rsid w:val="006C53CB"/>
    <w:rPr>
      <w:i/>
      <w:iCs/>
    </w:rPr>
  </w:style>
  <w:style w:type="paragraph" w:styleId="TOAHeading">
    <w:name w:val="toa heading"/>
    <w:basedOn w:val="Heading1"/>
    <w:next w:val="Normal"/>
    <w:uiPriority w:val="99"/>
    <w:semiHidden/>
    <w:unhideWhenUsed/>
    <w:rsid w:val="006C53CB"/>
    <w:pPr>
      <w:spacing w:before="120"/>
    </w:pPr>
    <w:rPr>
      <w:bCs w:val="0"/>
      <w:sz w:val="24"/>
    </w:rPr>
  </w:style>
  <w:style w:type="paragraph" w:styleId="NormalWeb">
    <w:name w:val="Normal (Web)"/>
    <w:basedOn w:val="Normal"/>
    <w:uiPriority w:val="99"/>
    <w:semiHidden/>
    <w:unhideWhenUsed/>
    <w:rsid w:val="006C53CB"/>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C53CB"/>
    <w:pPr>
      <w:numPr>
        <w:numId w:val="6"/>
      </w:numPr>
      <w:ind w:left="357" w:hanging="357"/>
    </w:pPr>
  </w:style>
  <w:style w:type="paragraph" w:customStyle="1" w:styleId="TableBullet1">
    <w:name w:val="Table Bullet 1"/>
    <w:basedOn w:val="TableText"/>
    <w:uiPriority w:val="15"/>
    <w:qFormat/>
    <w:rsid w:val="006C53CB"/>
    <w:pPr>
      <w:numPr>
        <w:numId w:val="7"/>
      </w:numPr>
      <w:tabs>
        <w:tab w:val="num" w:pos="360"/>
      </w:tabs>
      <w:ind w:left="284" w:hanging="284"/>
    </w:pPr>
  </w:style>
  <w:style w:type="paragraph" w:styleId="DocumentMap">
    <w:name w:val="Document Map"/>
    <w:basedOn w:val="Normal"/>
    <w:link w:val="DocumentMapChar"/>
    <w:uiPriority w:val="99"/>
    <w:semiHidden/>
    <w:unhideWhenUsed/>
    <w:rsid w:val="006C53C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53CB"/>
    <w:rPr>
      <w:rFonts w:ascii="Tahoma" w:hAnsi="Tahoma" w:cs="Tahoma"/>
      <w:sz w:val="16"/>
      <w:szCs w:val="16"/>
    </w:rPr>
  </w:style>
  <w:style w:type="paragraph" w:customStyle="1" w:styleId="BoxHeading">
    <w:name w:val="Box Heading"/>
    <w:basedOn w:val="BoxText"/>
    <w:uiPriority w:val="20"/>
    <w:qFormat/>
    <w:rsid w:val="006C53CB"/>
    <w:pPr>
      <w:spacing w:line="240" w:lineRule="auto"/>
    </w:pPr>
    <w:rPr>
      <w:b/>
    </w:rPr>
  </w:style>
  <w:style w:type="paragraph" w:customStyle="1" w:styleId="Picture">
    <w:name w:val="Picture"/>
    <w:basedOn w:val="Normal"/>
    <w:uiPriority w:val="17"/>
    <w:qFormat/>
    <w:rsid w:val="006C53CB"/>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C53CB"/>
    <w:pPr>
      <w:tabs>
        <w:tab w:val="clear" w:pos="4513"/>
        <w:tab w:val="clear" w:pos="9026"/>
        <w:tab w:val="center" w:pos="4820"/>
      </w:tabs>
      <w:jc w:val="center"/>
    </w:pPr>
    <w:rPr>
      <w:rFonts w:ascii="Calibri" w:hAnsi="Calibri"/>
      <w:b/>
      <w:color w:val="FF0000"/>
      <w:sz w:val="36"/>
      <w:szCs w:val="36"/>
    </w:rPr>
  </w:style>
  <w:style w:type="paragraph" w:customStyle="1" w:styleId="DisseminationLimitingMarker">
    <w:name w:val="Dissemination Limiting Marker"/>
    <w:basedOn w:val="Header"/>
    <w:next w:val="Header"/>
    <w:uiPriority w:val="27"/>
    <w:rsid w:val="006C53CB"/>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nhideWhenUsed/>
    <w:rsid w:val="006C53CB"/>
    <w:pPr>
      <w:spacing w:after="60" w:line="264" w:lineRule="auto"/>
    </w:pPr>
    <w:rPr>
      <w:sz w:val="20"/>
      <w:szCs w:val="20"/>
    </w:rPr>
  </w:style>
  <w:style w:type="character" w:customStyle="1" w:styleId="FootnoteTextChar">
    <w:name w:val="Footnote Text Char"/>
    <w:basedOn w:val="DefaultParagraphFont"/>
    <w:link w:val="FootnoteText"/>
    <w:rsid w:val="006C53CB"/>
    <w:rPr>
      <w:rFonts w:ascii="Cambria" w:hAnsi="Cambria"/>
      <w:sz w:val="20"/>
      <w:szCs w:val="20"/>
    </w:rPr>
  </w:style>
  <w:style w:type="character" w:styleId="FootnoteReference">
    <w:name w:val="footnote reference"/>
    <w:basedOn w:val="DefaultParagraphFont"/>
    <w:semiHidden/>
    <w:unhideWhenUsed/>
    <w:rsid w:val="006C53CB"/>
    <w:rPr>
      <w:vertAlign w:val="superscript"/>
    </w:rPr>
  </w:style>
  <w:style w:type="paragraph" w:styleId="EndnoteText">
    <w:name w:val="endnote text"/>
    <w:basedOn w:val="Normal"/>
    <w:link w:val="EndnoteTextChar"/>
    <w:uiPriority w:val="99"/>
    <w:unhideWhenUsed/>
    <w:rsid w:val="006C53CB"/>
    <w:pPr>
      <w:spacing w:after="60" w:line="264" w:lineRule="auto"/>
    </w:pPr>
    <w:rPr>
      <w:sz w:val="20"/>
      <w:szCs w:val="20"/>
    </w:rPr>
  </w:style>
  <w:style w:type="character" w:customStyle="1" w:styleId="EndnoteTextChar">
    <w:name w:val="Endnote Text Char"/>
    <w:basedOn w:val="DefaultParagraphFont"/>
    <w:link w:val="EndnoteText"/>
    <w:uiPriority w:val="99"/>
    <w:rsid w:val="006C53CB"/>
    <w:rPr>
      <w:rFonts w:ascii="Cambria" w:hAnsi="Cambria"/>
      <w:sz w:val="20"/>
      <w:szCs w:val="20"/>
    </w:rPr>
  </w:style>
  <w:style w:type="character" w:styleId="EndnoteReference">
    <w:name w:val="endnote reference"/>
    <w:basedOn w:val="DefaultParagraphFont"/>
    <w:uiPriority w:val="99"/>
    <w:semiHidden/>
    <w:unhideWhenUsed/>
    <w:rsid w:val="006C53CB"/>
    <w:rPr>
      <w:vertAlign w:val="superscript"/>
    </w:rPr>
  </w:style>
  <w:style w:type="character" w:styleId="FollowedHyperlink">
    <w:name w:val="FollowedHyperlink"/>
    <w:basedOn w:val="DefaultParagraphFont"/>
    <w:uiPriority w:val="99"/>
    <w:semiHidden/>
    <w:unhideWhenUsed/>
    <w:rsid w:val="006C53CB"/>
    <w:rPr>
      <w:color w:val="800080"/>
      <w:u w:val="single"/>
    </w:rPr>
  </w:style>
  <w:style w:type="paragraph" w:customStyle="1" w:styleId="BoxSource">
    <w:name w:val="Box Source"/>
    <w:basedOn w:val="FigureTableNoteSource"/>
    <w:uiPriority w:val="22"/>
    <w:qFormat/>
    <w:rsid w:val="006C53CB"/>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6C53CB"/>
    <w:pPr>
      <w:numPr>
        <w:numId w:val="8"/>
      </w:numPr>
    </w:pPr>
  </w:style>
  <w:style w:type="paragraph" w:styleId="Title">
    <w:name w:val="Title"/>
    <w:basedOn w:val="Normal"/>
    <w:next w:val="Normal"/>
    <w:link w:val="TitleChar"/>
    <w:uiPriority w:val="10"/>
    <w:qFormat/>
    <w:rsid w:val="006C53CB"/>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6C53CB"/>
    <w:rPr>
      <w:rFonts w:ascii="Cambria" w:eastAsiaTheme="majorEastAsia" w:hAnsi="Cambria" w:cstheme="majorBidi"/>
      <w:b/>
      <w:spacing w:val="5"/>
      <w:kern w:val="28"/>
      <w:sz w:val="72"/>
      <w:szCs w:val="52"/>
    </w:rPr>
  </w:style>
  <w:style w:type="paragraph" w:customStyle="1" w:styleId="TOCHeading2">
    <w:name w:val="TOC Heading 2"/>
    <w:next w:val="Normal"/>
    <w:qFormat/>
    <w:rsid w:val="006C53CB"/>
    <w:pPr>
      <w:spacing w:after="0" w:line="240" w:lineRule="auto"/>
    </w:pPr>
    <w:rPr>
      <w:rFonts w:ascii="Calibri Light" w:hAnsi="Calibri Light"/>
      <w:sz w:val="36"/>
    </w:rPr>
  </w:style>
  <w:style w:type="numbering" w:customStyle="1" w:styleId="Numberlist">
    <w:name w:val="Number list"/>
    <w:uiPriority w:val="99"/>
    <w:rsid w:val="006C53CB"/>
    <w:pPr>
      <w:numPr>
        <w:numId w:val="9"/>
      </w:numPr>
    </w:pPr>
  </w:style>
  <w:style w:type="numbering" w:customStyle="1" w:styleId="Headinglist">
    <w:name w:val="Heading list"/>
    <w:uiPriority w:val="99"/>
    <w:rsid w:val="006C53CB"/>
    <w:pPr>
      <w:numPr>
        <w:numId w:val="11"/>
      </w:numPr>
    </w:pPr>
  </w:style>
  <w:style w:type="paragraph" w:customStyle="1" w:styleId="Normalsmall">
    <w:name w:val="Normal small"/>
    <w:qFormat/>
    <w:rsid w:val="006C53CB"/>
    <w:pPr>
      <w:spacing w:after="120" w:line="276" w:lineRule="auto"/>
    </w:pPr>
    <w:rPr>
      <w:rFonts w:ascii="Cambria" w:hAnsi="Cambria"/>
      <w:sz w:val="18"/>
      <w:szCs w:val="18"/>
    </w:rPr>
  </w:style>
  <w:style w:type="paragraph" w:styleId="ListBullet3">
    <w:name w:val="List Bullet 3"/>
    <w:basedOn w:val="Normal"/>
    <w:uiPriority w:val="99"/>
    <w:rsid w:val="006C53CB"/>
    <w:pPr>
      <w:numPr>
        <w:ilvl w:val="2"/>
        <w:numId w:val="8"/>
      </w:numPr>
      <w:spacing w:after="120"/>
      <w:contextualSpacing/>
    </w:pPr>
  </w:style>
  <w:style w:type="table" w:customStyle="1" w:styleId="ABARESTableleftrightalign">
    <w:name w:val="ABARES Table (left/right align)"/>
    <w:basedOn w:val="TableNormal"/>
    <w:uiPriority w:val="99"/>
    <w:rsid w:val="006C53CB"/>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6C53CB"/>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C53CB"/>
    <w:pPr>
      <w:numPr>
        <w:numId w:val="19"/>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6C53CB"/>
    <w:rPr>
      <w:i/>
      <w:iCs/>
      <w:color w:val="4472C4" w:themeColor="accent1"/>
    </w:rPr>
  </w:style>
  <w:style w:type="paragraph" w:customStyle="1" w:styleId="TableBullet2">
    <w:name w:val="Table Bullet 2"/>
    <w:basedOn w:val="TableBullet1"/>
    <w:qFormat/>
    <w:rsid w:val="006C53CB"/>
    <w:pPr>
      <w:numPr>
        <w:numId w:val="33"/>
      </w:numPr>
      <w:tabs>
        <w:tab w:val="num" w:pos="284"/>
      </w:tabs>
      <w:ind w:left="568" w:hanging="284"/>
    </w:pPr>
  </w:style>
  <w:style w:type="numbering" w:customStyle="1" w:styleId="TableBulletlist">
    <w:name w:val="Table Bullet list"/>
    <w:uiPriority w:val="99"/>
    <w:rsid w:val="006C53CB"/>
    <w:pPr>
      <w:numPr>
        <w:numId w:val="31"/>
      </w:numPr>
    </w:pPr>
  </w:style>
  <w:style w:type="paragraph" w:styleId="Date">
    <w:name w:val="Date"/>
    <w:basedOn w:val="Normal"/>
    <w:next w:val="Normal"/>
    <w:link w:val="DateChar"/>
    <w:uiPriority w:val="99"/>
    <w:unhideWhenUsed/>
    <w:rsid w:val="006C53CB"/>
    <w:pPr>
      <w:jc w:val="right"/>
    </w:pPr>
  </w:style>
  <w:style w:type="character" w:customStyle="1" w:styleId="DateChar">
    <w:name w:val="Date Char"/>
    <w:basedOn w:val="DefaultParagraphFont"/>
    <w:link w:val="Date"/>
    <w:uiPriority w:val="99"/>
    <w:rsid w:val="006C53CB"/>
    <w:rPr>
      <w:rFonts w:ascii="Cambria" w:hAnsi="Cambria"/>
    </w:rPr>
  </w:style>
  <w:style w:type="paragraph" w:styleId="Revision">
    <w:name w:val="Revision"/>
    <w:hidden/>
    <w:uiPriority w:val="99"/>
    <w:semiHidden/>
    <w:rsid w:val="006C53CB"/>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6C53CB"/>
    <w:rPr>
      <w:color w:val="605E5C"/>
      <w:shd w:val="clear" w:color="auto" w:fill="E1DFDD"/>
    </w:rPr>
  </w:style>
  <w:style w:type="paragraph" w:customStyle="1" w:styleId="Instructiontext">
    <w:name w:val="Instruction text"/>
    <w:basedOn w:val="Normal"/>
    <w:next w:val="Normal"/>
    <w:qFormat/>
    <w:rsid w:val="006C53CB"/>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6C53CB"/>
    <w:rPr>
      <w:color w:val="605E5C"/>
      <w:shd w:val="clear" w:color="auto" w:fill="E1DFDD"/>
    </w:rPr>
  </w:style>
  <w:style w:type="paragraph" w:customStyle="1" w:styleId="Tabletextinstruction">
    <w:name w:val="Table text instruction"/>
    <w:basedOn w:val="TableText"/>
    <w:qFormat/>
    <w:rsid w:val="006C53CB"/>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6C53CB"/>
    <w:rPr>
      <w:color w:val="605E5C"/>
      <w:shd w:val="clear" w:color="auto" w:fill="E1DFDD"/>
    </w:rPr>
  </w:style>
  <w:style w:type="paragraph" w:customStyle="1" w:styleId="Consultationtext">
    <w:name w:val="Consultation text"/>
    <w:basedOn w:val="Normal"/>
    <w:qFormat/>
    <w:rsid w:val="006C53CB"/>
    <w:rPr>
      <w:color w:val="FF0000"/>
    </w:rPr>
  </w:style>
  <w:style w:type="character" w:styleId="UnresolvedMention">
    <w:name w:val="Unresolved Mention"/>
    <w:basedOn w:val="DefaultParagraphFont"/>
    <w:uiPriority w:val="99"/>
    <w:semiHidden/>
    <w:unhideWhenUsed/>
    <w:rsid w:val="006C53CB"/>
    <w:rPr>
      <w:color w:val="605E5C"/>
      <w:shd w:val="clear" w:color="auto" w:fill="E1DFDD"/>
    </w:rPr>
  </w:style>
  <w:style w:type="character" w:customStyle="1" w:styleId="TableTextChar">
    <w:name w:val="Table Text Char"/>
    <w:basedOn w:val="DefaultParagraphFont"/>
    <w:link w:val="TableText"/>
    <w:uiPriority w:val="13"/>
    <w:rsid w:val="006C53CB"/>
    <w:rPr>
      <w:rFonts w:ascii="Cambria" w:hAnsi="Cambria"/>
      <w:sz w:val="18"/>
    </w:rPr>
  </w:style>
  <w:style w:type="character" w:styleId="SubtleEmphasis">
    <w:name w:val="Subtle Emphasis"/>
    <w:basedOn w:val="DefaultParagraphFont"/>
    <w:uiPriority w:val="19"/>
    <w:qFormat/>
    <w:rsid w:val="006C53C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system/files/pages/d72dfd1a-f0d8-4699-8d43-5d95bbb02428/files/tssc-guidelines-assessing-species-2018.pdf" TargetMode="External"/><Relationship Id="rId18" Type="http://schemas.openxmlformats.org/officeDocument/2006/relationships/header" Target="header1.xml"/><Relationship Id="rId26" Type="http://schemas.openxmlformats.org/officeDocument/2006/relationships/hyperlink" Target="http://www.environment.gov.au/cgi-bin/sprat/public/sprat.pl" TargetMode="External"/><Relationship Id="rId39" Type="http://schemas.openxmlformats.org/officeDocument/2006/relationships/hyperlink" Target="https://www.environment.nsw.gov.au/-/media/OEH/Corporate-Site/Documents/Parks-reserves-and-protected-areas/Parks-statement-of-management-intent/ukerbarley-aboriginal-area-statement-management-intent-180083.pdf" TargetMode="External"/><Relationship Id="rId21" Type="http://schemas.openxmlformats.org/officeDocument/2006/relationships/footer" Target="footer2.xml"/><Relationship Id="rId34" Type="http://schemas.openxmlformats.org/officeDocument/2006/relationships/hyperlink" Target="https://datasets.seed.nsw.gov.au/dataset/fire-history-wildfires-and-prescribed-burns-1e8b6" TargetMode="External"/><Relationship Id="rId42" Type="http://schemas.openxmlformats.org/officeDocument/2006/relationships/header" Target="header6.xm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4.xml"/><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nvironment.gov.au/biodiversity/threatened/cam" TargetMode="External"/><Relationship Id="rId29" Type="http://schemas.openxmlformats.org/officeDocument/2006/relationships/hyperlink" Target="https://www.awe.gov.au/sites/default/files/documents/tap-goat-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environment.gov.au" TargetMode="External"/><Relationship Id="rId24" Type="http://schemas.openxmlformats.org/officeDocument/2006/relationships/header" Target="header4.xml"/><Relationship Id="rId32" Type="http://schemas.openxmlformats.org/officeDocument/2006/relationships/hyperlink" Target="http://www.environment.gov.au/biodiversity/threatened/species/pubs/13792-conservation-advice-16122016.pdf" TargetMode="External"/><Relationship Id="rId37" Type="http://schemas.openxmlformats.org/officeDocument/2006/relationships/hyperlink" Target="https://www.environment.nsw.gov.au/-/media/OEH/Corporate-Site/Documents/Parks-reserves-and-protected-areas/Parks-plans-of-management/warrumbungle-national-park-plan-of-management-120967.pdf" TargetMode="External"/><Relationship Id="rId40" Type="http://schemas.openxmlformats.org/officeDocument/2006/relationships/hyperlink" Target="https://www.environment.nsw.gov.au/threatenedspeciesapp/profile.aspx?id=10093" TargetMode="External"/><Relationship Id="rId45" Type="http://schemas.openxmlformats.org/officeDocument/2006/relationships/hyperlink" Target="http://www.environment.gov.au/system/files/pages/d72dfd1a-f0d8-4699-8d43-5d95bbb02428/files/tssc-guidelines-assessing-species-2018.pdf" TargetMode="External"/><Relationship Id="rId53" Type="http://schemas.openxmlformats.org/officeDocument/2006/relationships/header" Target="header12.xml"/><Relationship Id="rId58" Type="http://schemas.openxmlformats.org/officeDocument/2006/relationships/hyperlink" Target="mailto:copyright@awe.gov.au" TargetMode="Externa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nvironment.gov.au/biodiversity/threatened/recovery.html" TargetMode="External"/><Relationship Id="rId23" Type="http://schemas.openxmlformats.org/officeDocument/2006/relationships/header" Target="header3.xml"/><Relationship Id="rId28" Type="http://schemas.openxmlformats.org/officeDocument/2006/relationships/hyperlink" Target="http://www.environment.gov.au/science/erin/databases-maps/snes" TargetMode="External"/><Relationship Id="rId36" Type="http://schemas.openxmlformats.org/officeDocument/2006/relationships/hyperlink" Target="https://www.environment.nsw.gov.au/-/media/OEH/Corporate-Site/Documents/Parks-reserves-and-protected-areas/Parks-plans-of-management/coolah-tops-national-park-plan-of-management-020000.pdf" TargetMode="External"/><Relationship Id="rId49" Type="http://schemas.openxmlformats.org/officeDocument/2006/relationships/footer" Target="footer3.xml"/><Relationship Id="rId57" Type="http://schemas.openxmlformats.org/officeDocument/2006/relationships/hyperlink" Target="https://creativecommons.org/licenses/by/4.0/legalcode" TargetMode="External"/><Relationship Id="rId61"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climatecouncil.org.au/uploads/bd3683de02d94ab5c6c2231cd74ef877.pdf" TargetMode="External"/><Relationship Id="rId44" Type="http://schemas.openxmlformats.org/officeDocument/2006/relationships/header" Target="header8.xml"/><Relationship Id="rId52" Type="http://schemas.openxmlformats.org/officeDocument/2006/relationships/hyperlink" Target="http://www.environment.gov.au/biodiversity/threatened/cam" TargetMode="External"/><Relationship Id="rId60" Type="http://schemas.openxmlformats.org/officeDocument/2006/relationships/hyperlink" Target="http://agriculture.gov.a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biodiversity/threatened/nominations.html" TargetMode="External"/><Relationship Id="rId22" Type="http://schemas.openxmlformats.org/officeDocument/2006/relationships/image" Target="media/image2.jpg"/><Relationship Id="rId27" Type="http://schemas.openxmlformats.org/officeDocument/2006/relationships/image" Target="media/image3.jpeg"/><Relationship Id="rId30" Type="http://schemas.openxmlformats.org/officeDocument/2006/relationships/hyperlink" Target="https://www.environment.nsw.gov.au/atlaspublicapp" TargetMode="External"/><Relationship Id="rId35" Type="http://schemas.openxmlformats.org/officeDocument/2006/relationships/hyperlink" Target="http://www.iucnredlist.org/documents/RedListGuidelines.pdf" TargetMode="External"/><Relationship Id="rId43" Type="http://schemas.openxmlformats.org/officeDocument/2006/relationships/header" Target="header7.xml"/><Relationship Id="rId48" Type="http://schemas.openxmlformats.org/officeDocument/2006/relationships/header" Target="header10.xml"/><Relationship Id="rId56" Type="http://schemas.openxmlformats.org/officeDocument/2006/relationships/image" Target="media/image4.png"/><Relationship Id="rId64"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s://www.iucnredlist.org/resources/redlistguidelines" TargetMode="External"/><Relationship Id="rId3" Type="http://schemas.openxmlformats.org/officeDocument/2006/relationships/customXml" Target="../customXml/item3.xml"/><Relationship Id="rId12" Type="http://schemas.openxmlformats.org/officeDocument/2006/relationships/hyperlink" Target="http://www.environment.gov.au/biodiversity/threatened/index.html" TargetMode="External"/><Relationship Id="rId17" Type="http://schemas.openxmlformats.org/officeDocument/2006/relationships/hyperlink" Target="https://www.awe.gov.au/about/commitment/privacy" TargetMode="External"/><Relationship Id="rId25" Type="http://schemas.openxmlformats.org/officeDocument/2006/relationships/header" Target="header5.xml"/><Relationship Id="rId33" Type="http://schemas.openxmlformats.org/officeDocument/2006/relationships/hyperlink" Target="https://www.environment.nsw.gov.au/-/media/OEH/Corporate-Site/Documents/Parks-reserves-and-protected-areas/Fire/priority-nsw-plants-for-post-fire-field-assessment-200551.pdf" TargetMode="External"/><Relationship Id="rId38" Type="http://schemas.openxmlformats.org/officeDocument/2006/relationships/hyperlink" Target="https://www.environment.nsw.gov.au/-/media/OEH/Corporate-Site/Documents/Parks-reserves-and-protected-areas/Parks-plans-of-management/mount-kaputar-national-park-plan-of-management-210368.pdf" TargetMode="External"/><Relationship Id="rId46" Type="http://schemas.openxmlformats.org/officeDocument/2006/relationships/hyperlink" Target="https://www.iucnredlist.org/resources/categories-and-criteria" TargetMode="External"/><Relationship Id="rId59" Type="http://schemas.openxmlformats.org/officeDocument/2006/relationships/hyperlink" Target="https://www.environment.gov.au/cgi-bin/sprat/public/publicspecies.pl?taxon_id=18382" TargetMode="Externa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plantnet.rbgsyd.nsw.gov.au" TargetMode="External"/><Relationship Id="rId54" Type="http://schemas.openxmlformats.org/officeDocument/2006/relationships/header" Target="header13.xml"/><Relationship Id="rId62"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F0D12DFB543178D1AFF1F6BF99414"/>
        <w:category>
          <w:name w:val="General"/>
          <w:gallery w:val="placeholder"/>
        </w:category>
        <w:types>
          <w:type w:val="bbPlcHdr"/>
        </w:types>
        <w:behaviors>
          <w:behavior w:val="content"/>
        </w:behaviors>
        <w:guid w:val="{1846A35A-4DD6-4B5D-B657-5152CD21A695}"/>
      </w:docPartPr>
      <w:docPartBody>
        <w:p w:rsidR="00A77C57" w:rsidRDefault="00BE268E" w:rsidP="00BE268E">
          <w:pPr>
            <w:pStyle w:val="F5FF0D12DFB543178D1AFF1F6BF99414"/>
          </w:pPr>
          <w:r w:rsidRPr="0045331C">
            <w:rPr>
              <w:rStyle w:val="PlaceholderText"/>
            </w:rPr>
            <w:t>Choose an item.</w:t>
          </w:r>
        </w:p>
      </w:docPartBody>
    </w:docPart>
    <w:docPart>
      <w:docPartPr>
        <w:name w:val="472C318A7363454A876A03D35CB9C31F"/>
        <w:category>
          <w:name w:val="General"/>
          <w:gallery w:val="placeholder"/>
        </w:category>
        <w:types>
          <w:type w:val="bbPlcHdr"/>
        </w:types>
        <w:behaviors>
          <w:behavior w:val="content"/>
        </w:behaviors>
        <w:guid w:val="{C812FEC8-B538-4FD2-8403-B0B8B481EB2A}"/>
      </w:docPartPr>
      <w:docPartBody>
        <w:p w:rsidR="00A77C57" w:rsidRDefault="00BE268E" w:rsidP="00BE268E">
          <w:pPr>
            <w:pStyle w:val="472C318A7363454A876A03D35CB9C31F"/>
          </w:pPr>
          <w:r w:rsidRPr="0045331C">
            <w:rPr>
              <w:rStyle w:val="PlaceholderText"/>
            </w:rPr>
            <w:t>Choose an item.</w:t>
          </w:r>
        </w:p>
      </w:docPartBody>
    </w:docPart>
    <w:docPart>
      <w:docPartPr>
        <w:name w:val="AABB881E36004BA5A9CFED8ACFA89AF8"/>
        <w:category>
          <w:name w:val="General"/>
          <w:gallery w:val="placeholder"/>
        </w:category>
        <w:types>
          <w:type w:val="bbPlcHdr"/>
        </w:types>
        <w:behaviors>
          <w:behavior w:val="content"/>
        </w:behaviors>
        <w:guid w:val="{957BD786-C8CC-4700-B74E-7D9C6209DC48}"/>
      </w:docPartPr>
      <w:docPartBody>
        <w:p w:rsidR="00A77C57" w:rsidRDefault="00BE268E" w:rsidP="00BE268E">
          <w:pPr>
            <w:pStyle w:val="AABB881E36004BA5A9CFED8ACFA89AF8"/>
          </w:pPr>
          <w:r w:rsidRPr="0045331C">
            <w:rPr>
              <w:rStyle w:val="PlaceholderText"/>
            </w:rPr>
            <w:t>Choose an item.</w:t>
          </w:r>
        </w:p>
      </w:docPartBody>
    </w:docPart>
    <w:docPart>
      <w:docPartPr>
        <w:name w:val="717D806B93CE47909B076668854598DD"/>
        <w:category>
          <w:name w:val="General"/>
          <w:gallery w:val="placeholder"/>
        </w:category>
        <w:types>
          <w:type w:val="bbPlcHdr"/>
        </w:types>
        <w:behaviors>
          <w:behavior w:val="content"/>
        </w:behaviors>
        <w:guid w:val="{85027097-3056-4D58-9F92-11DE4180597E}"/>
      </w:docPartPr>
      <w:docPartBody>
        <w:p w:rsidR="00A77C57" w:rsidRDefault="00BE268E" w:rsidP="00BE268E">
          <w:pPr>
            <w:pStyle w:val="717D806B93CE47909B076668854598DD"/>
          </w:pPr>
          <w:r w:rsidRPr="0045331C">
            <w:rPr>
              <w:rStyle w:val="PlaceholderText"/>
            </w:rPr>
            <w:t>Choose an item.</w:t>
          </w:r>
        </w:p>
      </w:docPartBody>
    </w:docPart>
    <w:docPart>
      <w:docPartPr>
        <w:name w:val="C9C678E815904CB68C56ACFF7325E213"/>
        <w:category>
          <w:name w:val="General"/>
          <w:gallery w:val="placeholder"/>
        </w:category>
        <w:types>
          <w:type w:val="bbPlcHdr"/>
        </w:types>
        <w:behaviors>
          <w:behavior w:val="content"/>
        </w:behaviors>
        <w:guid w:val="{D2AF542B-3E51-44E2-82FC-ADBE8D2672CB}"/>
      </w:docPartPr>
      <w:docPartBody>
        <w:p w:rsidR="00A77C57" w:rsidRDefault="00BE268E" w:rsidP="00BE268E">
          <w:pPr>
            <w:pStyle w:val="C9C678E815904CB68C56ACFF7325E213"/>
          </w:pPr>
          <w:r w:rsidRPr="0045331C">
            <w:rPr>
              <w:rStyle w:val="PlaceholderText"/>
            </w:rPr>
            <w:t>Choose an item.</w:t>
          </w:r>
        </w:p>
      </w:docPartBody>
    </w:docPart>
    <w:docPart>
      <w:docPartPr>
        <w:name w:val="CACA701F124A46CC85475FF0708FC4D1"/>
        <w:category>
          <w:name w:val="General"/>
          <w:gallery w:val="placeholder"/>
        </w:category>
        <w:types>
          <w:type w:val="bbPlcHdr"/>
        </w:types>
        <w:behaviors>
          <w:behavior w:val="content"/>
        </w:behaviors>
        <w:guid w:val="{413109FE-43B2-41AD-88AB-0F5C482E73DE}"/>
      </w:docPartPr>
      <w:docPartBody>
        <w:p w:rsidR="00A77C57" w:rsidRDefault="00BE268E" w:rsidP="00BE268E">
          <w:pPr>
            <w:pStyle w:val="CACA701F124A46CC85475FF0708FC4D1"/>
          </w:pPr>
          <w:r w:rsidRPr="0045331C">
            <w:rPr>
              <w:rStyle w:val="PlaceholderText"/>
            </w:rPr>
            <w:t>Choose an item.</w:t>
          </w:r>
        </w:p>
      </w:docPartBody>
    </w:docPart>
    <w:docPart>
      <w:docPartPr>
        <w:name w:val="463F2C7247B845E795E5AD3007EC3D6B"/>
        <w:category>
          <w:name w:val="General"/>
          <w:gallery w:val="placeholder"/>
        </w:category>
        <w:types>
          <w:type w:val="bbPlcHdr"/>
        </w:types>
        <w:behaviors>
          <w:behavior w:val="content"/>
        </w:behaviors>
        <w:guid w:val="{62D2D703-615F-4657-A3AC-2DFB811EC9A5}"/>
      </w:docPartPr>
      <w:docPartBody>
        <w:p w:rsidR="00A77C57" w:rsidRDefault="00BE268E" w:rsidP="00BE268E">
          <w:pPr>
            <w:pStyle w:val="463F2C7247B845E795E5AD3007EC3D6B"/>
          </w:pPr>
          <w:r w:rsidRPr="0045331C">
            <w:rPr>
              <w:rStyle w:val="PlaceholderText"/>
            </w:rPr>
            <w:t>Choose an item.</w:t>
          </w:r>
        </w:p>
      </w:docPartBody>
    </w:docPart>
    <w:docPart>
      <w:docPartPr>
        <w:name w:val="C55C48C59C9843409F20F6A5E4C7C1FE"/>
        <w:category>
          <w:name w:val="General"/>
          <w:gallery w:val="placeholder"/>
        </w:category>
        <w:types>
          <w:type w:val="bbPlcHdr"/>
        </w:types>
        <w:behaviors>
          <w:behavior w:val="content"/>
        </w:behaviors>
        <w:guid w:val="{6A0CC821-BE0A-42B9-933C-8B74B6F5BB4E}"/>
      </w:docPartPr>
      <w:docPartBody>
        <w:p w:rsidR="00A77C57" w:rsidRDefault="00BE268E" w:rsidP="00BE268E">
          <w:pPr>
            <w:pStyle w:val="C55C48C59C9843409F20F6A5E4C7C1FE"/>
          </w:pPr>
          <w:r w:rsidRPr="0045331C">
            <w:rPr>
              <w:rStyle w:val="PlaceholderText"/>
            </w:rPr>
            <w:t>Choose an item.</w:t>
          </w:r>
        </w:p>
      </w:docPartBody>
    </w:docPart>
    <w:docPart>
      <w:docPartPr>
        <w:name w:val="C5623E3184C7441BBA873E15BF82ACE9"/>
        <w:category>
          <w:name w:val="General"/>
          <w:gallery w:val="placeholder"/>
        </w:category>
        <w:types>
          <w:type w:val="bbPlcHdr"/>
        </w:types>
        <w:behaviors>
          <w:behavior w:val="content"/>
        </w:behaviors>
        <w:guid w:val="{C1354452-625B-4F11-9536-93A073491D16}"/>
      </w:docPartPr>
      <w:docPartBody>
        <w:p w:rsidR="00A77C57" w:rsidRDefault="00BE268E" w:rsidP="00BE268E">
          <w:pPr>
            <w:pStyle w:val="C5623E3184C7441BBA873E15BF82ACE9"/>
          </w:pPr>
          <w:r w:rsidRPr="00F20180">
            <w:rPr>
              <w:rStyle w:val="PlaceholderText"/>
              <w:highlight w:val="yellow"/>
            </w:rPr>
            <w:t>Choose an item.</w:t>
          </w:r>
        </w:p>
      </w:docPartBody>
    </w:docPart>
    <w:docPart>
      <w:docPartPr>
        <w:name w:val="552BE7A04F4C49FEA1D503A6516414A2"/>
        <w:category>
          <w:name w:val="General"/>
          <w:gallery w:val="placeholder"/>
        </w:category>
        <w:types>
          <w:type w:val="bbPlcHdr"/>
        </w:types>
        <w:behaviors>
          <w:behavior w:val="content"/>
        </w:behaviors>
        <w:guid w:val="{CCA69CCD-2062-460B-B4E0-CA0D2EC60FB6}"/>
      </w:docPartPr>
      <w:docPartBody>
        <w:p w:rsidR="00A77C57" w:rsidRDefault="00BE268E" w:rsidP="00BE268E">
          <w:pPr>
            <w:pStyle w:val="552BE7A04F4C49FEA1D503A6516414A2"/>
          </w:pPr>
          <w:r w:rsidRPr="00F20180">
            <w:rPr>
              <w:rStyle w:val="PlaceholderText"/>
              <w:highlight w:val="yellow"/>
            </w:rPr>
            <w:t>Choose an item.</w:t>
          </w:r>
        </w:p>
      </w:docPartBody>
    </w:docPart>
    <w:docPart>
      <w:docPartPr>
        <w:name w:val="170BB8F614B44BBBB6C3050077F10E8D"/>
        <w:category>
          <w:name w:val="General"/>
          <w:gallery w:val="placeholder"/>
        </w:category>
        <w:types>
          <w:type w:val="bbPlcHdr"/>
        </w:types>
        <w:behaviors>
          <w:behavior w:val="content"/>
        </w:behaviors>
        <w:guid w:val="{E5EA17AC-37AC-427C-9BCA-CD0BBDB108E8}"/>
      </w:docPartPr>
      <w:docPartBody>
        <w:p w:rsidR="00A77C57" w:rsidRDefault="00BE268E" w:rsidP="00BE268E">
          <w:pPr>
            <w:pStyle w:val="170BB8F614B44BBBB6C3050077F10E8D"/>
          </w:pPr>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E"/>
    <w:rsid w:val="000C6B75"/>
    <w:rsid w:val="001A696F"/>
    <w:rsid w:val="005E4836"/>
    <w:rsid w:val="00A77C57"/>
    <w:rsid w:val="00BE268E"/>
    <w:rsid w:val="00DD6FE1"/>
    <w:rsid w:val="00E64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8E"/>
    <w:rPr>
      <w:color w:val="808080"/>
    </w:rPr>
  </w:style>
  <w:style w:type="paragraph" w:customStyle="1" w:styleId="F5FF0D12DFB543178D1AFF1F6BF99414">
    <w:name w:val="F5FF0D12DFB543178D1AFF1F6BF99414"/>
    <w:rsid w:val="00BE268E"/>
  </w:style>
  <w:style w:type="paragraph" w:customStyle="1" w:styleId="472C318A7363454A876A03D35CB9C31F">
    <w:name w:val="472C318A7363454A876A03D35CB9C31F"/>
    <w:rsid w:val="00BE268E"/>
  </w:style>
  <w:style w:type="paragraph" w:customStyle="1" w:styleId="AABB881E36004BA5A9CFED8ACFA89AF8">
    <w:name w:val="AABB881E36004BA5A9CFED8ACFA89AF8"/>
    <w:rsid w:val="00BE268E"/>
  </w:style>
  <w:style w:type="paragraph" w:customStyle="1" w:styleId="717D806B93CE47909B076668854598DD">
    <w:name w:val="717D806B93CE47909B076668854598DD"/>
    <w:rsid w:val="00BE268E"/>
  </w:style>
  <w:style w:type="paragraph" w:customStyle="1" w:styleId="C9C678E815904CB68C56ACFF7325E213">
    <w:name w:val="C9C678E815904CB68C56ACFF7325E213"/>
    <w:rsid w:val="00BE268E"/>
  </w:style>
  <w:style w:type="paragraph" w:customStyle="1" w:styleId="CACA701F124A46CC85475FF0708FC4D1">
    <w:name w:val="CACA701F124A46CC85475FF0708FC4D1"/>
    <w:rsid w:val="00BE268E"/>
  </w:style>
  <w:style w:type="paragraph" w:customStyle="1" w:styleId="463F2C7247B845E795E5AD3007EC3D6B">
    <w:name w:val="463F2C7247B845E795E5AD3007EC3D6B"/>
    <w:rsid w:val="00BE268E"/>
  </w:style>
  <w:style w:type="paragraph" w:customStyle="1" w:styleId="C55C48C59C9843409F20F6A5E4C7C1FE">
    <w:name w:val="C55C48C59C9843409F20F6A5E4C7C1FE"/>
    <w:rsid w:val="00BE268E"/>
  </w:style>
  <w:style w:type="paragraph" w:customStyle="1" w:styleId="C5623E3184C7441BBA873E15BF82ACE9">
    <w:name w:val="C5623E3184C7441BBA873E15BF82ACE9"/>
    <w:rsid w:val="00BE268E"/>
  </w:style>
  <w:style w:type="paragraph" w:customStyle="1" w:styleId="552BE7A04F4C49FEA1D503A6516414A2">
    <w:name w:val="552BE7A04F4C49FEA1D503A6516414A2"/>
    <w:rsid w:val="00BE268E"/>
  </w:style>
  <w:style w:type="paragraph" w:customStyle="1" w:styleId="170BB8F614B44BBBB6C3050077F10E8D">
    <w:name w:val="170BB8F614B44BBBB6C3050077F10E8D"/>
    <w:rsid w:val="00BE2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F98B-C90C-4640-A6C6-686026982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E07EE-7CD5-47A6-A6E3-BC7E6ED0D712}">
  <ds:schemaRefs>
    <ds:schemaRef ds:uri="http://schemas.microsoft.com/sharepoint/v3/contenttype/forms"/>
  </ds:schemaRefs>
</ds:datastoreItem>
</file>

<file path=customXml/itemProps3.xml><?xml version="1.0" encoding="utf-8"?>
<ds:datastoreItem xmlns:ds="http://schemas.openxmlformats.org/officeDocument/2006/customXml" ds:itemID="{80C15F6A-7137-4273-B566-1E4543519408}">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4.xml><?xml version="1.0" encoding="utf-8"?>
<ds:datastoreItem xmlns:ds="http://schemas.openxmlformats.org/officeDocument/2006/customXml" ds:itemID="{B114E7DA-71B3-4800-BFBB-73F7AA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13101</Words>
  <Characters>74676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Bertya mollissima</vt:lpstr>
    </vt:vector>
  </TitlesOfParts>
  <Company/>
  <LinksUpToDate>false</LinksUpToDate>
  <CharactersWithSpaces>87602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Bertya mollissima</dc:title>
  <dc:subject/>
  <dc:creator>Department of Agriculture, Water and the Environment</dc:creator>
  <cp:keywords/>
  <dc:description/>
  <cp:lastModifiedBy>Bec Durack</cp:lastModifiedBy>
  <cp:revision>3</cp:revision>
  <cp:lastPrinted>2022-05-02T04:26:00Z</cp:lastPrinted>
  <dcterms:created xsi:type="dcterms:W3CDTF">2022-05-02T05:07:00Z</dcterms:created>
  <dcterms:modified xsi:type="dcterms:W3CDTF">2022-05-11T01:11:00Z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{5f9afe96-ba4e-41ba-8844-83f5bb173cfa}</vt:lpwstr>
  </property>
  <property fmtid="{D5CDD505-2E9C-101B-9397-08002B2CF9AE}" pid="7" name="RecordPoint_ActiveItemWebId">
    <vt:lpwstr>{ce0940a8-fbdd-4d61-aa5f-5fccf7e3a693}</vt:lpwstr>
  </property>
</Properties>
</file>