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0D2B" w14:textId="5DDADF40" w:rsidR="008F30CC" w:rsidRPr="00AE7AEA" w:rsidRDefault="008F30CC" w:rsidP="008F30CC">
      <w:pPr>
        <w:jc w:val="center"/>
        <w:rPr>
          <w:rFonts w:ascii="Arial" w:hAnsi="Arial" w:cs="Arial"/>
          <w:b/>
          <w:sz w:val="28"/>
          <w:szCs w:val="28"/>
        </w:rPr>
      </w:pPr>
      <w:bookmarkStart w:id="0" w:name="_Hlk67394827"/>
      <w:r w:rsidRPr="003A6857">
        <w:rPr>
          <w:rFonts w:ascii="Arial" w:hAnsi="Arial" w:cs="Arial"/>
          <w:b/>
          <w:sz w:val="28"/>
          <w:szCs w:val="28"/>
        </w:rPr>
        <w:t>Consultation Document on Listing Eligibility and Conservation Actions</w:t>
      </w:r>
    </w:p>
    <w:p w14:paraId="51E739FF" w14:textId="1A53BA84" w:rsidR="008F30CC" w:rsidRDefault="008F30CC" w:rsidP="008F30CC">
      <w:pPr>
        <w:pStyle w:val="NormalWeb"/>
        <w:spacing w:before="120" w:after="240"/>
        <w:jc w:val="center"/>
        <w:rPr>
          <w:rFonts w:ascii="Arial" w:eastAsiaTheme="majorEastAsia" w:hAnsi="Arial" w:cs="Arial"/>
          <w:b/>
          <w:i/>
          <w:iCs/>
          <w:spacing w:val="5"/>
          <w:kern w:val="28"/>
          <w:sz w:val="22"/>
          <w:szCs w:val="22"/>
          <w:lang w:eastAsia="en-US"/>
        </w:rPr>
      </w:pPr>
      <w:r w:rsidRPr="008F30CC">
        <w:rPr>
          <w:rFonts w:ascii="Arial" w:eastAsiaTheme="majorEastAsia" w:hAnsi="Arial" w:cs="Arial"/>
          <w:b/>
          <w:i/>
          <w:iCs/>
          <w:spacing w:val="5"/>
          <w:kern w:val="28"/>
          <w:sz w:val="22"/>
          <w:szCs w:val="22"/>
          <w:lang w:eastAsia="en-US"/>
        </w:rPr>
        <w:t xml:space="preserve">Climacteris picumnus victoriae </w:t>
      </w:r>
      <w:r w:rsidRPr="008F30CC">
        <w:rPr>
          <w:rFonts w:ascii="Arial" w:eastAsiaTheme="majorEastAsia" w:hAnsi="Arial" w:cs="Arial"/>
          <w:b/>
          <w:spacing w:val="5"/>
          <w:kern w:val="28"/>
          <w:sz w:val="22"/>
          <w:szCs w:val="22"/>
          <w:lang w:eastAsia="en-US"/>
        </w:rPr>
        <w:t>(Brown Treecreeper (south-eastern)</w:t>
      </w:r>
      <w:r>
        <w:rPr>
          <w:rFonts w:ascii="Arial" w:eastAsiaTheme="majorEastAsia" w:hAnsi="Arial" w:cs="Arial"/>
          <w:b/>
          <w:spacing w:val="5"/>
          <w:kern w:val="28"/>
          <w:sz w:val="22"/>
          <w:szCs w:val="22"/>
          <w:lang w:eastAsia="en-US"/>
        </w:rPr>
        <w:t>)</w:t>
      </w:r>
    </w:p>
    <w:p w14:paraId="54A77837" w14:textId="7C5B3402" w:rsidR="008F30CC" w:rsidRDefault="008F30CC" w:rsidP="008F30CC">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and supporting reasons related to:</w:t>
      </w:r>
    </w:p>
    <w:p w14:paraId="37BBC1A7" w14:textId="5CAB52FF" w:rsidR="008F30CC" w:rsidRDefault="008F30CC" w:rsidP="008F30CC">
      <w:pPr>
        <w:pStyle w:val="NormalWeb"/>
        <w:tabs>
          <w:tab w:val="left" w:pos="426"/>
        </w:tabs>
        <w:spacing w:before="120" w:after="240"/>
        <w:ind w:left="426" w:hanging="426"/>
        <w:rPr>
          <w:rFonts w:ascii="Arial" w:hAnsi="Arial" w:cs="Arial"/>
          <w:sz w:val="22"/>
          <w:szCs w:val="22"/>
        </w:rPr>
      </w:pPr>
      <w:r>
        <w:rPr>
          <w:rFonts w:ascii="Arial" w:hAnsi="Arial" w:cs="Arial"/>
          <w:sz w:val="22"/>
          <w:szCs w:val="22"/>
        </w:rPr>
        <w:t>1)</w:t>
      </w:r>
      <w:r>
        <w:rPr>
          <w:rFonts w:ascii="Arial" w:hAnsi="Arial" w:cs="Arial"/>
          <w:sz w:val="22"/>
          <w:szCs w:val="22"/>
        </w:rPr>
        <w:tab/>
        <w:t xml:space="preserve">the eligibility of </w:t>
      </w:r>
      <w:r w:rsidR="00A35399" w:rsidRPr="00A35399">
        <w:rPr>
          <w:rFonts w:ascii="Arial" w:hAnsi="Arial" w:cs="Arial"/>
          <w:i/>
          <w:iCs/>
          <w:sz w:val="22"/>
          <w:szCs w:val="22"/>
        </w:rPr>
        <w:t xml:space="preserve">Climacteris picumnus victoriae </w:t>
      </w:r>
      <w:r w:rsidR="00A35399" w:rsidRPr="00A35399">
        <w:rPr>
          <w:rFonts w:ascii="Arial" w:hAnsi="Arial" w:cs="Arial"/>
          <w:sz w:val="22"/>
          <w:szCs w:val="22"/>
        </w:rPr>
        <w:t>(Brown Treecreeper (south-eastern)</w:t>
      </w:r>
      <w:r w:rsidRPr="00A35399">
        <w:rPr>
          <w:rFonts w:ascii="Arial" w:hAnsi="Arial" w:cs="Arial"/>
          <w:sz w:val="22"/>
          <w:szCs w:val="22"/>
        </w:rPr>
        <w:t>)</w:t>
      </w:r>
      <w:r>
        <w:rPr>
          <w:rFonts w:ascii="Arial" w:hAnsi="Arial" w:cs="Arial"/>
          <w:i/>
          <w:iCs/>
          <w:sz w:val="22"/>
          <w:szCs w:val="22"/>
        </w:rPr>
        <w:t xml:space="preserve"> </w:t>
      </w:r>
      <w:r>
        <w:rPr>
          <w:rFonts w:ascii="Arial" w:hAnsi="Arial" w:cs="Arial"/>
          <w:sz w:val="22"/>
          <w:szCs w:val="22"/>
        </w:rPr>
        <w:t>for inclusion o</w:t>
      </w:r>
      <w:r w:rsidRPr="00B61DDB">
        <w:rPr>
          <w:rFonts w:ascii="Arial" w:hAnsi="Arial" w:cs="Arial"/>
          <w:sz w:val="22"/>
          <w:szCs w:val="22"/>
        </w:rPr>
        <w:t xml:space="preserve">n the </w:t>
      </w:r>
      <w:r w:rsidRPr="00B61DDB">
        <w:rPr>
          <w:rStyle w:val="HTMLAcronym"/>
          <w:rFonts w:ascii="Arial" w:hAnsi="Arial" w:cs="Arial"/>
          <w:sz w:val="22"/>
          <w:szCs w:val="22"/>
        </w:rPr>
        <w:t>EPBC</w:t>
      </w:r>
      <w:r w:rsidRPr="00B61DDB">
        <w:rPr>
          <w:rFonts w:ascii="Arial" w:hAnsi="Arial" w:cs="Arial"/>
          <w:sz w:val="22"/>
          <w:szCs w:val="22"/>
        </w:rPr>
        <w:t xml:space="preserve"> Act</w:t>
      </w:r>
      <w:r>
        <w:rPr>
          <w:rFonts w:ascii="Arial" w:hAnsi="Arial" w:cs="Arial"/>
          <w:sz w:val="22"/>
          <w:szCs w:val="22"/>
        </w:rPr>
        <w:t xml:space="preserve"> threatened species</w:t>
      </w:r>
      <w:r w:rsidRPr="00B61DDB">
        <w:rPr>
          <w:rFonts w:ascii="Arial" w:hAnsi="Arial" w:cs="Arial"/>
          <w:sz w:val="22"/>
          <w:szCs w:val="22"/>
        </w:rPr>
        <w:t xml:space="preserve"> list</w:t>
      </w:r>
      <w:r>
        <w:rPr>
          <w:rFonts w:ascii="Arial" w:hAnsi="Arial" w:cs="Arial"/>
          <w:sz w:val="22"/>
          <w:szCs w:val="22"/>
        </w:rPr>
        <w:t xml:space="preserve"> in the Vulnerable category; and </w:t>
      </w:r>
    </w:p>
    <w:p w14:paraId="3900FE2F" w14:textId="77777777" w:rsidR="008F30CC" w:rsidRDefault="008F30CC" w:rsidP="008F30CC">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762414BB" w14:textId="77777777" w:rsidR="008F30CC" w:rsidRDefault="008F30CC" w:rsidP="008F30CC">
      <w:pPr>
        <w:spacing w:before="120" w:after="240"/>
        <w:rPr>
          <w:rFonts w:ascii="Arial" w:hAnsi="Arial" w:cs="Arial"/>
        </w:rPr>
      </w:pPr>
      <w:r>
        <w:rPr>
          <w:rFonts w:ascii="Arial" w:hAnsi="Arial" w:cs="Arial"/>
        </w:rPr>
        <w:t>Evidence provided by</w:t>
      </w:r>
      <w:r w:rsidRPr="00616F58">
        <w:rPr>
          <w:rFonts w:ascii="Arial" w:hAnsi="Arial" w:cs="Arial"/>
        </w:rPr>
        <w:t xml:space="preserve"> experts, stak</w:t>
      </w:r>
      <w:r>
        <w:rPr>
          <w:rFonts w:ascii="Arial" w:hAnsi="Arial" w:cs="Arial"/>
        </w:rPr>
        <w:t>eholders and the general public are welcome. R</w:t>
      </w:r>
      <w:r w:rsidRPr="00616F58">
        <w:rPr>
          <w:rFonts w:ascii="Arial" w:hAnsi="Arial" w:cs="Arial"/>
        </w:rPr>
        <w:t xml:space="preserve">esponses can be </w:t>
      </w:r>
      <w:r>
        <w:rPr>
          <w:rFonts w:ascii="Arial" w:hAnsi="Arial" w:cs="Arial"/>
        </w:rPr>
        <w:t xml:space="preserve">provided by any interested person. </w:t>
      </w:r>
    </w:p>
    <w:p w14:paraId="613C4AF5" w14:textId="77777777" w:rsidR="008F30CC" w:rsidRDefault="008F30CC" w:rsidP="008F30CC">
      <w:pPr>
        <w:rPr>
          <w:rFonts w:ascii="Arial" w:hAnsi="Arial" w:cs="Arial"/>
        </w:rPr>
      </w:pPr>
      <w:r w:rsidRPr="00616F58">
        <w:rPr>
          <w:rFonts w:ascii="Arial" w:hAnsi="Arial" w:cs="Arial"/>
        </w:rPr>
        <w:t xml:space="preserve">Anyone may nominate a native species, ecological community or threatening process for listing under the </w:t>
      </w:r>
      <w:r w:rsidRPr="00616F58">
        <w:rPr>
          <w:rFonts w:ascii="Arial" w:hAnsi="Arial" w:cs="Arial"/>
          <w:i/>
          <w:iCs/>
        </w:rPr>
        <w:t>Environment Protection and Biodiversity Conservation Act 1999</w:t>
      </w:r>
      <w:r w:rsidRPr="00616F58">
        <w:rPr>
          <w:rFonts w:ascii="Arial" w:hAnsi="Arial" w:cs="Arial"/>
        </w:rPr>
        <w:t xml:space="preserve"> (</w:t>
      </w:r>
      <w:r>
        <w:rPr>
          <w:rFonts w:ascii="Arial" w:hAnsi="Arial" w:cs="Arial"/>
        </w:rPr>
        <w:t>EPBC Act) or for a transfer of an item already on the list to a new listing category.</w:t>
      </w:r>
      <w:r w:rsidRPr="00B61DDB">
        <w:rPr>
          <w:rFonts w:ascii="Arial" w:hAnsi="Arial" w:cs="Arial"/>
        </w:rPr>
        <w:t xml:space="preserve"> The Threatened Species Scientific Committee (the Committee) undertakes the assessment of </w:t>
      </w:r>
      <w:r>
        <w:rPr>
          <w:rFonts w:ascii="Arial" w:hAnsi="Arial" w:cs="Arial"/>
        </w:rPr>
        <w:t>species to determine</w:t>
      </w:r>
      <w:r w:rsidRPr="00B61DDB">
        <w:rPr>
          <w:rFonts w:ascii="Arial" w:hAnsi="Arial" w:cs="Arial"/>
        </w:rPr>
        <w:t xml:space="preserve"> eligibility for inclusion in the list of threatened </w:t>
      </w:r>
      <w:r>
        <w:rPr>
          <w:rFonts w:ascii="Arial" w:hAnsi="Arial" w:cs="Arial"/>
        </w:rPr>
        <w:t>species</w:t>
      </w:r>
      <w:r w:rsidRPr="00B61DDB">
        <w:rPr>
          <w:rFonts w:ascii="Arial" w:hAnsi="Arial" w:cs="Arial"/>
        </w:rPr>
        <w:t xml:space="preserve"> and provides its recommendation to the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6114911D" w14:textId="77777777" w:rsidR="008F30CC" w:rsidRDefault="008F30CC" w:rsidP="008F30CC">
      <w:pPr>
        <w:rPr>
          <w:rFonts w:ascii="Arial" w:hAnsi="Arial" w:cs="Arial"/>
        </w:rPr>
      </w:pPr>
      <w:r>
        <w:rPr>
          <w:rFonts w:ascii="Arial" w:hAnsi="Arial" w:cs="Arial"/>
        </w:rPr>
        <w:t xml:space="preserve">Responses are to be </w:t>
      </w:r>
      <w:r w:rsidRPr="00616F58">
        <w:rPr>
          <w:rFonts w:ascii="Arial" w:hAnsi="Arial" w:cs="Arial"/>
        </w:rPr>
        <w:t xml:space="preserve">provided </w:t>
      </w:r>
      <w:r>
        <w:rPr>
          <w:rFonts w:ascii="Arial" w:hAnsi="Arial" w:cs="Arial"/>
        </w:rPr>
        <w:t xml:space="preserve">in writing either </w:t>
      </w:r>
      <w:r w:rsidRPr="00616F58">
        <w:rPr>
          <w:rFonts w:ascii="Arial" w:hAnsi="Arial" w:cs="Arial"/>
        </w:rPr>
        <w:t>by email to</w:t>
      </w:r>
      <w:r>
        <w:rPr>
          <w:rFonts w:ascii="Arial" w:hAnsi="Arial" w:cs="Arial"/>
        </w:rPr>
        <w:t xml:space="preserve">: </w:t>
      </w:r>
      <w:hyperlink r:id="rId13" w:history="1">
        <w:r w:rsidRPr="00616F58">
          <w:rPr>
            <w:rStyle w:val="Hyperlink"/>
            <w:rFonts w:ascii="Arial" w:hAnsi="Arial" w:cs="Arial"/>
          </w:rPr>
          <w:t>species.consultation@</w:t>
        </w:r>
        <w:r w:rsidRPr="004F6E9D">
          <w:rPr>
            <w:rStyle w:val="Hyperlink"/>
            <w:rFonts w:ascii="Arial" w:hAnsi="Arial" w:cs="Arial"/>
          </w:rPr>
          <w:t>environment</w:t>
        </w:r>
        <w:r w:rsidRPr="00616F58">
          <w:rPr>
            <w:rStyle w:val="Hyperlink"/>
            <w:rFonts w:ascii="Arial" w:hAnsi="Arial" w:cs="Arial"/>
          </w:rPr>
          <w:t>.gov.au</w:t>
        </w:r>
      </w:hyperlink>
      <w:r w:rsidRPr="00616F58">
        <w:rPr>
          <w:rFonts w:ascii="Arial" w:hAnsi="Arial" w:cs="Arial"/>
        </w:rPr>
        <w:t xml:space="preserve"> </w:t>
      </w:r>
    </w:p>
    <w:p w14:paraId="6D0FE5E4" w14:textId="77777777" w:rsidR="008F30CC" w:rsidRPr="00AE7AEA" w:rsidRDefault="008F30CC" w:rsidP="008F30CC">
      <w:pPr>
        <w:rPr>
          <w:rFonts w:ascii="Arial" w:hAnsi="Arial" w:cs="Arial"/>
        </w:rPr>
      </w:pPr>
      <w:r w:rsidRPr="00616F58">
        <w:rPr>
          <w:rFonts w:ascii="Arial" w:hAnsi="Arial" w:cs="Arial"/>
          <w:color w:val="000000"/>
        </w:rPr>
        <w:t>or by mail to</w:t>
      </w:r>
      <w:r>
        <w:rPr>
          <w:rFonts w:ascii="Arial" w:hAnsi="Arial" w:cs="Arial"/>
          <w:color w:val="000000"/>
        </w:rPr>
        <w:t>:</w:t>
      </w:r>
      <w:r w:rsidRPr="00616F58">
        <w:rPr>
          <w:rFonts w:ascii="Arial" w:hAnsi="Arial" w:cs="Arial"/>
          <w:color w:val="000000"/>
        </w:rPr>
        <w:t xml:space="preserve"> </w:t>
      </w:r>
    </w:p>
    <w:p w14:paraId="15F34C4C" w14:textId="77777777" w:rsidR="008F30CC" w:rsidRPr="00665ED7" w:rsidRDefault="008F30CC" w:rsidP="008F30CC">
      <w:pPr>
        <w:spacing w:after="0"/>
        <w:ind w:left="426"/>
        <w:rPr>
          <w:rFonts w:ascii="Arial" w:hAnsi="Arial" w:cs="Arial"/>
        </w:rPr>
      </w:pPr>
      <w:r w:rsidRPr="00665ED7">
        <w:rPr>
          <w:rFonts w:ascii="Arial" w:hAnsi="Arial" w:cs="Arial"/>
        </w:rPr>
        <w:t>The Director</w:t>
      </w:r>
    </w:p>
    <w:p w14:paraId="31C2CBD0" w14:textId="77777777" w:rsidR="008F30CC" w:rsidRPr="00665ED7" w:rsidRDefault="008F30CC" w:rsidP="008F30CC">
      <w:pPr>
        <w:spacing w:after="0"/>
        <w:ind w:left="426"/>
        <w:rPr>
          <w:rFonts w:ascii="Arial" w:hAnsi="Arial" w:cs="Arial"/>
        </w:rPr>
      </w:pPr>
      <w:r w:rsidRPr="00665ED7">
        <w:rPr>
          <w:rFonts w:ascii="Arial" w:hAnsi="Arial" w:cs="Arial"/>
        </w:rPr>
        <w:t>Migratory Species Section</w:t>
      </w:r>
    </w:p>
    <w:p w14:paraId="1911B9FD" w14:textId="77777777" w:rsidR="008F30CC" w:rsidRDefault="008F30CC" w:rsidP="008F30CC">
      <w:pPr>
        <w:spacing w:after="0"/>
        <w:ind w:left="426"/>
        <w:rPr>
          <w:rFonts w:ascii="Arial" w:hAnsi="Arial" w:cs="Arial"/>
          <w:color w:val="000000"/>
        </w:rPr>
      </w:pPr>
      <w:r>
        <w:rPr>
          <w:rFonts w:ascii="Arial" w:hAnsi="Arial" w:cs="Arial"/>
          <w:color w:val="000000"/>
        </w:rPr>
        <w:t>Biodiversity Conservation Division</w:t>
      </w:r>
    </w:p>
    <w:p w14:paraId="5818E711" w14:textId="77777777" w:rsidR="008F30CC" w:rsidRPr="00B61DDB" w:rsidRDefault="008F30CC" w:rsidP="008F30CC">
      <w:pPr>
        <w:spacing w:after="0"/>
        <w:ind w:left="426"/>
        <w:rPr>
          <w:rFonts w:ascii="Arial" w:hAnsi="Arial" w:cs="Arial"/>
          <w:color w:val="000000"/>
        </w:rPr>
      </w:pPr>
      <w:r>
        <w:rPr>
          <w:rFonts w:ascii="Arial" w:hAnsi="Arial" w:cs="Arial"/>
          <w:color w:val="000000"/>
        </w:rPr>
        <w:t>Department of Agriculture, Water and the Environment</w:t>
      </w:r>
    </w:p>
    <w:p w14:paraId="4E654DF1" w14:textId="77777777" w:rsidR="008F30CC" w:rsidRPr="00616F58" w:rsidRDefault="008F30CC" w:rsidP="008F30CC">
      <w:pPr>
        <w:spacing w:after="0"/>
        <w:ind w:left="426"/>
        <w:rPr>
          <w:rFonts w:ascii="Arial" w:hAnsi="Arial" w:cs="Arial"/>
          <w:color w:val="000000"/>
        </w:rPr>
      </w:pPr>
      <w:r w:rsidRPr="00B61DDB">
        <w:rPr>
          <w:rFonts w:ascii="Arial" w:hAnsi="Arial" w:cs="Arial"/>
          <w:color w:val="000000"/>
        </w:rPr>
        <w:t xml:space="preserve">PO Box </w:t>
      </w:r>
      <w:r>
        <w:rPr>
          <w:rFonts w:ascii="Arial" w:hAnsi="Arial" w:cs="Arial"/>
          <w:color w:val="000000"/>
        </w:rPr>
        <w:t>858</w:t>
      </w:r>
    </w:p>
    <w:p w14:paraId="1F6BFD6E" w14:textId="77777777" w:rsidR="008F30CC" w:rsidRDefault="008F30CC" w:rsidP="008F30CC">
      <w:pPr>
        <w:ind w:left="426"/>
        <w:rPr>
          <w:rFonts w:ascii="Arial" w:hAnsi="Arial" w:cs="Arial"/>
          <w:color w:val="000000"/>
        </w:rPr>
      </w:pPr>
      <w:r w:rsidRPr="00616F58">
        <w:rPr>
          <w:rFonts w:ascii="Arial" w:hAnsi="Arial" w:cs="Arial"/>
          <w:color w:val="000000"/>
        </w:rPr>
        <w:t>Canberra ACT 2601</w:t>
      </w:r>
    </w:p>
    <w:p w14:paraId="0CE62780" w14:textId="0654CB87" w:rsidR="008F30CC" w:rsidRDefault="008F30CC" w:rsidP="008F30CC">
      <w:pPr>
        <w:spacing w:after="120"/>
        <w:rPr>
          <w:rFonts w:ascii="Arial" w:hAnsi="Arial" w:cs="Arial"/>
          <w:color w:val="000000"/>
        </w:rPr>
      </w:pPr>
      <w:r w:rsidRPr="001C0C0C">
        <w:rPr>
          <w:rFonts w:ascii="Arial" w:hAnsi="Arial" w:cs="Arial"/>
          <w:b/>
        </w:rPr>
        <w:t>Responses are required to be submitted by</w:t>
      </w:r>
      <w:r w:rsidR="000351D6">
        <w:rPr>
          <w:rFonts w:ascii="Arial" w:hAnsi="Arial" w:cs="Arial"/>
          <w:b/>
        </w:rPr>
        <w:t xml:space="preserve"> 18 March 2022.</w:t>
      </w:r>
    </w:p>
    <w:tbl>
      <w:tblPr>
        <w:tblW w:w="9854" w:type="dxa"/>
        <w:tblLayout w:type="fixed"/>
        <w:tblLook w:val="04A0" w:firstRow="1" w:lastRow="0" w:firstColumn="1" w:lastColumn="0" w:noHBand="0" w:noVBand="1"/>
      </w:tblPr>
      <w:tblGrid>
        <w:gridCol w:w="9039"/>
        <w:gridCol w:w="815"/>
      </w:tblGrid>
      <w:tr w:rsidR="008F30CC" w:rsidRPr="00CE5A35" w14:paraId="54FE2EB1" w14:textId="77777777" w:rsidTr="008C0415">
        <w:tc>
          <w:tcPr>
            <w:tcW w:w="9039" w:type="dxa"/>
            <w:tcBorders>
              <w:top w:val="single" w:sz="4" w:space="0" w:color="auto"/>
              <w:left w:val="single" w:sz="4" w:space="0" w:color="auto"/>
              <w:bottom w:val="single" w:sz="4" w:space="0" w:color="auto"/>
              <w:right w:val="single" w:sz="4" w:space="0" w:color="auto"/>
            </w:tcBorders>
            <w:shd w:val="pct15" w:color="auto" w:fill="auto"/>
          </w:tcPr>
          <w:p w14:paraId="7486185D" w14:textId="77777777" w:rsidR="008F30CC" w:rsidRPr="00E20C53" w:rsidRDefault="008F30CC" w:rsidP="008C0415">
            <w:pPr>
              <w:rPr>
                <w:rFonts w:ascii="Arial" w:hAnsi="Arial" w:cs="Arial"/>
                <w:b/>
              </w:rPr>
            </w:pPr>
            <w:r w:rsidRPr="00D06A4A">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576190D5" w14:textId="77777777" w:rsidR="008F30CC" w:rsidRPr="00E20C53" w:rsidRDefault="008F30CC" w:rsidP="008C0415">
            <w:pPr>
              <w:rPr>
                <w:rFonts w:ascii="Arial" w:hAnsi="Arial" w:cs="Arial"/>
                <w:b/>
                <w:bCs/>
              </w:rPr>
            </w:pPr>
            <w:r w:rsidRPr="00E20C53">
              <w:rPr>
                <w:rFonts w:ascii="Arial" w:hAnsi="Arial" w:cs="Arial"/>
                <w:b/>
                <w:bCs/>
              </w:rPr>
              <w:t>Page</w:t>
            </w:r>
          </w:p>
        </w:tc>
      </w:tr>
      <w:tr w:rsidR="008F30CC" w:rsidRPr="00CE5A35" w14:paraId="7E39EAA2" w14:textId="77777777" w:rsidTr="008C0415">
        <w:tc>
          <w:tcPr>
            <w:tcW w:w="9039" w:type="dxa"/>
            <w:tcBorders>
              <w:top w:val="single" w:sz="4" w:space="0" w:color="auto"/>
              <w:left w:val="single" w:sz="4" w:space="0" w:color="auto"/>
              <w:bottom w:val="single" w:sz="4" w:space="0" w:color="auto"/>
              <w:right w:val="single" w:sz="4" w:space="0" w:color="auto"/>
            </w:tcBorders>
          </w:tcPr>
          <w:p w14:paraId="36522B0C" w14:textId="77777777" w:rsidR="008F30CC" w:rsidRPr="006E11B4" w:rsidRDefault="008F30CC" w:rsidP="008C0415">
            <w:pPr>
              <w:rPr>
                <w:rFonts w:ascii="Arial" w:hAnsi="Arial" w:cs="Arial"/>
              </w:rPr>
            </w:pPr>
            <w:r w:rsidRPr="006E11B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094A30AC" w14:textId="77777777" w:rsidR="008F30CC" w:rsidRPr="00AE557F" w:rsidRDefault="008F30CC" w:rsidP="008C0415">
            <w:pPr>
              <w:jc w:val="center"/>
              <w:rPr>
                <w:rFonts w:ascii="Arial" w:hAnsi="Arial" w:cs="Arial"/>
              </w:rPr>
            </w:pPr>
            <w:r>
              <w:rPr>
                <w:rFonts w:ascii="Arial" w:hAnsi="Arial" w:cs="Arial"/>
              </w:rPr>
              <w:t>2</w:t>
            </w:r>
          </w:p>
        </w:tc>
      </w:tr>
      <w:tr w:rsidR="008F30CC" w:rsidRPr="00CE5A35" w14:paraId="078AAF1B" w14:textId="77777777" w:rsidTr="008C0415">
        <w:tc>
          <w:tcPr>
            <w:tcW w:w="9039" w:type="dxa"/>
            <w:tcBorders>
              <w:top w:val="single" w:sz="4" w:space="0" w:color="auto"/>
              <w:left w:val="single" w:sz="4" w:space="0" w:color="auto"/>
              <w:bottom w:val="single" w:sz="4" w:space="0" w:color="auto"/>
              <w:right w:val="single" w:sz="4" w:space="0" w:color="auto"/>
            </w:tcBorders>
          </w:tcPr>
          <w:p w14:paraId="0EEB32E1" w14:textId="77777777" w:rsidR="008F30CC" w:rsidRPr="006E11B4" w:rsidRDefault="008F30CC" w:rsidP="008C0415">
            <w:pPr>
              <w:rPr>
                <w:rFonts w:ascii="Arial" w:hAnsi="Arial" w:cs="Arial"/>
              </w:rPr>
            </w:pPr>
            <w:r w:rsidRPr="006E11B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00B961C" w14:textId="77777777" w:rsidR="008F30CC" w:rsidRPr="00AE557F" w:rsidRDefault="008F30CC" w:rsidP="008C0415">
            <w:pPr>
              <w:jc w:val="center"/>
              <w:rPr>
                <w:rFonts w:ascii="Arial" w:hAnsi="Arial" w:cs="Arial"/>
              </w:rPr>
            </w:pPr>
            <w:r>
              <w:rPr>
                <w:rFonts w:ascii="Arial" w:hAnsi="Arial" w:cs="Arial"/>
              </w:rPr>
              <w:t>3</w:t>
            </w:r>
          </w:p>
        </w:tc>
      </w:tr>
      <w:tr w:rsidR="008F30CC" w:rsidRPr="00CE5A35" w14:paraId="59492DF5" w14:textId="77777777" w:rsidTr="008C0415">
        <w:tc>
          <w:tcPr>
            <w:tcW w:w="9039" w:type="dxa"/>
            <w:tcBorders>
              <w:top w:val="single" w:sz="4" w:space="0" w:color="auto"/>
              <w:left w:val="single" w:sz="4" w:space="0" w:color="auto"/>
              <w:bottom w:val="single" w:sz="4" w:space="0" w:color="auto"/>
              <w:right w:val="single" w:sz="4" w:space="0" w:color="auto"/>
            </w:tcBorders>
          </w:tcPr>
          <w:p w14:paraId="6E6C46E5" w14:textId="740CAC49" w:rsidR="008F30CC" w:rsidRPr="00CE5A35" w:rsidRDefault="008F30CC" w:rsidP="008C0415">
            <w:pPr>
              <w:rPr>
                <w:rFonts w:ascii="Arial" w:hAnsi="Arial" w:cs="Arial"/>
              </w:rPr>
            </w:pPr>
            <w:r w:rsidRPr="00CE5A35">
              <w:rPr>
                <w:rFonts w:ascii="Arial" w:hAnsi="Arial" w:cs="Arial"/>
              </w:rPr>
              <w:t xml:space="preserve">Draft information </w:t>
            </w:r>
            <w:r w:rsidRPr="00F929C0">
              <w:rPr>
                <w:rFonts w:ascii="Arial" w:hAnsi="Arial" w:cs="Arial"/>
              </w:rPr>
              <w:t xml:space="preserve">about </w:t>
            </w:r>
            <w:r>
              <w:rPr>
                <w:rFonts w:ascii="Arial" w:hAnsi="Arial" w:cs="Arial"/>
                <w:iCs/>
              </w:rPr>
              <w:t xml:space="preserve">the </w:t>
            </w:r>
            <w:r w:rsidR="00817ED8">
              <w:rPr>
                <w:rFonts w:ascii="Arial" w:hAnsi="Arial" w:cs="Arial"/>
              </w:rPr>
              <w:t>Brown Treecreeper (south-eastern)</w:t>
            </w:r>
            <w:r w:rsidRPr="00F929C0">
              <w:rPr>
                <w:rFonts w:ascii="Arial" w:hAnsi="Arial" w:cs="Arial"/>
              </w:rPr>
              <w:t xml:space="preserve"> and its eligibility</w:t>
            </w:r>
            <w:r>
              <w:rPr>
                <w:rFonts w:ascii="Arial" w:hAnsi="Arial" w:cs="Arial"/>
              </w:rPr>
              <w:t xml:space="preserve"> for listing</w:t>
            </w:r>
          </w:p>
        </w:tc>
        <w:tc>
          <w:tcPr>
            <w:tcW w:w="815" w:type="dxa"/>
            <w:tcBorders>
              <w:top w:val="single" w:sz="4" w:space="0" w:color="auto"/>
              <w:left w:val="single" w:sz="4" w:space="0" w:color="auto"/>
              <w:bottom w:val="single" w:sz="4" w:space="0" w:color="auto"/>
              <w:right w:val="single" w:sz="4" w:space="0" w:color="auto"/>
            </w:tcBorders>
          </w:tcPr>
          <w:p w14:paraId="4AE89FD9" w14:textId="77777777" w:rsidR="008F30CC" w:rsidRPr="004C741D" w:rsidRDefault="008F30CC" w:rsidP="008C0415">
            <w:pPr>
              <w:jc w:val="center"/>
              <w:rPr>
                <w:rFonts w:ascii="Arial" w:hAnsi="Arial" w:cs="Arial"/>
              </w:rPr>
            </w:pPr>
            <w:r w:rsidRPr="004C741D">
              <w:rPr>
                <w:rFonts w:ascii="Arial" w:hAnsi="Arial" w:cs="Arial"/>
              </w:rPr>
              <w:t>4</w:t>
            </w:r>
          </w:p>
        </w:tc>
      </w:tr>
      <w:tr w:rsidR="008F30CC" w:rsidRPr="00CE5A35" w14:paraId="2490A537" w14:textId="77777777" w:rsidTr="008C0415">
        <w:tc>
          <w:tcPr>
            <w:tcW w:w="9039" w:type="dxa"/>
            <w:tcBorders>
              <w:top w:val="single" w:sz="4" w:space="0" w:color="auto"/>
              <w:left w:val="single" w:sz="4" w:space="0" w:color="auto"/>
              <w:bottom w:val="single" w:sz="4" w:space="0" w:color="auto"/>
              <w:right w:val="single" w:sz="4" w:space="0" w:color="auto"/>
            </w:tcBorders>
          </w:tcPr>
          <w:p w14:paraId="6774FFF2" w14:textId="77777777" w:rsidR="008F30CC" w:rsidRPr="00AE557F" w:rsidRDefault="008F30CC" w:rsidP="008C0415">
            <w:pPr>
              <w:rPr>
                <w:rFonts w:ascii="Arial" w:hAnsi="Arial" w:cs="Arial"/>
              </w:rPr>
            </w:pPr>
            <w:r w:rsidRPr="00AE557F">
              <w:rPr>
                <w:rFonts w:ascii="Arial" w:hAnsi="Arial" w:cs="Arial"/>
              </w:rPr>
              <w:t xml:space="preserve">Conservation actions for </w:t>
            </w:r>
            <w:r>
              <w:rPr>
                <w:rFonts w:ascii="Arial" w:hAnsi="Arial" w:cs="Arial"/>
              </w:rPr>
              <w:t>the</w:t>
            </w:r>
            <w:r w:rsidRPr="00AE557F">
              <w:rPr>
                <w:rFonts w:ascii="Arial" w:hAnsi="Arial" w:cs="Arial"/>
              </w:rPr>
              <w:t xml:space="preserve"> species</w:t>
            </w:r>
          </w:p>
        </w:tc>
        <w:tc>
          <w:tcPr>
            <w:tcW w:w="815" w:type="dxa"/>
            <w:tcBorders>
              <w:top w:val="single" w:sz="4" w:space="0" w:color="auto"/>
              <w:left w:val="single" w:sz="4" w:space="0" w:color="auto"/>
              <w:bottom w:val="single" w:sz="4" w:space="0" w:color="auto"/>
              <w:right w:val="single" w:sz="4" w:space="0" w:color="auto"/>
            </w:tcBorders>
          </w:tcPr>
          <w:p w14:paraId="0E8BCEFE" w14:textId="44705854" w:rsidR="008F30CC" w:rsidRPr="004C741D" w:rsidRDefault="008F30CC" w:rsidP="008C0415">
            <w:pPr>
              <w:jc w:val="center"/>
              <w:rPr>
                <w:rFonts w:ascii="Arial" w:hAnsi="Arial" w:cs="Arial"/>
              </w:rPr>
            </w:pPr>
            <w:r w:rsidRPr="004C741D">
              <w:rPr>
                <w:rFonts w:ascii="Arial" w:hAnsi="Arial" w:cs="Arial"/>
              </w:rPr>
              <w:t>1</w:t>
            </w:r>
            <w:r w:rsidR="008709A8">
              <w:rPr>
                <w:rFonts w:ascii="Arial" w:hAnsi="Arial" w:cs="Arial"/>
              </w:rPr>
              <w:t>3</w:t>
            </w:r>
          </w:p>
        </w:tc>
      </w:tr>
      <w:tr w:rsidR="008F30CC" w:rsidRPr="00CE5A35" w14:paraId="36FA2B60" w14:textId="77777777" w:rsidTr="008C0415">
        <w:tc>
          <w:tcPr>
            <w:tcW w:w="9039" w:type="dxa"/>
            <w:tcBorders>
              <w:top w:val="single" w:sz="4" w:space="0" w:color="auto"/>
              <w:left w:val="single" w:sz="4" w:space="0" w:color="auto"/>
              <w:bottom w:val="single" w:sz="4" w:space="0" w:color="auto"/>
              <w:right w:val="single" w:sz="4" w:space="0" w:color="auto"/>
            </w:tcBorders>
          </w:tcPr>
          <w:p w14:paraId="5C1EF8A2" w14:textId="77777777" w:rsidR="008F30CC" w:rsidRPr="00AE557F" w:rsidRDefault="008F30CC" w:rsidP="008C0415">
            <w:pPr>
              <w:rPr>
                <w:rFonts w:ascii="Arial" w:hAnsi="Arial" w:cs="Arial"/>
              </w:rPr>
            </w:pPr>
            <w:r w:rsidRPr="00AE557F">
              <w:rPr>
                <w:rFonts w:ascii="Arial" w:hAnsi="Arial" w:cs="Arial"/>
              </w:rPr>
              <w:t xml:space="preserve">References cited </w:t>
            </w:r>
          </w:p>
        </w:tc>
        <w:tc>
          <w:tcPr>
            <w:tcW w:w="815" w:type="dxa"/>
            <w:tcBorders>
              <w:top w:val="single" w:sz="4" w:space="0" w:color="auto"/>
              <w:left w:val="single" w:sz="4" w:space="0" w:color="auto"/>
              <w:bottom w:val="single" w:sz="4" w:space="0" w:color="auto"/>
              <w:right w:val="single" w:sz="4" w:space="0" w:color="auto"/>
            </w:tcBorders>
          </w:tcPr>
          <w:p w14:paraId="2B354DE6" w14:textId="37452DF0" w:rsidR="008F30CC" w:rsidRPr="004C741D" w:rsidRDefault="008F30CC" w:rsidP="008C0415">
            <w:pPr>
              <w:jc w:val="center"/>
              <w:rPr>
                <w:rFonts w:ascii="Arial" w:hAnsi="Arial" w:cs="Arial"/>
              </w:rPr>
            </w:pPr>
            <w:r w:rsidRPr="004C741D">
              <w:rPr>
                <w:rFonts w:ascii="Arial" w:hAnsi="Arial" w:cs="Arial"/>
              </w:rPr>
              <w:t>1</w:t>
            </w:r>
            <w:r w:rsidR="008709A8">
              <w:rPr>
                <w:rFonts w:ascii="Arial" w:hAnsi="Arial" w:cs="Arial"/>
              </w:rPr>
              <w:t>6</w:t>
            </w:r>
          </w:p>
        </w:tc>
      </w:tr>
      <w:tr w:rsidR="008F30CC" w:rsidRPr="00CE5A35" w14:paraId="2B04E3A1" w14:textId="77777777" w:rsidTr="008C0415">
        <w:tc>
          <w:tcPr>
            <w:tcW w:w="9039" w:type="dxa"/>
            <w:tcBorders>
              <w:top w:val="single" w:sz="4" w:space="0" w:color="auto"/>
              <w:left w:val="single" w:sz="4" w:space="0" w:color="auto"/>
              <w:bottom w:val="single" w:sz="4" w:space="0" w:color="auto"/>
              <w:right w:val="single" w:sz="4" w:space="0" w:color="auto"/>
            </w:tcBorders>
          </w:tcPr>
          <w:p w14:paraId="365ECBE8" w14:textId="77777777" w:rsidR="008F30CC" w:rsidRPr="00AE557F" w:rsidRDefault="008F30CC" w:rsidP="008C0415">
            <w:pPr>
              <w:rPr>
                <w:rFonts w:ascii="Arial" w:hAnsi="Arial" w:cs="Arial"/>
              </w:rPr>
            </w:pPr>
            <w:r w:rsidRPr="00AE557F">
              <w:rPr>
                <w:rFonts w:ascii="Arial" w:hAnsi="Arial" w:cs="Arial"/>
              </w:rPr>
              <w:t>Collective list of questions – your views</w:t>
            </w:r>
          </w:p>
        </w:tc>
        <w:tc>
          <w:tcPr>
            <w:tcW w:w="815" w:type="dxa"/>
            <w:tcBorders>
              <w:top w:val="single" w:sz="4" w:space="0" w:color="auto"/>
              <w:left w:val="single" w:sz="4" w:space="0" w:color="auto"/>
              <w:bottom w:val="single" w:sz="4" w:space="0" w:color="auto"/>
              <w:right w:val="single" w:sz="4" w:space="0" w:color="auto"/>
            </w:tcBorders>
          </w:tcPr>
          <w:p w14:paraId="6DC14870" w14:textId="3B1DC4BD" w:rsidR="008F30CC" w:rsidRPr="004C741D" w:rsidRDefault="008F30CC" w:rsidP="008C0415">
            <w:pPr>
              <w:jc w:val="center"/>
              <w:rPr>
                <w:rFonts w:ascii="Arial" w:hAnsi="Arial" w:cs="Arial"/>
              </w:rPr>
            </w:pPr>
            <w:r w:rsidRPr="004C741D">
              <w:rPr>
                <w:rFonts w:ascii="Arial" w:hAnsi="Arial" w:cs="Arial"/>
              </w:rPr>
              <w:t>2</w:t>
            </w:r>
            <w:r w:rsidR="008709A8">
              <w:rPr>
                <w:rFonts w:ascii="Arial" w:hAnsi="Arial" w:cs="Arial"/>
              </w:rPr>
              <w:t>8</w:t>
            </w:r>
          </w:p>
        </w:tc>
      </w:tr>
    </w:tbl>
    <w:p w14:paraId="759D638A" w14:textId="77777777" w:rsidR="008F30CC" w:rsidRPr="00BA49B4" w:rsidRDefault="008F30CC" w:rsidP="008F30CC">
      <w:pPr>
        <w:rPr>
          <w:rFonts w:ascii="Arial" w:hAnsi="Arial" w:cs="Arial"/>
          <w:b/>
        </w:rPr>
      </w:pPr>
      <w:r w:rsidRPr="00A16DF6">
        <w:rPr>
          <w:rFonts w:ascii="Arial" w:hAnsi="Arial" w:cs="Arial"/>
        </w:rPr>
        <w:br w:type="page"/>
      </w:r>
      <w:r>
        <w:rPr>
          <w:rFonts w:ascii="Arial" w:hAnsi="Arial" w:cs="Arial"/>
          <w:b/>
        </w:rPr>
        <w:lastRenderedPageBreak/>
        <w:t>General background information</w:t>
      </w:r>
      <w:r w:rsidRPr="00732E63">
        <w:rPr>
          <w:rFonts w:ascii="Arial" w:hAnsi="Arial" w:cs="Arial"/>
          <w:b/>
        </w:rPr>
        <w:t xml:space="preserve"> about </w:t>
      </w:r>
      <w:r w:rsidRPr="00331826">
        <w:rPr>
          <w:rFonts w:ascii="Arial" w:hAnsi="Arial" w:cs="Arial"/>
          <w:b/>
        </w:rPr>
        <w:t>listing threatened species</w:t>
      </w:r>
    </w:p>
    <w:p w14:paraId="5A2D7018" w14:textId="4160B0AB" w:rsidR="008F30CC" w:rsidRDefault="008F30CC" w:rsidP="008F30CC">
      <w:pPr>
        <w:rPr>
          <w:rFonts w:ascii="Arial" w:hAnsi="Arial" w:cs="Arial"/>
        </w:rPr>
      </w:pPr>
      <w:r w:rsidRPr="007D3CBD">
        <w:rPr>
          <w:rFonts w:ascii="Arial" w:hAnsi="Arial" w:cs="Arial"/>
        </w:rPr>
        <w:t xml:space="preserve">The Australian Government helps protect species at risk </w:t>
      </w:r>
      <w:r>
        <w:rPr>
          <w:rFonts w:ascii="Arial" w:hAnsi="Arial" w:cs="Arial"/>
        </w:rPr>
        <w:t xml:space="preserve">of extinction </w:t>
      </w:r>
      <w:r w:rsidRPr="007D3CBD">
        <w:rPr>
          <w:rFonts w:ascii="Arial" w:hAnsi="Arial" w:cs="Arial"/>
        </w:rPr>
        <w:t>by listing them as threatened under Part 13 of the EPBC Act. Once listed</w:t>
      </w:r>
      <w:r>
        <w:rPr>
          <w:rFonts w:ascii="Arial" w:hAnsi="Arial" w:cs="Arial"/>
        </w:rPr>
        <w:t xml:space="preserve"> under the EPBC Act</w:t>
      </w:r>
      <w:r w:rsidRPr="007D3CBD">
        <w:rPr>
          <w:rFonts w:ascii="Arial" w:hAnsi="Arial" w:cs="Arial"/>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rPr>
        <w:t xml:space="preserve">More information about </w:t>
      </w:r>
      <w:r>
        <w:rPr>
          <w:rFonts w:ascii="Arial" w:hAnsi="Arial" w:cs="Arial"/>
        </w:rPr>
        <w:t>threatened species</w:t>
      </w:r>
      <w:r w:rsidRPr="00FD5B5C">
        <w:rPr>
          <w:rFonts w:ascii="Arial" w:hAnsi="Arial" w:cs="Arial"/>
        </w:rPr>
        <w:t xml:space="preserve"> is available on the department’s website at: </w:t>
      </w:r>
      <w:hyperlink r:id="rId14" w:history="1">
        <w:r w:rsidR="004F4696" w:rsidRPr="001A7A83">
          <w:rPr>
            <w:rStyle w:val="Hyperlink"/>
            <w:rFonts w:ascii="Arial" w:hAnsi="Arial" w:cs="Arial"/>
          </w:rPr>
          <w:t>http://www.environment.gov.au/biodiversity/threatened/index.html</w:t>
        </w:r>
      </w:hyperlink>
      <w:r>
        <w:rPr>
          <w:rFonts w:ascii="Arial" w:hAnsi="Arial" w:cs="Arial"/>
        </w:rPr>
        <w:t>.</w:t>
      </w:r>
    </w:p>
    <w:p w14:paraId="37881964" w14:textId="664C0E6E" w:rsidR="008F30CC" w:rsidRPr="00650D63" w:rsidRDefault="008F30CC" w:rsidP="008F30CC">
      <w:pPr>
        <w:rPr>
          <w:color w:val="1F497D"/>
        </w:rPr>
      </w:pPr>
      <w:r w:rsidRPr="00FD5B5C">
        <w:rPr>
          <w:rFonts w:ascii="Arial" w:hAnsi="Arial" w:cs="Arial"/>
        </w:rPr>
        <w:t xml:space="preserve">Public nominations to list </w:t>
      </w:r>
      <w:r>
        <w:rPr>
          <w:rFonts w:ascii="Arial" w:hAnsi="Arial" w:cs="Arial"/>
        </w:rPr>
        <w:t>threatened species</w:t>
      </w:r>
      <w:r w:rsidRPr="00FD5B5C">
        <w:rPr>
          <w:rFonts w:ascii="Arial" w:hAnsi="Arial" w:cs="Arial"/>
        </w:rPr>
        <w:t xml:space="preserve"> under the EPBC Act are rece</w:t>
      </w:r>
      <w:r>
        <w:rPr>
          <w:rFonts w:ascii="Arial" w:hAnsi="Arial" w:cs="Arial"/>
        </w:rPr>
        <w:t>ived annually by the Department</w:t>
      </w:r>
      <w:r w:rsidRPr="00FD5B5C">
        <w:rPr>
          <w:rFonts w:ascii="Arial" w:hAnsi="Arial" w:cs="Arial"/>
        </w:rPr>
        <w:t xml:space="preserve">. </w:t>
      </w:r>
      <w:r w:rsidRPr="00616F58">
        <w:rPr>
          <w:rFonts w:ascii="Arial" w:hAnsi="Arial" w:cs="Arial"/>
        </w:rPr>
        <w:t>In order to determine if a species is eligible for listing</w:t>
      </w:r>
      <w:r>
        <w:rPr>
          <w:rFonts w:ascii="Arial" w:hAnsi="Arial" w:cs="Arial"/>
        </w:rPr>
        <w:t xml:space="preserve"> as threatened</w:t>
      </w:r>
      <w:r w:rsidRPr="00616F58">
        <w:rPr>
          <w:rFonts w:ascii="Arial" w:hAnsi="Arial" w:cs="Arial"/>
        </w:rPr>
        <w:t xml:space="preserve"> under the EPBC Act, the </w:t>
      </w:r>
      <w:r>
        <w:rPr>
          <w:rFonts w:ascii="Arial" w:hAnsi="Arial" w:cs="Arial"/>
        </w:rPr>
        <w:t xml:space="preserve">Threatened Species Scientific </w:t>
      </w:r>
      <w:r w:rsidRPr="00616F58">
        <w:rPr>
          <w:rFonts w:ascii="Arial" w:hAnsi="Arial" w:cs="Arial"/>
        </w:rPr>
        <w:t>Committee</w:t>
      </w:r>
      <w:r>
        <w:rPr>
          <w:rFonts w:ascii="Arial" w:hAnsi="Arial" w:cs="Arial"/>
        </w:rPr>
        <w:t xml:space="preserve"> (the Committee) undertakes</w:t>
      </w:r>
      <w:r w:rsidRPr="00616F58">
        <w:rPr>
          <w:rFonts w:ascii="Arial" w:hAnsi="Arial" w:cs="Arial"/>
        </w:rPr>
        <w:t xml:space="preserve"> a rigorous scientific assessment of its </w:t>
      </w:r>
      <w:r>
        <w:rPr>
          <w:rFonts w:ascii="Arial" w:hAnsi="Arial" w:cs="Arial"/>
        </w:rPr>
        <w:t xml:space="preserve">status </w:t>
      </w:r>
      <w:r w:rsidRPr="00616F58">
        <w:rPr>
          <w:rFonts w:ascii="Arial" w:hAnsi="Arial" w:cs="Arial"/>
        </w:rPr>
        <w:t xml:space="preserve">to determine if </w:t>
      </w:r>
      <w:r>
        <w:rPr>
          <w:rFonts w:ascii="Arial" w:hAnsi="Arial" w:cs="Arial"/>
        </w:rPr>
        <w:t xml:space="preserve">the species </w:t>
      </w:r>
      <w:r w:rsidRPr="00616F58">
        <w:rPr>
          <w:rFonts w:ascii="Arial" w:hAnsi="Arial" w:cs="Arial"/>
        </w:rPr>
        <w:t>is eligible for listing against a set of criteria</w:t>
      </w:r>
      <w:r>
        <w:rPr>
          <w:rFonts w:ascii="Arial" w:hAnsi="Arial" w:cs="Arial"/>
        </w:rPr>
        <w:t xml:space="preserve">. These </w:t>
      </w:r>
      <w:r w:rsidRPr="00616F58">
        <w:rPr>
          <w:rFonts w:ascii="Arial" w:hAnsi="Arial" w:cs="Arial"/>
        </w:rPr>
        <w:t>criteria</w:t>
      </w:r>
      <w:r>
        <w:rPr>
          <w:rFonts w:ascii="Arial" w:hAnsi="Arial" w:cs="Arial"/>
        </w:rPr>
        <w:t xml:space="preserve"> are </w:t>
      </w:r>
      <w:r w:rsidRPr="00616F58">
        <w:rPr>
          <w:rFonts w:ascii="Arial" w:hAnsi="Arial" w:cs="Arial"/>
        </w:rPr>
        <w:t>available</w:t>
      </w:r>
      <w:r>
        <w:rPr>
          <w:rFonts w:ascii="Arial" w:hAnsi="Arial" w:cs="Arial"/>
        </w:rPr>
        <w:t xml:space="preserve"> on the Department’s website</w:t>
      </w:r>
      <w:r w:rsidRPr="00616F58">
        <w:rPr>
          <w:rFonts w:ascii="Arial" w:hAnsi="Arial" w:cs="Arial"/>
        </w:rPr>
        <w:t xml:space="preserve"> at:</w:t>
      </w:r>
      <w:r>
        <w:rPr>
          <w:rFonts w:ascii="Arial" w:hAnsi="Arial" w:cs="Arial"/>
        </w:rPr>
        <w:t xml:space="preserve"> </w:t>
      </w:r>
      <w:hyperlink r:id="rId15" w:history="1">
        <w:r w:rsidR="006C1A3B" w:rsidRPr="001A7A83">
          <w:rPr>
            <w:rStyle w:val="Hyperlink"/>
            <w:rFonts w:ascii="Arial" w:hAnsi="Arial" w:cs="Arial"/>
          </w:rPr>
          <w:t>http://www.environment.gov.au/system/files/pages/d72dfd1a-f0d8-4699-8d43-5d95bbb02428/files/tssc-guidelines-assessing-species-2018.pdf</w:t>
        </w:r>
      </w:hyperlink>
      <w:r w:rsidRPr="00FB2C14">
        <w:rPr>
          <w:color w:val="1F497D"/>
        </w:rPr>
        <w:t>.</w:t>
      </w:r>
    </w:p>
    <w:p w14:paraId="7B42EBC3" w14:textId="77777777" w:rsidR="008F30CC" w:rsidRDefault="008F30CC" w:rsidP="008F30CC">
      <w:pPr>
        <w:rPr>
          <w:rFonts w:ascii="Arial" w:hAnsi="Arial" w:cs="Arial"/>
        </w:rPr>
      </w:pPr>
      <w:r w:rsidRPr="00FD5B5C">
        <w:rPr>
          <w:rFonts w:ascii="Arial" w:hAnsi="Arial" w:cs="Arial"/>
        </w:rPr>
        <w:t xml:space="preserve">As part of the assessment process, the Committee consults with the public and stakeholders to obtain specific details </w:t>
      </w:r>
      <w:r>
        <w:rPr>
          <w:rFonts w:ascii="Arial" w:hAnsi="Arial" w:cs="Arial"/>
        </w:rPr>
        <w:t>about</w:t>
      </w:r>
      <w:r w:rsidRPr="00FD5B5C">
        <w:rPr>
          <w:rFonts w:ascii="Arial" w:hAnsi="Arial" w:cs="Arial"/>
        </w:rPr>
        <w:t xml:space="preserve"> the </w:t>
      </w:r>
      <w:r>
        <w:rPr>
          <w:rFonts w:ascii="Arial" w:hAnsi="Arial" w:cs="Arial"/>
        </w:rPr>
        <w:t>species</w:t>
      </w:r>
      <w:r w:rsidRPr="00FD5B5C">
        <w:rPr>
          <w:rFonts w:ascii="Arial" w:hAnsi="Arial" w:cs="Arial"/>
        </w:rPr>
        <w:t xml:space="preserve">, as well as advice on what </w:t>
      </w:r>
      <w:r>
        <w:rPr>
          <w:rFonts w:ascii="Arial" w:hAnsi="Arial" w:cs="Arial"/>
        </w:rPr>
        <w:t>conservation</w:t>
      </w:r>
      <w:r w:rsidRPr="00FD5B5C">
        <w:rPr>
          <w:rFonts w:ascii="Arial" w:hAnsi="Arial" w:cs="Arial"/>
        </w:rPr>
        <w:t xml:space="preserve"> actions might be appropriate. Information provided through the consultation process is considered by the Committee in its assessment. </w:t>
      </w:r>
      <w:r>
        <w:rPr>
          <w:rFonts w:ascii="Arial" w:hAnsi="Arial" w:cs="Arial"/>
        </w:rPr>
        <w:t>The Committee provides its advice on the assessment (together with comments received) to</w:t>
      </w:r>
      <w:r w:rsidRPr="00FD5B5C">
        <w:rPr>
          <w:rFonts w:ascii="Arial" w:hAnsi="Arial" w:cs="Arial"/>
        </w:rPr>
        <w:t xml:space="preserve"> the Minister regarding the eligibility of the </w:t>
      </w:r>
      <w:r>
        <w:rPr>
          <w:rFonts w:ascii="Arial" w:hAnsi="Arial" w:cs="Arial"/>
        </w:rPr>
        <w:t>species</w:t>
      </w:r>
      <w:r w:rsidRPr="00FD5B5C">
        <w:rPr>
          <w:rFonts w:ascii="Arial" w:hAnsi="Arial" w:cs="Arial"/>
        </w:rPr>
        <w:t xml:space="preserve"> for listing</w:t>
      </w:r>
      <w:r>
        <w:rPr>
          <w:rFonts w:ascii="Arial" w:hAnsi="Arial" w:cs="Arial"/>
        </w:rPr>
        <w:t xml:space="preserve"> under a particular category</w:t>
      </w:r>
      <w:r w:rsidRPr="00FD5B5C">
        <w:rPr>
          <w:rFonts w:ascii="Arial" w:hAnsi="Arial" w:cs="Arial"/>
        </w:rPr>
        <w:t xml:space="preserve"> and what </w:t>
      </w:r>
      <w:r>
        <w:rPr>
          <w:rFonts w:ascii="Arial" w:hAnsi="Arial" w:cs="Arial"/>
        </w:rPr>
        <w:t>conservation</w:t>
      </w:r>
      <w:r w:rsidRPr="00FD5B5C">
        <w:rPr>
          <w:rFonts w:ascii="Arial" w:hAnsi="Arial" w:cs="Arial"/>
        </w:rPr>
        <w:t xml:space="preserve"> actions might be appropriate. The Minister decides to add, or not to add, </w:t>
      </w:r>
      <w:r>
        <w:rPr>
          <w:rFonts w:ascii="Arial" w:hAnsi="Arial" w:cs="Arial"/>
        </w:rPr>
        <w:t>the species to the list of threatened species</w:t>
      </w:r>
      <w:r w:rsidRPr="00FD5B5C">
        <w:rPr>
          <w:rFonts w:ascii="Arial" w:hAnsi="Arial" w:cs="Arial"/>
        </w:rPr>
        <w:t xml:space="preserve"> under the EPBC Act.</w:t>
      </w:r>
      <w:r w:rsidRPr="00E04B1E">
        <w:rPr>
          <w:rFonts w:ascii="Arial" w:hAnsi="Arial" w:cs="Arial"/>
        </w:rPr>
        <w:t xml:space="preserve"> </w:t>
      </w:r>
      <w:r w:rsidRPr="007D3CBD">
        <w:rPr>
          <w:rFonts w:ascii="Arial" w:hAnsi="Arial" w:cs="Arial"/>
        </w:rPr>
        <w:t>More detailed information about the</w:t>
      </w:r>
      <w:r>
        <w:rPr>
          <w:rFonts w:ascii="Arial" w:hAnsi="Arial" w:cs="Arial"/>
        </w:rPr>
        <w:t xml:space="preserve"> listing process is at: </w:t>
      </w:r>
      <w:hyperlink r:id="rId16" w:history="1">
        <w:r w:rsidRPr="007C4BD5">
          <w:rPr>
            <w:rStyle w:val="Hyperlink"/>
            <w:rFonts w:ascii="Arial" w:hAnsi="Arial" w:cs="Arial"/>
          </w:rPr>
          <w:t>http://www.environment.gov.au/biodiversity/threatened/nominations.html</w:t>
        </w:r>
      </w:hyperlink>
      <w:r>
        <w:rPr>
          <w:rFonts w:ascii="Arial" w:hAnsi="Arial" w:cs="Arial"/>
        </w:rPr>
        <w:t>.</w:t>
      </w:r>
    </w:p>
    <w:p w14:paraId="515BA142" w14:textId="77777777" w:rsidR="008F30CC" w:rsidRDefault="008F30CC" w:rsidP="008F30CC">
      <w:pPr>
        <w:rPr>
          <w:rFonts w:ascii="Arial" w:hAnsi="Arial" w:cs="Arial"/>
        </w:rPr>
      </w:pPr>
      <w:r w:rsidRPr="007D3CBD">
        <w:rPr>
          <w:rFonts w:ascii="Arial" w:hAnsi="Arial" w:cs="Arial"/>
        </w:rPr>
        <w:t>To promote the recovery of listed threatened species and ecological communities, conservation advices and</w:t>
      </w:r>
      <w:r>
        <w:rPr>
          <w:rFonts w:ascii="Arial" w:hAnsi="Arial" w:cs="Arial"/>
        </w:rPr>
        <w:t xml:space="preserve"> where required,</w:t>
      </w:r>
      <w:r w:rsidRPr="007D3CBD">
        <w:rPr>
          <w:rFonts w:ascii="Arial" w:hAnsi="Arial" w:cs="Arial"/>
        </w:rPr>
        <w:t xml:space="preserve">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rPr>
        <w:t>I</w:t>
      </w:r>
      <w:r w:rsidRPr="007D3CBD">
        <w:rPr>
          <w:rFonts w:ascii="Arial" w:hAnsi="Arial" w:cs="Arial"/>
        </w:rPr>
        <w:t xml:space="preserve">nformation about recovery plans is available on the department’s website at: </w:t>
      </w:r>
      <w:hyperlink r:id="rId17" w:history="1">
        <w:r w:rsidRPr="00806CE6">
          <w:rPr>
            <w:rStyle w:val="Hyperlink"/>
            <w:rFonts w:ascii="Arial" w:hAnsi="Arial" w:cs="Arial"/>
          </w:rPr>
          <w:t>http://www.environment.gov.au/biodiversity/threatened/recovery.html</w:t>
        </w:r>
      </w:hyperlink>
      <w:r>
        <w:rPr>
          <w:rFonts w:ascii="Arial" w:hAnsi="Arial" w:cs="Arial"/>
        </w:rPr>
        <w:t>.</w:t>
      </w:r>
    </w:p>
    <w:p w14:paraId="43463FE9" w14:textId="77777777" w:rsidR="008F30CC" w:rsidRPr="001111B2" w:rsidRDefault="008F30CC" w:rsidP="008F30CC">
      <w:pPr>
        <w:rPr>
          <w:rFonts w:ascii="Arial" w:hAnsi="Arial" w:cs="Arial"/>
          <w:b/>
        </w:rPr>
      </w:pPr>
      <w:r w:rsidRPr="001111B2">
        <w:rPr>
          <w:rFonts w:ascii="Arial" w:hAnsi="Arial" w:cs="Arial"/>
          <w:b/>
        </w:rPr>
        <w:t>Privacy notice</w:t>
      </w:r>
    </w:p>
    <w:p w14:paraId="790EACCD" w14:textId="77777777" w:rsidR="008F30CC" w:rsidRPr="001111B2" w:rsidRDefault="008F30CC" w:rsidP="008F30CC">
      <w:pPr>
        <w:rPr>
          <w:rFonts w:ascii="Arial" w:hAnsi="Arial" w:cs="Arial"/>
        </w:rPr>
      </w:pPr>
      <w:r w:rsidRPr="001111B2">
        <w:rPr>
          <w:rFonts w:ascii="Arial" w:hAnsi="Arial" w:cs="Arial"/>
        </w:rPr>
        <w:t xml:space="preserve">The Department will collect, use, store and disclose the personal information you provide in a manner consistent with the Department’s obligations under the </w:t>
      </w:r>
      <w:r w:rsidRPr="00986028">
        <w:rPr>
          <w:rFonts w:ascii="Arial" w:hAnsi="Arial" w:cs="Arial"/>
          <w:i/>
        </w:rPr>
        <w:t>Privacy Act 1988</w:t>
      </w:r>
      <w:r w:rsidRPr="001111B2">
        <w:rPr>
          <w:rFonts w:ascii="Arial" w:hAnsi="Arial" w:cs="Arial"/>
        </w:rPr>
        <w:t xml:space="preserve"> (Cwth) and the Department’s Privacy Policy.</w:t>
      </w:r>
    </w:p>
    <w:p w14:paraId="43082889" w14:textId="77777777" w:rsidR="008F30CC" w:rsidRPr="001111B2" w:rsidRDefault="008F30CC" w:rsidP="008F30CC">
      <w:pPr>
        <w:rPr>
          <w:rFonts w:ascii="Arial" w:hAnsi="Arial" w:cs="Arial"/>
        </w:rPr>
      </w:pPr>
      <w:r w:rsidRPr="001111B2">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2B07F78C" w14:textId="77777777" w:rsidR="008F30CC" w:rsidRPr="001111B2" w:rsidRDefault="008F30CC" w:rsidP="008F30CC">
      <w:pPr>
        <w:rPr>
          <w:rFonts w:ascii="Arial" w:hAnsi="Arial" w:cs="Arial"/>
        </w:rPr>
      </w:pPr>
      <w:r w:rsidRPr="001111B2">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w:t>
      </w:r>
      <w:r w:rsidRPr="001111B2">
        <w:rPr>
          <w:rFonts w:ascii="Arial" w:hAnsi="Arial" w:cs="Arial"/>
        </w:rPr>
        <w:lastRenderedPageBreak/>
        <w:t xml:space="preserve">the status of a potentially threatened species. This is also known as the </w:t>
      </w:r>
      <w:hyperlink r:id="rId18" w:history="1">
        <w:r w:rsidRPr="001111B2">
          <w:rPr>
            <w:rStyle w:val="Hyperlink"/>
            <w:rFonts w:ascii="Arial" w:hAnsi="Arial" w:cs="Arial"/>
          </w:rPr>
          <w:t>‘common assessment method’</w:t>
        </w:r>
      </w:hyperlink>
      <w:r w:rsidRPr="001111B2">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6BB07F49" w14:textId="77777777" w:rsidR="008F30CC" w:rsidRPr="00BA49B4" w:rsidRDefault="008F30CC" w:rsidP="008F30CC">
      <w:pPr>
        <w:rPr>
          <w:rFonts w:ascii="Arial" w:hAnsi="Arial" w:cs="Arial"/>
        </w:rPr>
      </w:pPr>
      <w:r w:rsidRPr="001111B2">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sidRPr="00667AE5">
          <w:rPr>
            <w:rStyle w:val="Hyperlink"/>
            <w:rFonts w:ascii="Arial" w:hAnsi="Arial" w:cs="Arial"/>
          </w:rPr>
          <w:t>http://environment.gov.au/privacy-policy</w:t>
        </w:r>
      </w:hyperlink>
      <w:r>
        <w:rPr>
          <w:rFonts w:ascii="Arial" w:hAnsi="Arial" w:cs="Arial"/>
        </w:rPr>
        <w:t xml:space="preserve"> .</w:t>
      </w:r>
    </w:p>
    <w:p w14:paraId="6D101405" w14:textId="77777777" w:rsidR="008F30CC" w:rsidRPr="00BA49B4" w:rsidRDefault="008F30CC" w:rsidP="008F30CC">
      <w:pPr>
        <w:rPr>
          <w:rFonts w:ascii="Arial" w:hAnsi="Arial" w:cs="Arial"/>
          <w:b/>
        </w:rPr>
      </w:pPr>
      <w:r>
        <w:rPr>
          <w:rFonts w:ascii="Arial" w:hAnsi="Arial" w:cs="Arial"/>
          <w:b/>
        </w:rPr>
        <w:t xml:space="preserve">Information about this </w:t>
      </w:r>
      <w:r w:rsidRPr="00D06A4A">
        <w:rPr>
          <w:rFonts w:ascii="Arial" w:hAnsi="Arial" w:cs="Arial"/>
          <w:b/>
        </w:rPr>
        <w:t>consultation</w:t>
      </w:r>
      <w:r>
        <w:rPr>
          <w:rFonts w:ascii="Arial" w:hAnsi="Arial" w:cs="Arial"/>
          <w:b/>
        </w:rPr>
        <w:t xml:space="preserve"> process</w:t>
      </w:r>
    </w:p>
    <w:p w14:paraId="1CDCF170" w14:textId="77777777" w:rsidR="008F30CC" w:rsidRDefault="008F30CC" w:rsidP="008F30CC">
      <w:pPr>
        <w:rPr>
          <w:rFonts w:ascii="Arial" w:hAnsi="Arial" w:cs="Arial"/>
        </w:rPr>
      </w:pPr>
      <w:r>
        <w:rPr>
          <w:rFonts w:ascii="Arial" w:hAnsi="Arial" w:cs="Arial"/>
        </w:rPr>
        <w:t>R</w:t>
      </w:r>
      <w:r w:rsidRPr="00616F58">
        <w:rPr>
          <w:rFonts w:ascii="Arial" w:hAnsi="Arial" w:cs="Arial"/>
        </w:rPr>
        <w:t xml:space="preserve">esponses to this consultation </w:t>
      </w:r>
      <w:r>
        <w:rPr>
          <w:rFonts w:ascii="Arial" w:hAnsi="Arial" w:cs="Arial"/>
        </w:rPr>
        <w:t xml:space="preserve">can be provided electronically or in hard copy to the contact addresses provided on Page 1. All responses received </w:t>
      </w:r>
      <w:r w:rsidRPr="00616F58">
        <w:rPr>
          <w:rFonts w:ascii="Arial" w:hAnsi="Arial" w:cs="Arial"/>
        </w:rPr>
        <w:t>will be provided in full to the</w:t>
      </w:r>
      <w:r>
        <w:rPr>
          <w:rFonts w:ascii="Arial" w:hAnsi="Arial" w:cs="Arial"/>
        </w:rPr>
        <w:t xml:space="preserve"> Committee and then to the</w:t>
      </w:r>
      <w:r w:rsidRPr="00616F58">
        <w:rPr>
          <w:rFonts w:ascii="Arial" w:hAnsi="Arial" w:cs="Arial"/>
        </w:rPr>
        <w:t xml:space="preserv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632725A2" w14:textId="77777777" w:rsidR="008F30CC" w:rsidRPr="00616F58" w:rsidRDefault="008F30CC" w:rsidP="008F30CC">
      <w:pPr>
        <w:rPr>
          <w:rFonts w:ascii="Arial" w:hAnsi="Arial" w:cs="Arial"/>
        </w:rPr>
      </w:pPr>
      <w:r w:rsidRPr="00616F58">
        <w:rPr>
          <w:rFonts w:ascii="Arial" w:hAnsi="Arial" w:cs="Arial"/>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rPr>
        <w:t xml:space="preserve">a </w:t>
      </w:r>
      <w:r w:rsidRPr="00616F58">
        <w:rPr>
          <w:rFonts w:ascii="Arial" w:hAnsi="Arial" w:cs="Arial"/>
        </w:rPr>
        <w:t>‘personal communication’ unless you provide references or otherwise attribute this information</w:t>
      </w:r>
      <w:r>
        <w:rPr>
          <w:rFonts w:ascii="Arial" w:hAnsi="Arial" w:cs="Arial"/>
        </w:rPr>
        <w:t xml:space="preserve"> (please specify if your organisation requires that this information is attributed to your organisation instead of yourself)</w:t>
      </w:r>
      <w:r w:rsidRPr="00616F58">
        <w:rPr>
          <w:rFonts w:ascii="Arial" w:hAnsi="Arial" w:cs="Arial"/>
        </w:rPr>
        <w:t>.</w:t>
      </w:r>
      <w:r>
        <w:rPr>
          <w:rFonts w:ascii="Arial" w:hAnsi="Arial" w:cs="Arial"/>
        </w:rPr>
        <w:t xml:space="preserve"> </w:t>
      </w:r>
      <w:r w:rsidRPr="00616F58">
        <w:rPr>
          <w:rFonts w:ascii="Arial" w:hAnsi="Arial" w:cs="Arial"/>
        </w:rPr>
        <w:t xml:space="preserve">The final advice </w:t>
      </w:r>
      <w:r>
        <w:rPr>
          <w:rFonts w:ascii="Arial" w:hAnsi="Arial" w:cs="Arial"/>
        </w:rPr>
        <w:t xml:space="preserve">by the Committee </w:t>
      </w:r>
      <w:r w:rsidRPr="00616F58">
        <w:rPr>
          <w:rFonts w:ascii="Arial" w:hAnsi="Arial" w:cs="Arial"/>
        </w:rPr>
        <w:t xml:space="preserve">will be published on the department’s website </w:t>
      </w:r>
      <w:r>
        <w:rPr>
          <w:rFonts w:ascii="Arial" w:hAnsi="Arial" w:cs="Arial"/>
        </w:rPr>
        <w:t>following the listing</w:t>
      </w:r>
      <w:r w:rsidRPr="00616F58">
        <w:rPr>
          <w:rFonts w:ascii="Arial" w:hAnsi="Arial" w:cs="Arial"/>
        </w:rPr>
        <w:t xml:space="preserve"> decision </w:t>
      </w:r>
      <w:r>
        <w:rPr>
          <w:rFonts w:ascii="Arial" w:hAnsi="Arial" w:cs="Arial"/>
        </w:rPr>
        <w:t>by the Minister.</w:t>
      </w:r>
    </w:p>
    <w:p w14:paraId="73888446" w14:textId="77777777" w:rsidR="00635459" w:rsidRDefault="008F30CC" w:rsidP="008F30CC">
      <w:pPr>
        <w:rPr>
          <w:rFonts w:ascii="Arial" w:hAnsi="Arial" w:cs="Arial"/>
        </w:rPr>
        <w:sectPr w:rsidR="00635459" w:rsidSect="005208A6">
          <w:headerReference w:type="even" r:id="rId20"/>
          <w:headerReference w:type="default"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r w:rsidRPr="00616F58">
        <w:rPr>
          <w:rFonts w:ascii="Arial" w:hAnsi="Arial" w:cs="Arial"/>
        </w:rPr>
        <w:t>Information provided through consultation may be subject to freedom of information legislation and court processes. It is also important to note that under the EPBC Act,</w:t>
      </w:r>
      <w:r w:rsidRPr="00616F58">
        <w:rPr>
          <w:rFonts w:ascii="Arial" w:hAnsi="Arial" w:cs="Arial"/>
          <w:i/>
        </w:rPr>
        <w:t xml:space="preserve"> </w:t>
      </w:r>
      <w:r w:rsidRPr="00616F58">
        <w:rPr>
          <w:rFonts w:ascii="Arial" w:hAnsi="Arial" w:cs="Arial"/>
        </w:rPr>
        <w:t>the deliberations and recommendations of the Committee are confidential until the Minister has made a final decision on the nomination, unless otherwise determined by the Minister.</w:t>
      </w:r>
    </w:p>
    <w:bookmarkEnd w:id="0"/>
    <w:p w14:paraId="56667D40" w14:textId="69389888" w:rsidR="003113EE" w:rsidRPr="00635459" w:rsidRDefault="00817ED8" w:rsidP="00635459">
      <w:pPr>
        <w:pStyle w:val="Heading1"/>
      </w:pPr>
      <w:r>
        <w:lastRenderedPageBreak/>
        <w:t>Consultation document</w:t>
      </w:r>
      <w:r w:rsidR="00460C44">
        <w:t xml:space="preserve"> for </w:t>
      </w:r>
      <w:r w:rsidR="00B16806">
        <w:br/>
      </w:r>
      <w:bookmarkStart w:id="1" w:name="_Hlk66694672"/>
      <w:r w:rsidR="00AC6363" w:rsidRPr="00AC6363">
        <w:rPr>
          <w:rStyle w:val="Emphasis"/>
        </w:rPr>
        <w:t xml:space="preserve">Climacteris picumnus victoriae </w:t>
      </w:r>
      <w:r w:rsidR="00460C44" w:rsidRPr="002B01EE">
        <w:t>(</w:t>
      </w:r>
      <w:r w:rsidR="00AC6363">
        <w:t>Brown Treecreeper (south-eastern</w:t>
      </w:r>
      <w:r w:rsidR="00460C44" w:rsidRPr="002B01EE">
        <w:t>)</w:t>
      </w:r>
      <w:r w:rsidR="00AC6363">
        <w:t>)</w:t>
      </w:r>
      <w:bookmarkEnd w:id="1"/>
    </w:p>
    <w:p w14:paraId="60289CE8" w14:textId="6CC832EA" w:rsidR="006D3581" w:rsidRPr="00AC3A2A" w:rsidRDefault="00751BCB" w:rsidP="005F2EAB">
      <w:pPr>
        <w:pStyle w:val="Heading2"/>
      </w:pPr>
      <w:r>
        <w:t>C</w:t>
      </w:r>
      <w:r w:rsidR="006D3581">
        <w:t>onservation status</w:t>
      </w:r>
    </w:p>
    <w:p w14:paraId="0C3BAF37" w14:textId="38B7F97A" w:rsidR="00AC6363" w:rsidRPr="008615F4" w:rsidRDefault="00AC6363" w:rsidP="00AC6363">
      <w:r w:rsidRPr="00AC6363">
        <w:rPr>
          <w:rStyle w:val="Emphasis"/>
        </w:rPr>
        <w:t xml:space="preserve">Climacteris picumnus victoriae </w:t>
      </w:r>
      <w:bookmarkStart w:id="2" w:name="_Hlk68595398"/>
      <w:r>
        <w:t>is being</w:t>
      </w:r>
      <w:r w:rsidRPr="008615F4">
        <w:t xml:space="preserve"> assessed by the Threatened Species Scientific Committee to be eligible for listing </w:t>
      </w:r>
      <w:r w:rsidRPr="00E37B1D">
        <w:t>under the EPBC Act. The Committee’s preliminary assessment is at Attachment A. The Committee’s preliminary assessmen</w:t>
      </w:r>
      <w:r w:rsidRPr="008615F4">
        <w:t xml:space="preserve">t of the </w:t>
      </w:r>
      <w:r>
        <w:t>sub</w:t>
      </w:r>
      <w:r w:rsidRPr="008615F4">
        <w:t>species’ eligibility against each of the listing criteria is:</w:t>
      </w:r>
      <w:bookmarkEnd w:id="2"/>
    </w:p>
    <w:p w14:paraId="4B74EDD6" w14:textId="12967CF2" w:rsidR="004D2790" w:rsidRDefault="004D2790" w:rsidP="004D2790">
      <w:pPr>
        <w:pStyle w:val="ListBullet"/>
      </w:pPr>
      <w:r>
        <w:t>Criterion 1: A2</w:t>
      </w:r>
      <w:r w:rsidR="008A6F13">
        <w:t>bce</w:t>
      </w:r>
      <w:r w:rsidR="00903833">
        <w:t>+</w:t>
      </w:r>
      <w:r>
        <w:t>3</w:t>
      </w:r>
      <w:r w:rsidR="008A6F13">
        <w:t>ce</w:t>
      </w:r>
      <w:r w:rsidR="00903833">
        <w:t>+</w:t>
      </w:r>
      <w:r>
        <w:t xml:space="preserve">4bce: </w:t>
      </w:r>
      <w:sdt>
        <w:sdtPr>
          <w:id w:val="77107183"/>
          <w:placeholder>
            <w:docPart w:val="FBDD99FE0561433789195F5D645CA0F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AE7D5A">
            <w:t>Vulnerable</w:t>
          </w:r>
        </w:sdtContent>
      </w:sdt>
    </w:p>
    <w:p w14:paraId="67185A3B" w14:textId="77777777" w:rsidR="00AC6363" w:rsidRDefault="004D2790" w:rsidP="00AC6363">
      <w:pPr>
        <w:pStyle w:val="ListBullet"/>
      </w:pPr>
      <w:r>
        <w:t xml:space="preserve">Criterion 2: </w:t>
      </w:r>
      <w:r w:rsidR="00AC6363">
        <w:t xml:space="preserve">Not eligible </w:t>
      </w:r>
    </w:p>
    <w:p w14:paraId="0A657692" w14:textId="5DE2F686" w:rsidR="004D2790" w:rsidRDefault="004D2790" w:rsidP="00AC6363">
      <w:pPr>
        <w:pStyle w:val="ListBullet"/>
      </w:pPr>
      <w:r>
        <w:t xml:space="preserve">Criterion 3: </w:t>
      </w:r>
      <w:r w:rsidR="00AC6363">
        <w:t>Not eligible</w:t>
      </w:r>
    </w:p>
    <w:p w14:paraId="76DE35F5" w14:textId="49FFF069" w:rsidR="002E32CA" w:rsidRDefault="004D2790" w:rsidP="004D2790">
      <w:pPr>
        <w:pStyle w:val="ListBullet"/>
      </w:pPr>
      <w:r>
        <w:t>Criterion 4:</w:t>
      </w:r>
      <w:r w:rsidR="00817ED8">
        <w:t xml:space="preserve"> </w:t>
      </w:r>
      <w:r w:rsidR="00AC6363">
        <w:t>Not eligible</w:t>
      </w:r>
    </w:p>
    <w:p w14:paraId="433A9160" w14:textId="77F21199" w:rsidR="005306BA" w:rsidRDefault="004D2790" w:rsidP="003A06CA">
      <w:pPr>
        <w:pStyle w:val="ListBullet"/>
      </w:pPr>
      <w:r>
        <w:t xml:space="preserve">Criterion 5: </w:t>
      </w:r>
      <w:sdt>
        <w:sdtPr>
          <w:id w:val="1205373663"/>
          <w:placeholder>
            <w:docPart w:val="512EE983CED14C46848387C7EB105B7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AE7D5A">
            <w:t>Insufficient data</w:t>
          </w:r>
        </w:sdtContent>
      </w:sdt>
    </w:p>
    <w:p w14:paraId="5E140AD1" w14:textId="1C8C8980" w:rsidR="00C116F9" w:rsidRDefault="004D2790" w:rsidP="005B7C2E">
      <w:r>
        <w:t xml:space="preserve">The main factor that </w:t>
      </w:r>
      <w:r w:rsidR="000C2B44">
        <w:t xml:space="preserve">appears to </w:t>
      </w:r>
      <w:r>
        <w:t xml:space="preserve">make the </w:t>
      </w:r>
      <w:r w:rsidR="000C2B44">
        <w:t>sub</w:t>
      </w:r>
      <w:r>
        <w:t xml:space="preserve">species eligible for listing in the </w:t>
      </w:r>
      <w:sdt>
        <w:sdtPr>
          <w:id w:val="-775248640"/>
          <w:placeholder>
            <w:docPart w:val="D93F4A59AF604739A5E78E54F3A0C6C8"/>
          </w:placeholder>
          <w:dropDownList>
            <w:listItem w:displayText="Critically Endangered" w:value="Critically Endangered"/>
            <w:listItem w:displayText="Endangered" w:value="Endangered"/>
            <w:listItem w:displayText="Vulnerable" w:value="Vulnerable"/>
          </w:dropDownList>
        </w:sdtPr>
        <w:sdtEndPr/>
        <w:sdtContent>
          <w:r w:rsidR="00AE7D5A">
            <w:t>Vulnerable</w:t>
          </w:r>
        </w:sdtContent>
      </w:sdt>
      <w:r w:rsidR="00624A10">
        <w:t xml:space="preserve"> </w:t>
      </w:r>
      <w:r>
        <w:t xml:space="preserve">category </w:t>
      </w:r>
      <w:r w:rsidR="000C2B44">
        <w:t>is</w:t>
      </w:r>
      <w:r w:rsidR="000C2B44" w:rsidRPr="004305E2">
        <w:t xml:space="preserve"> </w:t>
      </w:r>
      <w:r w:rsidR="004305E2">
        <w:t>that the population is estimated to have undergone a significant reduction in size (30–50</w:t>
      </w:r>
      <w:r w:rsidR="006233AC">
        <w:t>%</w:t>
      </w:r>
      <w:r w:rsidR="004305E2">
        <w:t>) in the last three generations (15 years)</w:t>
      </w:r>
      <w:r w:rsidR="005B7C2E">
        <w:t xml:space="preserve"> (</w:t>
      </w:r>
      <w:r w:rsidR="00852B2E">
        <w:t>Ford et al. 2021).</w:t>
      </w:r>
      <w:r w:rsidR="004305E2">
        <w:t xml:space="preserve"> </w:t>
      </w:r>
      <w:r w:rsidR="00852B2E">
        <w:t>T</w:t>
      </w:r>
      <w:r w:rsidR="004305E2">
        <w:t xml:space="preserve">here are now estimated to be </w:t>
      </w:r>
      <w:r w:rsidR="004C1A13">
        <w:t>68,000</w:t>
      </w:r>
      <w:r w:rsidR="004305E2">
        <w:t xml:space="preserve"> (range </w:t>
      </w:r>
      <w:r w:rsidR="004C1A13">
        <w:t>36</w:t>
      </w:r>
      <w:r w:rsidR="004305E2">
        <w:t>,</w:t>
      </w:r>
      <w:r w:rsidR="004C1A13">
        <w:t>0</w:t>
      </w:r>
      <w:r w:rsidR="004305E2">
        <w:t>00–</w:t>
      </w:r>
      <w:r w:rsidR="004C1A13">
        <w:t>113</w:t>
      </w:r>
      <w:r w:rsidR="004305E2">
        <w:t>,000) mature individuals</w:t>
      </w:r>
      <w:r w:rsidR="004C1A13">
        <w:t xml:space="preserve"> in the wild, though the reliability of this estimate is low (S Garnett pers. comm. 9 Nov 2021). </w:t>
      </w:r>
      <w:r w:rsidR="004305E2">
        <w:t>The extent of occurrence (EOO) for the subspecies is estimated to be 1,100,000 km</w:t>
      </w:r>
      <w:r w:rsidR="004305E2" w:rsidRPr="004305E2">
        <w:rPr>
          <w:vertAlign w:val="superscript"/>
        </w:rPr>
        <w:t>2</w:t>
      </w:r>
      <w:r w:rsidR="004305E2">
        <w:t xml:space="preserve"> (range 1,000,000–1,200,000 km</w:t>
      </w:r>
      <w:r w:rsidR="004305E2" w:rsidRPr="004305E2">
        <w:rPr>
          <w:vertAlign w:val="superscript"/>
        </w:rPr>
        <w:t>2</w:t>
      </w:r>
      <w:r w:rsidR="004305E2">
        <w:t xml:space="preserve">, stable trend), however the area of occupancy (AOO) is contracting and is estimated </w:t>
      </w:r>
      <w:r w:rsidR="0081130C">
        <w:t>at</w:t>
      </w:r>
      <w:r w:rsidR="004305E2">
        <w:t xml:space="preserve"> 30,000 km</w:t>
      </w:r>
      <w:r w:rsidR="004305E2" w:rsidRPr="004305E2">
        <w:rPr>
          <w:vertAlign w:val="superscript"/>
        </w:rPr>
        <w:t>2</w:t>
      </w:r>
      <w:r w:rsidR="004305E2">
        <w:t xml:space="preserve"> (range 24,000–50,000 km</w:t>
      </w:r>
      <w:r w:rsidR="004305E2" w:rsidRPr="004305E2">
        <w:rPr>
          <w:vertAlign w:val="superscript"/>
        </w:rPr>
        <w:t>2</w:t>
      </w:r>
      <w:r w:rsidR="004305E2">
        <w:t>) (</w:t>
      </w:r>
      <w:r w:rsidR="00852B2E">
        <w:t>Ford et al. 2021</w:t>
      </w:r>
      <w:r w:rsidR="004305E2">
        <w:t>).</w:t>
      </w:r>
      <w:r w:rsidR="004D0288" w:rsidRPr="004D0288">
        <w:t xml:space="preserve"> </w:t>
      </w:r>
    </w:p>
    <w:p w14:paraId="3452AD3E" w14:textId="32D6C8C4" w:rsidR="00AC6363" w:rsidRDefault="004305E2" w:rsidP="005306BA">
      <w:r>
        <w:t>The subspecies has long been recognised as a declining member of the woodland avifauna (</w:t>
      </w:r>
      <w:r w:rsidR="00852B2E">
        <w:t>Ford et al. 2021</w:t>
      </w:r>
      <w:r>
        <w:t xml:space="preserve">). This </w:t>
      </w:r>
      <w:bookmarkStart w:id="3" w:name="_Hlk69384810"/>
      <w:r>
        <w:t>decline</w:t>
      </w:r>
      <w:r w:rsidRPr="004305E2">
        <w:t xml:space="preserve"> is partially attributed to </w:t>
      </w:r>
      <w:r w:rsidR="000853F7">
        <w:t>ongoing threats such as</w:t>
      </w:r>
      <w:r w:rsidRPr="004305E2">
        <w:t>: increased predation from introduced mammals, invasive weeds</w:t>
      </w:r>
      <w:r w:rsidR="004C232B">
        <w:t>,</w:t>
      </w:r>
      <w:r w:rsidRPr="004305E2">
        <w:t xml:space="preserve"> and exclusion by Noisy Miners </w:t>
      </w:r>
      <w:r w:rsidR="007F10E2">
        <w:t>(</w:t>
      </w:r>
      <w:r w:rsidRPr="004305E2">
        <w:rPr>
          <w:i/>
          <w:iCs/>
        </w:rPr>
        <w:t>Manorina melanocephala</w:t>
      </w:r>
      <w:r w:rsidR="007F10E2" w:rsidRPr="007F10E2">
        <w:t>)</w:t>
      </w:r>
      <w:r w:rsidRPr="007F10E2">
        <w:t xml:space="preserve"> </w:t>
      </w:r>
      <w:r w:rsidRPr="004305E2">
        <w:t xml:space="preserve">(Willson &amp; Bignall 2009). Most of these threats are greater at habitat edges and so are exacerbated by </w:t>
      </w:r>
      <w:r w:rsidR="00EC69E6">
        <w:t xml:space="preserve">habitat </w:t>
      </w:r>
      <w:r w:rsidRPr="004305E2">
        <w:t xml:space="preserve">fragmentation. Grazing by stock, rabbits </w:t>
      </w:r>
      <w:r w:rsidRPr="004305E2">
        <w:rPr>
          <w:i/>
          <w:iCs/>
        </w:rPr>
        <w:t>Oryctolagus cuniculus</w:t>
      </w:r>
      <w:r w:rsidR="004C232B">
        <w:t>,</w:t>
      </w:r>
      <w:r w:rsidRPr="004305E2">
        <w:t xml:space="preserve"> and kangaroos </w:t>
      </w:r>
      <w:r w:rsidR="007F10E2">
        <w:t>(</w:t>
      </w:r>
      <w:r w:rsidRPr="004305E2">
        <w:rPr>
          <w:i/>
          <w:iCs/>
        </w:rPr>
        <w:t xml:space="preserve">Macropus </w:t>
      </w:r>
      <w:r w:rsidRPr="00882A2D">
        <w:t>spp</w:t>
      </w:r>
      <w:r w:rsidR="007F10E2">
        <w:t>.)</w:t>
      </w:r>
      <w:r w:rsidRPr="004305E2">
        <w:t xml:space="preserve"> can also negatively affect the subspecies by preventing regeneration</w:t>
      </w:r>
      <w:r w:rsidR="004C232B">
        <w:t xml:space="preserve"> of native woodland habitat</w:t>
      </w:r>
      <w:r w:rsidR="0081130C">
        <w:t xml:space="preserve"> (Ford et al. 2021)</w:t>
      </w:r>
      <w:r w:rsidRPr="004305E2">
        <w:t xml:space="preserve">. The effect of these threats, combined with habitat loss and fragmentation </w:t>
      </w:r>
      <w:r w:rsidR="004C232B" w:rsidRPr="004305E2">
        <w:t>f</w:t>
      </w:r>
      <w:r w:rsidR="004C232B">
        <w:t>rom</w:t>
      </w:r>
      <w:r w:rsidR="004C232B" w:rsidRPr="004305E2">
        <w:t xml:space="preserve"> </w:t>
      </w:r>
      <w:r w:rsidRPr="004305E2">
        <w:t>large-scale agriculture, inappropriate fire regimes, residential and commercial development, and inappropriate firewood collection and tidying of farmland have not ceased and may not be reversible</w:t>
      </w:r>
      <w:r w:rsidR="0081130C">
        <w:t xml:space="preserve"> (Ford et al. 2021)</w:t>
      </w:r>
      <w:r w:rsidRPr="004305E2">
        <w:t>.</w:t>
      </w:r>
      <w:r>
        <w:t xml:space="preserve"> </w:t>
      </w:r>
    </w:p>
    <w:bookmarkEnd w:id="3"/>
    <w:p w14:paraId="3EF58D0D" w14:textId="5D215146"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5" w:history="1">
        <w:r w:rsidR="00624A10" w:rsidRPr="00624A10">
          <w:rPr>
            <w:rStyle w:val="Hyperlink"/>
          </w:rPr>
          <w:t>Species Profile and Threat Database</w:t>
        </w:r>
      </w:hyperlink>
      <w:r w:rsidR="00624A10">
        <w:t>.</w:t>
      </w:r>
    </w:p>
    <w:p w14:paraId="1C311306" w14:textId="2CE84D89" w:rsidR="006D3581" w:rsidRDefault="006D3581" w:rsidP="006D3581">
      <w:pPr>
        <w:pStyle w:val="Heading2"/>
        <w:ind w:left="720" w:hanging="720"/>
      </w:pPr>
      <w:r>
        <w:lastRenderedPageBreak/>
        <w:t>Species information</w:t>
      </w:r>
    </w:p>
    <w:p w14:paraId="2ECDEC20" w14:textId="66F3464D" w:rsidR="006D3581" w:rsidRDefault="006D3581" w:rsidP="00476948">
      <w:pPr>
        <w:pStyle w:val="Heading3"/>
      </w:pPr>
      <w:r>
        <w:t>Taxonomy</w:t>
      </w:r>
    </w:p>
    <w:p w14:paraId="21E399A8" w14:textId="7FE40893" w:rsidR="006D3581" w:rsidRDefault="006D3581" w:rsidP="006D3581">
      <w:bookmarkStart w:id="4" w:name="_Hlk46319676"/>
      <w:r w:rsidRPr="00AC6363">
        <w:t xml:space="preserve">Conventionally accepted as </w:t>
      </w:r>
      <w:r w:rsidR="00AC6363" w:rsidRPr="00AC6363">
        <w:rPr>
          <w:rStyle w:val="Emphasis"/>
        </w:rPr>
        <w:t xml:space="preserve">Climacteris picumnus victoriae </w:t>
      </w:r>
      <w:r w:rsidR="004C232B">
        <w:rPr>
          <w:rStyle w:val="Emphasis"/>
          <w:i w:val="0"/>
          <w:iCs w:val="0"/>
        </w:rPr>
        <w:t>(</w:t>
      </w:r>
      <w:r w:rsidR="00AC6363" w:rsidRPr="00AC6363">
        <w:t>Matthews</w:t>
      </w:r>
      <w:r w:rsidRPr="00AC6363">
        <w:t xml:space="preserve"> </w:t>
      </w:r>
      <w:r w:rsidR="00AC6363" w:rsidRPr="00AC6363">
        <w:t>1912</w:t>
      </w:r>
      <w:r w:rsidRPr="00AC6363">
        <w:t>).</w:t>
      </w:r>
    </w:p>
    <w:p w14:paraId="346B5B05" w14:textId="4C951787" w:rsidR="00216FE6" w:rsidRDefault="00216FE6" w:rsidP="00216FE6">
      <w:r>
        <w:t>Two other subspecies</w:t>
      </w:r>
      <w:r w:rsidR="004C232B">
        <w:t xml:space="preserve"> recognised</w:t>
      </w:r>
      <w:r>
        <w:t xml:space="preserve">; includes </w:t>
      </w:r>
      <w:r w:rsidRPr="00216FE6">
        <w:rPr>
          <w:i/>
          <w:iCs/>
        </w:rPr>
        <w:t>C. p. melanotus</w:t>
      </w:r>
      <w:r>
        <w:t xml:space="preserve"> (LC) Cape York Peninsula, </w:t>
      </w:r>
      <w:r w:rsidRPr="00216FE6">
        <w:rPr>
          <w:i/>
          <w:iCs/>
        </w:rPr>
        <w:t>C. p. picumnus</w:t>
      </w:r>
      <w:r>
        <w:t xml:space="preserve"> (LC) eastern Australia west of the Great Dividing Range from western Victoria and southern South Australia to coastal south‐east Queensland north to Cape York Peninsula.</w:t>
      </w:r>
      <w:r w:rsidR="00C84C56">
        <w:t xml:space="preserve"> </w:t>
      </w:r>
    </w:p>
    <w:p w14:paraId="4191DE45" w14:textId="77777777" w:rsidR="008064B3" w:rsidRPr="008064B3" w:rsidRDefault="008064B3" w:rsidP="008064B3">
      <w:pPr>
        <w:pStyle w:val="Heading3"/>
      </w:pPr>
      <w:bookmarkStart w:id="5" w:name="_Ref445985062"/>
      <w:bookmarkStart w:id="6" w:name="_Toc409769199"/>
      <w:bookmarkStart w:id="7" w:name="_Toc454439316"/>
      <w:bookmarkEnd w:id="4"/>
      <w:r w:rsidRPr="008064B3">
        <w:t>Description</w:t>
      </w:r>
    </w:p>
    <w:p w14:paraId="76FA390D" w14:textId="5A08DF50" w:rsidR="00A50415" w:rsidRDefault="00A50415" w:rsidP="00A50415">
      <w:r w:rsidRPr="00A50415">
        <w:t>The Brown Treecreeper</w:t>
      </w:r>
      <w:r>
        <w:t xml:space="preserve"> (south-eastern)</w:t>
      </w:r>
      <w:r w:rsidRPr="00A50415">
        <w:t>, Australia’s largest treecreeper, is a grey-brown bird with black streaking on the lower breast and belly</w:t>
      </w:r>
      <w:r w:rsidR="004C232B">
        <w:t>,</w:t>
      </w:r>
      <w:r w:rsidRPr="00A50415">
        <w:t xml:space="preserve"> and black bars on the undertail</w:t>
      </w:r>
      <w:r w:rsidR="00210732">
        <w:t xml:space="preserve"> (</w:t>
      </w:r>
      <w:r w:rsidR="00210732" w:rsidRPr="008B5DAD">
        <w:t>Higgins &amp; Peter 2002</w:t>
      </w:r>
      <w:r w:rsidR="00210732">
        <w:t>)</w:t>
      </w:r>
      <w:r w:rsidRPr="00A50415">
        <w:t>. Pale buff bands across the flight feathers are obvious in flight. The face is pale, with a dark line through the eye, and a dark crown</w:t>
      </w:r>
      <w:r w:rsidR="009460D7">
        <w:t xml:space="preserve"> (</w:t>
      </w:r>
      <w:r w:rsidR="009460D7" w:rsidRPr="008B5DAD">
        <w:t>Higgins &amp; Peter 2002</w:t>
      </w:r>
      <w:r w:rsidR="009460D7">
        <w:t>)</w:t>
      </w:r>
      <w:r w:rsidRPr="00A50415">
        <w:t>. Sexes differ slightly in all plumages, with small patches of black and white streaking on the centre of the uppermost breast on males, while the females exhibit rufous and white streaking</w:t>
      </w:r>
      <w:r w:rsidR="00210732">
        <w:t xml:space="preserve"> (</w:t>
      </w:r>
      <w:r w:rsidR="00210732" w:rsidRPr="008B5DAD">
        <w:t>Higgins &amp; Peter 2002</w:t>
      </w:r>
      <w:r w:rsidR="00210732">
        <w:t>)</w:t>
      </w:r>
      <w:r w:rsidRPr="00A50415">
        <w:t xml:space="preserve">. Juveniles differ from adults mainly by the pattern of the under-body and by their pale bill and gape. Subspecies </w:t>
      </w:r>
      <w:r w:rsidRPr="00A50415">
        <w:rPr>
          <w:i/>
          <w:iCs/>
        </w:rPr>
        <w:t>victoriae</w:t>
      </w:r>
      <w:r w:rsidRPr="00A50415">
        <w:t xml:space="preserve"> is distinguished from subspecies </w:t>
      </w:r>
      <w:r w:rsidRPr="00A50415">
        <w:rPr>
          <w:i/>
          <w:iCs/>
        </w:rPr>
        <w:t xml:space="preserve">picumnus </w:t>
      </w:r>
      <w:r w:rsidRPr="00A50415">
        <w:t>by colour differences on the face, body and tail markings. The two subspecies grade into each other through central NSW</w:t>
      </w:r>
      <w:r w:rsidR="00210732">
        <w:t xml:space="preserve"> (</w:t>
      </w:r>
      <w:r w:rsidR="00210732" w:rsidRPr="008B5DAD">
        <w:t>Higgins &amp; Peter 2002</w:t>
      </w:r>
      <w:r w:rsidR="00210732">
        <w:t>)</w:t>
      </w:r>
      <w:r w:rsidRPr="00A50415">
        <w:t xml:space="preserve">. </w:t>
      </w:r>
    </w:p>
    <w:p w14:paraId="314EDDC8" w14:textId="77777777" w:rsidR="008064B3" w:rsidRPr="008064B3" w:rsidRDefault="008064B3" w:rsidP="008064B3">
      <w:pPr>
        <w:pStyle w:val="Heading3"/>
      </w:pPr>
      <w:r w:rsidRPr="008064B3">
        <w:t>Distribution</w:t>
      </w:r>
    </w:p>
    <w:p w14:paraId="4377869C" w14:textId="5607185F" w:rsidR="00AC6363" w:rsidRDefault="00AC6363" w:rsidP="00AC6363">
      <w:r>
        <w:t xml:space="preserve">Brown Treecreepers (south‐eastern) </w:t>
      </w:r>
      <w:r w:rsidR="005B7C2E">
        <w:t>are endemic to</w:t>
      </w:r>
      <w:r>
        <w:t xml:space="preserve"> south‐eastern Australia from the Grampians in </w:t>
      </w:r>
      <w:r w:rsidRPr="009329C5">
        <w:t xml:space="preserve">western Victoria, through central New South Wales to the Bunya Mountains in Queensland (Schodde </w:t>
      </w:r>
      <w:r w:rsidR="00AC0FCF" w:rsidRPr="009329C5">
        <w:t>&amp;</w:t>
      </w:r>
      <w:r w:rsidRPr="009329C5">
        <w:t xml:space="preserve"> Mason 1999),</w:t>
      </w:r>
      <w:r w:rsidR="005B2D1D">
        <w:t xml:space="preserve"> and</w:t>
      </w:r>
      <w:r w:rsidRPr="009329C5">
        <w:t xml:space="preserve"> from </w:t>
      </w:r>
      <w:r w:rsidR="007B14D6">
        <w:t xml:space="preserve">the </w:t>
      </w:r>
      <w:r w:rsidRPr="009329C5">
        <w:t>coast to the inland slopes of Great Dividing Range</w:t>
      </w:r>
      <w:r w:rsidR="001003CC">
        <w:t xml:space="preserve"> </w:t>
      </w:r>
      <w:r w:rsidR="00210732" w:rsidRPr="00210732">
        <w:t>(Map 1)</w:t>
      </w:r>
      <w:r w:rsidRPr="00210732">
        <w:t>.</w:t>
      </w:r>
      <w:r w:rsidRPr="009329C5">
        <w:t xml:space="preserve"> </w:t>
      </w:r>
      <w:r w:rsidR="001003CC">
        <w:t xml:space="preserve">In NSW the western boundary of the range of </w:t>
      </w:r>
      <w:r w:rsidR="001003CC" w:rsidRPr="00FD3C2C">
        <w:rPr>
          <w:i/>
          <w:iCs/>
        </w:rPr>
        <w:t xml:space="preserve">Climacteris picumnus victoriae </w:t>
      </w:r>
      <w:r w:rsidR="001003CC">
        <w:t xml:space="preserve">runs approximately through Corowa, Wagga Wagga, Temora, Forbes, Dubbo and Inverell and along this line the subspecies intergrades with the arid zone subspecies of Brown Treecreeper </w:t>
      </w:r>
      <w:r w:rsidR="001003CC" w:rsidRPr="00FD3C2C">
        <w:rPr>
          <w:i/>
          <w:iCs/>
        </w:rPr>
        <w:t>C</w:t>
      </w:r>
      <w:r w:rsidR="001003CC">
        <w:rPr>
          <w:i/>
          <w:iCs/>
        </w:rPr>
        <w:t xml:space="preserve">. p. </w:t>
      </w:r>
      <w:r w:rsidR="001003CC" w:rsidRPr="00FD3C2C">
        <w:rPr>
          <w:i/>
          <w:iCs/>
        </w:rPr>
        <w:t xml:space="preserve"> picumnus</w:t>
      </w:r>
      <w:r w:rsidR="001003CC">
        <w:t xml:space="preserve"> </w:t>
      </w:r>
      <w:r w:rsidR="00185402">
        <w:t>(DPIE 2017)</w:t>
      </w:r>
      <w:r w:rsidR="001003CC">
        <w:t xml:space="preserve">. The subspecies is less commonly found on coastal plains and ranges. </w:t>
      </w:r>
      <w:r w:rsidRPr="009329C5">
        <w:t xml:space="preserve">While the overall range has not changed, the </w:t>
      </w:r>
      <w:r w:rsidR="007B14D6">
        <w:t xml:space="preserve">subspecies’ </w:t>
      </w:r>
      <w:r w:rsidRPr="009329C5">
        <w:t>failure to cross habitat gaps mean</w:t>
      </w:r>
      <w:r w:rsidR="00AC0FCF" w:rsidRPr="009329C5">
        <w:t>s</w:t>
      </w:r>
      <w:r w:rsidRPr="009329C5">
        <w:t xml:space="preserve"> it has been lost from many habitat fragments (Cooper </w:t>
      </w:r>
      <w:r w:rsidR="00AC0FCF" w:rsidRPr="009329C5">
        <w:t>&amp;</w:t>
      </w:r>
      <w:r w:rsidRPr="009329C5">
        <w:t xml:space="preserve"> Walters 2002a; Ford et al. 2009).</w:t>
      </w:r>
    </w:p>
    <w:p w14:paraId="657939FC" w14:textId="3EC0BB42" w:rsidR="00DB0E41" w:rsidRDefault="00185402" w:rsidP="00BB289D">
      <w:r>
        <w:t xml:space="preserve">The population density </w:t>
      </w:r>
      <w:r w:rsidR="00DB0E41">
        <w:t xml:space="preserve">of </w:t>
      </w:r>
      <w:r>
        <w:t>Brown Treecreeper (south-eastern) has been greatly reduced over much of its range</w:t>
      </w:r>
      <w:r w:rsidR="002D412E">
        <w:t>.</w:t>
      </w:r>
      <w:r>
        <w:t xml:space="preserve"> Declines have occurred in remnant vegetation fragments smaller than 300 h</w:t>
      </w:r>
      <w:r w:rsidR="00306BC4">
        <w:t>a</w:t>
      </w:r>
      <w:r>
        <w:t>, that have been isolated or fragmented for more than 50 years (</w:t>
      </w:r>
      <w:r w:rsidRPr="00142F9E">
        <w:t>Ford 2011</w:t>
      </w:r>
      <w:r>
        <w:t>).</w:t>
      </w:r>
    </w:p>
    <w:p w14:paraId="3B490C37" w14:textId="777C7C83" w:rsidR="00E362EF" w:rsidRPr="00BB289D" w:rsidRDefault="007C5B94" w:rsidP="00041DED">
      <w:pPr>
        <w:pStyle w:val="Caption"/>
      </w:pPr>
      <w:r w:rsidRPr="00BB289D">
        <w:lastRenderedPageBreak/>
        <w:t xml:space="preserve">Map </w:t>
      </w:r>
      <w:r w:rsidRPr="00BB289D">
        <w:rPr>
          <w:noProof/>
        </w:rPr>
        <w:fldChar w:fldCharType="begin"/>
      </w:r>
      <w:r w:rsidRPr="00BB289D">
        <w:rPr>
          <w:noProof/>
        </w:rPr>
        <w:instrText xml:space="preserve"> SEQ Map \* ARABIC </w:instrText>
      </w:r>
      <w:r w:rsidRPr="00BB289D">
        <w:rPr>
          <w:noProof/>
        </w:rPr>
        <w:fldChar w:fldCharType="separate"/>
      </w:r>
      <w:r w:rsidR="00F14F9F">
        <w:rPr>
          <w:noProof/>
        </w:rPr>
        <w:t>1</w:t>
      </w:r>
      <w:r w:rsidRPr="00BB289D">
        <w:rPr>
          <w:noProof/>
        </w:rPr>
        <w:fldChar w:fldCharType="end"/>
      </w:r>
      <w:bookmarkEnd w:id="5"/>
      <w:r w:rsidRPr="00BB289D">
        <w:t xml:space="preserve"> </w:t>
      </w:r>
      <w:bookmarkEnd w:id="6"/>
      <w:bookmarkEnd w:id="7"/>
      <w:r w:rsidR="008064B3" w:rsidRPr="00BB289D">
        <w:t xml:space="preserve">Modelled distribution </w:t>
      </w:r>
      <w:r w:rsidR="004C7F78" w:rsidRPr="00BB289D">
        <w:t xml:space="preserve">of </w:t>
      </w:r>
      <w:r w:rsidR="00AC6363" w:rsidRPr="00BB289D">
        <w:t>Brown Treecreeper (south-e</w:t>
      </w:r>
      <w:r w:rsidR="00F202EB">
        <w:t>a</w:t>
      </w:r>
      <w:r w:rsidR="00AC6363" w:rsidRPr="00BB289D">
        <w:t>stern)</w:t>
      </w:r>
      <w:r w:rsidR="000F7696">
        <w:t xml:space="preserve">. </w:t>
      </w:r>
      <w:r w:rsidR="000F7696" w:rsidRPr="00260AA3">
        <w:rPr>
          <w:i/>
          <w:iCs/>
          <w:highlight w:val="yellow"/>
        </w:rPr>
        <w:t xml:space="preserve">Please note this map is </w:t>
      </w:r>
      <w:r w:rsidR="004C2AA1" w:rsidRPr="00260AA3">
        <w:rPr>
          <w:i/>
          <w:iCs/>
          <w:highlight w:val="yellow"/>
        </w:rPr>
        <w:t xml:space="preserve">currently </w:t>
      </w:r>
      <w:r w:rsidR="000F7696" w:rsidRPr="00260AA3">
        <w:rPr>
          <w:i/>
          <w:iCs/>
          <w:highlight w:val="yellow"/>
        </w:rPr>
        <w:t>under revision</w:t>
      </w:r>
      <w:r w:rsidR="00D73BF2" w:rsidRPr="00260AA3">
        <w:rPr>
          <w:i/>
          <w:iCs/>
          <w:highlight w:val="yellow"/>
        </w:rPr>
        <w:t xml:space="preserve"> following initial feedback from key stakeholders.</w:t>
      </w:r>
    </w:p>
    <w:p w14:paraId="227AB56A" w14:textId="2ACDA2F6" w:rsidR="00216FE6" w:rsidRPr="00BB289D" w:rsidRDefault="00BB289D" w:rsidP="00DE1243">
      <w:pPr>
        <w:pStyle w:val="FigureTableNoteSource"/>
        <w:jc w:val="center"/>
      </w:pPr>
      <w:r w:rsidRPr="00BB289D">
        <w:rPr>
          <w:noProof/>
        </w:rPr>
        <w:drawing>
          <wp:inline distT="0" distB="0" distL="0" distR="0" wp14:anchorId="2DF187B1" wp14:editId="76DC629C">
            <wp:extent cx="5759450" cy="406400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59450" cy="4064000"/>
                    </a:xfrm>
                    <a:prstGeom prst="rect">
                      <a:avLst/>
                    </a:prstGeom>
                  </pic:spPr>
                </pic:pic>
              </a:graphicData>
            </a:graphic>
          </wp:inline>
        </w:drawing>
      </w:r>
    </w:p>
    <w:p w14:paraId="7C66741E" w14:textId="621E5F30" w:rsidR="00E362EF" w:rsidRPr="006037DC" w:rsidRDefault="007C5B94">
      <w:pPr>
        <w:pStyle w:val="FigureTableNoteSource"/>
      </w:pPr>
      <w:r w:rsidRPr="00BB289D">
        <w:t xml:space="preserve">Source: </w:t>
      </w:r>
      <w:r w:rsidR="00A12094" w:rsidRPr="00BB289D">
        <w:t xml:space="preserve">Base map </w:t>
      </w:r>
      <w:r w:rsidR="008064B3" w:rsidRPr="00BB289D">
        <w:t xml:space="preserve">Geoscience Australia; </w:t>
      </w:r>
      <w:r w:rsidR="00A12094" w:rsidRPr="00BB289D">
        <w:t xml:space="preserve">species distribution data </w:t>
      </w:r>
      <w:hyperlink r:id="rId27" w:history="1">
        <w:r w:rsidR="008064B3" w:rsidRPr="00BB289D">
          <w:rPr>
            <w:rStyle w:val="Hyperlink"/>
            <w:color w:val="auto"/>
          </w:rPr>
          <w:t>Species of National Environmental Significance</w:t>
        </w:r>
      </w:hyperlink>
      <w:r w:rsidR="008064B3" w:rsidRPr="00BB289D">
        <w:t xml:space="preserve"> database.</w:t>
      </w:r>
    </w:p>
    <w:p w14:paraId="27651BAA" w14:textId="27BBC53B" w:rsidR="00C304AA" w:rsidRDefault="00C304AA" w:rsidP="00C304AA">
      <w:pPr>
        <w:pStyle w:val="Heading3"/>
        <w:ind w:left="964" w:hanging="964"/>
      </w:pPr>
      <w:r>
        <w:t>Cultural and community significance</w:t>
      </w:r>
    </w:p>
    <w:p w14:paraId="67EA8442" w14:textId="6BE47B79" w:rsidR="00AC0FCF" w:rsidRDefault="00AC0FCF" w:rsidP="00AC0FCF">
      <w:r>
        <w:t xml:space="preserve">Brown Treecreepers (south-eastern) are known to occur on the lands of at least the following Indigenous Peoples: Bandjalang, Bundjalung, Danggan Balun, Darawal, Dharug, Eastern Maar, </w:t>
      </w:r>
      <w:proofErr w:type="spellStart"/>
      <w:r>
        <w:t>Gomeroi</w:t>
      </w:r>
      <w:proofErr w:type="spellEnd"/>
      <w:r>
        <w:t xml:space="preserve">, </w:t>
      </w:r>
      <w:proofErr w:type="spellStart"/>
      <w:r>
        <w:t>Gunaikurnai</w:t>
      </w:r>
      <w:proofErr w:type="spellEnd"/>
      <w:r>
        <w:t xml:space="preserve">, Illawarra, </w:t>
      </w:r>
      <w:proofErr w:type="spellStart"/>
      <w:r>
        <w:t>Jaadwa</w:t>
      </w:r>
      <w:proofErr w:type="spellEnd"/>
      <w:r>
        <w:t xml:space="preserve">, </w:t>
      </w:r>
      <w:proofErr w:type="spellStart"/>
      <w:r>
        <w:t>Jadawadjali</w:t>
      </w:r>
      <w:proofErr w:type="spellEnd"/>
      <w:r>
        <w:t xml:space="preserve">, </w:t>
      </w:r>
      <w:proofErr w:type="spellStart"/>
      <w:r>
        <w:t>Jupagulk</w:t>
      </w:r>
      <w:proofErr w:type="spellEnd"/>
      <w:r>
        <w:t xml:space="preserve">, </w:t>
      </w:r>
      <w:proofErr w:type="spellStart"/>
      <w:r>
        <w:t>Kabi</w:t>
      </w:r>
      <w:proofErr w:type="spellEnd"/>
      <w:r>
        <w:t xml:space="preserve"> </w:t>
      </w:r>
      <w:proofErr w:type="spellStart"/>
      <w:r>
        <w:t>Kabi</w:t>
      </w:r>
      <w:proofErr w:type="spellEnd"/>
      <w:r>
        <w:t xml:space="preserve">, </w:t>
      </w:r>
      <w:proofErr w:type="spellStart"/>
      <w:r>
        <w:t>Minjerribah</w:t>
      </w:r>
      <w:proofErr w:type="spellEnd"/>
      <w:r>
        <w:t xml:space="preserve">, Ngunnawal, </w:t>
      </w:r>
      <w:proofErr w:type="spellStart"/>
      <w:r>
        <w:t>Tharawal</w:t>
      </w:r>
      <w:proofErr w:type="spellEnd"/>
      <w:r>
        <w:t xml:space="preserve">, </w:t>
      </w:r>
      <w:proofErr w:type="spellStart"/>
      <w:r>
        <w:t>Turrbal</w:t>
      </w:r>
      <w:proofErr w:type="spellEnd"/>
      <w:r>
        <w:t xml:space="preserve">, Waka </w:t>
      </w:r>
      <w:proofErr w:type="spellStart"/>
      <w:r>
        <w:t>Waka</w:t>
      </w:r>
      <w:proofErr w:type="spellEnd"/>
      <w:r>
        <w:t xml:space="preserve">, </w:t>
      </w:r>
      <w:proofErr w:type="spellStart"/>
      <w:r>
        <w:t>Warrabinga</w:t>
      </w:r>
      <w:proofErr w:type="spellEnd"/>
      <w:r>
        <w:t xml:space="preserve">, </w:t>
      </w:r>
      <w:proofErr w:type="spellStart"/>
      <w:r>
        <w:t>Wergaia</w:t>
      </w:r>
      <w:proofErr w:type="spellEnd"/>
      <w:r>
        <w:t xml:space="preserve">, </w:t>
      </w:r>
      <w:proofErr w:type="spellStart"/>
      <w:r>
        <w:t>Widjabul</w:t>
      </w:r>
      <w:proofErr w:type="spellEnd"/>
      <w:r>
        <w:t xml:space="preserve"> </w:t>
      </w:r>
      <w:proofErr w:type="spellStart"/>
      <w:r>
        <w:t>Wia‐bal</w:t>
      </w:r>
      <w:proofErr w:type="spellEnd"/>
      <w:r>
        <w:t xml:space="preserve">, Wiradjuri, </w:t>
      </w:r>
      <w:proofErr w:type="spellStart"/>
      <w:r>
        <w:t>Wonnarua</w:t>
      </w:r>
      <w:proofErr w:type="spellEnd"/>
      <w:r>
        <w:t xml:space="preserve">, </w:t>
      </w:r>
      <w:proofErr w:type="spellStart"/>
      <w:r>
        <w:t>Wotjobaluk</w:t>
      </w:r>
      <w:proofErr w:type="spellEnd"/>
      <w:r>
        <w:t xml:space="preserve">, </w:t>
      </w:r>
      <w:proofErr w:type="spellStart"/>
      <w:r>
        <w:t>Yaegl</w:t>
      </w:r>
      <w:proofErr w:type="spellEnd"/>
      <w:r>
        <w:t xml:space="preserve">, Yorta </w:t>
      </w:r>
      <w:proofErr w:type="spellStart"/>
      <w:r>
        <w:t>Yorta</w:t>
      </w:r>
      <w:proofErr w:type="spellEnd"/>
      <w:r>
        <w:t xml:space="preserve">, </w:t>
      </w:r>
      <w:proofErr w:type="spellStart"/>
      <w:r>
        <w:t>Yugara</w:t>
      </w:r>
      <w:proofErr w:type="spellEnd"/>
      <w:r>
        <w:t xml:space="preserve"> and </w:t>
      </w:r>
      <w:proofErr w:type="spellStart"/>
      <w:r>
        <w:t>Yugarapul</w:t>
      </w:r>
      <w:proofErr w:type="spellEnd"/>
      <w:r w:rsidR="009A2AC5">
        <w:t xml:space="preserve"> (Ford et al. 2021)</w:t>
      </w:r>
      <w:r>
        <w:t xml:space="preserve">. </w:t>
      </w:r>
      <w:bookmarkStart w:id="8" w:name="_Hlk68532054"/>
      <w:r w:rsidR="00D87279">
        <w:t xml:space="preserve">The cultural and community significance of the subspecies is not known. </w:t>
      </w:r>
      <w:r w:rsidRPr="00AC0FCF">
        <w:t xml:space="preserve">Further research into the subject area may benefit the conservation of the subspecies </w:t>
      </w:r>
      <w:bookmarkStart w:id="9" w:name="_Hlk67391309"/>
      <w:r w:rsidRPr="00AC0FCF">
        <w:t>by providing insights about traditional land management.</w:t>
      </w:r>
      <w:bookmarkEnd w:id="8"/>
      <w:bookmarkEnd w:id="9"/>
    </w:p>
    <w:p w14:paraId="5F76E77A" w14:textId="6C147572" w:rsidR="00C304AA" w:rsidRDefault="00C304AA" w:rsidP="00C304AA">
      <w:pPr>
        <w:pStyle w:val="Heading3"/>
        <w:ind w:left="964" w:hanging="964"/>
      </w:pPr>
      <w:r>
        <w:t>Relevant biology and ecology</w:t>
      </w:r>
    </w:p>
    <w:p w14:paraId="69CE8D9E" w14:textId="2BEB0CD1" w:rsidR="00A5722D" w:rsidRDefault="00A5722D" w:rsidP="00A5722D">
      <w:r>
        <w:t>Brown Treecreepers (south-eastern) occupy dry open</w:t>
      </w:r>
      <w:r w:rsidR="004E2385">
        <w:t xml:space="preserve"> eucalypt</w:t>
      </w:r>
      <w:r>
        <w:t xml:space="preserve"> forest</w:t>
      </w:r>
      <w:r w:rsidR="004E2385">
        <w:t>s</w:t>
      </w:r>
      <w:r>
        <w:t xml:space="preserve"> and woodlands</w:t>
      </w:r>
      <w:r w:rsidR="004E2385">
        <w:t xml:space="preserve"> (Ford et al. 2021). </w:t>
      </w:r>
      <w:r>
        <w:t xml:space="preserve">The subspecies mainly inhabits woodlands dominated by stringybarks or other rough-barked eucalypts, usually with an open grassy understorey, sometimes with one or more shrub species. They </w:t>
      </w:r>
      <w:r w:rsidR="00973D6E">
        <w:t xml:space="preserve">also </w:t>
      </w:r>
      <w:r>
        <w:t>occur in mallee, forests and woodlands subject to periodic inundation, e.g., River Red Gum (</w:t>
      </w:r>
      <w:r w:rsidRPr="244F40D4">
        <w:rPr>
          <w:i/>
          <w:iCs/>
        </w:rPr>
        <w:t>Eucalyptus camaldulensis</w:t>
      </w:r>
      <w:r>
        <w:t xml:space="preserve">) woodlands with an open understorey of acacias, saltbush, lignum, cumbungi and grasses in the upper Murray River (Loyn et al. 2002, 2019). The subspecies is </w:t>
      </w:r>
      <w:r w:rsidR="00973D6E">
        <w:t xml:space="preserve">not </w:t>
      </w:r>
      <w:r>
        <w:t xml:space="preserve">usually found in woodlands with a dense shrub </w:t>
      </w:r>
      <w:r w:rsidR="00DC3FBB">
        <w:t>layer,</w:t>
      </w:r>
      <w:r>
        <w:t xml:space="preserve"> and </w:t>
      </w:r>
      <w:r w:rsidR="73E85BF6">
        <w:t>it is</w:t>
      </w:r>
      <w:r>
        <w:t xml:space="preserve"> absent from heavily degraded woodlands and steep rocky hills (Noske 1982). </w:t>
      </w:r>
    </w:p>
    <w:p w14:paraId="7E4821ED" w14:textId="5EC5F7B7" w:rsidR="00A5722D" w:rsidRDefault="00A5722D" w:rsidP="00A5722D">
      <w:r>
        <w:t xml:space="preserve">The </w:t>
      </w:r>
      <w:r w:rsidR="00973D6E">
        <w:t>sub</w:t>
      </w:r>
      <w:r>
        <w:t xml:space="preserve">species forages both on the ground and in live and dead trees, feeding on a variety of invertebrate prey including ants, beetles, insect larvae, spiders, moths, flies, cockroaches, </w:t>
      </w:r>
      <w:r>
        <w:lastRenderedPageBreak/>
        <w:t>termites, and lacewings (Higgins &amp; Peter 2002). Nectar from Mugga Ironbark (</w:t>
      </w:r>
      <w:r w:rsidRPr="244F40D4">
        <w:rPr>
          <w:i/>
          <w:iCs/>
        </w:rPr>
        <w:t>Eucalyptus sideroxylon</w:t>
      </w:r>
      <w:r>
        <w:t xml:space="preserve">) and paperbarks, and sap from unidentified eucalypt species are also eaten, along with lizards and food scraps (Higgins &amp; Peter 2002). Young birds are fed ants, insect larvae, moths, craneflies, spiders and butterfly and moth larvae.      </w:t>
      </w:r>
    </w:p>
    <w:p w14:paraId="3478CBC4" w14:textId="520ED299" w:rsidR="00973D6E" w:rsidRDefault="3BE2688F" w:rsidP="244F40D4">
      <w:r>
        <w:t xml:space="preserve">Brown Treecreepers (south-eastern) </w:t>
      </w:r>
      <w:r w:rsidR="00973D6E">
        <w:t xml:space="preserve"> are usually observed in pairs or small family groups of 8–12 individuals. Terrestrial and arboreal in about equal proportions, they are described as active, noisy and conspicuous while foraging on trunks and branches of trees and amongst fallen timber. </w:t>
      </w:r>
      <w:r w:rsidR="00973D6E" w:rsidRPr="244F40D4">
        <w:rPr>
          <w:i/>
          <w:iCs/>
        </w:rPr>
        <w:t>C. p. victoriae</w:t>
      </w:r>
      <w:r w:rsidR="00973D6E">
        <w:t xml:space="preserve"> spends much more time foraging on the ground and on fallen logs than other treecreeper species. The subspecies is described as sedentary, with birds occupying permanent territories. </w:t>
      </w:r>
    </w:p>
    <w:p w14:paraId="6C1EFD2F" w14:textId="2ACE20B0" w:rsidR="00825A10" w:rsidRDefault="00825A10" w:rsidP="00825A10">
      <w:r>
        <w:t xml:space="preserve">Brown Treecreepers (south-eastern) nest and roost in naturally occurring tree cavities in a variety of eucalypt species (Noske 1982b). </w:t>
      </w:r>
      <w:r w:rsidRPr="00B67F39">
        <w:t>Hollows in standing dead or live trees and tree stumps are essential for nesting.</w:t>
      </w:r>
      <w:r>
        <w:t xml:space="preserve"> Typically, birds breed cooperatively with the breeding group consisting of a breeding pair and a few subordinate males. Nests comprise cups of grass and bark lined with fur and feathers, built in a hollow limb or trunk.</w:t>
      </w:r>
      <w:r w:rsidRPr="00EA62BF">
        <w:t xml:space="preserve"> </w:t>
      </w:r>
      <w:r w:rsidRPr="0042700B">
        <w:t xml:space="preserve">Building of the nest is undertaken by all members of the group over a period of 1–2 weeks. </w:t>
      </w:r>
      <w:r>
        <w:t xml:space="preserve">Breeding takes place from July to February across its range. Females typically </w:t>
      </w:r>
      <w:r w:rsidRPr="000802C8">
        <w:t>lay 2–3 eggs (Higgins &amp; Peter 2002)</w:t>
      </w:r>
      <w:r>
        <w:t>.</w:t>
      </w:r>
      <w:r w:rsidRPr="000802C8">
        <w:t xml:space="preserve"> </w:t>
      </w:r>
      <w:r w:rsidRPr="0042700B">
        <w:t>Pairs often have two broods during each breeding season</w:t>
      </w:r>
      <w:r>
        <w:t>. Immature females disperse (</w:t>
      </w:r>
      <w:r w:rsidRPr="008B5DAD">
        <w:t>Cooper &amp; Walters 2002b</w:t>
      </w:r>
      <w:r>
        <w:t>) but are reluctant to cross large tracts of open land (</w:t>
      </w:r>
      <w:r w:rsidRPr="008B5DAD">
        <w:t>Cooper &amp; Walters 2002a; Doerr &amp; Doerr 2007</w:t>
      </w:r>
      <w:r>
        <w:t>).</w:t>
      </w:r>
    </w:p>
    <w:p w14:paraId="72E1F9AA" w14:textId="40C8DC2D" w:rsidR="000802C8" w:rsidRDefault="00825A10" w:rsidP="00AC0FCF">
      <w:r>
        <w:t xml:space="preserve">Brown Treecreepers (south-eastern) have higher breeding success in territories with lower densities of shrubs, moderate </w:t>
      </w:r>
      <w:r w:rsidRPr="008B5DAD">
        <w:t>levels of ground cover, greater amounts of foraging substrate and greater invertebrate biomass (Doerr et al. 2006) and substantial volumes of fallen timber (Mac Nally 2006). However, there are subtleties in the suitability of habitat that remain unresolved, judging from the failure of translocated family groups to establish themselves in restored woodland (Bennett et al. 2013</w:t>
      </w:r>
      <w:r>
        <w:t xml:space="preserve">). </w:t>
      </w:r>
    </w:p>
    <w:p w14:paraId="0732922C" w14:textId="56346BB0" w:rsidR="00C304AA" w:rsidRDefault="00C304AA" w:rsidP="00C304AA">
      <w:pPr>
        <w:pStyle w:val="Heading3"/>
        <w:ind w:left="964" w:hanging="964"/>
      </w:pPr>
      <w:r>
        <w:t>Habitat critical to the survival</w:t>
      </w:r>
    </w:p>
    <w:p w14:paraId="62D9CA38" w14:textId="77777777" w:rsidR="00273E16" w:rsidRPr="00B019AE" w:rsidRDefault="00273E16" w:rsidP="00273E16">
      <w:bookmarkStart w:id="10" w:name="_Hlk83028446"/>
      <w:r w:rsidRPr="00B019AE">
        <w:t>Habitat critical to the survival or important habitats of a species or ecological community refers to areas that are necessary:</w:t>
      </w:r>
    </w:p>
    <w:p w14:paraId="582FB217" w14:textId="215B61AD" w:rsidR="00273E16" w:rsidRPr="00B019AE" w:rsidRDefault="00751BCB" w:rsidP="00273E16">
      <w:pPr>
        <w:pStyle w:val="ListBullet"/>
      </w:pPr>
      <w:r>
        <w:t>F</w:t>
      </w:r>
      <w:r w:rsidR="00273E16" w:rsidRPr="00B019AE">
        <w:t>or activities such as foraging, breeding, roosting, or dispersal;</w:t>
      </w:r>
    </w:p>
    <w:p w14:paraId="38CFFDD7" w14:textId="77777777" w:rsidR="00273E16" w:rsidRPr="00B019AE" w:rsidRDefault="00273E16" w:rsidP="00273E16">
      <w:pPr>
        <w:pStyle w:val="ListBullet"/>
      </w:pPr>
      <w:r w:rsidRPr="00B019AE">
        <w:t>for the long-term maintenance of the species or ecological community (including the maintenance of species essential to the survival of the species or ecological community, such as pollinators);</w:t>
      </w:r>
    </w:p>
    <w:p w14:paraId="1E49E0A6" w14:textId="77777777" w:rsidR="00273E16" w:rsidRPr="00B019AE" w:rsidRDefault="00273E16" w:rsidP="00273E16">
      <w:pPr>
        <w:pStyle w:val="ListBullet"/>
      </w:pPr>
      <w:r w:rsidRPr="00B019AE">
        <w:t>to maintain genetic diversity and long-term evolutionary development; or</w:t>
      </w:r>
    </w:p>
    <w:p w14:paraId="133BF4FB" w14:textId="77777777" w:rsidR="00273E16" w:rsidRPr="00B019AE" w:rsidRDefault="00273E16" w:rsidP="00273E16">
      <w:pPr>
        <w:pStyle w:val="ListBullet"/>
      </w:pPr>
      <w:r w:rsidRPr="00B019AE">
        <w:t>for the reintroduction of populations or recovery of the species or ecological community.</w:t>
      </w:r>
    </w:p>
    <w:bookmarkEnd w:id="10"/>
    <w:p w14:paraId="6E49DF9F" w14:textId="4D9967F5" w:rsidR="00B95AD8" w:rsidRDefault="00273E16" w:rsidP="00EA62BF">
      <w:r>
        <w:t>Habitat critical to the survival of the Brown Treecreeper (south-eastern) includes</w:t>
      </w:r>
      <w:r w:rsidR="00DB0E41">
        <w:t xml:space="preserve"> areas that have</w:t>
      </w:r>
      <w:r>
        <w:t>:</w:t>
      </w:r>
      <w:r w:rsidR="0042000D">
        <w:t xml:space="preserve"> </w:t>
      </w:r>
    </w:p>
    <w:p w14:paraId="1D483430" w14:textId="3F706EF2" w:rsidR="00B95AD8" w:rsidRDefault="00751BCB" w:rsidP="00882A2D">
      <w:pPr>
        <w:pStyle w:val="ListBullet"/>
      </w:pPr>
      <w:r>
        <w:t>R</w:t>
      </w:r>
      <w:r w:rsidR="00EA62BF">
        <w:t>elatively undisturbed grassy woodland with native</w:t>
      </w:r>
      <w:r w:rsidR="0042000D">
        <w:t xml:space="preserve"> </w:t>
      </w:r>
      <w:r w:rsidR="00EA62BF">
        <w:t>understorey;</w:t>
      </w:r>
      <w:r w:rsidR="0042000D">
        <w:t xml:space="preserve"> </w:t>
      </w:r>
    </w:p>
    <w:p w14:paraId="7CCF70C1" w14:textId="68079038" w:rsidR="00B95AD8" w:rsidRDefault="00EA62BF" w:rsidP="00882A2D">
      <w:pPr>
        <w:pStyle w:val="ListBullet"/>
      </w:pPr>
      <w:r>
        <w:t>large living and dead trees which are essential for</w:t>
      </w:r>
      <w:r w:rsidR="0042000D">
        <w:t xml:space="preserve"> </w:t>
      </w:r>
      <w:r>
        <w:t xml:space="preserve">roosting and nesting sites and for foraging; </w:t>
      </w:r>
    </w:p>
    <w:p w14:paraId="2AFDDCAD" w14:textId="0882E881" w:rsidR="001A24FE" w:rsidRDefault="00EA62BF" w:rsidP="00882A2D">
      <w:pPr>
        <w:pStyle w:val="ListBullet"/>
      </w:pPr>
      <w:r>
        <w:lastRenderedPageBreak/>
        <w:t>fallen timber which provides essential foraging</w:t>
      </w:r>
      <w:r w:rsidR="0042000D">
        <w:t xml:space="preserve"> </w:t>
      </w:r>
      <w:r>
        <w:t>habitat</w:t>
      </w:r>
      <w:r w:rsidR="001A24FE">
        <w:t xml:space="preserve"> and;</w:t>
      </w:r>
    </w:p>
    <w:p w14:paraId="290BB509" w14:textId="1229B26C" w:rsidR="00EA62BF" w:rsidRDefault="001A24FE" w:rsidP="00882A2D">
      <w:pPr>
        <w:pStyle w:val="ListBullet"/>
      </w:pPr>
      <w:r>
        <w:t>h</w:t>
      </w:r>
      <w:r w:rsidR="0042000D" w:rsidRPr="00A35399">
        <w:t xml:space="preserve">ollows in standing dead or live trees and tree stumps are </w:t>
      </w:r>
      <w:r w:rsidR="0042000D">
        <w:t xml:space="preserve">also </w:t>
      </w:r>
      <w:r w:rsidR="0042000D" w:rsidRPr="00A35399">
        <w:t>essential for nesting.</w:t>
      </w:r>
    </w:p>
    <w:p w14:paraId="5E1D96CF" w14:textId="24BC8F66" w:rsidR="008B5DAD" w:rsidRDefault="008B5DAD" w:rsidP="008B5DAD">
      <w:pPr>
        <w:pStyle w:val="ListBullet"/>
        <w:numPr>
          <w:ilvl w:val="0"/>
          <w:numId w:val="0"/>
        </w:numPr>
      </w:pPr>
      <w:bookmarkStart w:id="11" w:name="_Hlk83028750"/>
      <w:bookmarkStart w:id="12" w:name="_Hlk83028479"/>
      <w:bookmarkStart w:id="13" w:name="_Hlk68532235"/>
      <w:r w:rsidRPr="008B5DAD">
        <w:t xml:space="preserve">Any known or likely habitat </w:t>
      </w:r>
      <w:r w:rsidR="00D34806">
        <w:t xml:space="preserve">(Map 1) </w:t>
      </w:r>
      <w:r w:rsidRPr="008B5DAD">
        <w:t xml:space="preserve">should be considered as habitat critical to the survival of the subspecies. </w:t>
      </w:r>
      <w:bookmarkStart w:id="14" w:name="_Hlk68591279"/>
      <w:bookmarkEnd w:id="11"/>
      <w:r w:rsidR="00825A10" w:rsidRPr="009A2AE8">
        <w:t xml:space="preserve">Additionally, areas that are not currently occupied by the </w:t>
      </w:r>
      <w:r w:rsidR="00DB0E41">
        <w:t>sub</w:t>
      </w:r>
      <w:r w:rsidR="00825A10" w:rsidRPr="009A2AE8">
        <w:t xml:space="preserve">species due to recent disturbance (e.g. fire, grazing or human activity), but should became suitable again in the future, should also be considered habitat critical to the survival of the </w:t>
      </w:r>
      <w:r w:rsidR="001776BE">
        <w:t>sub</w:t>
      </w:r>
      <w:r w:rsidR="00825A10" w:rsidRPr="009A2AE8">
        <w:t>species</w:t>
      </w:r>
      <w:r w:rsidR="00825A10">
        <w:t>.</w:t>
      </w:r>
    </w:p>
    <w:bookmarkEnd w:id="12"/>
    <w:p w14:paraId="2DEC4B3A" w14:textId="136A0614" w:rsidR="001E2D2C" w:rsidRDefault="00DB0E41" w:rsidP="00273E16">
      <w:r w:rsidRPr="008A18B0">
        <w:t>No Critical Habitat as defined under section 207A of the EPBC Act has been identified or included in the Register of Critical Habitat.</w:t>
      </w:r>
    </w:p>
    <w:p w14:paraId="098D64DE" w14:textId="50BA0E96" w:rsidR="00273E16" w:rsidRDefault="00273E16" w:rsidP="00273E16">
      <w:r>
        <w:t>Brown Treecreeper (south-eastern</w:t>
      </w:r>
      <w:r w:rsidR="00633C26">
        <w:t>)</w:t>
      </w:r>
      <w:r>
        <w:t xml:space="preserve"> habitat also occurs in a wide range of land ownership arrangements, including on private land, </w:t>
      </w:r>
      <w:r w:rsidR="009D3176">
        <w:t xml:space="preserve">travelling stock routes and reserves, </w:t>
      </w:r>
      <w:r>
        <w:t>state forests and state reserves, and National Parks. It is essential that the highest level of protection is provided to these areas and that enhancement and protection measures target these productive sites.</w:t>
      </w:r>
    </w:p>
    <w:p w14:paraId="5E3EBAF9" w14:textId="5E0CC44A" w:rsidR="00C304AA" w:rsidRDefault="008F5B78" w:rsidP="002B32FF">
      <w:pPr>
        <w:pStyle w:val="ListBullet"/>
        <w:numPr>
          <w:ilvl w:val="0"/>
          <w:numId w:val="0"/>
        </w:numPr>
      </w:pPr>
      <w:bookmarkStart w:id="15" w:name="_Hlk83028656"/>
      <w:r>
        <w:t xml:space="preserve">Habitat critical to the survival should not be cleared, fragmented or degraded. If removal of habitat critical to the survival cannot be avoided or mitigated, then an offset should be provided.  </w:t>
      </w:r>
      <w:r w:rsidR="00BE0A14">
        <w:t>A</w:t>
      </w:r>
      <w:r w:rsidR="003F6E53">
        <w:t>ctions identified in this document may form suitable offsets.</w:t>
      </w:r>
      <w:bookmarkEnd w:id="13"/>
      <w:bookmarkEnd w:id="14"/>
      <w:bookmarkEnd w:id="15"/>
    </w:p>
    <w:p w14:paraId="317B8450" w14:textId="77777777" w:rsidR="00C304AA" w:rsidRDefault="00C304AA" w:rsidP="001E5131">
      <w:pPr>
        <w:pStyle w:val="Heading3"/>
        <w:ind w:left="964" w:hanging="964"/>
      </w:pPr>
      <w:r>
        <w:t>Threats</w:t>
      </w:r>
    </w:p>
    <w:p w14:paraId="6E57B47D" w14:textId="5BA2783B" w:rsidR="00AC0FCF" w:rsidRDefault="00AC0FCF" w:rsidP="00AC0FCF">
      <w:bookmarkStart w:id="16" w:name="_Ref40886856"/>
      <w:r>
        <w:t xml:space="preserve">Brown Treecreepers suffer primarily from the legacy of over‐clearing agricultural lands, with </w:t>
      </w:r>
      <w:r w:rsidR="00126D8F">
        <w:t xml:space="preserve">population </w:t>
      </w:r>
      <w:r>
        <w:t xml:space="preserve">losses from fragments </w:t>
      </w:r>
      <w:r w:rsidR="00E928AC" w:rsidRPr="00760AE2">
        <w:t>smaller than 300 h</w:t>
      </w:r>
      <w:r w:rsidR="00306BC4">
        <w:t>a</w:t>
      </w:r>
      <w:r w:rsidR="00E928AC">
        <w:t xml:space="preserve"> (DPIE 2017) </w:t>
      </w:r>
      <w:r>
        <w:t>continuing to occur at le</w:t>
      </w:r>
      <w:r w:rsidRPr="00142F9E">
        <w:t>ast 50 years after fragmentation (Ford 2011)</w:t>
      </w:r>
      <w:r w:rsidR="002B03D2">
        <w:t>,</w:t>
      </w:r>
      <w:r w:rsidRPr="00142F9E">
        <w:t xml:space="preserve"> and likely to continue (Szabo et al. 2011) because the ground f</w:t>
      </w:r>
      <w:r w:rsidR="005078B8">
        <w:t>auna</w:t>
      </w:r>
      <w:r w:rsidRPr="00142F9E">
        <w:t xml:space="preserve"> is lacking abundance and diversity (Watson 2011). The genetic impacts of fragmentation are already apparent (Amos et al. 2014).</w:t>
      </w:r>
      <w:r>
        <w:t xml:space="preserve"> Other ongoing threats include inappropriate fire regimes, firewood collection and tidying of farmland, increased predation from introduced mammals, invasive weeds and exclusion by Noisy Miners </w:t>
      </w:r>
      <w:r w:rsidR="00306BC4">
        <w:t>(</w:t>
      </w:r>
      <w:r w:rsidRPr="00AC0FCF">
        <w:rPr>
          <w:i/>
          <w:iCs/>
        </w:rPr>
        <w:t>Manorina melanocephala</w:t>
      </w:r>
      <w:r w:rsidR="00306BC4">
        <w:t>)</w:t>
      </w:r>
      <w:r>
        <w:t xml:space="preserve"> (Willson </w:t>
      </w:r>
      <w:r w:rsidR="00947630">
        <w:t>&amp;</w:t>
      </w:r>
      <w:r>
        <w:t xml:space="preserve"> Bignall 2009). </w:t>
      </w:r>
    </w:p>
    <w:p w14:paraId="068FB0E8" w14:textId="552EBED5" w:rsidR="00AC0FCF" w:rsidRDefault="00AC0FCF" w:rsidP="00751BCB">
      <w:r>
        <w:t>Changes in flood regimes have profound effects of productivity of floodplain woodlands, with floods generally benefitting Brown Treecreepers (south-eastern) except when inundated areas become occupied by Noisy Miners (</w:t>
      </w:r>
      <w:r w:rsidRPr="00307A7D">
        <w:t>Loyn et al. 2019</w:t>
      </w:r>
      <w:r>
        <w:t xml:space="preserve">). Grazing by stock, rabbits </w:t>
      </w:r>
      <w:r w:rsidR="00306BC4">
        <w:t>(</w:t>
      </w:r>
      <w:r w:rsidRPr="00AC0FCF">
        <w:rPr>
          <w:i/>
          <w:iCs/>
        </w:rPr>
        <w:t>Oryctolagus cuniculus</w:t>
      </w:r>
      <w:r w:rsidR="00306BC4">
        <w:t>)</w:t>
      </w:r>
      <w:r>
        <w:t xml:space="preserve"> and kangaroos </w:t>
      </w:r>
      <w:r w:rsidR="00306BC4">
        <w:t>(</w:t>
      </w:r>
      <w:r w:rsidRPr="00AC0FCF">
        <w:rPr>
          <w:i/>
          <w:iCs/>
        </w:rPr>
        <w:t xml:space="preserve">Macropus </w:t>
      </w:r>
      <w:r w:rsidRPr="00882A2D">
        <w:t>spp.</w:t>
      </w:r>
      <w:r w:rsidR="00306BC4">
        <w:t>)</w:t>
      </w:r>
      <w:r>
        <w:t xml:space="preserve"> can prevent regeneration but also benefit the species where it depletes the ground cover sufficiently to improve access to the litter layer for foraging</w:t>
      </w:r>
      <w:r w:rsidR="00AB3719">
        <w:t xml:space="preserve"> </w:t>
      </w:r>
      <w:r w:rsidR="00751BCB">
        <w:t>(Willson &amp; Bignall 2009)</w:t>
      </w:r>
      <w:r>
        <w:t>.</w:t>
      </w:r>
    </w:p>
    <w:p w14:paraId="2DC62AEF" w14:textId="6481ACD9" w:rsidR="00957A21" w:rsidRDefault="00957A21" w:rsidP="009502E2">
      <w:pPr>
        <w:pStyle w:val="Caption"/>
      </w:pPr>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F14F9F">
        <w:rPr>
          <w:noProof/>
        </w:rPr>
        <w:t>1</w:t>
      </w:r>
      <w:r w:rsidR="003A06CA">
        <w:rPr>
          <w:noProof/>
        </w:rPr>
        <w:fldChar w:fldCharType="end"/>
      </w:r>
      <w:bookmarkEnd w:id="16"/>
      <w:r>
        <w:t xml:space="preserve"> Threats impacting </w:t>
      </w:r>
      <w:r w:rsidR="00AC0FCF">
        <w:t>Brown Treecreeper (south-eastern)</w:t>
      </w:r>
    </w:p>
    <w:tbl>
      <w:tblPr>
        <w:tblStyle w:val="TableGrid"/>
        <w:tblW w:w="0" w:type="auto"/>
        <w:tblLayout w:type="fixed"/>
        <w:tblLook w:val="04A0" w:firstRow="1" w:lastRow="0" w:firstColumn="1" w:lastColumn="0" w:noHBand="0" w:noVBand="1"/>
      </w:tblPr>
      <w:tblGrid>
        <w:gridCol w:w="3020"/>
        <w:gridCol w:w="3020"/>
        <w:gridCol w:w="3020"/>
      </w:tblGrid>
      <w:tr w:rsidR="00957A21" w14:paraId="078C9F1A" w14:textId="77777777" w:rsidTr="16D679A8">
        <w:tc>
          <w:tcPr>
            <w:tcW w:w="3020" w:type="dxa"/>
          </w:tcPr>
          <w:p w14:paraId="494D8524" w14:textId="155E55D1" w:rsidR="00957A21" w:rsidRDefault="00957A21" w:rsidP="00D945A0">
            <w:pPr>
              <w:pStyle w:val="TableHeading"/>
            </w:pPr>
            <w:r>
              <w:t xml:space="preserve">Threat </w:t>
            </w:r>
          </w:p>
        </w:tc>
        <w:tc>
          <w:tcPr>
            <w:tcW w:w="3020" w:type="dxa"/>
          </w:tcPr>
          <w:p w14:paraId="3DF9A4AC" w14:textId="5C531070"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3020" w:type="dxa"/>
          </w:tcPr>
          <w:p w14:paraId="2D2F3839" w14:textId="79AA86D4" w:rsidR="00957A21" w:rsidRDefault="00957A21" w:rsidP="00D945A0">
            <w:pPr>
              <w:pStyle w:val="TableHeading"/>
            </w:pPr>
            <w:r>
              <w:t xml:space="preserve">Evidence </w:t>
            </w:r>
          </w:p>
        </w:tc>
      </w:tr>
      <w:tr w:rsidR="00D1236A" w:rsidRPr="008A24A1" w14:paraId="742E7EC9" w14:textId="77777777" w:rsidTr="16D679A8">
        <w:tc>
          <w:tcPr>
            <w:tcW w:w="9060" w:type="dxa"/>
            <w:gridSpan w:val="3"/>
          </w:tcPr>
          <w:p w14:paraId="5A89D147" w14:textId="7AE0A039" w:rsidR="00D1236A" w:rsidRPr="00903010" w:rsidRDefault="006A0D23" w:rsidP="00D945A0">
            <w:pPr>
              <w:pStyle w:val="TableText"/>
              <w:keepNext/>
            </w:pPr>
            <w:r w:rsidRPr="00903010">
              <w:t xml:space="preserve">Habitat loss, </w:t>
            </w:r>
            <w:r w:rsidR="008E37E7">
              <w:t>degradation</w:t>
            </w:r>
            <w:r w:rsidRPr="00903010">
              <w:t xml:space="preserve"> and fragmentation</w:t>
            </w:r>
          </w:p>
        </w:tc>
      </w:tr>
      <w:tr w:rsidR="006261D7" w:rsidRPr="005C6382" w14:paraId="66E490C8" w14:textId="77777777" w:rsidTr="16D679A8">
        <w:tc>
          <w:tcPr>
            <w:tcW w:w="3020" w:type="dxa"/>
          </w:tcPr>
          <w:p w14:paraId="16FF54D3" w14:textId="4D99369E" w:rsidR="006261D7" w:rsidRDefault="006261D7" w:rsidP="006261D7">
            <w:pPr>
              <w:pStyle w:val="TableText"/>
            </w:pPr>
            <w:bookmarkStart w:id="17" w:name="_Hlk67045979"/>
            <w:r>
              <w:t>Habitat loss and fragmentation caused by clearing for agriculture</w:t>
            </w:r>
            <w:bookmarkEnd w:id="17"/>
          </w:p>
        </w:tc>
        <w:tc>
          <w:tcPr>
            <w:tcW w:w="3020" w:type="dxa"/>
          </w:tcPr>
          <w:p w14:paraId="09D13CC5" w14:textId="77777777" w:rsidR="006261D7" w:rsidRPr="008349ED" w:rsidRDefault="006261D7" w:rsidP="00514923">
            <w:pPr>
              <w:pStyle w:val="TableBullet1"/>
              <w:keepNext/>
              <w:ind w:left="414"/>
            </w:pPr>
            <w:r>
              <w:t xml:space="preserve">Status: </w:t>
            </w:r>
            <w:r w:rsidRPr="008349ED">
              <w:t>historical/current/future</w:t>
            </w:r>
          </w:p>
          <w:p w14:paraId="3B14FE39" w14:textId="77777777" w:rsidR="006261D7" w:rsidRPr="008349ED" w:rsidRDefault="006261D7" w:rsidP="00514923">
            <w:pPr>
              <w:pStyle w:val="TableBullet1"/>
              <w:keepNext/>
              <w:ind w:left="414"/>
            </w:pPr>
            <w:r w:rsidRPr="008349ED">
              <w:t>Confidence: known</w:t>
            </w:r>
          </w:p>
          <w:p w14:paraId="2F69B470" w14:textId="77777777" w:rsidR="006261D7" w:rsidRPr="008349ED" w:rsidRDefault="006261D7" w:rsidP="00514923">
            <w:pPr>
              <w:pStyle w:val="TableBullet1"/>
              <w:keepNext/>
              <w:ind w:left="414"/>
            </w:pPr>
            <w:r w:rsidRPr="008349ED">
              <w:t>Consequence: moderate</w:t>
            </w:r>
          </w:p>
          <w:p w14:paraId="053BFD77" w14:textId="77777777" w:rsidR="006261D7" w:rsidRPr="008349ED" w:rsidRDefault="006261D7" w:rsidP="00514923">
            <w:pPr>
              <w:pStyle w:val="TableBullet1"/>
              <w:keepNext/>
              <w:ind w:left="414"/>
            </w:pPr>
            <w:r w:rsidRPr="008349ED">
              <w:t>Trend: static</w:t>
            </w:r>
          </w:p>
          <w:p w14:paraId="5C65D155" w14:textId="69776A5C" w:rsidR="006261D7" w:rsidRDefault="006261D7" w:rsidP="00514923">
            <w:pPr>
              <w:pStyle w:val="TableBullet1"/>
              <w:keepNext/>
              <w:ind w:left="414"/>
            </w:pPr>
            <w:r w:rsidRPr="008349ED">
              <w:t>Extent: across part of its range</w:t>
            </w:r>
          </w:p>
        </w:tc>
        <w:tc>
          <w:tcPr>
            <w:tcW w:w="3020" w:type="dxa"/>
          </w:tcPr>
          <w:p w14:paraId="25384B1A" w14:textId="2F1EF390" w:rsidR="006261D7" w:rsidRDefault="007840DB" w:rsidP="006261D7">
            <w:pPr>
              <w:pStyle w:val="TableText"/>
            </w:pPr>
            <w:r w:rsidRPr="007B4BF6">
              <w:t>The main threats to bird survival in agricultural areas is habitat loss caused by over-clearing of native vegetation, and subsequent degradation of the remnant</w:t>
            </w:r>
            <w:r>
              <w:t xml:space="preserve"> </w:t>
            </w:r>
            <w:r w:rsidRPr="007B4BF6">
              <w:t>vegetation</w:t>
            </w:r>
            <w:r>
              <w:t xml:space="preserve"> (Stevens 2001)</w:t>
            </w:r>
            <w:r w:rsidRPr="007B4BF6">
              <w:t xml:space="preserve">. </w:t>
            </w:r>
            <w:r w:rsidR="006261D7">
              <w:t>Since European settlement, over 80</w:t>
            </w:r>
            <w:r w:rsidR="006233AC">
              <w:t>%</w:t>
            </w:r>
            <w:r w:rsidR="006261D7">
              <w:t xml:space="preserve"> of woodlands in south-east Australia have been cleared (Bradshaw 2012). Remaining remnants are generally isolated and small, and often below the critical size needed </w:t>
            </w:r>
            <w:r w:rsidR="006261D7">
              <w:lastRenderedPageBreak/>
              <w:t>to sustain healthy populations of many bird species (Olsen et al. 2005).</w:t>
            </w:r>
          </w:p>
          <w:p w14:paraId="7BA5EBB3" w14:textId="77777777" w:rsidR="006261D7" w:rsidRDefault="006261D7" w:rsidP="006261D7">
            <w:pPr>
              <w:pStyle w:val="TableText"/>
            </w:pPr>
            <w:r w:rsidRPr="00E65A59">
              <w:t>A</w:t>
            </w:r>
            <w:r>
              <w:t>dditionally, as</w:t>
            </w:r>
            <w:r w:rsidRPr="00E65A59">
              <w:t xml:space="preserve"> habitats become increasingly fragmented</w:t>
            </w:r>
            <w:r>
              <w:t xml:space="preserve"> due to clearing</w:t>
            </w:r>
            <w:r w:rsidRPr="00E65A59">
              <w:t xml:space="preserve">, native </w:t>
            </w:r>
            <w:r>
              <w:t>birds</w:t>
            </w:r>
            <w:r w:rsidRPr="00E65A59">
              <w:t xml:space="preserve"> become more vulnerable to the other threats, such as predation by feral species and destructive fires, and lose the ability to recolonise </w:t>
            </w:r>
            <w:r>
              <w:t xml:space="preserve">previously </w:t>
            </w:r>
            <w:r w:rsidRPr="00E65A59">
              <w:t>suitable habitat</w:t>
            </w:r>
            <w:r>
              <w:t xml:space="preserve"> (Olsen et al. 2005)</w:t>
            </w:r>
            <w:r w:rsidRPr="00E65A59">
              <w:t>.</w:t>
            </w:r>
            <w:r>
              <w:t xml:space="preserve"> </w:t>
            </w:r>
            <w:r w:rsidRPr="00E65A59">
              <w:t xml:space="preserve">The </w:t>
            </w:r>
            <w:r>
              <w:t xml:space="preserve">ongoing </w:t>
            </w:r>
            <w:r w:rsidRPr="00E65A59">
              <w:t>fragmentation and degradation of remnant vegetation can</w:t>
            </w:r>
            <w:r>
              <w:t xml:space="preserve"> also</w:t>
            </w:r>
            <w:r w:rsidRPr="00E65A59">
              <w:t xml:space="preserve"> disrupt essential ecosystem processes such as pollination, seed dispersal and regeneration</w:t>
            </w:r>
            <w:r>
              <w:t xml:space="preserve"> (Jackson et al. 2016).  </w:t>
            </w:r>
          </w:p>
          <w:p w14:paraId="491C89F0" w14:textId="27502844" w:rsidR="006261D7" w:rsidRDefault="006261D7" w:rsidP="006261D7">
            <w:pPr>
              <w:pStyle w:val="TableText"/>
            </w:pPr>
            <w:r>
              <w:t>Habitat loss and fragmentation from agriculture is a significant threat affecting Brown Treecreepers (south-eastern) (</w:t>
            </w:r>
            <w:r w:rsidRPr="00F66CBB">
              <w:t xml:space="preserve">Ford </w:t>
            </w:r>
            <w:r>
              <w:t xml:space="preserve">2011; </w:t>
            </w:r>
            <w:r w:rsidRPr="00F66CBB">
              <w:t>Szabo et al. 2011</w:t>
            </w:r>
            <w:r>
              <w:t xml:space="preserve">; </w:t>
            </w:r>
            <w:r w:rsidRPr="00142F9E">
              <w:t>Watson 2011</w:t>
            </w:r>
            <w:r>
              <w:t xml:space="preserve">), and the </w:t>
            </w:r>
            <w:r w:rsidRPr="00142F9E">
              <w:t xml:space="preserve">genetic impacts of this fragmentation are already apparent (Amos et al. 2014). </w:t>
            </w:r>
            <w:r w:rsidRPr="001710CB">
              <w:t>Retention and replanting of native vegetation in agricultural areas are needed</w:t>
            </w:r>
            <w:r>
              <w:t xml:space="preserve">, as is the cessation of land clearing. </w:t>
            </w:r>
          </w:p>
        </w:tc>
      </w:tr>
      <w:tr w:rsidR="006261D7" w:rsidRPr="005C6382" w14:paraId="65698031" w14:textId="77777777" w:rsidTr="16D679A8">
        <w:tc>
          <w:tcPr>
            <w:tcW w:w="3020" w:type="dxa"/>
          </w:tcPr>
          <w:p w14:paraId="0E2AA451" w14:textId="633D16C2" w:rsidR="006261D7" w:rsidRDefault="7B3A48F5" w:rsidP="006261D7">
            <w:pPr>
              <w:pStyle w:val="TableText"/>
            </w:pPr>
            <w:r>
              <w:lastRenderedPageBreak/>
              <w:t xml:space="preserve">Habitat degradation caused by </w:t>
            </w:r>
            <w:r w:rsidR="00152BDD">
              <w:t xml:space="preserve">domestic </w:t>
            </w:r>
            <w:r w:rsidR="006C7BAC">
              <w:t>live</w:t>
            </w:r>
            <w:r w:rsidR="00152BDD">
              <w:t>stock</w:t>
            </w:r>
            <w:r w:rsidR="00452EBD">
              <w:t xml:space="preserve"> </w:t>
            </w:r>
            <w:r>
              <w:t>grazing</w:t>
            </w:r>
          </w:p>
        </w:tc>
        <w:tc>
          <w:tcPr>
            <w:tcW w:w="3020" w:type="dxa"/>
          </w:tcPr>
          <w:p w14:paraId="3F57487B" w14:textId="77777777" w:rsidR="006261D7" w:rsidRPr="00966DC8" w:rsidRDefault="006261D7" w:rsidP="00514923">
            <w:pPr>
              <w:pStyle w:val="TableBullet1"/>
              <w:keepNext/>
              <w:ind w:left="414"/>
            </w:pPr>
            <w:r>
              <w:t xml:space="preserve">Status: </w:t>
            </w:r>
            <w:r w:rsidRPr="00966DC8">
              <w:t>current</w:t>
            </w:r>
          </w:p>
          <w:p w14:paraId="12847792" w14:textId="77777777" w:rsidR="006261D7" w:rsidRPr="00966DC8" w:rsidRDefault="006261D7" w:rsidP="00514923">
            <w:pPr>
              <w:pStyle w:val="TableBullet1"/>
              <w:keepNext/>
              <w:ind w:left="414"/>
            </w:pPr>
            <w:r w:rsidRPr="00966DC8">
              <w:t>Confidence: known</w:t>
            </w:r>
          </w:p>
          <w:p w14:paraId="7EEBCA31" w14:textId="77777777" w:rsidR="006261D7" w:rsidRPr="00966DC8" w:rsidRDefault="006261D7" w:rsidP="00514923">
            <w:pPr>
              <w:pStyle w:val="TableBullet1"/>
              <w:keepNext/>
              <w:ind w:left="414"/>
            </w:pPr>
            <w:r w:rsidRPr="00966DC8">
              <w:t>Consequence: moderate</w:t>
            </w:r>
          </w:p>
          <w:p w14:paraId="36B8B5CF" w14:textId="77777777" w:rsidR="006261D7" w:rsidRPr="00966DC8" w:rsidRDefault="006261D7" w:rsidP="00514923">
            <w:pPr>
              <w:pStyle w:val="TableBullet1"/>
              <w:keepNext/>
              <w:ind w:left="414"/>
            </w:pPr>
            <w:r w:rsidRPr="00966DC8">
              <w:t>Trend: increasing</w:t>
            </w:r>
          </w:p>
          <w:p w14:paraId="14EE802F" w14:textId="6723915A" w:rsidR="006261D7" w:rsidRDefault="006261D7" w:rsidP="00514923">
            <w:pPr>
              <w:pStyle w:val="TableBullet1"/>
              <w:keepNext/>
              <w:ind w:left="414"/>
            </w:pPr>
            <w:r w:rsidRPr="00966DC8">
              <w:t>Extent: across part of its range</w:t>
            </w:r>
          </w:p>
        </w:tc>
        <w:tc>
          <w:tcPr>
            <w:tcW w:w="3020" w:type="dxa"/>
          </w:tcPr>
          <w:p w14:paraId="5A8C0AA7" w14:textId="0CACCE1E" w:rsidR="006261D7" w:rsidRDefault="494DF5FB" w:rsidP="006261D7">
            <w:pPr>
              <w:pStyle w:val="TableText"/>
            </w:pPr>
            <w:r>
              <w:t xml:space="preserve">Native tree and shrub seedlings and grassy woodland groundcover species are highly susceptible to domestic stock grazing </w:t>
            </w:r>
            <w:r w:rsidR="006E65E5">
              <w:t>(Willson &amp; Bignall 2009</w:t>
            </w:r>
            <w:r>
              <w:t>). Many woodland remnants</w:t>
            </w:r>
            <w:r w:rsidR="000F7696">
              <w:t xml:space="preserve"> (including travelling stock routes)</w:t>
            </w:r>
            <w:r>
              <w:t xml:space="preserve"> in poor condition lack native plant diversity and therefore have low habitat value for woodland birds (Seddon et al. 2003</w:t>
            </w:r>
            <w:r w:rsidR="000F7696">
              <w:t xml:space="preserve">; </w:t>
            </w:r>
            <w:r>
              <w:t>).</w:t>
            </w:r>
          </w:p>
          <w:p w14:paraId="793AF43D" w14:textId="77777777" w:rsidR="00ED4B1B" w:rsidRDefault="7B3A48F5" w:rsidP="006261D7">
            <w:pPr>
              <w:pStyle w:val="TableText"/>
            </w:pPr>
            <w:r>
              <w:t xml:space="preserve">Unlike native herbivores, most domestic stock are hard-hoofed and cause significantly more damage to soil structure from compaction, and damage to native plants by trampling (Willson &amp; Bignall 2009). A reduction or removal of understorey habitat (e.g., native shrubs, herbs and grasses) can reduce foraging and nesting sites, reduce shelter, and </w:t>
            </w:r>
            <w:r w:rsidR="0CB2ACA9">
              <w:t>con</w:t>
            </w:r>
            <w:r>
              <w:t>sequently increase the risk of predation (Olsen et al. 2005).</w:t>
            </w:r>
            <w:r w:rsidR="00ED4B1B">
              <w:t xml:space="preserve"> </w:t>
            </w:r>
          </w:p>
          <w:p w14:paraId="1CB84CDD" w14:textId="37044539" w:rsidR="000F7696" w:rsidRDefault="006261D7" w:rsidP="006261D7">
            <w:pPr>
              <w:pStyle w:val="TableText"/>
            </w:pPr>
            <w:r>
              <w:t>The other major influence of livestock grazing is its interaction with weed invasion (Martine &amp; Alan 2005). Livestock grazing can exacerbate weed spread through seed dispersal, soil and vegetation disturbance, and nutrient enrichment (Martine &amp; Alan 2005).</w:t>
            </w:r>
          </w:p>
        </w:tc>
      </w:tr>
      <w:tr w:rsidR="00ED4B1B" w:rsidRPr="005C6382" w14:paraId="0EF34124" w14:textId="77777777" w:rsidTr="16D679A8">
        <w:tc>
          <w:tcPr>
            <w:tcW w:w="3020" w:type="dxa"/>
          </w:tcPr>
          <w:p w14:paraId="4B10A8CC" w14:textId="18A5404B" w:rsidR="00ED4B1B" w:rsidRDefault="008E26F5" w:rsidP="00ED4B1B">
            <w:pPr>
              <w:pStyle w:val="TableText"/>
            </w:pPr>
            <w:r>
              <w:lastRenderedPageBreak/>
              <w:t>Conventional grazing practices</w:t>
            </w:r>
          </w:p>
        </w:tc>
        <w:tc>
          <w:tcPr>
            <w:tcW w:w="3020" w:type="dxa"/>
          </w:tcPr>
          <w:p w14:paraId="6470DF70" w14:textId="77777777" w:rsidR="00A446A3" w:rsidRPr="00966DC8" w:rsidRDefault="00A446A3" w:rsidP="00A446A3">
            <w:pPr>
              <w:pStyle w:val="TableBullet1"/>
              <w:keepNext/>
              <w:ind w:left="414"/>
            </w:pPr>
            <w:r>
              <w:t xml:space="preserve">Status: </w:t>
            </w:r>
            <w:r w:rsidRPr="00966DC8">
              <w:t>current</w:t>
            </w:r>
          </w:p>
          <w:p w14:paraId="5938AA3F" w14:textId="77777777" w:rsidR="00A446A3" w:rsidRPr="00966DC8" w:rsidRDefault="00A446A3" w:rsidP="00A446A3">
            <w:pPr>
              <w:pStyle w:val="TableBullet1"/>
              <w:keepNext/>
              <w:ind w:left="414"/>
            </w:pPr>
            <w:r w:rsidRPr="00966DC8">
              <w:t>Confidence: known</w:t>
            </w:r>
          </w:p>
          <w:p w14:paraId="6DE81591" w14:textId="77777777" w:rsidR="00A446A3" w:rsidRPr="00966DC8" w:rsidRDefault="00A446A3" w:rsidP="00A446A3">
            <w:pPr>
              <w:pStyle w:val="TableBullet1"/>
              <w:keepNext/>
              <w:ind w:left="414"/>
            </w:pPr>
            <w:r w:rsidRPr="00966DC8">
              <w:t>Consequence: moderate</w:t>
            </w:r>
          </w:p>
          <w:p w14:paraId="7B903DFA" w14:textId="77777777" w:rsidR="00A446A3" w:rsidRPr="00966DC8" w:rsidRDefault="00A446A3" w:rsidP="00A446A3">
            <w:pPr>
              <w:pStyle w:val="TableBullet1"/>
              <w:keepNext/>
              <w:ind w:left="414"/>
            </w:pPr>
            <w:r w:rsidRPr="00966DC8">
              <w:t>Trend: increasing</w:t>
            </w:r>
          </w:p>
          <w:p w14:paraId="592879CB" w14:textId="67A6AC02" w:rsidR="00ED4B1B" w:rsidRDefault="00A446A3" w:rsidP="00A446A3">
            <w:pPr>
              <w:pStyle w:val="TableBullet1"/>
              <w:keepNext/>
              <w:ind w:left="414"/>
            </w:pPr>
            <w:r w:rsidRPr="00966DC8">
              <w:t>Extent: across part of its range</w:t>
            </w:r>
          </w:p>
        </w:tc>
        <w:tc>
          <w:tcPr>
            <w:tcW w:w="3020" w:type="dxa"/>
          </w:tcPr>
          <w:p w14:paraId="3AC9BC7B" w14:textId="77745138" w:rsidR="008E26F5" w:rsidRDefault="008E26F5" w:rsidP="008E26F5">
            <w:pPr>
              <w:pStyle w:val="TableText"/>
            </w:pPr>
            <w:r>
              <w:t>Conventional grazing practices involves continuous livestock grazing with few rest periods and regular fertilizer application. These practices negatively impact tree regeneration in woodland habitats</w:t>
            </w:r>
            <w:r w:rsidR="00A446A3">
              <w:t xml:space="preserve">, e.g., </w:t>
            </w:r>
            <w:r w:rsidR="00A446A3" w:rsidRPr="00A446A3">
              <w:t>scattered paddock trees as important stepping-stone habitat</w:t>
            </w:r>
            <w:r>
              <w:t xml:space="preserve"> (Fischer et al. 2009). </w:t>
            </w:r>
          </w:p>
          <w:p w14:paraId="08F2B977" w14:textId="40E8B738" w:rsidR="008E26F5" w:rsidRDefault="008E26F5" w:rsidP="008E26F5">
            <w:pPr>
              <w:pStyle w:val="TableText"/>
            </w:pPr>
            <w:r>
              <w:t xml:space="preserve">Fischer et al. (2009) found that fast-rotational grazing was up to 4-fold higher than under conventional grazing, and it did not differ significantly from the probability of regeneration in </w:t>
            </w:r>
            <w:proofErr w:type="spellStart"/>
            <w:r>
              <w:t>ungrazed</w:t>
            </w:r>
            <w:proofErr w:type="spellEnd"/>
            <w:r>
              <w:t xml:space="preserve"> areas. In addition, trees were more likely to regenerate where soil nutrient levels were low. These findings suggest that the tree regeneration crisis can be reversed by applying low-input, fast-rotational grazing.</w:t>
            </w:r>
          </w:p>
          <w:p w14:paraId="00D538DE" w14:textId="0F669AC8" w:rsidR="00ED4B1B" w:rsidRDefault="00ED4B1B" w:rsidP="00ED4B1B">
            <w:pPr>
              <w:pStyle w:val="TableText"/>
            </w:pPr>
            <w:r w:rsidRPr="008F1D07">
              <w:t>Fertilizer inputs on scattered tree regeneration</w:t>
            </w:r>
          </w:p>
        </w:tc>
      </w:tr>
      <w:tr w:rsidR="006A0D23" w:rsidRPr="005C6382" w14:paraId="0AB15FFC" w14:textId="77777777" w:rsidTr="16D679A8">
        <w:tc>
          <w:tcPr>
            <w:tcW w:w="3020" w:type="dxa"/>
          </w:tcPr>
          <w:p w14:paraId="6670B298" w14:textId="3FC128F0" w:rsidR="006A0D23" w:rsidRDefault="006A0D23" w:rsidP="006A0D23">
            <w:pPr>
              <w:pStyle w:val="TableText"/>
            </w:pPr>
            <w:r>
              <w:t>Unintentional effects of firewood collection</w:t>
            </w:r>
          </w:p>
        </w:tc>
        <w:tc>
          <w:tcPr>
            <w:tcW w:w="3020" w:type="dxa"/>
          </w:tcPr>
          <w:p w14:paraId="704C52A8" w14:textId="77777777" w:rsidR="006A0D23" w:rsidRPr="00966DC8" w:rsidRDefault="006A0D23" w:rsidP="00514923">
            <w:pPr>
              <w:pStyle w:val="TableBullet1"/>
              <w:keepNext/>
              <w:ind w:left="414"/>
            </w:pPr>
            <w:r>
              <w:t xml:space="preserve">Status: </w:t>
            </w:r>
            <w:r w:rsidRPr="00966DC8">
              <w:t>current</w:t>
            </w:r>
          </w:p>
          <w:p w14:paraId="3B0BDE35" w14:textId="07C495B1" w:rsidR="006A0D23" w:rsidRPr="00966DC8" w:rsidRDefault="006A0D23" w:rsidP="00514923">
            <w:pPr>
              <w:pStyle w:val="TableBullet1"/>
              <w:keepNext/>
              <w:ind w:left="414"/>
            </w:pPr>
            <w:r w:rsidRPr="00966DC8">
              <w:t xml:space="preserve">Confidence: </w:t>
            </w:r>
            <w:r w:rsidR="00E24D39">
              <w:t>known</w:t>
            </w:r>
          </w:p>
          <w:p w14:paraId="515875BD" w14:textId="5E21EFB7" w:rsidR="006A0D23" w:rsidRPr="00966DC8" w:rsidRDefault="006A0D23" w:rsidP="00514923">
            <w:pPr>
              <w:pStyle w:val="TableBullet1"/>
              <w:keepNext/>
              <w:ind w:left="414"/>
            </w:pPr>
            <w:r w:rsidRPr="00966DC8">
              <w:t xml:space="preserve">Consequence: </w:t>
            </w:r>
            <w:r w:rsidR="00E24D39">
              <w:t>low</w:t>
            </w:r>
          </w:p>
          <w:p w14:paraId="49A9AF5F" w14:textId="77777777" w:rsidR="006A0D23" w:rsidRPr="00966DC8" w:rsidRDefault="006A0D23" w:rsidP="00514923">
            <w:pPr>
              <w:pStyle w:val="TableBullet1"/>
              <w:keepNext/>
              <w:ind w:left="414"/>
            </w:pPr>
            <w:r w:rsidRPr="00966DC8">
              <w:t>Trend: unknown</w:t>
            </w:r>
          </w:p>
          <w:p w14:paraId="0C807086" w14:textId="0DB9B5F1" w:rsidR="006A0D23" w:rsidRDefault="006A0D23" w:rsidP="00514923">
            <w:pPr>
              <w:pStyle w:val="TableBullet1"/>
              <w:keepNext/>
              <w:ind w:left="414"/>
            </w:pPr>
            <w:r w:rsidRPr="00966DC8">
              <w:t>Extent: across part of its range</w:t>
            </w:r>
          </w:p>
        </w:tc>
        <w:tc>
          <w:tcPr>
            <w:tcW w:w="3020" w:type="dxa"/>
          </w:tcPr>
          <w:p w14:paraId="28859DA4" w14:textId="77777777" w:rsidR="006A0D23" w:rsidRPr="00982D5F" w:rsidRDefault="006A0D23" w:rsidP="006A0D23">
            <w:pPr>
              <w:pStyle w:val="TableText"/>
            </w:pPr>
            <w:r w:rsidRPr="00982D5F">
              <w:t>Legal and illegal harvest</w:t>
            </w:r>
            <w:r>
              <w:t>ing</w:t>
            </w:r>
            <w:r w:rsidRPr="00982D5F">
              <w:t xml:space="preserve"> of </w:t>
            </w:r>
            <w:r>
              <w:t xml:space="preserve">timber </w:t>
            </w:r>
            <w:r w:rsidRPr="00982D5F">
              <w:t>for firewood reduce</w:t>
            </w:r>
            <w:r>
              <w:t>s</w:t>
            </w:r>
            <w:r w:rsidRPr="00982D5F">
              <w:t xml:space="preserve"> the availability of habitat for </w:t>
            </w:r>
            <w:r>
              <w:t>birds</w:t>
            </w:r>
            <w:r w:rsidRPr="00982D5F">
              <w:t xml:space="preserve">, and the invertebrates on which they feed, and can alter micro-habitat conditions for native flora </w:t>
            </w:r>
            <w:bookmarkStart w:id="18" w:name="_Hlk67390890"/>
            <w:r w:rsidRPr="00982D5F">
              <w:t xml:space="preserve">(Wilson &amp; Bignall 2009). </w:t>
            </w:r>
            <w:bookmarkEnd w:id="18"/>
          </w:p>
          <w:p w14:paraId="36698F76" w14:textId="28FD742C" w:rsidR="006A0D23" w:rsidRDefault="006A0D23" w:rsidP="006A0D23">
            <w:pPr>
              <w:pStyle w:val="TableText"/>
            </w:pPr>
            <w:r w:rsidRPr="00982D5F">
              <w:t>The level of impact of this threat within Brown Treecreeper</w:t>
            </w:r>
            <w:r>
              <w:t>’s</w:t>
            </w:r>
            <w:r w:rsidRPr="00982D5F">
              <w:t xml:space="preserve"> (south-eastern) range is unclear. Management guidelines for firewood collection exist (ANZECC 2001</w:t>
            </w:r>
            <w:r>
              <w:t xml:space="preserve">; </w:t>
            </w:r>
            <w:r w:rsidRPr="00982D5F">
              <w:t>DEH 2002; DEC 2003</w:t>
            </w:r>
            <w:r>
              <w:t>)</w:t>
            </w:r>
            <w:r w:rsidRPr="00982D5F">
              <w:t xml:space="preserve"> </w:t>
            </w:r>
            <w:r>
              <w:t>and should be</w:t>
            </w:r>
            <w:r w:rsidRPr="00982D5F">
              <w:t xml:space="preserve"> encourage</w:t>
            </w:r>
            <w:r>
              <w:t>d to</w:t>
            </w:r>
            <w:r w:rsidRPr="00982D5F">
              <w:t xml:space="preserve"> </w:t>
            </w:r>
            <w:r>
              <w:t xml:space="preserve">maintain and improve essential habitat for the subspecies. </w:t>
            </w:r>
            <w:r w:rsidRPr="00982D5F">
              <w:t xml:space="preserve"> </w:t>
            </w:r>
          </w:p>
        </w:tc>
      </w:tr>
      <w:tr w:rsidR="006A0D23" w:rsidRPr="005C6382" w14:paraId="5FB6AE64" w14:textId="77777777" w:rsidTr="16D679A8">
        <w:tc>
          <w:tcPr>
            <w:tcW w:w="9060" w:type="dxa"/>
            <w:gridSpan w:val="3"/>
          </w:tcPr>
          <w:p w14:paraId="2F475C8F" w14:textId="35831795" w:rsidR="006A0D23" w:rsidRDefault="006A0D23" w:rsidP="006A0D23">
            <w:pPr>
              <w:pStyle w:val="TableText"/>
            </w:pPr>
            <w:r>
              <w:t>Climate change</w:t>
            </w:r>
          </w:p>
        </w:tc>
      </w:tr>
      <w:tr w:rsidR="006A0D23" w:rsidRPr="005C6382" w14:paraId="41ECC816" w14:textId="77777777" w:rsidTr="16D679A8">
        <w:tc>
          <w:tcPr>
            <w:tcW w:w="3020" w:type="dxa"/>
          </w:tcPr>
          <w:p w14:paraId="37D9A9FE" w14:textId="1A7F6E1D" w:rsidR="006A0D23" w:rsidRDefault="006A0D23" w:rsidP="006A0D23">
            <w:pPr>
              <w:pStyle w:val="TableText"/>
            </w:pPr>
            <w:r w:rsidRPr="00966DC8">
              <w:t xml:space="preserve">Increased likelihood of extreme events (i.e., </w:t>
            </w:r>
            <w:r>
              <w:t>wild</w:t>
            </w:r>
            <w:r w:rsidRPr="00966DC8">
              <w:t>fire, heatwave, and drought)</w:t>
            </w:r>
          </w:p>
        </w:tc>
        <w:tc>
          <w:tcPr>
            <w:tcW w:w="3020" w:type="dxa"/>
          </w:tcPr>
          <w:p w14:paraId="25B00AEE" w14:textId="77777777" w:rsidR="006A0D23" w:rsidRPr="009214C7" w:rsidRDefault="006A0D23" w:rsidP="00514923">
            <w:pPr>
              <w:pStyle w:val="TableBullet1"/>
              <w:keepNext/>
              <w:ind w:left="414"/>
            </w:pPr>
            <w:r w:rsidRPr="009214C7">
              <w:t xml:space="preserve">Status: current &amp; future </w:t>
            </w:r>
          </w:p>
          <w:p w14:paraId="6DA00F5F" w14:textId="77777777" w:rsidR="006A0D23" w:rsidRPr="009214C7" w:rsidRDefault="006A0D23" w:rsidP="00514923">
            <w:pPr>
              <w:pStyle w:val="TableBullet1"/>
              <w:keepNext/>
              <w:ind w:left="414"/>
            </w:pPr>
            <w:r w:rsidRPr="009214C7">
              <w:t>Confidence: known</w:t>
            </w:r>
          </w:p>
          <w:p w14:paraId="307A9138" w14:textId="77777777" w:rsidR="006A0D23" w:rsidRPr="009214C7" w:rsidRDefault="006A0D23" w:rsidP="00514923">
            <w:pPr>
              <w:pStyle w:val="TableBullet1"/>
              <w:keepNext/>
              <w:ind w:left="414"/>
            </w:pPr>
            <w:r w:rsidRPr="009214C7">
              <w:t xml:space="preserve">Consequence: </w:t>
            </w:r>
            <w:r>
              <w:t>unknown</w:t>
            </w:r>
          </w:p>
          <w:p w14:paraId="6921E5C9" w14:textId="77777777" w:rsidR="006A0D23" w:rsidRPr="009214C7" w:rsidRDefault="006A0D23" w:rsidP="00514923">
            <w:pPr>
              <w:pStyle w:val="TableBullet1"/>
              <w:keepNext/>
              <w:ind w:left="414"/>
            </w:pPr>
            <w:r w:rsidRPr="009214C7">
              <w:t>Trend: increasing</w:t>
            </w:r>
          </w:p>
          <w:p w14:paraId="345B3783" w14:textId="5479450E" w:rsidR="006A0D23" w:rsidRDefault="006A0D23" w:rsidP="00514923">
            <w:pPr>
              <w:pStyle w:val="TableBullet1"/>
              <w:keepNext/>
              <w:ind w:left="414"/>
            </w:pPr>
            <w:r w:rsidRPr="009214C7">
              <w:t>Extent: across the entire range</w:t>
            </w:r>
          </w:p>
        </w:tc>
        <w:tc>
          <w:tcPr>
            <w:tcW w:w="3020" w:type="dxa"/>
          </w:tcPr>
          <w:p w14:paraId="4B5B1FA6" w14:textId="0933F6C0" w:rsidR="006A0D23" w:rsidRDefault="006A0D23" w:rsidP="006A0D23">
            <w:pPr>
              <w:pStyle w:val="TableText"/>
            </w:pPr>
            <w:r>
              <w:t>Since 1950, the number of record hot days (above 3</w:t>
            </w:r>
            <w:r w:rsidR="006233AC">
              <w:t>5°C</w:t>
            </w:r>
            <w:r>
              <w:t>) across Australia has more than doubled and the mean temperature has increased by about 1.4</w:t>
            </w:r>
            <w:r w:rsidR="006233AC">
              <w:t xml:space="preserve">°C </w:t>
            </w:r>
            <w:r>
              <w:t xml:space="preserve">since 1910 (BOM &amp; CSIRO 2020; </w:t>
            </w:r>
            <w:r w:rsidRPr="005876EC">
              <w:t>IPCC 2021</w:t>
            </w:r>
            <w:r>
              <w:t>). Heatwaves are also lasting longer, reaching more extreme maximum temperatures, and occurring more frequently over many regions of Australia, including south-eastern Australia (Perkins-Kirkpatrick et al. 2016; Evans et al. 2017; Herold et al. 2018; BOM &amp; CSIRO 2020). Heatwaves also exacerbate drought, which in turn can also increase bushfire risk (Climate Council 2014) and adversely impact resource availability (BOM &amp; CSIRO 2020)</w:t>
            </w:r>
            <w:r w:rsidR="005E752A">
              <w:t xml:space="preserve">. </w:t>
            </w:r>
            <w:r>
              <w:t xml:space="preserve">Birds are also vulnerable to extreme heatwaves that overwhelm their </w:t>
            </w:r>
            <w:r>
              <w:lastRenderedPageBreak/>
              <w:t xml:space="preserve">physiological limits (McKechnie et al 2012). </w:t>
            </w:r>
          </w:p>
          <w:p w14:paraId="2A6D65F2" w14:textId="0A26BFE1" w:rsidR="006A0D23" w:rsidRDefault="006A0D23" w:rsidP="006A0D23">
            <w:pPr>
              <w:pStyle w:val="TableText"/>
            </w:pPr>
            <w:r>
              <w:t>It is not fully known how these weather events, or the cumulative effect of these weather events, affect the Brown Treecreeper (south-eastern) survival and reproduction</w:t>
            </w:r>
            <w:r w:rsidR="00D20DE1">
              <w:t xml:space="preserve"> and its habitat</w:t>
            </w:r>
            <w:r>
              <w:t>. The precautionary principle should be applied to ensure suitable quality and quantity of habitat is conserved across the subspecies’ known and suspected range.</w:t>
            </w:r>
          </w:p>
        </w:tc>
      </w:tr>
      <w:tr w:rsidR="006A0D23" w:rsidRPr="005C6382" w14:paraId="23CC279B" w14:textId="77777777" w:rsidTr="16D679A8">
        <w:tc>
          <w:tcPr>
            <w:tcW w:w="9060" w:type="dxa"/>
            <w:gridSpan w:val="3"/>
          </w:tcPr>
          <w:p w14:paraId="5F2EDC74" w14:textId="049E345F" w:rsidR="006A0D23" w:rsidRDefault="006A0D23" w:rsidP="006A0D23">
            <w:pPr>
              <w:pStyle w:val="TableText"/>
            </w:pPr>
            <w:r>
              <w:lastRenderedPageBreak/>
              <w:t>Fire</w:t>
            </w:r>
          </w:p>
        </w:tc>
      </w:tr>
      <w:tr w:rsidR="006A0D23" w:rsidRPr="005C6382" w14:paraId="30C2AFDC" w14:textId="77777777" w:rsidTr="16D679A8">
        <w:tc>
          <w:tcPr>
            <w:tcW w:w="3020" w:type="dxa"/>
          </w:tcPr>
          <w:p w14:paraId="05E635DB" w14:textId="6BBEF2C3" w:rsidR="006A0D23" w:rsidRPr="00D945A0" w:rsidRDefault="5CD56742" w:rsidP="006A0D23">
            <w:pPr>
              <w:pStyle w:val="TableText"/>
            </w:pPr>
            <w:r>
              <w:t xml:space="preserve">Inappropriate </w:t>
            </w:r>
            <w:r w:rsidR="2EF19580">
              <w:t>fire regimes</w:t>
            </w:r>
          </w:p>
        </w:tc>
        <w:tc>
          <w:tcPr>
            <w:tcW w:w="3020" w:type="dxa"/>
          </w:tcPr>
          <w:p w14:paraId="6BACC582" w14:textId="77777777" w:rsidR="006A0D23" w:rsidRPr="00C83797" w:rsidRDefault="006A0D23" w:rsidP="00514923">
            <w:pPr>
              <w:pStyle w:val="TableBullet1"/>
              <w:keepNext/>
              <w:ind w:left="414"/>
            </w:pPr>
            <w:r>
              <w:t xml:space="preserve">Status: </w:t>
            </w:r>
            <w:r w:rsidRPr="00C83797">
              <w:t>current</w:t>
            </w:r>
            <w:r>
              <w:t xml:space="preserve"> &amp; </w:t>
            </w:r>
            <w:r w:rsidRPr="00C83797">
              <w:t>future</w:t>
            </w:r>
          </w:p>
          <w:p w14:paraId="5E21F9D8" w14:textId="34660C46" w:rsidR="006A0D23" w:rsidRPr="00C83797" w:rsidRDefault="006A0D23" w:rsidP="00514923">
            <w:pPr>
              <w:pStyle w:val="TableBullet1"/>
              <w:keepNext/>
              <w:ind w:left="414"/>
            </w:pPr>
            <w:r w:rsidRPr="00C83797">
              <w:t xml:space="preserve">Confidence: </w:t>
            </w:r>
            <w:r w:rsidR="00E24D39">
              <w:t>inferred</w:t>
            </w:r>
          </w:p>
          <w:p w14:paraId="587AC9C8" w14:textId="66CD8282" w:rsidR="006A0D23" w:rsidRPr="00C83797" w:rsidRDefault="006A0D23" w:rsidP="00514923">
            <w:pPr>
              <w:pStyle w:val="TableBullet1"/>
              <w:keepNext/>
              <w:ind w:left="414"/>
            </w:pPr>
            <w:r w:rsidRPr="00C83797">
              <w:t xml:space="preserve">Consequence: </w:t>
            </w:r>
            <w:r w:rsidR="00E24D39">
              <w:t>moderate</w:t>
            </w:r>
          </w:p>
          <w:p w14:paraId="799BD039" w14:textId="77777777" w:rsidR="006A0D23" w:rsidRPr="00C83797" w:rsidRDefault="006A0D23" w:rsidP="00514923">
            <w:pPr>
              <w:pStyle w:val="TableBullet1"/>
              <w:keepNext/>
              <w:ind w:left="414"/>
            </w:pPr>
            <w:r w:rsidRPr="00C83797">
              <w:t>Trend: increasing</w:t>
            </w:r>
          </w:p>
          <w:p w14:paraId="6990215A" w14:textId="77777777" w:rsidR="006A0D23" w:rsidRDefault="006A0D23" w:rsidP="00514923">
            <w:pPr>
              <w:pStyle w:val="TableBullet1"/>
              <w:keepNext/>
              <w:ind w:left="414"/>
            </w:pPr>
            <w:r w:rsidRPr="00C83797">
              <w:t>Extent: across the entire range</w:t>
            </w:r>
          </w:p>
        </w:tc>
        <w:tc>
          <w:tcPr>
            <w:tcW w:w="3020" w:type="dxa"/>
          </w:tcPr>
          <w:p w14:paraId="595C6345" w14:textId="680482CE" w:rsidR="006A0D23" w:rsidRDefault="2EF19580" w:rsidP="006A0D23">
            <w:pPr>
              <w:pStyle w:val="TableText"/>
            </w:pPr>
            <w:r>
              <w:t>Inappropriate fire regimes are the greatest threat to Australia’s birds after direct human destruction and alteration of habitats</w:t>
            </w:r>
            <w:r w:rsidR="003C23DC">
              <w:t xml:space="preserve"> (Kearney et al. 2020)</w:t>
            </w:r>
            <w:r>
              <w:t>. Too frequent fire may contribute to Brown Treecreeper (south-eastern) decline through: changes in composition and/or structure of vegetation; increased weed invasion following fire; loss of woody debris; reduction in leaf litter; and decline in invertebrate abundance (Spencer &amp; Baxter 2006). Several fires in close succession can also prevent plants and animals from returning to an area (particularly in fragmented landscapes), and may prevent soil seed set (Wilson &amp; Bignall 2009).</w:t>
            </w:r>
          </w:p>
          <w:p w14:paraId="48592548" w14:textId="0A1CB179" w:rsidR="006A0D23" w:rsidRDefault="2EF19580" w:rsidP="006A0D23">
            <w:pPr>
              <w:pStyle w:val="TableText"/>
            </w:pPr>
            <w:r>
              <w:t>Fire suppression can be as detrimental as too frequent fires (Wilson &amp; Bignall 2009). Fire plays an important role in environmental ecology, and is needed to trigger natural processes, such as stimulating seed germination (Olsen et al. 2005). Infrequent fire results in wood thickening and loss of savanna, granivorous species, and general biodiversity (Olsen et al. 2005). Fires can also free plants from competition with invasive weeds and eliminate disease or insects that may have been causing damage to old growth. The remnants of burnt trees, with hollowed out logs, can also offer attractive habitats for birds seeking shelter and nesting (Olsen et al. 2005).</w:t>
            </w:r>
          </w:p>
          <w:p w14:paraId="1EF8257B" w14:textId="77777777" w:rsidR="006A0D23" w:rsidRPr="005C6382" w:rsidRDefault="006A0D23" w:rsidP="006A0D23">
            <w:pPr>
              <w:pStyle w:val="TableText"/>
            </w:pPr>
            <w:r w:rsidRPr="005C6382">
              <w:t xml:space="preserve">Since little is known about the appropriate </w:t>
            </w:r>
            <w:r>
              <w:t xml:space="preserve">fire </w:t>
            </w:r>
            <w:r w:rsidRPr="005C6382">
              <w:t>regime fo</w:t>
            </w:r>
            <w:r>
              <w:t xml:space="preserve">r the subspecies, </w:t>
            </w:r>
            <w:r w:rsidRPr="005C6382">
              <w:t>particularly in fragmented landscapes, the potential for negative outcomes from management actions</w:t>
            </w:r>
            <w:r>
              <w:t xml:space="preserve"> </w:t>
            </w:r>
            <w:r w:rsidRPr="005C6382">
              <w:t>is high</w:t>
            </w:r>
            <w:r>
              <w:t xml:space="preserve">. </w:t>
            </w:r>
            <w:r w:rsidRPr="005C6382">
              <w:t>A greater level of understanding is required to achieve effective management</w:t>
            </w:r>
            <w:r>
              <w:t>.</w:t>
            </w:r>
          </w:p>
        </w:tc>
      </w:tr>
      <w:tr w:rsidR="006A0D23" w:rsidRPr="00B95AD8" w14:paraId="4AC41992" w14:textId="77777777" w:rsidTr="16D679A8">
        <w:tc>
          <w:tcPr>
            <w:tcW w:w="9060" w:type="dxa"/>
            <w:gridSpan w:val="3"/>
          </w:tcPr>
          <w:p w14:paraId="5EAA6A7D" w14:textId="77777777" w:rsidR="006A0D23" w:rsidRPr="00B95AD8" w:rsidRDefault="006A0D23" w:rsidP="006A0D23">
            <w:pPr>
              <w:pStyle w:val="TableText"/>
              <w:keepNext/>
              <w:rPr>
                <w:color w:val="1F497D" w:themeColor="text2"/>
              </w:rPr>
            </w:pPr>
            <w:r w:rsidRPr="00D326F7">
              <w:lastRenderedPageBreak/>
              <w:t>Competition</w:t>
            </w:r>
          </w:p>
        </w:tc>
      </w:tr>
      <w:tr w:rsidR="006A0D23" w:rsidRPr="004945A2" w14:paraId="2F7B3769" w14:textId="77777777" w:rsidTr="16D679A8">
        <w:tc>
          <w:tcPr>
            <w:tcW w:w="3020" w:type="dxa"/>
          </w:tcPr>
          <w:p w14:paraId="6015DFE9" w14:textId="77777777" w:rsidR="006A0D23" w:rsidRPr="00D945A0" w:rsidRDefault="006A0D23" w:rsidP="006A0D23">
            <w:pPr>
              <w:pStyle w:val="TableText"/>
            </w:pPr>
            <w:r>
              <w:t>Noisy Miner territorial competition</w:t>
            </w:r>
          </w:p>
        </w:tc>
        <w:tc>
          <w:tcPr>
            <w:tcW w:w="3020" w:type="dxa"/>
          </w:tcPr>
          <w:p w14:paraId="423BE0BC" w14:textId="77777777" w:rsidR="006A0D23" w:rsidRPr="004945A2" w:rsidRDefault="006A0D23" w:rsidP="00514923">
            <w:pPr>
              <w:pStyle w:val="TableBullet1"/>
              <w:keepNext/>
              <w:ind w:left="414"/>
            </w:pPr>
            <w:r>
              <w:t xml:space="preserve">Status: </w:t>
            </w:r>
            <w:r w:rsidRPr="004945A2">
              <w:t>current</w:t>
            </w:r>
            <w:r>
              <w:t xml:space="preserve"> &amp; </w:t>
            </w:r>
            <w:r w:rsidRPr="004945A2">
              <w:t>future</w:t>
            </w:r>
          </w:p>
          <w:p w14:paraId="0E296624" w14:textId="77777777" w:rsidR="006A0D23" w:rsidRPr="004945A2" w:rsidRDefault="006A0D23" w:rsidP="00514923">
            <w:pPr>
              <w:pStyle w:val="TableBullet1"/>
              <w:keepNext/>
              <w:ind w:left="414"/>
            </w:pPr>
            <w:r w:rsidRPr="004945A2">
              <w:t>Confidence: known</w:t>
            </w:r>
          </w:p>
          <w:p w14:paraId="65401E62" w14:textId="77777777" w:rsidR="006A0D23" w:rsidRPr="004945A2" w:rsidRDefault="006A0D23" w:rsidP="00514923">
            <w:pPr>
              <w:pStyle w:val="TableBullet1"/>
              <w:keepNext/>
              <w:ind w:left="414"/>
            </w:pPr>
            <w:r w:rsidRPr="004945A2">
              <w:t>Consequence: moderate</w:t>
            </w:r>
          </w:p>
          <w:p w14:paraId="67DA955A" w14:textId="77777777" w:rsidR="006A0D23" w:rsidRPr="004945A2" w:rsidRDefault="006A0D23" w:rsidP="00514923">
            <w:pPr>
              <w:pStyle w:val="TableBullet1"/>
              <w:keepNext/>
              <w:ind w:left="414"/>
            </w:pPr>
            <w:r w:rsidRPr="004945A2">
              <w:t>Trend: static</w:t>
            </w:r>
          </w:p>
          <w:p w14:paraId="47A09249" w14:textId="77777777" w:rsidR="006A0D23" w:rsidRDefault="006A0D23" w:rsidP="00514923">
            <w:pPr>
              <w:pStyle w:val="TableBullet1"/>
              <w:keepNext/>
              <w:ind w:left="414"/>
            </w:pPr>
            <w:r w:rsidRPr="004945A2">
              <w:t>Extent: across the entire range</w:t>
            </w:r>
          </w:p>
        </w:tc>
        <w:tc>
          <w:tcPr>
            <w:tcW w:w="3020" w:type="dxa"/>
          </w:tcPr>
          <w:p w14:paraId="7618C645" w14:textId="7E5D807B" w:rsidR="006A0D23" w:rsidRPr="004945A2" w:rsidRDefault="129C580E" w:rsidP="006A0D23">
            <w:pPr>
              <w:pStyle w:val="TableText"/>
              <w:keepNext/>
            </w:pPr>
            <w:r>
              <w:t>The Noisy Miner (</w:t>
            </w:r>
            <w:r w:rsidRPr="16D679A8">
              <w:rPr>
                <w:i/>
                <w:iCs/>
              </w:rPr>
              <w:t>Manorina melanocephala</w:t>
            </w:r>
            <w:r>
              <w:t>) is a native species that often aggressively excludes other small woodland birds from remnants (Willson &amp; Bignall 2009). Unfortunately, Noisy Miners have benefited from landscape-scale clearing and fragmentation. They typically dominate open Eucalypt woodland remnants on farms, in tree corridors and clumps of paddock trees, especially those lacking a shrubby understorey (Crates et al. 2018). Local scale control programs at a critical breeding sites</w:t>
            </w:r>
            <w:r w:rsidR="5B12E577">
              <w:t xml:space="preserve"> </w:t>
            </w:r>
            <w:r w:rsidR="00835BA7">
              <w:t>the subspecies</w:t>
            </w:r>
            <w:r>
              <w:t xml:space="preserve"> may benefit the subspecies where Noisy Miners are a known threat. </w:t>
            </w:r>
          </w:p>
        </w:tc>
      </w:tr>
      <w:tr w:rsidR="006A0D23" w:rsidRPr="004945A2" w14:paraId="3E9EAD96" w14:textId="77777777" w:rsidTr="16D679A8">
        <w:tc>
          <w:tcPr>
            <w:tcW w:w="3020" w:type="dxa"/>
          </w:tcPr>
          <w:p w14:paraId="250971D1" w14:textId="77777777" w:rsidR="006A0D23" w:rsidRDefault="006A0D23" w:rsidP="006A0D23">
            <w:pPr>
              <w:pStyle w:val="TableText"/>
            </w:pPr>
            <w:r>
              <w:t>Nest hollow competition</w:t>
            </w:r>
          </w:p>
        </w:tc>
        <w:tc>
          <w:tcPr>
            <w:tcW w:w="3020" w:type="dxa"/>
          </w:tcPr>
          <w:p w14:paraId="76601B04" w14:textId="77777777" w:rsidR="006A0D23" w:rsidRDefault="006A0D23" w:rsidP="00514923">
            <w:pPr>
              <w:pStyle w:val="TableBullet1"/>
              <w:keepNext/>
              <w:ind w:left="414"/>
            </w:pPr>
            <w:r>
              <w:t>Status: current &amp; future</w:t>
            </w:r>
          </w:p>
          <w:p w14:paraId="5FF95C37" w14:textId="36E8FDF0" w:rsidR="006A0D23" w:rsidRPr="00AD0FAC" w:rsidRDefault="006A0D23" w:rsidP="00514923">
            <w:pPr>
              <w:pStyle w:val="TableBullet1"/>
              <w:keepNext/>
              <w:ind w:left="414"/>
            </w:pPr>
            <w:r>
              <w:t>Confidence</w:t>
            </w:r>
            <w:r w:rsidRPr="00AD0FAC">
              <w:t xml:space="preserve">: </w:t>
            </w:r>
            <w:r w:rsidR="005E752A">
              <w:t>inferred</w:t>
            </w:r>
          </w:p>
          <w:p w14:paraId="7C539C3E" w14:textId="36696DAB" w:rsidR="006A0D23" w:rsidRPr="00AD0FAC" w:rsidRDefault="006A0D23" w:rsidP="00514923">
            <w:pPr>
              <w:pStyle w:val="TableBullet1"/>
              <w:keepNext/>
              <w:ind w:left="414"/>
            </w:pPr>
            <w:r w:rsidRPr="00AD0FAC">
              <w:t xml:space="preserve">Consequence: </w:t>
            </w:r>
            <w:r w:rsidR="00E24D39">
              <w:t>unknown</w:t>
            </w:r>
          </w:p>
          <w:p w14:paraId="2E9DF6CD" w14:textId="77777777" w:rsidR="006A0D23" w:rsidRPr="00AD0FAC" w:rsidRDefault="006A0D23" w:rsidP="00514923">
            <w:pPr>
              <w:pStyle w:val="TableBullet1"/>
              <w:keepNext/>
              <w:ind w:left="414"/>
            </w:pPr>
            <w:r w:rsidRPr="00AD0FAC">
              <w:t>Trend: unknown</w:t>
            </w:r>
          </w:p>
          <w:p w14:paraId="7D11EF1C" w14:textId="77777777" w:rsidR="006A0D23" w:rsidRDefault="006A0D23" w:rsidP="00514923">
            <w:pPr>
              <w:pStyle w:val="TableBullet1"/>
              <w:keepNext/>
              <w:ind w:left="414"/>
            </w:pPr>
            <w:r w:rsidRPr="00AD0FAC">
              <w:t>Extent: across part of its range</w:t>
            </w:r>
          </w:p>
        </w:tc>
        <w:tc>
          <w:tcPr>
            <w:tcW w:w="3020" w:type="dxa"/>
          </w:tcPr>
          <w:p w14:paraId="340F00CE" w14:textId="5BBB101C" w:rsidR="006A0D23" w:rsidRPr="004945A2" w:rsidRDefault="2EF19580" w:rsidP="006A0D23">
            <w:pPr>
              <w:pStyle w:val="TableText"/>
              <w:keepNext/>
            </w:pPr>
            <w:r>
              <w:t>A large proportion of Australian bird species use tree hollows as nesting sites (Newton 1994), and almost all arboreal marsupials use tree hollows (e.g., for breeding sites or shelter; Lindenmayer et al. 1991). As a result, inter-specific competition may be a common occurrence. It is crucial to implement actions to prevent the further loss of hollow-bearing trees in order to minimise the long-term risk of extinction of hollow-dependent species (Manning et al. 2013; Le Roux et al. 2014), including Brown Treecreepers (south-eastern).</w:t>
            </w:r>
          </w:p>
        </w:tc>
      </w:tr>
      <w:tr w:rsidR="006A0D23" w14:paraId="2C89AA78" w14:textId="77777777" w:rsidTr="16D679A8">
        <w:tc>
          <w:tcPr>
            <w:tcW w:w="9060" w:type="dxa"/>
            <w:gridSpan w:val="3"/>
          </w:tcPr>
          <w:p w14:paraId="4C6DD4CD" w14:textId="555A5905" w:rsidR="006A0D23" w:rsidRDefault="006A0D23" w:rsidP="006A0D23">
            <w:pPr>
              <w:pStyle w:val="TableText"/>
              <w:rPr>
                <w:highlight w:val="lightGray"/>
              </w:rPr>
            </w:pPr>
            <w:r w:rsidRPr="008349ED">
              <w:t>Invasive species (including threats from grazing, trampling</w:t>
            </w:r>
            <w:r>
              <w:t>, predation)</w:t>
            </w:r>
          </w:p>
        </w:tc>
      </w:tr>
      <w:tr w:rsidR="006A0D23" w14:paraId="7C4C227F" w14:textId="77777777" w:rsidTr="16D679A8">
        <w:tc>
          <w:tcPr>
            <w:tcW w:w="3020" w:type="dxa"/>
          </w:tcPr>
          <w:p w14:paraId="00C22F20" w14:textId="1B62A5C0" w:rsidR="006A0D23" w:rsidRPr="008349ED" w:rsidRDefault="006A0D23" w:rsidP="006A0D23">
            <w:pPr>
              <w:pStyle w:val="TableText"/>
            </w:pPr>
            <w:r w:rsidRPr="008349ED">
              <w:t xml:space="preserve">Cat </w:t>
            </w:r>
            <w:r>
              <w:t xml:space="preserve">and fox </w:t>
            </w:r>
            <w:r w:rsidRPr="008349ED">
              <w:t xml:space="preserve">predation </w:t>
            </w:r>
          </w:p>
        </w:tc>
        <w:tc>
          <w:tcPr>
            <w:tcW w:w="3020" w:type="dxa"/>
          </w:tcPr>
          <w:p w14:paraId="45404EC2" w14:textId="218CB3EE" w:rsidR="006A0D23" w:rsidRPr="004945A2" w:rsidRDefault="006A0D23" w:rsidP="00514923">
            <w:pPr>
              <w:pStyle w:val="TableBullet1"/>
              <w:keepNext/>
              <w:ind w:left="414"/>
            </w:pPr>
            <w:r w:rsidRPr="004945A2">
              <w:t>Status: current</w:t>
            </w:r>
            <w:r>
              <w:t xml:space="preserve"> &amp; </w:t>
            </w:r>
            <w:r w:rsidRPr="004945A2">
              <w:t>future</w:t>
            </w:r>
          </w:p>
          <w:p w14:paraId="4F1A43BD" w14:textId="6EDC3A32" w:rsidR="006A0D23" w:rsidRPr="004945A2" w:rsidRDefault="006A0D23" w:rsidP="00514923">
            <w:pPr>
              <w:pStyle w:val="TableBullet1"/>
              <w:keepNext/>
              <w:ind w:left="414"/>
            </w:pPr>
            <w:r w:rsidRPr="004945A2">
              <w:t xml:space="preserve">Confidence: </w:t>
            </w:r>
            <w:r w:rsidR="005E752A">
              <w:t>suspected</w:t>
            </w:r>
          </w:p>
          <w:p w14:paraId="3DA58CA4" w14:textId="20E6B354" w:rsidR="006A0D23" w:rsidRPr="004945A2" w:rsidRDefault="006A0D23" w:rsidP="00514923">
            <w:pPr>
              <w:pStyle w:val="TableBullet1"/>
              <w:keepNext/>
              <w:ind w:left="414"/>
            </w:pPr>
            <w:r w:rsidRPr="004945A2">
              <w:t xml:space="preserve">Consequence: </w:t>
            </w:r>
            <w:r w:rsidR="005E752A">
              <w:t>low</w:t>
            </w:r>
          </w:p>
          <w:p w14:paraId="13114766" w14:textId="1AD20418" w:rsidR="006A0D23" w:rsidRPr="004945A2" w:rsidRDefault="006A0D23" w:rsidP="00514923">
            <w:pPr>
              <w:pStyle w:val="TableBullet1"/>
              <w:keepNext/>
              <w:ind w:left="414"/>
            </w:pPr>
            <w:r w:rsidRPr="004945A2">
              <w:t>Trend: static</w:t>
            </w:r>
          </w:p>
          <w:p w14:paraId="34969D44" w14:textId="07503EB4" w:rsidR="006A0D23" w:rsidRPr="004945A2" w:rsidRDefault="006A0D23" w:rsidP="00514923">
            <w:pPr>
              <w:pStyle w:val="TableBullet1"/>
              <w:keepNext/>
              <w:ind w:left="414"/>
            </w:pPr>
            <w:r w:rsidRPr="004945A2">
              <w:t>Extent: across the entire range</w:t>
            </w:r>
          </w:p>
        </w:tc>
        <w:tc>
          <w:tcPr>
            <w:tcW w:w="3020" w:type="dxa"/>
          </w:tcPr>
          <w:p w14:paraId="111C0DDA" w14:textId="3B448366" w:rsidR="006A0D23" w:rsidRPr="003179DA" w:rsidRDefault="2EF19580" w:rsidP="006A0D23">
            <w:pPr>
              <w:pStyle w:val="TableText"/>
              <w:keepNext/>
            </w:pPr>
            <w:r>
              <w:t xml:space="preserve">Woodland bird species, including Brown Treecreepers (south-eastern), that nest or forage on the ground are particularly vulnerable to predation by cats </w:t>
            </w:r>
            <w:r w:rsidR="00FC2FA4">
              <w:t>(</w:t>
            </w:r>
            <w:r w:rsidRPr="16D679A8">
              <w:rPr>
                <w:i/>
                <w:iCs/>
              </w:rPr>
              <w:t>Felis catus</w:t>
            </w:r>
            <w:r w:rsidR="00FC2FA4">
              <w:t>)</w:t>
            </w:r>
            <w:r>
              <w:t xml:space="preserve"> and foxes </w:t>
            </w:r>
            <w:r w:rsidR="00FC2FA4">
              <w:t>(</w:t>
            </w:r>
            <w:r w:rsidRPr="16D679A8">
              <w:rPr>
                <w:rStyle w:val="Emphasis"/>
              </w:rPr>
              <w:t>Vulpes vulpes</w:t>
            </w:r>
            <w:r w:rsidR="00FC2FA4">
              <w:rPr>
                <w:rStyle w:val="Emphasis"/>
                <w:i w:val="0"/>
                <w:iCs w:val="0"/>
              </w:rPr>
              <w:t>)</w:t>
            </w:r>
            <w:r>
              <w:t xml:space="preserve"> (Olsen et al. 2005; Commonwealth of Australia 2008a, 2008b, 2015a, 2015b; Woinarski et al. 2017). The threat of cats is amplified by bushfires as they take advantage of recently burnt areas (McGregor et al. 2016), </w:t>
            </w:r>
            <w:r w:rsidR="4085DAE7">
              <w:t>to hunt more efficiently</w:t>
            </w:r>
            <w:r>
              <w:t xml:space="preserve"> (McGregor et al. 2015).</w:t>
            </w:r>
          </w:p>
        </w:tc>
      </w:tr>
      <w:tr w:rsidR="006A0D23" w14:paraId="55B99D9E" w14:textId="77777777" w:rsidTr="16D679A8">
        <w:tc>
          <w:tcPr>
            <w:tcW w:w="3020" w:type="dxa"/>
          </w:tcPr>
          <w:p w14:paraId="712503E1" w14:textId="78E49B2B" w:rsidR="006A0D23" w:rsidRDefault="2EF19580" w:rsidP="006A0D23">
            <w:pPr>
              <w:pStyle w:val="TableText"/>
            </w:pPr>
            <w:r>
              <w:t>Rabbit</w:t>
            </w:r>
            <w:r w:rsidR="007D15CE">
              <w:t xml:space="preserve"> </w:t>
            </w:r>
            <w:r w:rsidR="00284D99">
              <w:t xml:space="preserve">and </w:t>
            </w:r>
            <w:r w:rsidR="00284D99" w:rsidRPr="16D679A8">
              <w:rPr>
                <w:lang w:eastAsia="ja-JP"/>
              </w:rPr>
              <w:t xml:space="preserve">overabundant kangaroo </w:t>
            </w:r>
            <w:r w:rsidR="007D15CE">
              <w:t>grazing pressure</w:t>
            </w:r>
          </w:p>
          <w:p w14:paraId="36C36B86" w14:textId="3B8E1B39" w:rsidR="00284D99" w:rsidRPr="00D945A0" w:rsidRDefault="00284D99" w:rsidP="006A0D23">
            <w:pPr>
              <w:pStyle w:val="TableText"/>
            </w:pPr>
          </w:p>
        </w:tc>
        <w:tc>
          <w:tcPr>
            <w:tcW w:w="3020" w:type="dxa"/>
          </w:tcPr>
          <w:p w14:paraId="2DDBFB43" w14:textId="77777777" w:rsidR="006A0D23" w:rsidRPr="004945A2" w:rsidRDefault="006A0D23" w:rsidP="00514923">
            <w:pPr>
              <w:pStyle w:val="TableBullet1"/>
              <w:keepNext/>
              <w:ind w:left="414"/>
            </w:pPr>
            <w:r w:rsidRPr="004945A2">
              <w:t>Status: historical/current/future</w:t>
            </w:r>
          </w:p>
          <w:p w14:paraId="6B42FC2D" w14:textId="436096AF" w:rsidR="006A0D23" w:rsidRPr="004945A2" w:rsidRDefault="006A0D23" w:rsidP="00514923">
            <w:pPr>
              <w:pStyle w:val="TableBullet1"/>
              <w:keepNext/>
              <w:ind w:left="414"/>
            </w:pPr>
            <w:r w:rsidRPr="004945A2">
              <w:t xml:space="preserve">Confidence: </w:t>
            </w:r>
            <w:r w:rsidR="005E752A">
              <w:t>suspected</w:t>
            </w:r>
          </w:p>
          <w:p w14:paraId="03D13097" w14:textId="107356E7" w:rsidR="006A0D23" w:rsidRPr="004945A2" w:rsidRDefault="006A0D23" w:rsidP="00514923">
            <w:pPr>
              <w:pStyle w:val="TableBullet1"/>
              <w:keepNext/>
              <w:ind w:left="414"/>
            </w:pPr>
            <w:r w:rsidRPr="004945A2">
              <w:t xml:space="preserve">Consequence: </w:t>
            </w:r>
            <w:r>
              <w:t>low</w:t>
            </w:r>
          </w:p>
          <w:p w14:paraId="0B41D1D2" w14:textId="3DE84DCD" w:rsidR="006A0D23" w:rsidRPr="004945A2" w:rsidRDefault="006A0D23" w:rsidP="00514923">
            <w:pPr>
              <w:pStyle w:val="TableBullet1"/>
              <w:keepNext/>
              <w:ind w:left="414"/>
            </w:pPr>
            <w:r w:rsidRPr="004945A2">
              <w:t>Trend: static</w:t>
            </w:r>
          </w:p>
          <w:p w14:paraId="0200D16B" w14:textId="003834DA" w:rsidR="006A0D23" w:rsidRPr="004945A2" w:rsidRDefault="006A0D23" w:rsidP="00514923">
            <w:pPr>
              <w:pStyle w:val="TableBullet1"/>
              <w:keepNext/>
              <w:ind w:left="414"/>
            </w:pPr>
            <w:r w:rsidRPr="004945A2">
              <w:t>Extent: across the entire range</w:t>
            </w:r>
          </w:p>
        </w:tc>
        <w:tc>
          <w:tcPr>
            <w:tcW w:w="3020" w:type="dxa"/>
          </w:tcPr>
          <w:p w14:paraId="0F0B2472" w14:textId="77777777" w:rsidR="00284D99" w:rsidRDefault="129C580E" w:rsidP="006A0D23">
            <w:pPr>
              <w:pStyle w:val="TableText"/>
              <w:keepNext/>
            </w:pPr>
            <w:r>
              <w:t xml:space="preserve">There is evidence that </w:t>
            </w:r>
            <w:r w:rsidR="22118159">
              <w:t>European</w:t>
            </w:r>
            <w:r>
              <w:t xml:space="preserve"> rabbits (</w:t>
            </w:r>
            <w:r w:rsidRPr="16D679A8">
              <w:rPr>
                <w:i/>
                <w:iCs/>
              </w:rPr>
              <w:t>Oryctolagus cuniculus</w:t>
            </w:r>
            <w:r>
              <w:t>) impact negatively on native species via competition for resources, alteration of the structure and composition of vegetation, land degradation</w:t>
            </w:r>
            <w:r w:rsidR="654DBBC6">
              <w:t>, and supporting elevated densities of introduced predators (cats, foxes)</w:t>
            </w:r>
            <w:r>
              <w:t xml:space="preserve"> </w:t>
            </w:r>
            <w:r>
              <w:lastRenderedPageBreak/>
              <w:t xml:space="preserve">(Commonwealth of Australia 2016a, 2016b). </w:t>
            </w:r>
          </w:p>
          <w:p w14:paraId="07B7BB32" w14:textId="26FE3DB8" w:rsidR="00284D99" w:rsidRDefault="00284D99" w:rsidP="00284D99">
            <w:pPr>
              <w:pStyle w:val="TableText"/>
              <w:keepNext/>
            </w:pPr>
            <w:r>
              <w:t xml:space="preserve">Overabundant kangaroos </w:t>
            </w:r>
            <w:r w:rsidR="00FC2FA4">
              <w:t>(</w:t>
            </w:r>
            <w:r w:rsidRPr="00284D99">
              <w:rPr>
                <w:i/>
                <w:iCs/>
              </w:rPr>
              <w:t>Macropus</w:t>
            </w:r>
            <w:r>
              <w:t xml:space="preserve"> spp.</w:t>
            </w:r>
            <w:r w:rsidR="00FC2FA4">
              <w:t>)</w:t>
            </w:r>
            <w:r>
              <w:t xml:space="preserve"> grazing pressure can also negatively affect the subspecies by preventing regeneration (Willson &amp; Bignall 2009). </w:t>
            </w:r>
          </w:p>
          <w:p w14:paraId="746EB243" w14:textId="4EA76AC4" w:rsidR="006A0D23" w:rsidRPr="00321758" w:rsidRDefault="129C580E" w:rsidP="00284D99">
            <w:pPr>
              <w:pStyle w:val="TableText"/>
              <w:keepNext/>
            </w:pPr>
            <w:r>
              <w:t>Grazing pressure by rabbits</w:t>
            </w:r>
            <w:r w:rsidR="00284D99">
              <w:t xml:space="preserve"> and overabundant kangaroos</w:t>
            </w:r>
            <w:r>
              <w:t xml:space="preserve"> has reduced the capacity of woodlands to regenerate, consequently reducing Brown Treecreeper (south-eastern) nesting, feeding and foraging sites.</w:t>
            </w:r>
          </w:p>
        </w:tc>
      </w:tr>
    </w:tbl>
    <w:p w14:paraId="7EA81FAE" w14:textId="66D67056" w:rsidR="00C72F10" w:rsidRPr="009A615F" w:rsidRDefault="006E5CC3" w:rsidP="00154B5B">
      <w:pPr>
        <w:pStyle w:val="TableText"/>
      </w:pPr>
      <w:r w:rsidRPr="009A615F">
        <w:lastRenderedPageBreak/>
        <w:t>Status—identify the temporal nature of the threat</w:t>
      </w:r>
      <w:r w:rsidR="002F34D8" w:rsidRPr="009A615F">
        <w:t>;</w:t>
      </w:r>
    </w:p>
    <w:p w14:paraId="33F0CD41" w14:textId="3984A59C"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species</w:t>
      </w:r>
      <w:r w:rsidR="002F34D8" w:rsidRPr="009A615F">
        <w:t>;</w:t>
      </w:r>
    </w:p>
    <w:p w14:paraId="367E107E" w14:textId="30D2164F" w:rsidR="00C72F10" w:rsidRPr="009A615F" w:rsidRDefault="006E5CC3" w:rsidP="00154B5B">
      <w:pPr>
        <w:pStyle w:val="TableText"/>
      </w:pPr>
      <w:r w:rsidRPr="009A615F">
        <w:t>Consequence—identify the severity of th</w:t>
      </w:r>
      <w:r w:rsidR="00F92E66" w:rsidRPr="009A615F">
        <w:t>e</w:t>
      </w:r>
      <w:r w:rsidRPr="009A615F">
        <w:t xml:space="preserve"> threat</w:t>
      </w:r>
      <w:r w:rsidR="002F34D8" w:rsidRPr="009A615F">
        <w:t>;</w:t>
      </w:r>
    </w:p>
    <w:p w14:paraId="51DCDE2D" w14:textId="2BEDDEA4" w:rsidR="00C72F10" w:rsidRPr="009A615F" w:rsidRDefault="006E5CC3" w:rsidP="00154B5B">
      <w:pPr>
        <w:pStyle w:val="TableText"/>
      </w:pPr>
      <w:r w:rsidRPr="009A615F">
        <w:t>Trend—identify the extent to which it will continue to operate on the species</w:t>
      </w:r>
      <w:r w:rsidR="002F34D8" w:rsidRPr="009A615F">
        <w:t>;</w:t>
      </w:r>
    </w:p>
    <w:p w14:paraId="05AA3C4F" w14:textId="195BD7D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73741C4F" w14:textId="77777777" w:rsidR="00154B5B" w:rsidRPr="009A615F" w:rsidRDefault="00154B5B" w:rsidP="00154B5B">
      <w:pPr>
        <w:pStyle w:val="TableText"/>
      </w:pPr>
    </w:p>
    <w:p w14:paraId="40F3B6D4" w14:textId="3A1B37E9" w:rsidR="006C1A3B" w:rsidRDefault="006C1A3B" w:rsidP="006C1A3B">
      <w:pPr>
        <w:rPr>
          <w:b/>
          <w:bCs/>
        </w:rPr>
      </w:pPr>
      <w:bookmarkStart w:id="19" w:name="_Hlk65681942"/>
      <w:bookmarkStart w:id="20" w:name="_Hlk67392876"/>
      <w:bookmarkStart w:id="21" w:name="_Ref43127879"/>
      <w:bookmarkStart w:id="22" w:name="_Toc430782162"/>
      <w:bookmarkStart w:id="23" w:name="_Toc511376531"/>
      <w:r w:rsidRPr="00C15F7C">
        <w:t xml:space="preserve">Each threat has been described in Table 1 in terms of the extent that it is operating on the </w:t>
      </w:r>
      <w:r w:rsidR="002D1777">
        <w:t>sub</w:t>
      </w:r>
      <w:r w:rsidRPr="00C15F7C">
        <w:t>species. The risk matrix (Table 3) provides a visual depiction of the level of risk being imposed by a threat and supports the prioritisation of subsequent management and conservation actions. In preparing a risk matrix, several factors have been taken into consideration, they are: the life stage they affect; the duration of the impact; and the efficacy of current management regimes, assuming that management will continue to be applied appropriately (Table 2). The risk matrix (Table 3) and ranking of threats has been developed in consultation with experts, community consultation and by using available literature.</w:t>
      </w:r>
    </w:p>
    <w:p w14:paraId="60B9BFDA" w14:textId="37791D38" w:rsidR="006C1A3B" w:rsidRDefault="006C1A3B" w:rsidP="006C1A3B">
      <w:pPr>
        <w:pStyle w:val="Caption"/>
      </w:pPr>
      <w:bookmarkStart w:id="24" w:name="_Hlk65681979"/>
      <w:bookmarkEnd w:id="19"/>
      <w:r>
        <w:t xml:space="preserve">Table </w:t>
      </w:r>
      <w:r w:rsidR="001E1F5E">
        <w:fldChar w:fldCharType="begin"/>
      </w:r>
      <w:r w:rsidR="001E1F5E">
        <w:instrText xml:space="preserve"> SEQ Table \* ARABIC </w:instrText>
      </w:r>
      <w:r w:rsidR="001E1F5E">
        <w:fldChar w:fldCharType="separate"/>
      </w:r>
      <w:r w:rsidR="00F14F9F">
        <w:rPr>
          <w:noProof/>
        </w:rPr>
        <w:t>2</w:t>
      </w:r>
      <w:r w:rsidR="001E1F5E">
        <w:rPr>
          <w:noProof/>
        </w:rPr>
        <w:fldChar w:fldCharType="end"/>
      </w:r>
      <w:r>
        <w:t xml:space="preserve"> Risk prioritisation</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6C1A3B" w14:paraId="45C68BFD" w14:textId="77777777" w:rsidTr="002B264C">
        <w:trPr>
          <w:cantSplit/>
          <w:tblHeader/>
        </w:trPr>
        <w:tc>
          <w:tcPr>
            <w:tcW w:w="1510" w:type="dxa"/>
            <w:vMerge w:val="restart"/>
          </w:tcPr>
          <w:p w14:paraId="5101EA0F" w14:textId="77777777" w:rsidR="006C1A3B" w:rsidRDefault="006C1A3B" w:rsidP="002B264C">
            <w:pPr>
              <w:pStyle w:val="TableHeading"/>
            </w:pPr>
            <w:r>
              <w:t>Likelihood</w:t>
            </w:r>
          </w:p>
        </w:tc>
        <w:tc>
          <w:tcPr>
            <w:tcW w:w="7550" w:type="dxa"/>
            <w:gridSpan w:val="5"/>
          </w:tcPr>
          <w:p w14:paraId="517D0F73" w14:textId="77777777" w:rsidR="006C1A3B" w:rsidRDefault="006C1A3B" w:rsidP="002B264C">
            <w:pPr>
              <w:pStyle w:val="TableHeading"/>
            </w:pPr>
            <w:r>
              <w:t>Consequences</w:t>
            </w:r>
          </w:p>
        </w:tc>
      </w:tr>
      <w:tr w:rsidR="006C1A3B" w14:paraId="336538A5" w14:textId="77777777" w:rsidTr="002B264C">
        <w:trPr>
          <w:cantSplit/>
          <w:tblHeader/>
        </w:trPr>
        <w:tc>
          <w:tcPr>
            <w:tcW w:w="1510" w:type="dxa"/>
            <w:vMerge/>
          </w:tcPr>
          <w:p w14:paraId="6CF54140" w14:textId="77777777" w:rsidR="006C1A3B" w:rsidRDefault="006C1A3B" w:rsidP="002B264C">
            <w:pPr>
              <w:pStyle w:val="TableHeading"/>
            </w:pPr>
          </w:p>
        </w:tc>
        <w:tc>
          <w:tcPr>
            <w:tcW w:w="1510" w:type="dxa"/>
          </w:tcPr>
          <w:p w14:paraId="17D51403" w14:textId="77777777" w:rsidR="006C1A3B" w:rsidRDefault="006C1A3B" w:rsidP="002B264C">
            <w:pPr>
              <w:pStyle w:val="TableHeading"/>
            </w:pPr>
            <w:r>
              <w:t>Not significant</w:t>
            </w:r>
          </w:p>
        </w:tc>
        <w:tc>
          <w:tcPr>
            <w:tcW w:w="1510" w:type="dxa"/>
          </w:tcPr>
          <w:p w14:paraId="646D6FF5" w14:textId="77777777" w:rsidR="006C1A3B" w:rsidRDefault="006C1A3B" w:rsidP="002B264C">
            <w:pPr>
              <w:pStyle w:val="TableHeading"/>
            </w:pPr>
            <w:r>
              <w:t>Minor</w:t>
            </w:r>
          </w:p>
        </w:tc>
        <w:tc>
          <w:tcPr>
            <w:tcW w:w="1510" w:type="dxa"/>
          </w:tcPr>
          <w:p w14:paraId="556D0509" w14:textId="77777777" w:rsidR="006C1A3B" w:rsidRDefault="006C1A3B" w:rsidP="002B264C">
            <w:pPr>
              <w:pStyle w:val="TableHeading"/>
            </w:pPr>
            <w:r>
              <w:t>Moderate</w:t>
            </w:r>
          </w:p>
        </w:tc>
        <w:tc>
          <w:tcPr>
            <w:tcW w:w="1510" w:type="dxa"/>
          </w:tcPr>
          <w:p w14:paraId="52670DD9" w14:textId="77777777" w:rsidR="006C1A3B" w:rsidRDefault="006C1A3B" w:rsidP="002B264C">
            <w:pPr>
              <w:pStyle w:val="TableHeading"/>
            </w:pPr>
            <w:r>
              <w:t>Major</w:t>
            </w:r>
          </w:p>
        </w:tc>
        <w:tc>
          <w:tcPr>
            <w:tcW w:w="1510" w:type="dxa"/>
          </w:tcPr>
          <w:p w14:paraId="568B2708" w14:textId="77777777" w:rsidR="006C1A3B" w:rsidRDefault="006C1A3B" w:rsidP="002B264C">
            <w:pPr>
              <w:pStyle w:val="TableHeading"/>
            </w:pPr>
            <w:r>
              <w:t>Catastrophic</w:t>
            </w:r>
          </w:p>
        </w:tc>
      </w:tr>
      <w:tr w:rsidR="006C1A3B" w14:paraId="36F4360B" w14:textId="77777777" w:rsidTr="002B264C">
        <w:tc>
          <w:tcPr>
            <w:tcW w:w="1510" w:type="dxa"/>
          </w:tcPr>
          <w:p w14:paraId="4D3AEA82" w14:textId="77777777" w:rsidR="006C1A3B" w:rsidRPr="00774EAA" w:rsidRDefault="006C1A3B" w:rsidP="002B264C">
            <w:pPr>
              <w:pStyle w:val="TableText"/>
              <w:rPr>
                <w:rStyle w:val="Strong"/>
              </w:rPr>
            </w:pPr>
            <w:r w:rsidRPr="00774EAA">
              <w:rPr>
                <w:rStyle w:val="Strong"/>
              </w:rPr>
              <w:t>Almost certain</w:t>
            </w:r>
          </w:p>
        </w:tc>
        <w:tc>
          <w:tcPr>
            <w:tcW w:w="1510" w:type="dxa"/>
            <w:shd w:val="clear" w:color="auto" w:fill="C2D69B" w:themeFill="accent3" w:themeFillTint="99"/>
          </w:tcPr>
          <w:p w14:paraId="68434B86" w14:textId="77777777" w:rsidR="006C1A3B" w:rsidRPr="008A1114" w:rsidRDefault="006C1A3B" w:rsidP="002B264C">
            <w:pPr>
              <w:pStyle w:val="TableText"/>
            </w:pPr>
            <w:r w:rsidRPr="008A1114">
              <w:t>Low risk</w:t>
            </w:r>
          </w:p>
        </w:tc>
        <w:tc>
          <w:tcPr>
            <w:tcW w:w="1510" w:type="dxa"/>
            <w:shd w:val="clear" w:color="auto" w:fill="8DB3E2" w:themeFill="text2" w:themeFillTint="66"/>
          </w:tcPr>
          <w:p w14:paraId="78B54CC3" w14:textId="77777777" w:rsidR="006C1A3B" w:rsidRPr="008A1114" w:rsidRDefault="006C1A3B" w:rsidP="002B264C">
            <w:pPr>
              <w:pStyle w:val="TableText"/>
            </w:pPr>
            <w:r w:rsidRPr="008A1114">
              <w:t>Moderate risk</w:t>
            </w:r>
          </w:p>
        </w:tc>
        <w:tc>
          <w:tcPr>
            <w:tcW w:w="1510" w:type="dxa"/>
            <w:shd w:val="clear" w:color="auto" w:fill="D99594" w:themeFill="accent2" w:themeFillTint="99"/>
          </w:tcPr>
          <w:p w14:paraId="5E4EC30F" w14:textId="77777777" w:rsidR="006C1A3B" w:rsidRPr="008A1114" w:rsidRDefault="006C1A3B" w:rsidP="002B264C">
            <w:pPr>
              <w:pStyle w:val="TableText"/>
            </w:pPr>
            <w:r w:rsidRPr="008A1114">
              <w:t>Very high risk</w:t>
            </w:r>
          </w:p>
        </w:tc>
        <w:tc>
          <w:tcPr>
            <w:tcW w:w="1510" w:type="dxa"/>
            <w:shd w:val="clear" w:color="auto" w:fill="D99594" w:themeFill="accent2" w:themeFillTint="99"/>
          </w:tcPr>
          <w:p w14:paraId="0E9DF7C9" w14:textId="77777777" w:rsidR="006C1A3B" w:rsidRPr="008A1114" w:rsidRDefault="006C1A3B" w:rsidP="002B264C">
            <w:pPr>
              <w:pStyle w:val="TableText"/>
            </w:pPr>
            <w:r w:rsidRPr="008A1114">
              <w:t>Very high risk</w:t>
            </w:r>
          </w:p>
        </w:tc>
        <w:tc>
          <w:tcPr>
            <w:tcW w:w="1510" w:type="dxa"/>
            <w:shd w:val="clear" w:color="auto" w:fill="D99594" w:themeFill="accent2" w:themeFillTint="99"/>
          </w:tcPr>
          <w:p w14:paraId="5D378B9F" w14:textId="77777777" w:rsidR="006C1A3B" w:rsidRPr="008A1114" w:rsidRDefault="006C1A3B" w:rsidP="002B264C">
            <w:pPr>
              <w:pStyle w:val="TableText"/>
            </w:pPr>
            <w:r w:rsidRPr="008A1114">
              <w:t>Very high risk</w:t>
            </w:r>
          </w:p>
        </w:tc>
      </w:tr>
      <w:tr w:rsidR="006C1A3B" w14:paraId="1E72785A" w14:textId="77777777" w:rsidTr="002B264C">
        <w:tc>
          <w:tcPr>
            <w:tcW w:w="1510" w:type="dxa"/>
          </w:tcPr>
          <w:p w14:paraId="51CA1152" w14:textId="77777777" w:rsidR="006C1A3B" w:rsidRPr="00774EAA" w:rsidRDefault="006C1A3B" w:rsidP="002B264C">
            <w:pPr>
              <w:pStyle w:val="TableText"/>
              <w:rPr>
                <w:rStyle w:val="Strong"/>
              </w:rPr>
            </w:pPr>
            <w:r w:rsidRPr="00774EAA">
              <w:rPr>
                <w:rStyle w:val="Strong"/>
              </w:rPr>
              <w:t>Likely</w:t>
            </w:r>
          </w:p>
        </w:tc>
        <w:tc>
          <w:tcPr>
            <w:tcW w:w="1510" w:type="dxa"/>
            <w:shd w:val="clear" w:color="auto" w:fill="C2D69B" w:themeFill="accent3" w:themeFillTint="99"/>
          </w:tcPr>
          <w:p w14:paraId="50076203" w14:textId="77777777" w:rsidR="006C1A3B" w:rsidRPr="008A1114" w:rsidRDefault="006C1A3B" w:rsidP="002B264C">
            <w:pPr>
              <w:pStyle w:val="TableText"/>
            </w:pPr>
            <w:r w:rsidRPr="008A1114">
              <w:t>Low risk</w:t>
            </w:r>
          </w:p>
        </w:tc>
        <w:tc>
          <w:tcPr>
            <w:tcW w:w="1510" w:type="dxa"/>
            <w:shd w:val="clear" w:color="auto" w:fill="8DB3E2" w:themeFill="text2" w:themeFillTint="66"/>
          </w:tcPr>
          <w:p w14:paraId="4647E428" w14:textId="77777777" w:rsidR="006C1A3B" w:rsidRPr="008A1114" w:rsidRDefault="006C1A3B" w:rsidP="002B264C">
            <w:pPr>
              <w:pStyle w:val="TableText"/>
            </w:pPr>
            <w:r w:rsidRPr="008A1114">
              <w:t>Moderate risk</w:t>
            </w:r>
          </w:p>
        </w:tc>
        <w:tc>
          <w:tcPr>
            <w:tcW w:w="1510" w:type="dxa"/>
            <w:shd w:val="clear" w:color="auto" w:fill="FFFF00"/>
          </w:tcPr>
          <w:p w14:paraId="4F08AEEB" w14:textId="77777777" w:rsidR="006C1A3B" w:rsidRPr="008A1114" w:rsidRDefault="006C1A3B" w:rsidP="002B264C">
            <w:pPr>
              <w:pStyle w:val="TableText"/>
            </w:pPr>
            <w:r w:rsidRPr="008A1114">
              <w:t>High risk</w:t>
            </w:r>
          </w:p>
        </w:tc>
        <w:tc>
          <w:tcPr>
            <w:tcW w:w="1510" w:type="dxa"/>
            <w:shd w:val="clear" w:color="auto" w:fill="D99594" w:themeFill="accent2" w:themeFillTint="99"/>
          </w:tcPr>
          <w:p w14:paraId="1B2B45CA" w14:textId="77777777" w:rsidR="006C1A3B" w:rsidRPr="008A1114" w:rsidRDefault="006C1A3B" w:rsidP="002B264C">
            <w:pPr>
              <w:pStyle w:val="TableText"/>
            </w:pPr>
            <w:r w:rsidRPr="008A1114">
              <w:t>Very high risk</w:t>
            </w:r>
          </w:p>
        </w:tc>
        <w:tc>
          <w:tcPr>
            <w:tcW w:w="1510" w:type="dxa"/>
            <w:shd w:val="clear" w:color="auto" w:fill="D99594" w:themeFill="accent2" w:themeFillTint="99"/>
          </w:tcPr>
          <w:p w14:paraId="662116BF" w14:textId="77777777" w:rsidR="006C1A3B" w:rsidRPr="008A1114" w:rsidRDefault="006C1A3B" w:rsidP="002B264C">
            <w:pPr>
              <w:pStyle w:val="TableText"/>
            </w:pPr>
            <w:r w:rsidRPr="008A1114">
              <w:t>Very high risk</w:t>
            </w:r>
          </w:p>
        </w:tc>
      </w:tr>
      <w:tr w:rsidR="006C1A3B" w14:paraId="7909FD02" w14:textId="77777777" w:rsidTr="002B264C">
        <w:tc>
          <w:tcPr>
            <w:tcW w:w="1510" w:type="dxa"/>
          </w:tcPr>
          <w:p w14:paraId="287FDBCE" w14:textId="77777777" w:rsidR="006C1A3B" w:rsidRPr="00774EAA" w:rsidRDefault="006C1A3B" w:rsidP="002B264C">
            <w:pPr>
              <w:pStyle w:val="TableText"/>
              <w:rPr>
                <w:rStyle w:val="Strong"/>
              </w:rPr>
            </w:pPr>
            <w:r w:rsidRPr="00774EAA">
              <w:rPr>
                <w:rStyle w:val="Strong"/>
              </w:rPr>
              <w:t>Possible</w:t>
            </w:r>
          </w:p>
        </w:tc>
        <w:tc>
          <w:tcPr>
            <w:tcW w:w="1510" w:type="dxa"/>
            <w:shd w:val="clear" w:color="auto" w:fill="C2D69B" w:themeFill="accent3" w:themeFillTint="99"/>
          </w:tcPr>
          <w:p w14:paraId="4C202FC6" w14:textId="77777777" w:rsidR="006C1A3B" w:rsidRPr="008A1114" w:rsidRDefault="006C1A3B" w:rsidP="002B264C">
            <w:pPr>
              <w:pStyle w:val="TableText"/>
            </w:pPr>
            <w:r w:rsidRPr="008A1114">
              <w:t>Low risk</w:t>
            </w:r>
          </w:p>
        </w:tc>
        <w:tc>
          <w:tcPr>
            <w:tcW w:w="1510" w:type="dxa"/>
            <w:shd w:val="clear" w:color="auto" w:fill="8DB3E2" w:themeFill="text2" w:themeFillTint="66"/>
          </w:tcPr>
          <w:p w14:paraId="09D592C7" w14:textId="77777777" w:rsidR="006C1A3B" w:rsidRPr="008A1114" w:rsidRDefault="006C1A3B" w:rsidP="002B264C">
            <w:pPr>
              <w:pStyle w:val="TableText"/>
            </w:pPr>
            <w:r w:rsidRPr="008A1114">
              <w:t>Moderate risk</w:t>
            </w:r>
          </w:p>
        </w:tc>
        <w:tc>
          <w:tcPr>
            <w:tcW w:w="1510" w:type="dxa"/>
            <w:shd w:val="clear" w:color="auto" w:fill="FFFF00"/>
          </w:tcPr>
          <w:p w14:paraId="616C9995" w14:textId="77777777" w:rsidR="006C1A3B" w:rsidRPr="008A1114" w:rsidRDefault="006C1A3B" w:rsidP="002B264C">
            <w:pPr>
              <w:pStyle w:val="TableText"/>
            </w:pPr>
            <w:r w:rsidRPr="008A1114">
              <w:t>High risk</w:t>
            </w:r>
          </w:p>
        </w:tc>
        <w:tc>
          <w:tcPr>
            <w:tcW w:w="1510" w:type="dxa"/>
            <w:shd w:val="clear" w:color="auto" w:fill="D99594" w:themeFill="accent2" w:themeFillTint="99"/>
          </w:tcPr>
          <w:p w14:paraId="1E4CD94D" w14:textId="77777777" w:rsidR="006C1A3B" w:rsidRPr="008A1114" w:rsidRDefault="006C1A3B" w:rsidP="002B264C">
            <w:pPr>
              <w:pStyle w:val="TableText"/>
            </w:pPr>
            <w:r w:rsidRPr="008A1114">
              <w:t>Very high risk</w:t>
            </w:r>
          </w:p>
        </w:tc>
        <w:tc>
          <w:tcPr>
            <w:tcW w:w="1510" w:type="dxa"/>
            <w:shd w:val="clear" w:color="auto" w:fill="D99594" w:themeFill="accent2" w:themeFillTint="99"/>
          </w:tcPr>
          <w:p w14:paraId="05390F3B" w14:textId="77777777" w:rsidR="006C1A3B" w:rsidRPr="008A1114" w:rsidRDefault="006C1A3B" w:rsidP="002B264C">
            <w:pPr>
              <w:pStyle w:val="TableText"/>
            </w:pPr>
            <w:r w:rsidRPr="008A1114">
              <w:t>Very high risk</w:t>
            </w:r>
          </w:p>
        </w:tc>
      </w:tr>
      <w:tr w:rsidR="006C1A3B" w14:paraId="2EAD5342" w14:textId="77777777" w:rsidTr="002B264C">
        <w:tc>
          <w:tcPr>
            <w:tcW w:w="1510" w:type="dxa"/>
          </w:tcPr>
          <w:p w14:paraId="0F3C26DF" w14:textId="77777777" w:rsidR="006C1A3B" w:rsidRPr="00774EAA" w:rsidRDefault="006C1A3B" w:rsidP="002B264C">
            <w:pPr>
              <w:pStyle w:val="TableText"/>
              <w:rPr>
                <w:rStyle w:val="Strong"/>
              </w:rPr>
            </w:pPr>
            <w:r w:rsidRPr="00774EAA">
              <w:rPr>
                <w:rStyle w:val="Strong"/>
              </w:rPr>
              <w:t>Unlikely</w:t>
            </w:r>
          </w:p>
        </w:tc>
        <w:tc>
          <w:tcPr>
            <w:tcW w:w="1510" w:type="dxa"/>
            <w:shd w:val="clear" w:color="auto" w:fill="C2D69B" w:themeFill="accent3" w:themeFillTint="99"/>
          </w:tcPr>
          <w:p w14:paraId="11ABF748" w14:textId="77777777" w:rsidR="006C1A3B" w:rsidRPr="008A1114" w:rsidRDefault="006C1A3B" w:rsidP="002B264C">
            <w:pPr>
              <w:pStyle w:val="TableText"/>
            </w:pPr>
            <w:r w:rsidRPr="008A1114">
              <w:t>Low risk</w:t>
            </w:r>
          </w:p>
        </w:tc>
        <w:tc>
          <w:tcPr>
            <w:tcW w:w="1510" w:type="dxa"/>
            <w:shd w:val="clear" w:color="auto" w:fill="C2D69B" w:themeFill="accent3" w:themeFillTint="99"/>
          </w:tcPr>
          <w:p w14:paraId="0D3A3676" w14:textId="77777777" w:rsidR="006C1A3B" w:rsidRPr="008A1114" w:rsidRDefault="006C1A3B" w:rsidP="002B264C">
            <w:pPr>
              <w:pStyle w:val="TableText"/>
            </w:pPr>
            <w:r w:rsidRPr="008A1114">
              <w:t>Low risk</w:t>
            </w:r>
          </w:p>
        </w:tc>
        <w:tc>
          <w:tcPr>
            <w:tcW w:w="1510" w:type="dxa"/>
            <w:shd w:val="clear" w:color="auto" w:fill="8DB3E2" w:themeFill="text2" w:themeFillTint="66"/>
          </w:tcPr>
          <w:p w14:paraId="0D481447" w14:textId="77777777" w:rsidR="006C1A3B" w:rsidRPr="008A1114" w:rsidRDefault="006C1A3B" w:rsidP="002B264C">
            <w:pPr>
              <w:pStyle w:val="TableText"/>
            </w:pPr>
            <w:r w:rsidRPr="008A1114">
              <w:t>Moderate risk</w:t>
            </w:r>
          </w:p>
        </w:tc>
        <w:tc>
          <w:tcPr>
            <w:tcW w:w="1510" w:type="dxa"/>
            <w:shd w:val="clear" w:color="auto" w:fill="FFFF00"/>
          </w:tcPr>
          <w:p w14:paraId="213E9F3E" w14:textId="77777777" w:rsidR="006C1A3B" w:rsidRPr="008A1114" w:rsidRDefault="006C1A3B" w:rsidP="002B264C">
            <w:pPr>
              <w:pStyle w:val="TableText"/>
            </w:pPr>
            <w:r w:rsidRPr="008A1114">
              <w:t>High risk</w:t>
            </w:r>
          </w:p>
        </w:tc>
        <w:tc>
          <w:tcPr>
            <w:tcW w:w="1510" w:type="dxa"/>
            <w:shd w:val="clear" w:color="auto" w:fill="D99594" w:themeFill="accent2" w:themeFillTint="99"/>
          </w:tcPr>
          <w:p w14:paraId="7A6FD0E1" w14:textId="77777777" w:rsidR="006C1A3B" w:rsidRPr="008A1114" w:rsidRDefault="006C1A3B" w:rsidP="002B264C">
            <w:pPr>
              <w:pStyle w:val="TableText"/>
            </w:pPr>
            <w:r w:rsidRPr="008A1114">
              <w:t>Very high risk</w:t>
            </w:r>
          </w:p>
        </w:tc>
      </w:tr>
      <w:tr w:rsidR="006C1A3B" w14:paraId="7545D2BE" w14:textId="77777777" w:rsidTr="002B264C">
        <w:tc>
          <w:tcPr>
            <w:tcW w:w="1510" w:type="dxa"/>
          </w:tcPr>
          <w:p w14:paraId="4A5FC6D8" w14:textId="77777777" w:rsidR="006C1A3B" w:rsidRPr="00774EAA" w:rsidRDefault="006C1A3B" w:rsidP="002B264C">
            <w:pPr>
              <w:pStyle w:val="TableText"/>
              <w:rPr>
                <w:rStyle w:val="Strong"/>
              </w:rPr>
            </w:pPr>
            <w:r w:rsidRPr="00774EAA">
              <w:rPr>
                <w:rStyle w:val="Strong"/>
              </w:rPr>
              <w:t>Unknown</w:t>
            </w:r>
          </w:p>
        </w:tc>
        <w:tc>
          <w:tcPr>
            <w:tcW w:w="1510" w:type="dxa"/>
            <w:shd w:val="clear" w:color="auto" w:fill="C2D69B" w:themeFill="accent3" w:themeFillTint="99"/>
          </w:tcPr>
          <w:p w14:paraId="575C2B54" w14:textId="77777777" w:rsidR="006C1A3B" w:rsidRPr="008A1114" w:rsidRDefault="006C1A3B" w:rsidP="002B264C">
            <w:pPr>
              <w:pStyle w:val="TableText"/>
            </w:pPr>
            <w:r w:rsidRPr="008A1114">
              <w:t>Low risk</w:t>
            </w:r>
          </w:p>
        </w:tc>
        <w:tc>
          <w:tcPr>
            <w:tcW w:w="1510" w:type="dxa"/>
            <w:shd w:val="clear" w:color="auto" w:fill="C2D69B" w:themeFill="accent3" w:themeFillTint="99"/>
          </w:tcPr>
          <w:p w14:paraId="05F70DB6" w14:textId="77777777" w:rsidR="006C1A3B" w:rsidRPr="008A1114" w:rsidRDefault="006C1A3B" w:rsidP="002B264C">
            <w:pPr>
              <w:pStyle w:val="TableText"/>
            </w:pPr>
            <w:r w:rsidRPr="008A1114">
              <w:t>Low risk</w:t>
            </w:r>
          </w:p>
        </w:tc>
        <w:tc>
          <w:tcPr>
            <w:tcW w:w="1510" w:type="dxa"/>
            <w:shd w:val="clear" w:color="auto" w:fill="8DB3E2" w:themeFill="text2" w:themeFillTint="66"/>
          </w:tcPr>
          <w:p w14:paraId="71D5AA93" w14:textId="77777777" w:rsidR="006C1A3B" w:rsidRPr="008A1114" w:rsidRDefault="006C1A3B" w:rsidP="002B264C">
            <w:pPr>
              <w:pStyle w:val="TableText"/>
            </w:pPr>
            <w:r w:rsidRPr="008A1114">
              <w:t>Moderate risk</w:t>
            </w:r>
          </w:p>
        </w:tc>
        <w:tc>
          <w:tcPr>
            <w:tcW w:w="1510" w:type="dxa"/>
            <w:shd w:val="clear" w:color="auto" w:fill="FFFF00"/>
          </w:tcPr>
          <w:p w14:paraId="2CFDB0BB" w14:textId="77777777" w:rsidR="006C1A3B" w:rsidRPr="008A1114" w:rsidRDefault="006C1A3B" w:rsidP="002B264C">
            <w:pPr>
              <w:pStyle w:val="TableText"/>
            </w:pPr>
            <w:r w:rsidRPr="008A1114">
              <w:t>High risk</w:t>
            </w:r>
          </w:p>
        </w:tc>
        <w:tc>
          <w:tcPr>
            <w:tcW w:w="1510" w:type="dxa"/>
            <w:shd w:val="clear" w:color="auto" w:fill="D99594" w:themeFill="accent2" w:themeFillTint="99"/>
          </w:tcPr>
          <w:p w14:paraId="1B71BBFE" w14:textId="77777777" w:rsidR="006C1A3B" w:rsidRPr="008A1114" w:rsidRDefault="006C1A3B" w:rsidP="002B264C">
            <w:pPr>
              <w:pStyle w:val="TableText"/>
            </w:pPr>
            <w:r w:rsidRPr="008A1114">
              <w:t>Very high risk</w:t>
            </w:r>
          </w:p>
        </w:tc>
      </w:tr>
    </w:tbl>
    <w:p w14:paraId="12B2AA34" w14:textId="77777777" w:rsidR="006C1A3B" w:rsidRPr="007C1FBE" w:rsidRDefault="006C1A3B" w:rsidP="006C1A3B">
      <w:pPr>
        <w:pStyle w:val="FigureTableNoteSource"/>
        <w:rPr>
          <w:rStyle w:val="Strong"/>
        </w:rPr>
      </w:pPr>
      <w:r w:rsidRPr="007C1FBE">
        <w:rPr>
          <w:rStyle w:val="Strong"/>
        </w:rPr>
        <w:t>Categories for likelihood are defined as follows:</w:t>
      </w:r>
    </w:p>
    <w:p w14:paraId="6B384502" w14:textId="77777777" w:rsidR="006C1A3B" w:rsidRPr="00E81027" w:rsidRDefault="006C1A3B" w:rsidP="006C1A3B">
      <w:pPr>
        <w:pStyle w:val="FigureTableNoteSource"/>
      </w:pPr>
      <w:r w:rsidRPr="00E81027">
        <w:t xml:space="preserve">Almost certain – expected to occur every year </w:t>
      </w:r>
    </w:p>
    <w:p w14:paraId="68BC5FCD" w14:textId="77777777" w:rsidR="006C1A3B" w:rsidRPr="00E81027" w:rsidRDefault="006C1A3B" w:rsidP="006C1A3B">
      <w:pPr>
        <w:pStyle w:val="FigureTableNoteSource"/>
      </w:pPr>
      <w:r w:rsidRPr="00E81027">
        <w:t xml:space="preserve">Likely – expected to occur at least once every five years </w:t>
      </w:r>
    </w:p>
    <w:p w14:paraId="1DB421E7" w14:textId="77777777" w:rsidR="006C1A3B" w:rsidRPr="00E81027" w:rsidRDefault="006C1A3B" w:rsidP="006C1A3B">
      <w:pPr>
        <w:pStyle w:val="FigureTableNoteSource"/>
      </w:pPr>
      <w:r w:rsidRPr="00E81027">
        <w:t>Possible – might occur at some time</w:t>
      </w:r>
    </w:p>
    <w:p w14:paraId="22855A02" w14:textId="77777777" w:rsidR="006C1A3B" w:rsidRPr="00E81027" w:rsidRDefault="006C1A3B" w:rsidP="006C1A3B">
      <w:pPr>
        <w:pStyle w:val="FigureTableNoteSource"/>
      </w:pPr>
      <w:r w:rsidRPr="00E81027">
        <w:t>Unlikely – such events are known to have occurred on a worldwide basis but only a few times</w:t>
      </w:r>
    </w:p>
    <w:p w14:paraId="70DAD651" w14:textId="77777777" w:rsidR="006C1A3B" w:rsidRDefault="006C1A3B" w:rsidP="006C1A3B">
      <w:pPr>
        <w:pStyle w:val="FigureTableNoteSource"/>
      </w:pPr>
      <w:r w:rsidRPr="00E81027">
        <w:t>Rare or Unknown – may occur only in exceptional circumstances; OR it is currently unknown how often the incident will occur</w:t>
      </w:r>
    </w:p>
    <w:p w14:paraId="165CC83B" w14:textId="77777777" w:rsidR="006C1A3B" w:rsidRPr="0037721B" w:rsidRDefault="006C1A3B" w:rsidP="006C1A3B">
      <w:pPr>
        <w:pStyle w:val="FigureTableNoteSource"/>
        <w:rPr>
          <w:rStyle w:val="Strong"/>
        </w:rPr>
      </w:pPr>
      <w:r w:rsidRPr="0037721B">
        <w:rPr>
          <w:rStyle w:val="Strong"/>
        </w:rPr>
        <w:t>Categories for consequences are defined as follows:</w:t>
      </w:r>
    </w:p>
    <w:p w14:paraId="007A3B01" w14:textId="77777777" w:rsidR="006C1A3B" w:rsidRPr="00E81027" w:rsidRDefault="006C1A3B" w:rsidP="006C1A3B">
      <w:pPr>
        <w:pStyle w:val="FigureTableNoteSource"/>
      </w:pPr>
      <w:r w:rsidRPr="00E81027">
        <w:t>Not significant – no long-term effect on individuals or populations</w:t>
      </w:r>
    </w:p>
    <w:p w14:paraId="6C365859" w14:textId="77777777" w:rsidR="006C1A3B" w:rsidRPr="00E81027" w:rsidRDefault="006C1A3B" w:rsidP="006C1A3B">
      <w:pPr>
        <w:pStyle w:val="FigureTableNoteSource"/>
      </w:pPr>
      <w:r w:rsidRPr="00E81027">
        <w:t>Minor – individuals are adversely affected but no effect at population level</w:t>
      </w:r>
    </w:p>
    <w:p w14:paraId="7BE83701" w14:textId="77777777" w:rsidR="006C1A3B" w:rsidRPr="00E81027" w:rsidRDefault="006C1A3B" w:rsidP="006C1A3B">
      <w:pPr>
        <w:pStyle w:val="FigureTableNoteSource"/>
      </w:pPr>
      <w:r w:rsidRPr="00E81027">
        <w:t>Moderate – population recovery stalls or reduces</w:t>
      </w:r>
    </w:p>
    <w:p w14:paraId="169323AB" w14:textId="77777777" w:rsidR="006C1A3B" w:rsidRPr="00E81027" w:rsidRDefault="006C1A3B" w:rsidP="006C1A3B">
      <w:pPr>
        <w:pStyle w:val="FigureTableNoteSource"/>
      </w:pPr>
      <w:r w:rsidRPr="00E81027">
        <w:t>Major – population decreases</w:t>
      </w:r>
    </w:p>
    <w:p w14:paraId="4B7E2239" w14:textId="1077EB9D" w:rsidR="006C1A3B" w:rsidRDefault="006C1A3B" w:rsidP="006C1A3B">
      <w:pPr>
        <w:pStyle w:val="FigureTableNoteSource"/>
      </w:pPr>
      <w:r w:rsidRPr="00E81027">
        <w:t>Catastrophic – population extinction</w:t>
      </w:r>
      <w:bookmarkEnd w:id="24"/>
    </w:p>
    <w:bookmarkEnd w:id="20"/>
    <w:p w14:paraId="2704E314" w14:textId="68677E24" w:rsidR="001A3C77" w:rsidRPr="001A3C77" w:rsidRDefault="00774EAA" w:rsidP="00292E73">
      <w:pPr>
        <w:pStyle w:val="Caption"/>
      </w:pPr>
      <w:r>
        <w:lastRenderedPageBreak/>
        <w:t>Table</w:t>
      </w:r>
      <w:bookmarkEnd w:id="21"/>
      <w:r w:rsidR="006C1A3B">
        <w:rPr>
          <w:noProof/>
        </w:rPr>
        <w:t xml:space="preserve"> 3</w:t>
      </w:r>
      <w:r>
        <w:t xml:space="preserve"> </w:t>
      </w:r>
      <w:r w:rsidR="00292E73">
        <w:t>Brown Treecreeper (south-eastern)</w:t>
      </w:r>
      <w:r>
        <w:t xml:space="preserve"> risk matrix</w:t>
      </w:r>
    </w:p>
    <w:tbl>
      <w:tblPr>
        <w:tblStyle w:val="TableGrid"/>
        <w:tblW w:w="0" w:type="auto"/>
        <w:tblLook w:val="04A0" w:firstRow="1" w:lastRow="0" w:firstColumn="1" w:lastColumn="0" w:noHBand="0" w:noVBand="1"/>
      </w:tblPr>
      <w:tblGrid>
        <w:gridCol w:w="1445"/>
        <w:gridCol w:w="1442"/>
        <w:gridCol w:w="1559"/>
        <w:gridCol w:w="1496"/>
        <w:gridCol w:w="1647"/>
        <w:gridCol w:w="1471"/>
      </w:tblGrid>
      <w:tr w:rsidR="00774EAA" w14:paraId="079812D7" w14:textId="77777777" w:rsidTr="16D679A8">
        <w:trPr>
          <w:cantSplit/>
          <w:tblHeader/>
        </w:trPr>
        <w:tc>
          <w:tcPr>
            <w:tcW w:w="1460" w:type="dxa"/>
            <w:vMerge w:val="restart"/>
          </w:tcPr>
          <w:p w14:paraId="7B11A5EE" w14:textId="00DD8080" w:rsidR="00774EAA" w:rsidRDefault="00774EAA" w:rsidP="00774EAA">
            <w:pPr>
              <w:pStyle w:val="TableHeading"/>
            </w:pPr>
            <w:r>
              <w:t>Likelihood</w:t>
            </w:r>
          </w:p>
        </w:tc>
        <w:tc>
          <w:tcPr>
            <w:tcW w:w="7600" w:type="dxa"/>
            <w:gridSpan w:val="5"/>
          </w:tcPr>
          <w:p w14:paraId="00DF0A3A" w14:textId="66152B50" w:rsidR="00774EAA" w:rsidRDefault="00774EAA" w:rsidP="00774EAA">
            <w:pPr>
              <w:pStyle w:val="TableHeading"/>
            </w:pPr>
            <w:r>
              <w:t>Consequences</w:t>
            </w:r>
          </w:p>
        </w:tc>
      </w:tr>
      <w:tr w:rsidR="0038751E" w14:paraId="1EBB1379" w14:textId="77777777" w:rsidTr="16D679A8">
        <w:trPr>
          <w:cantSplit/>
          <w:tblHeader/>
        </w:trPr>
        <w:tc>
          <w:tcPr>
            <w:tcW w:w="1460" w:type="dxa"/>
            <w:vMerge/>
          </w:tcPr>
          <w:p w14:paraId="70176552" w14:textId="4CB2C287" w:rsidR="00774EAA" w:rsidRDefault="00774EAA" w:rsidP="00774EAA">
            <w:pPr>
              <w:pStyle w:val="TableHeading"/>
            </w:pPr>
          </w:p>
        </w:tc>
        <w:tc>
          <w:tcPr>
            <w:tcW w:w="1458" w:type="dxa"/>
          </w:tcPr>
          <w:p w14:paraId="4C96EE5E" w14:textId="552B7A8C" w:rsidR="00774EAA" w:rsidRDefault="00774EAA" w:rsidP="00774EAA">
            <w:pPr>
              <w:pStyle w:val="TableHeading"/>
            </w:pPr>
            <w:r>
              <w:t>Not significant</w:t>
            </w:r>
          </w:p>
        </w:tc>
        <w:tc>
          <w:tcPr>
            <w:tcW w:w="1561" w:type="dxa"/>
          </w:tcPr>
          <w:p w14:paraId="554359D9" w14:textId="00092893" w:rsidR="00774EAA" w:rsidRDefault="00774EAA" w:rsidP="00774EAA">
            <w:pPr>
              <w:pStyle w:val="TableHeading"/>
            </w:pPr>
            <w:r>
              <w:t>Minor</w:t>
            </w:r>
          </w:p>
        </w:tc>
        <w:tc>
          <w:tcPr>
            <w:tcW w:w="1501" w:type="dxa"/>
          </w:tcPr>
          <w:p w14:paraId="13DAC189" w14:textId="7A664F76" w:rsidR="00774EAA" w:rsidRDefault="00774EAA" w:rsidP="00774EAA">
            <w:pPr>
              <w:pStyle w:val="TableHeading"/>
            </w:pPr>
            <w:r>
              <w:t>Moderate</w:t>
            </w:r>
          </w:p>
        </w:tc>
        <w:tc>
          <w:tcPr>
            <w:tcW w:w="1600" w:type="dxa"/>
          </w:tcPr>
          <w:p w14:paraId="4A3F673B" w14:textId="42036DAF" w:rsidR="00774EAA" w:rsidRDefault="00774EAA" w:rsidP="00774EAA">
            <w:pPr>
              <w:pStyle w:val="TableHeading"/>
            </w:pPr>
            <w:r>
              <w:t>Major</w:t>
            </w:r>
          </w:p>
        </w:tc>
        <w:tc>
          <w:tcPr>
            <w:tcW w:w="1480" w:type="dxa"/>
          </w:tcPr>
          <w:p w14:paraId="7D6820B1" w14:textId="1893B7F4" w:rsidR="00774EAA" w:rsidRDefault="00774EAA" w:rsidP="00774EAA">
            <w:pPr>
              <w:pStyle w:val="TableHeading"/>
            </w:pPr>
            <w:r>
              <w:t>Catastrophic</w:t>
            </w:r>
          </w:p>
        </w:tc>
      </w:tr>
      <w:tr w:rsidR="0038751E" w14:paraId="0E7FA2E1" w14:textId="77777777" w:rsidTr="16D679A8">
        <w:tc>
          <w:tcPr>
            <w:tcW w:w="1460" w:type="dxa"/>
          </w:tcPr>
          <w:p w14:paraId="09E6D576" w14:textId="53BBCBAB" w:rsidR="00774EAA" w:rsidRPr="00774EAA" w:rsidRDefault="00774EAA" w:rsidP="00774EAA">
            <w:pPr>
              <w:pStyle w:val="TableText"/>
              <w:rPr>
                <w:rStyle w:val="Strong"/>
              </w:rPr>
            </w:pPr>
            <w:r w:rsidRPr="00774EAA">
              <w:rPr>
                <w:rStyle w:val="Strong"/>
              </w:rPr>
              <w:t>Almost certain</w:t>
            </w:r>
          </w:p>
        </w:tc>
        <w:tc>
          <w:tcPr>
            <w:tcW w:w="1458" w:type="dxa"/>
            <w:shd w:val="clear" w:color="auto" w:fill="C2D69B" w:themeFill="accent3" w:themeFillTint="99"/>
          </w:tcPr>
          <w:p w14:paraId="7797D4CC" w14:textId="0A56CC71" w:rsidR="00927D81" w:rsidRDefault="00927D81" w:rsidP="00774EAA">
            <w:pPr>
              <w:pStyle w:val="TableText"/>
            </w:pPr>
          </w:p>
        </w:tc>
        <w:tc>
          <w:tcPr>
            <w:tcW w:w="1561" w:type="dxa"/>
            <w:shd w:val="clear" w:color="auto" w:fill="8DB3E2" w:themeFill="text2" w:themeFillTint="66"/>
          </w:tcPr>
          <w:p w14:paraId="16CB9A83" w14:textId="27553173" w:rsidR="00774EAA" w:rsidRDefault="00774EAA" w:rsidP="008E4F1F">
            <w:pPr>
              <w:pStyle w:val="TableBullet1"/>
              <w:numPr>
                <w:ilvl w:val="0"/>
                <w:numId w:val="0"/>
              </w:numPr>
            </w:pPr>
          </w:p>
        </w:tc>
        <w:tc>
          <w:tcPr>
            <w:tcW w:w="1501" w:type="dxa"/>
            <w:shd w:val="clear" w:color="auto" w:fill="D99594" w:themeFill="accent2" w:themeFillTint="99"/>
          </w:tcPr>
          <w:p w14:paraId="7B46EC0E" w14:textId="77777777" w:rsidR="0038751E" w:rsidRDefault="0038751E" w:rsidP="0038751E">
            <w:pPr>
              <w:pStyle w:val="TableText"/>
            </w:pPr>
          </w:p>
          <w:p w14:paraId="1BF34592" w14:textId="68A79119" w:rsidR="00774EAA" w:rsidRDefault="00774EAA" w:rsidP="0038751E">
            <w:pPr>
              <w:pStyle w:val="TableText"/>
            </w:pPr>
          </w:p>
        </w:tc>
        <w:tc>
          <w:tcPr>
            <w:tcW w:w="1600" w:type="dxa"/>
            <w:shd w:val="clear" w:color="auto" w:fill="D99594" w:themeFill="accent2" w:themeFillTint="99"/>
          </w:tcPr>
          <w:p w14:paraId="5EC0AB6F" w14:textId="2D89DBCA" w:rsidR="009329C5" w:rsidRDefault="006F226E" w:rsidP="006B72EA">
            <w:pPr>
              <w:pStyle w:val="TableBullet1"/>
              <w:ind w:left="331" w:hanging="238"/>
            </w:pPr>
            <w:r w:rsidRPr="009329C5">
              <w:t>Habitat loss and fragmentation caused by clearing for agriculture</w:t>
            </w:r>
          </w:p>
        </w:tc>
        <w:tc>
          <w:tcPr>
            <w:tcW w:w="1480" w:type="dxa"/>
            <w:shd w:val="clear" w:color="auto" w:fill="D99594" w:themeFill="accent2" w:themeFillTint="99"/>
          </w:tcPr>
          <w:p w14:paraId="207DA069" w14:textId="5EEF025F" w:rsidR="00774EAA" w:rsidRDefault="00774EAA" w:rsidP="00774EAA">
            <w:pPr>
              <w:pStyle w:val="TableText"/>
            </w:pPr>
          </w:p>
        </w:tc>
      </w:tr>
      <w:tr w:rsidR="0038751E" w14:paraId="08F59FB1" w14:textId="77777777" w:rsidTr="16D679A8">
        <w:tc>
          <w:tcPr>
            <w:tcW w:w="1460" w:type="dxa"/>
          </w:tcPr>
          <w:p w14:paraId="51985732" w14:textId="66812F98" w:rsidR="005E752A" w:rsidRPr="00774EAA" w:rsidRDefault="005E752A" w:rsidP="005E752A">
            <w:pPr>
              <w:pStyle w:val="TableText"/>
              <w:rPr>
                <w:rStyle w:val="Strong"/>
              </w:rPr>
            </w:pPr>
            <w:r w:rsidRPr="00774EAA">
              <w:rPr>
                <w:rStyle w:val="Strong"/>
              </w:rPr>
              <w:t>Likely</w:t>
            </w:r>
          </w:p>
        </w:tc>
        <w:tc>
          <w:tcPr>
            <w:tcW w:w="1458" w:type="dxa"/>
            <w:shd w:val="clear" w:color="auto" w:fill="C2D69B" w:themeFill="accent3" w:themeFillTint="99"/>
          </w:tcPr>
          <w:p w14:paraId="5C56019D" w14:textId="6F25E9F6" w:rsidR="005E752A" w:rsidRDefault="005E752A" w:rsidP="0019773B">
            <w:pPr>
              <w:pStyle w:val="TableBullet1"/>
              <w:numPr>
                <w:ilvl w:val="0"/>
                <w:numId w:val="0"/>
              </w:numPr>
            </w:pPr>
          </w:p>
        </w:tc>
        <w:tc>
          <w:tcPr>
            <w:tcW w:w="1561" w:type="dxa"/>
            <w:shd w:val="clear" w:color="auto" w:fill="8DB3E2" w:themeFill="text2" w:themeFillTint="66"/>
          </w:tcPr>
          <w:p w14:paraId="100D8D64" w14:textId="77777777" w:rsidR="008E4F1F" w:rsidRPr="00AB3719" w:rsidRDefault="008E4F1F" w:rsidP="00514923">
            <w:pPr>
              <w:pStyle w:val="TableBullet1"/>
              <w:ind w:left="222" w:hanging="214"/>
            </w:pPr>
            <w:r w:rsidRPr="00AB3719">
              <w:t>Unintentional effects of firewood collection</w:t>
            </w:r>
          </w:p>
          <w:p w14:paraId="4F39E8F6" w14:textId="77777777" w:rsidR="008D594A" w:rsidRDefault="0038751E" w:rsidP="00514923">
            <w:pPr>
              <w:pStyle w:val="TableBullet1"/>
              <w:ind w:left="222" w:hanging="214"/>
            </w:pPr>
            <w:r w:rsidRPr="00AB3719">
              <w:t xml:space="preserve">Nest hollow competition </w:t>
            </w:r>
          </w:p>
          <w:p w14:paraId="6A88C5D0" w14:textId="78B71763" w:rsidR="005E752A" w:rsidRDefault="008D594A" w:rsidP="00284D99">
            <w:pPr>
              <w:pStyle w:val="TableBullet1"/>
              <w:ind w:left="222" w:hanging="214"/>
            </w:pPr>
            <w:r>
              <w:t xml:space="preserve">Rabbit </w:t>
            </w:r>
            <w:r w:rsidR="00284D99">
              <w:t xml:space="preserve">and </w:t>
            </w:r>
            <w:r w:rsidR="00284D99" w:rsidRPr="00284D99">
              <w:t>overabundant kangaroo</w:t>
            </w:r>
            <w:r w:rsidR="00FC2FA4">
              <w:t xml:space="preserve"> </w:t>
            </w:r>
            <w:r>
              <w:t>grazing</w:t>
            </w:r>
          </w:p>
        </w:tc>
        <w:tc>
          <w:tcPr>
            <w:tcW w:w="1501" w:type="dxa"/>
            <w:shd w:val="clear" w:color="auto" w:fill="FFFF00"/>
          </w:tcPr>
          <w:p w14:paraId="765549E7" w14:textId="60D4BFFF" w:rsidR="005E752A" w:rsidRPr="00AB3719" w:rsidRDefault="008E4F1F" w:rsidP="004D2C69">
            <w:pPr>
              <w:pStyle w:val="TableBullet1"/>
              <w:ind w:left="141" w:hanging="163"/>
            </w:pPr>
            <w:r>
              <w:t>Altered fire regimes</w:t>
            </w:r>
          </w:p>
          <w:p w14:paraId="0552573A" w14:textId="77777777" w:rsidR="005E752A" w:rsidRPr="00A446A3" w:rsidRDefault="06C95670" w:rsidP="00452EBD">
            <w:pPr>
              <w:pStyle w:val="TableBullet1"/>
              <w:ind w:left="141" w:hanging="163"/>
              <w:rPr>
                <w:rFonts w:eastAsia="Cambria" w:cs="Cambria"/>
                <w:szCs w:val="18"/>
              </w:rPr>
            </w:pPr>
            <w:r>
              <w:t>Increased likelihood of extreme events (i.e., wildfire, heatwave, and drought)</w:t>
            </w:r>
            <w:r w:rsidR="004D2C69">
              <w:t xml:space="preserve"> </w:t>
            </w:r>
          </w:p>
          <w:p w14:paraId="1C19BE57" w14:textId="1B9D0B12" w:rsidR="00A446A3" w:rsidRPr="00452EBD" w:rsidRDefault="00A446A3" w:rsidP="00452EBD">
            <w:pPr>
              <w:pStyle w:val="TableBullet1"/>
              <w:ind w:left="141" w:hanging="163"/>
              <w:rPr>
                <w:rFonts w:eastAsia="Cambria" w:cs="Cambria"/>
                <w:szCs w:val="18"/>
              </w:rPr>
            </w:pPr>
            <w:r w:rsidRPr="00A446A3">
              <w:rPr>
                <w:rFonts w:eastAsia="Cambria" w:cs="Cambria"/>
                <w:szCs w:val="18"/>
              </w:rPr>
              <w:t>Conventional grazing practices</w:t>
            </w:r>
          </w:p>
        </w:tc>
        <w:tc>
          <w:tcPr>
            <w:tcW w:w="1600" w:type="dxa"/>
            <w:shd w:val="clear" w:color="auto" w:fill="D99594" w:themeFill="accent2" w:themeFillTint="99"/>
          </w:tcPr>
          <w:p w14:paraId="1772BD48" w14:textId="73A41DAB" w:rsidR="00AB3719" w:rsidRDefault="00AB3719" w:rsidP="00514923">
            <w:pPr>
              <w:pStyle w:val="TableBullet1"/>
              <w:ind w:left="331" w:hanging="238"/>
            </w:pPr>
            <w:r w:rsidRPr="009329C5">
              <w:t xml:space="preserve">Habitat degradation caused by </w:t>
            </w:r>
            <w:r w:rsidR="00152BDD">
              <w:t xml:space="preserve">domestic </w:t>
            </w:r>
            <w:r w:rsidR="006C7BAC">
              <w:t>live</w:t>
            </w:r>
            <w:r w:rsidR="00152BDD">
              <w:t xml:space="preserve">stock </w:t>
            </w:r>
            <w:r w:rsidRPr="009329C5">
              <w:t xml:space="preserve">grazing </w:t>
            </w:r>
          </w:p>
          <w:p w14:paraId="22A7DA29" w14:textId="47E9253C" w:rsidR="005E752A" w:rsidRPr="00AB3719" w:rsidRDefault="00AB3719" w:rsidP="00514923">
            <w:pPr>
              <w:pStyle w:val="TableBullet1"/>
              <w:ind w:left="331" w:hanging="238"/>
            </w:pPr>
            <w:r w:rsidRPr="00AB3719">
              <w:t>Noisy Miner territorial competition</w:t>
            </w:r>
          </w:p>
        </w:tc>
        <w:tc>
          <w:tcPr>
            <w:tcW w:w="1480" w:type="dxa"/>
            <w:shd w:val="clear" w:color="auto" w:fill="D99594" w:themeFill="accent2" w:themeFillTint="99"/>
          </w:tcPr>
          <w:p w14:paraId="1C692679" w14:textId="3EEDBF5A" w:rsidR="005E752A" w:rsidRDefault="005E752A" w:rsidP="005E752A">
            <w:pPr>
              <w:pStyle w:val="TableText"/>
            </w:pPr>
          </w:p>
        </w:tc>
      </w:tr>
      <w:tr w:rsidR="0038751E" w14:paraId="38F6105B" w14:textId="77777777" w:rsidTr="16D679A8">
        <w:tc>
          <w:tcPr>
            <w:tcW w:w="1460" w:type="dxa"/>
          </w:tcPr>
          <w:p w14:paraId="51FBF176" w14:textId="050BB735" w:rsidR="005E752A" w:rsidRPr="00774EAA" w:rsidRDefault="005E752A" w:rsidP="005E752A">
            <w:pPr>
              <w:pStyle w:val="TableText"/>
              <w:rPr>
                <w:rStyle w:val="Strong"/>
              </w:rPr>
            </w:pPr>
            <w:r w:rsidRPr="00774EAA">
              <w:rPr>
                <w:rStyle w:val="Strong"/>
              </w:rPr>
              <w:t>Possible</w:t>
            </w:r>
          </w:p>
        </w:tc>
        <w:tc>
          <w:tcPr>
            <w:tcW w:w="1458" w:type="dxa"/>
            <w:shd w:val="clear" w:color="auto" w:fill="C2D69B" w:themeFill="accent3" w:themeFillTint="99"/>
          </w:tcPr>
          <w:p w14:paraId="496B237E" w14:textId="3FD34DF9" w:rsidR="005E752A" w:rsidRDefault="005E752A" w:rsidP="005E752A">
            <w:pPr>
              <w:pStyle w:val="TableBullet1"/>
              <w:numPr>
                <w:ilvl w:val="0"/>
                <w:numId w:val="0"/>
              </w:numPr>
              <w:ind w:left="284" w:hanging="284"/>
            </w:pPr>
          </w:p>
        </w:tc>
        <w:tc>
          <w:tcPr>
            <w:tcW w:w="1561" w:type="dxa"/>
            <w:shd w:val="clear" w:color="auto" w:fill="8DB3E2" w:themeFill="text2" w:themeFillTint="66"/>
          </w:tcPr>
          <w:p w14:paraId="2E3D7AA2" w14:textId="2E235C2A" w:rsidR="005E752A" w:rsidRDefault="008E4F1F" w:rsidP="006B72EA">
            <w:pPr>
              <w:pStyle w:val="TableBullet1"/>
              <w:ind w:left="222" w:hanging="214"/>
            </w:pPr>
            <w:r w:rsidRPr="00AB3719">
              <w:t xml:space="preserve">Cat and fox predation </w:t>
            </w:r>
          </w:p>
        </w:tc>
        <w:tc>
          <w:tcPr>
            <w:tcW w:w="1501" w:type="dxa"/>
            <w:shd w:val="clear" w:color="auto" w:fill="FFFF00"/>
          </w:tcPr>
          <w:p w14:paraId="079654DF" w14:textId="1F7D3069" w:rsidR="005E752A" w:rsidRPr="00AB3719" w:rsidRDefault="005E752A" w:rsidP="008E4F1F">
            <w:pPr>
              <w:pStyle w:val="TableBullet1"/>
              <w:numPr>
                <w:ilvl w:val="0"/>
                <w:numId w:val="0"/>
              </w:numPr>
            </w:pPr>
          </w:p>
        </w:tc>
        <w:tc>
          <w:tcPr>
            <w:tcW w:w="1600" w:type="dxa"/>
            <w:shd w:val="clear" w:color="auto" w:fill="D99594" w:themeFill="accent2" w:themeFillTint="99"/>
          </w:tcPr>
          <w:p w14:paraId="2D42B572" w14:textId="27D6DC35" w:rsidR="005E752A" w:rsidRDefault="005E752A" w:rsidP="005E752A">
            <w:pPr>
              <w:pStyle w:val="TableText"/>
            </w:pPr>
          </w:p>
        </w:tc>
        <w:tc>
          <w:tcPr>
            <w:tcW w:w="1480" w:type="dxa"/>
            <w:shd w:val="clear" w:color="auto" w:fill="D99594" w:themeFill="accent2" w:themeFillTint="99"/>
          </w:tcPr>
          <w:p w14:paraId="7337A65C" w14:textId="1A875BF5" w:rsidR="005E752A" w:rsidRDefault="005E752A" w:rsidP="005E752A">
            <w:pPr>
              <w:pStyle w:val="TableText"/>
            </w:pPr>
          </w:p>
        </w:tc>
      </w:tr>
      <w:tr w:rsidR="0038751E" w14:paraId="6CA6582B" w14:textId="77777777" w:rsidTr="16D679A8">
        <w:tc>
          <w:tcPr>
            <w:tcW w:w="1460" w:type="dxa"/>
          </w:tcPr>
          <w:p w14:paraId="52DE537E" w14:textId="2D802FB1" w:rsidR="005E752A" w:rsidRPr="00774EAA" w:rsidRDefault="005E752A" w:rsidP="005E752A">
            <w:pPr>
              <w:pStyle w:val="TableText"/>
              <w:rPr>
                <w:rStyle w:val="Strong"/>
              </w:rPr>
            </w:pPr>
            <w:r w:rsidRPr="00774EAA">
              <w:rPr>
                <w:rStyle w:val="Strong"/>
              </w:rPr>
              <w:t>Unlikely</w:t>
            </w:r>
          </w:p>
        </w:tc>
        <w:tc>
          <w:tcPr>
            <w:tcW w:w="1458" w:type="dxa"/>
            <w:shd w:val="clear" w:color="auto" w:fill="C2D69B" w:themeFill="accent3" w:themeFillTint="99"/>
          </w:tcPr>
          <w:p w14:paraId="3635D9D9" w14:textId="4D8CB3FE" w:rsidR="005E752A" w:rsidRDefault="005E752A" w:rsidP="005E752A">
            <w:pPr>
              <w:pStyle w:val="TableText"/>
            </w:pPr>
          </w:p>
        </w:tc>
        <w:tc>
          <w:tcPr>
            <w:tcW w:w="1561" w:type="dxa"/>
            <w:shd w:val="clear" w:color="auto" w:fill="C2D69B" w:themeFill="accent3" w:themeFillTint="99"/>
          </w:tcPr>
          <w:p w14:paraId="4AF321D6" w14:textId="0B1C08DD" w:rsidR="005E752A" w:rsidRDefault="005E752A" w:rsidP="005E752A">
            <w:pPr>
              <w:pStyle w:val="TableText"/>
            </w:pPr>
          </w:p>
        </w:tc>
        <w:tc>
          <w:tcPr>
            <w:tcW w:w="1501" w:type="dxa"/>
            <w:shd w:val="clear" w:color="auto" w:fill="8DB3E2" w:themeFill="text2" w:themeFillTint="66"/>
          </w:tcPr>
          <w:p w14:paraId="6C65FDEF" w14:textId="31C26EA9" w:rsidR="005E752A" w:rsidRDefault="005E752A" w:rsidP="005E752A">
            <w:pPr>
              <w:pStyle w:val="TableText"/>
            </w:pPr>
          </w:p>
        </w:tc>
        <w:tc>
          <w:tcPr>
            <w:tcW w:w="1600" w:type="dxa"/>
            <w:shd w:val="clear" w:color="auto" w:fill="FFFF00"/>
          </w:tcPr>
          <w:p w14:paraId="1FCBA8F2" w14:textId="7F030421" w:rsidR="005E752A" w:rsidRDefault="005E752A" w:rsidP="005E752A">
            <w:pPr>
              <w:pStyle w:val="TableText"/>
            </w:pPr>
          </w:p>
        </w:tc>
        <w:tc>
          <w:tcPr>
            <w:tcW w:w="1480" w:type="dxa"/>
            <w:shd w:val="clear" w:color="auto" w:fill="D99594" w:themeFill="accent2" w:themeFillTint="99"/>
          </w:tcPr>
          <w:p w14:paraId="631D0DC6" w14:textId="28632805" w:rsidR="005E752A" w:rsidRDefault="005E752A" w:rsidP="005E752A">
            <w:pPr>
              <w:pStyle w:val="TableText"/>
            </w:pPr>
          </w:p>
        </w:tc>
      </w:tr>
      <w:tr w:rsidR="0038751E" w14:paraId="2E9A5E68" w14:textId="77777777" w:rsidTr="16D679A8">
        <w:tc>
          <w:tcPr>
            <w:tcW w:w="1460" w:type="dxa"/>
          </w:tcPr>
          <w:p w14:paraId="44915166" w14:textId="29B25F10" w:rsidR="005E752A" w:rsidRPr="00774EAA" w:rsidRDefault="005E752A" w:rsidP="005E752A">
            <w:pPr>
              <w:pStyle w:val="TableText"/>
              <w:rPr>
                <w:rStyle w:val="Strong"/>
              </w:rPr>
            </w:pPr>
            <w:r w:rsidRPr="00774EAA">
              <w:rPr>
                <w:rStyle w:val="Strong"/>
              </w:rPr>
              <w:t>Unknown</w:t>
            </w:r>
          </w:p>
        </w:tc>
        <w:tc>
          <w:tcPr>
            <w:tcW w:w="1458" w:type="dxa"/>
            <w:shd w:val="clear" w:color="auto" w:fill="C2D69B" w:themeFill="accent3" w:themeFillTint="99"/>
          </w:tcPr>
          <w:p w14:paraId="15EC7F90" w14:textId="7FD702BC" w:rsidR="005E752A" w:rsidRDefault="005E752A" w:rsidP="005E752A">
            <w:pPr>
              <w:pStyle w:val="TableText"/>
            </w:pPr>
          </w:p>
        </w:tc>
        <w:tc>
          <w:tcPr>
            <w:tcW w:w="1561" w:type="dxa"/>
            <w:shd w:val="clear" w:color="auto" w:fill="C2D69B" w:themeFill="accent3" w:themeFillTint="99"/>
          </w:tcPr>
          <w:p w14:paraId="2CE6720F" w14:textId="7274A47B" w:rsidR="005E752A" w:rsidRDefault="005E752A" w:rsidP="005E752A">
            <w:pPr>
              <w:pStyle w:val="TableText"/>
            </w:pPr>
          </w:p>
        </w:tc>
        <w:tc>
          <w:tcPr>
            <w:tcW w:w="1501" w:type="dxa"/>
            <w:shd w:val="clear" w:color="auto" w:fill="8DB3E2" w:themeFill="text2" w:themeFillTint="66"/>
          </w:tcPr>
          <w:p w14:paraId="1FB26C83" w14:textId="0CD214CD" w:rsidR="005E752A" w:rsidRDefault="005E752A" w:rsidP="005E752A">
            <w:pPr>
              <w:pStyle w:val="TableText"/>
            </w:pPr>
          </w:p>
        </w:tc>
        <w:tc>
          <w:tcPr>
            <w:tcW w:w="1600" w:type="dxa"/>
            <w:shd w:val="clear" w:color="auto" w:fill="FFFF00"/>
          </w:tcPr>
          <w:p w14:paraId="1AF9A6DF" w14:textId="274B1B72" w:rsidR="005E752A" w:rsidRDefault="005E752A" w:rsidP="00835BA7">
            <w:pPr>
              <w:pStyle w:val="TableBullet1"/>
              <w:numPr>
                <w:ilvl w:val="0"/>
                <w:numId w:val="0"/>
              </w:numPr>
            </w:pPr>
          </w:p>
        </w:tc>
        <w:tc>
          <w:tcPr>
            <w:tcW w:w="1480" w:type="dxa"/>
            <w:shd w:val="clear" w:color="auto" w:fill="D99594" w:themeFill="accent2" w:themeFillTint="99"/>
          </w:tcPr>
          <w:p w14:paraId="76838536" w14:textId="29E1E979" w:rsidR="005E752A" w:rsidRDefault="005E752A" w:rsidP="005E752A">
            <w:pPr>
              <w:pStyle w:val="TableText"/>
            </w:pPr>
          </w:p>
        </w:tc>
      </w:tr>
    </w:tbl>
    <w:p w14:paraId="128139A4" w14:textId="7E23DF67" w:rsidR="002B6A3F" w:rsidRDefault="002B6A3F" w:rsidP="002B6A3F">
      <w:r w:rsidRPr="00292E73">
        <w:t>Priority actions have</w:t>
      </w:r>
      <w:r w:rsidR="00C83948">
        <w:t xml:space="preserve"> </w:t>
      </w:r>
      <w:r w:rsidRPr="00292E73">
        <w:t>been developed to manage the threat particularly where the risk was deemed to be ‘very high’ or ‘high’. For those threats with an unknown or low risk outcome it may be more appropriate to identify further research or maintain a watching brief.</w:t>
      </w:r>
    </w:p>
    <w:p w14:paraId="028D1490" w14:textId="0CB2B00A" w:rsidR="002B6A3F" w:rsidRDefault="002B6A3F" w:rsidP="002B6A3F">
      <w:pPr>
        <w:pStyle w:val="Heading2"/>
        <w:ind w:left="720" w:hanging="720"/>
      </w:pPr>
      <w:r>
        <w:t xml:space="preserve">Conservation and recovery </w:t>
      </w:r>
      <w:r w:rsidRPr="002B6A3F">
        <w:t>actions</w:t>
      </w:r>
    </w:p>
    <w:p w14:paraId="795A8378" w14:textId="10462929" w:rsidR="002B6A3F" w:rsidRDefault="002B6A3F" w:rsidP="002B6A3F">
      <w:pPr>
        <w:pStyle w:val="Heading3"/>
        <w:ind w:left="964" w:hanging="964"/>
      </w:pPr>
      <w:r>
        <w:t>Primary conservation outcome</w:t>
      </w:r>
    </w:p>
    <w:p w14:paraId="7515A4B9" w14:textId="3B9F7729" w:rsidR="00292E73" w:rsidRDefault="004D2C69" w:rsidP="000D525D">
      <w:pPr>
        <w:pStyle w:val="ListBullet"/>
      </w:pPr>
      <w:r w:rsidRPr="004D2C69">
        <w:t>Stable or increasing populations observed across the range.</w:t>
      </w:r>
      <w:r>
        <w:t xml:space="preserve"> </w:t>
      </w:r>
    </w:p>
    <w:p w14:paraId="4E724F16" w14:textId="0FF64083" w:rsidR="002B6A3F" w:rsidRDefault="002B6A3F" w:rsidP="008A51E7">
      <w:pPr>
        <w:pStyle w:val="Heading3"/>
        <w:ind w:left="964" w:hanging="964"/>
      </w:pPr>
      <w:r>
        <w:t>Conservation and management priorities</w:t>
      </w:r>
    </w:p>
    <w:p w14:paraId="7E0A33E1" w14:textId="77777777" w:rsidR="005D1FC7" w:rsidRDefault="005D1FC7" w:rsidP="005D1FC7">
      <w:pPr>
        <w:pStyle w:val="Heading4"/>
        <w:ind w:left="964" w:hanging="964"/>
      </w:pPr>
      <w:r w:rsidRPr="00632C20">
        <w:t>Habitat loss and fragmentation</w:t>
      </w:r>
      <w:r w:rsidRPr="00311878">
        <w:t xml:space="preserve"> caused by clearing for agriculture</w:t>
      </w:r>
    </w:p>
    <w:p w14:paraId="00DF8619" w14:textId="2D864BBB" w:rsidR="008618C9" w:rsidRDefault="008618C9" w:rsidP="005D1FC7">
      <w:pPr>
        <w:pStyle w:val="ListBullet"/>
      </w:pPr>
      <w:r>
        <w:t>Cease all land clearing of habitat critical of the survival of Brown Treecreeper (south-eastern).</w:t>
      </w:r>
    </w:p>
    <w:p w14:paraId="25536E9A" w14:textId="77777777" w:rsidR="006A4B4A" w:rsidRDefault="006A4B4A" w:rsidP="006A4B4A">
      <w:pPr>
        <w:pStyle w:val="ListBullet"/>
      </w:pPr>
      <w:bookmarkStart w:id="25" w:name="_Hlk83219397"/>
      <w:r>
        <w:t>Undertake revegetation, using a diverse mix of locally appropriate native species, focussing on expanding and connecting areas of existing habitat</w:t>
      </w:r>
      <w:r w:rsidRPr="00F85831">
        <w:t xml:space="preserve"> </w:t>
      </w:r>
      <w:r>
        <w:t>or widening wildlife corridors wherever possible. Where appropriate:</w:t>
      </w:r>
    </w:p>
    <w:p w14:paraId="091766C2" w14:textId="77777777" w:rsidR="006A4B4A" w:rsidRDefault="006A4B4A" w:rsidP="006A4B4A">
      <w:pPr>
        <w:pStyle w:val="ListBullet2"/>
      </w:pPr>
      <w:r>
        <w:t>Replace cohorts of trees where they have been removed from the landscape, particularly in areas adjacent to and connecting woodland remnants.</w:t>
      </w:r>
    </w:p>
    <w:p w14:paraId="0CC6C2D2" w14:textId="77777777" w:rsidR="006A4B4A" w:rsidRDefault="006A4B4A" w:rsidP="006A4B4A">
      <w:pPr>
        <w:pStyle w:val="ListBullet2"/>
      </w:pPr>
      <w:r>
        <w:t xml:space="preserve">Establish new habitat patches in areas where native vegetation cover is lacking. </w:t>
      </w:r>
    </w:p>
    <w:p w14:paraId="570ED3CD" w14:textId="77777777" w:rsidR="006A4B4A" w:rsidRDefault="006A4B4A" w:rsidP="006A4B4A">
      <w:pPr>
        <w:pStyle w:val="ListBullet2"/>
      </w:pPr>
      <w:r>
        <w:t>Target the productive lower parts of the landscape, especially areas adjacent to streams, which may provide important drought refuges. To maximise these benefits, riparian plantings should be at least 50 m wide.</w:t>
      </w:r>
      <w:r w:rsidRPr="006A4B4A">
        <w:t xml:space="preserve"> </w:t>
      </w:r>
    </w:p>
    <w:p w14:paraId="6A5BB36D" w14:textId="77777777" w:rsidR="00E210A8" w:rsidRDefault="005D1FC7">
      <w:pPr>
        <w:pStyle w:val="ListBullet"/>
      </w:pPr>
      <w:bookmarkStart w:id="26" w:name="_Hlk83219428"/>
      <w:bookmarkEnd w:id="25"/>
      <w:r>
        <w:lastRenderedPageBreak/>
        <w:t>Promote ecological management and connectivity of woodland remnants on public and private land</w:t>
      </w:r>
      <w:r w:rsidR="00B36554">
        <w:t>.</w:t>
      </w:r>
      <w:r w:rsidR="00B85566">
        <w:t xml:space="preserve"> </w:t>
      </w:r>
      <w:bookmarkStart w:id="27" w:name="_Hlk68591565"/>
      <w:bookmarkEnd w:id="26"/>
    </w:p>
    <w:p w14:paraId="72A69032" w14:textId="5AFF426D" w:rsidR="005D1FC7" w:rsidRDefault="00F85831">
      <w:pPr>
        <w:pStyle w:val="ListBullet"/>
      </w:pPr>
      <w:r>
        <w:t>Ensure populations remain connected</w:t>
      </w:r>
      <w:r w:rsidR="00B85566">
        <w:t>.</w:t>
      </w:r>
      <w:r w:rsidR="00E956B7">
        <w:t xml:space="preserve"> </w:t>
      </w:r>
      <w:r>
        <w:t>Avoid</w:t>
      </w:r>
      <w:r w:rsidR="00B85566">
        <w:t xml:space="preserve"> gaps greater than 100 m between habitat patches and along linear remnants.</w:t>
      </w:r>
      <w:r w:rsidR="00E956B7">
        <w:t xml:space="preserve"> </w:t>
      </w:r>
      <w:r w:rsidR="00B85566">
        <w:t>Eliminate gaps through revegetation, either corridors or stepping stone plantings, focusing on important movement pathways.</w:t>
      </w:r>
    </w:p>
    <w:p w14:paraId="7AF6BBB5" w14:textId="77777777" w:rsidR="005D1FC7" w:rsidRPr="00EE4E28" w:rsidRDefault="005D1FC7" w:rsidP="005D1FC7">
      <w:pPr>
        <w:pStyle w:val="ListBullet"/>
      </w:pPr>
      <w:bookmarkStart w:id="28" w:name="_Hlk68591572"/>
      <w:bookmarkEnd w:id="27"/>
      <w:r w:rsidRPr="009C1F15">
        <w:t>Fenc</w:t>
      </w:r>
      <w:r>
        <w:t>e off</w:t>
      </w:r>
      <w:r w:rsidRPr="009C1F15">
        <w:t xml:space="preserve"> known habitat to protect natural features and to allow natural regeneration.</w:t>
      </w:r>
    </w:p>
    <w:bookmarkEnd w:id="28"/>
    <w:p w14:paraId="668BFE2C" w14:textId="6097640F" w:rsidR="005D1FC7" w:rsidRDefault="005D1FC7" w:rsidP="005D1FC7">
      <w:pPr>
        <w:pStyle w:val="ListBullet"/>
      </w:pPr>
      <w:r w:rsidRPr="000D525D">
        <w:t xml:space="preserve">Promote appropriate management of flow regimes in </w:t>
      </w:r>
      <w:r w:rsidRPr="0041723E">
        <w:t>floodplains</w:t>
      </w:r>
      <w:r>
        <w:t xml:space="preserve"> including initiatives to deliver water to icon sites on the Murray River, some of which may benefit this subspecies.</w:t>
      </w:r>
    </w:p>
    <w:p w14:paraId="7635BD70" w14:textId="10074C5B" w:rsidR="008E4F1F" w:rsidRDefault="008E4F1F" w:rsidP="008E4F1F">
      <w:pPr>
        <w:pStyle w:val="Heading4"/>
        <w:ind w:left="964" w:hanging="964"/>
      </w:pPr>
      <w:bookmarkStart w:id="29" w:name="_Hlk68618307"/>
      <w:bookmarkStart w:id="30" w:name="_Hlk68591593"/>
      <w:bookmarkStart w:id="31" w:name="_Hlk68618383"/>
      <w:r>
        <w:t xml:space="preserve">Habitat degradation caused by </w:t>
      </w:r>
      <w:r w:rsidR="00152BDD">
        <w:t xml:space="preserve">domestic </w:t>
      </w:r>
      <w:r w:rsidR="006C7BAC">
        <w:t>live</w:t>
      </w:r>
      <w:r w:rsidR="00152BDD">
        <w:t>stock</w:t>
      </w:r>
      <w:r>
        <w:t xml:space="preserve"> grazing</w:t>
      </w:r>
    </w:p>
    <w:bookmarkEnd w:id="29"/>
    <w:p w14:paraId="06B16B86" w14:textId="77777777" w:rsidR="008E4F1F" w:rsidRDefault="008E4F1F" w:rsidP="008E4F1F">
      <w:pPr>
        <w:pStyle w:val="ListBullet"/>
      </w:pPr>
      <w:r>
        <w:t>P</w:t>
      </w:r>
      <w:r w:rsidRPr="001578B6">
        <w:t>revent intensive grazing</w:t>
      </w:r>
      <w:r>
        <w:t xml:space="preserve"> in high value woodland habitats.</w:t>
      </w:r>
    </w:p>
    <w:p w14:paraId="7D1FA234" w14:textId="3CBF630E" w:rsidR="00A1580A" w:rsidRDefault="008E4F1F" w:rsidP="00A1580A">
      <w:pPr>
        <w:pStyle w:val="ListBullet"/>
      </w:pPr>
      <w:r w:rsidRPr="009C1F15">
        <w:t>Modify grazing management practices that will maintain or improve habitat values and still allow some grazing to occur at strategic times of the year.</w:t>
      </w:r>
      <w:r w:rsidR="006B72EA">
        <w:t xml:space="preserve">  </w:t>
      </w:r>
    </w:p>
    <w:p w14:paraId="5F76B4A4" w14:textId="5A1F9CB7" w:rsidR="008E4F1F" w:rsidRDefault="00A1580A" w:rsidP="00A1580A">
      <w:pPr>
        <w:pStyle w:val="ListBullet"/>
      </w:pPr>
      <w:r>
        <w:t>Protect and manage travelling</w:t>
      </w:r>
      <w:r w:rsidRPr="00A1580A">
        <w:t xml:space="preserve"> stock routes to prevent further loss of habitat (i.e. </w:t>
      </w:r>
      <w:r>
        <w:t>prevent</w:t>
      </w:r>
      <w:r w:rsidRPr="00A1580A">
        <w:t xml:space="preserve"> set-stocking and allocating resources so they are appropriately managed).</w:t>
      </w:r>
    </w:p>
    <w:p w14:paraId="261C9924" w14:textId="6C97B7C1" w:rsidR="00A446A3" w:rsidRDefault="00A446A3" w:rsidP="00A446A3">
      <w:pPr>
        <w:pStyle w:val="Heading4"/>
      </w:pPr>
      <w:r w:rsidRPr="00A446A3">
        <w:t>Conventional grazing practices</w:t>
      </w:r>
    </w:p>
    <w:p w14:paraId="43F04D8F" w14:textId="7D03893C" w:rsidR="00A446A3" w:rsidRDefault="0083212D" w:rsidP="00642605">
      <w:pPr>
        <w:pStyle w:val="ListBullet"/>
      </w:pPr>
      <w:r>
        <w:t xml:space="preserve">Apply low-input, fast rotational grazing, </w:t>
      </w:r>
      <w:r w:rsidR="00A446A3" w:rsidRPr="00ED4B1B">
        <w:t>characterized by prolonged rest periods in between short, intensive grazing events to promote regeneration.</w:t>
      </w:r>
    </w:p>
    <w:p w14:paraId="595925F1" w14:textId="77777777" w:rsidR="008E4F1F" w:rsidRDefault="008E4F1F" w:rsidP="008E4F1F">
      <w:pPr>
        <w:pStyle w:val="Heading4"/>
      </w:pPr>
      <w:bookmarkStart w:id="32" w:name="_Hlk68618349"/>
      <w:bookmarkEnd w:id="30"/>
      <w:bookmarkEnd w:id="31"/>
      <w:r w:rsidRPr="009A436A">
        <w:t>Noisy Miner territorial competition</w:t>
      </w:r>
    </w:p>
    <w:p w14:paraId="0D2288FF" w14:textId="77777777" w:rsidR="00B5259C" w:rsidRDefault="00CF6762" w:rsidP="00B5259C">
      <w:pPr>
        <w:pStyle w:val="ListBullet"/>
      </w:pPr>
      <w:r>
        <w:t xml:space="preserve">Measure the abundance and impact of </w:t>
      </w:r>
      <w:r w:rsidR="009A740F">
        <w:t>N</w:t>
      </w:r>
      <w:r>
        <w:t xml:space="preserve">oisy </w:t>
      </w:r>
      <w:r w:rsidR="009A740F">
        <w:t>M</w:t>
      </w:r>
      <w:r>
        <w:t>iners on subspecies populations and habitat, and implement appropriate management actions with demonstrated effectiveness to reduce the impacts of Noisy Miners if/where required. The preferred method for managing Noisy Minor impacts is through habitat modification (e.g. reduce the amount of edge and establish a structurally complex understorey).</w:t>
      </w:r>
      <w:bookmarkEnd w:id="32"/>
    </w:p>
    <w:p w14:paraId="03E47CFE" w14:textId="59103F75" w:rsidR="00AB3EB4" w:rsidRPr="00AB3EB4" w:rsidRDefault="00284D99" w:rsidP="00AB3EB4">
      <w:pPr>
        <w:pStyle w:val="ListBullet"/>
        <w:numPr>
          <w:ilvl w:val="0"/>
          <w:numId w:val="0"/>
        </w:numPr>
        <w:ind w:left="425" w:hanging="425"/>
      </w:pPr>
      <w:r>
        <w:rPr>
          <w:rFonts w:ascii="Calibri" w:eastAsia="Times New Roman" w:hAnsi="Calibri" w:cs="Times New Roman"/>
          <w:b/>
          <w:bCs/>
          <w:sz w:val="24"/>
          <w:szCs w:val="24"/>
        </w:rPr>
        <w:t>Altered</w:t>
      </w:r>
      <w:r w:rsidR="2ED07507" w:rsidRPr="16D679A8">
        <w:rPr>
          <w:rFonts w:ascii="Calibri" w:eastAsia="Times New Roman" w:hAnsi="Calibri" w:cs="Times New Roman"/>
          <w:b/>
          <w:bCs/>
          <w:sz w:val="24"/>
          <w:szCs w:val="24"/>
        </w:rPr>
        <w:t xml:space="preserve"> </w:t>
      </w:r>
      <w:r w:rsidR="00AB3EB4" w:rsidRPr="16D679A8">
        <w:rPr>
          <w:rFonts w:ascii="Calibri" w:eastAsia="Times New Roman" w:hAnsi="Calibri" w:cs="Times New Roman"/>
          <w:b/>
          <w:bCs/>
          <w:sz w:val="24"/>
          <w:szCs w:val="24"/>
        </w:rPr>
        <w:t>fire regimes</w:t>
      </w:r>
    </w:p>
    <w:p w14:paraId="0B16EF33" w14:textId="1233615C" w:rsidR="00311878" w:rsidRPr="00C83797" w:rsidRDefault="00311878" w:rsidP="00311878">
      <w:pPr>
        <w:pStyle w:val="ListBullet"/>
      </w:pPr>
      <w:r w:rsidRPr="00C83797">
        <w:t>Develop site-based fire management strateg</w:t>
      </w:r>
      <w:r>
        <w:t>ies</w:t>
      </w:r>
      <w:r w:rsidRPr="00C83797">
        <w:t xml:space="preserve"> with local authorities which consider the ecological needs of the subspecies.</w:t>
      </w:r>
    </w:p>
    <w:p w14:paraId="09E32F81" w14:textId="582AB9AC" w:rsidR="00311878" w:rsidRPr="00C83797" w:rsidRDefault="00311878" w:rsidP="00311878">
      <w:pPr>
        <w:pStyle w:val="ListBullet"/>
      </w:pPr>
      <w:r w:rsidRPr="00C83797">
        <w:t xml:space="preserve">Monitor bushfire-affected areas to assess the impact of wildfire on the subspecies and </w:t>
      </w:r>
      <w:r w:rsidR="0041723E">
        <w:t>its</w:t>
      </w:r>
      <w:r w:rsidR="0041723E" w:rsidRPr="00C83797">
        <w:t xml:space="preserve"> </w:t>
      </w:r>
      <w:r w:rsidRPr="00C83797">
        <w:t>habitats, and the capacity of the subspecies to recover from such events.</w:t>
      </w:r>
    </w:p>
    <w:p w14:paraId="41132C18" w14:textId="123B25E1" w:rsidR="009A436A" w:rsidRDefault="00311878" w:rsidP="009A436A">
      <w:pPr>
        <w:pStyle w:val="ListBullet"/>
      </w:pPr>
      <w:r w:rsidRPr="00C83797">
        <w:t>Actively manage the landscape to minimise the risk of very large</w:t>
      </w:r>
      <w:r w:rsidR="0041723E">
        <w:t>,</w:t>
      </w:r>
      <w:r w:rsidRPr="00C83797">
        <w:t xml:space="preserve"> high</w:t>
      </w:r>
      <w:r w:rsidR="0041723E">
        <w:t>-</w:t>
      </w:r>
      <w:r w:rsidRPr="00C83797">
        <w:t>intensity wildfires.</w:t>
      </w:r>
      <w:r w:rsidR="00CE24D1">
        <w:t xml:space="preserve">  </w:t>
      </w:r>
    </w:p>
    <w:p w14:paraId="0EF5DB30" w14:textId="77777777" w:rsidR="008E4F1F" w:rsidRPr="00311878" w:rsidRDefault="008E4F1F" w:rsidP="008E4F1F">
      <w:pPr>
        <w:pStyle w:val="ListBullet"/>
        <w:numPr>
          <w:ilvl w:val="0"/>
          <w:numId w:val="0"/>
        </w:numPr>
      </w:pPr>
      <w:r w:rsidRPr="00311878">
        <w:rPr>
          <w:rFonts w:ascii="Calibri" w:eastAsia="Times New Roman" w:hAnsi="Calibri" w:cs="Times New Roman"/>
          <w:b/>
          <w:bCs/>
          <w:sz w:val="24"/>
          <w:szCs w:val="24"/>
        </w:rPr>
        <w:t>Increased likelihood of extreme events (i.e., wildfire, heatwave, and drought)</w:t>
      </w:r>
    </w:p>
    <w:p w14:paraId="08E66887" w14:textId="27B75BB0" w:rsidR="008E4F1F" w:rsidRDefault="008E4F1F" w:rsidP="008E4F1F">
      <w:pPr>
        <w:pStyle w:val="ListBullet"/>
      </w:pPr>
      <w:r w:rsidRPr="00C83797">
        <w:t xml:space="preserve">Use climate modelling techniques to investigate the potential impact of climate change on the subspecies and </w:t>
      </w:r>
      <w:r>
        <w:t>its</w:t>
      </w:r>
      <w:r w:rsidRPr="00C83797">
        <w:t xml:space="preserve"> habitat critical for survival. </w:t>
      </w:r>
    </w:p>
    <w:p w14:paraId="70C56110" w14:textId="3B0817D5" w:rsidR="002B6A3F" w:rsidRDefault="002B6A3F" w:rsidP="009E7A91">
      <w:pPr>
        <w:pStyle w:val="Heading3"/>
        <w:ind w:left="964" w:hanging="964"/>
      </w:pPr>
      <w:r>
        <w:t>Stakeholder engagement/community engagement</w:t>
      </w:r>
    </w:p>
    <w:p w14:paraId="6098427B" w14:textId="4AE542C1" w:rsidR="00F85831" w:rsidRDefault="00F85831" w:rsidP="00DB0E41">
      <w:pPr>
        <w:pStyle w:val="ListBullet"/>
      </w:pPr>
      <w:bookmarkStart w:id="33" w:name="_Hlk83219310"/>
      <w:bookmarkStart w:id="34" w:name="_Hlk68618436"/>
      <w:r>
        <w:t>Raise awareness among landholders in area</w:t>
      </w:r>
      <w:r w:rsidR="00B5259C">
        <w:t>s</w:t>
      </w:r>
      <w:r>
        <w:t xml:space="preserve"> known to have important habitat for the subspecies, to engage them in proactive management and monitoring of the subspecies' population on their land.</w:t>
      </w:r>
    </w:p>
    <w:bookmarkEnd w:id="33"/>
    <w:p w14:paraId="50C2A8BA" w14:textId="4FABBD14" w:rsidR="00ED4B1B" w:rsidRDefault="00F85831" w:rsidP="00ED4B1B">
      <w:pPr>
        <w:pStyle w:val="ListBullet"/>
      </w:pPr>
      <w:r>
        <w:t>Raise public awareness of the damage caused to wildlife habitat by slashing</w:t>
      </w:r>
      <w:r w:rsidR="00B36554">
        <w:t xml:space="preserve">, </w:t>
      </w:r>
      <w:r>
        <w:t>under</w:t>
      </w:r>
      <w:r w:rsidR="00DC3FBB">
        <w:t>-</w:t>
      </w:r>
      <w:r>
        <w:t>scrubbing, over-grazing, and frequent fuel reduction burns.</w:t>
      </w:r>
      <w:r w:rsidRPr="008349ED">
        <w:t xml:space="preserve"> </w:t>
      </w:r>
    </w:p>
    <w:p w14:paraId="77A729AB" w14:textId="1A726094" w:rsidR="00171C0B" w:rsidRDefault="00171C0B" w:rsidP="00F85831">
      <w:pPr>
        <w:pStyle w:val="ListBullet"/>
      </w:pPr>
      <w:r w:rsidRPr="008349ED">
        <w:lastRenderedPageBreak/>
        <w:t>Target in-perpetuity covenants or stewardship agreements to landholders with high quality remnant woodland habitat.</w:t>
      </w:r>
    </w:p>
    <w:p w14:paraId="62F68792" w14:textId="77777777" w:rsidR="00171C0B" w:rsidRDefault="00171C0B" w:rsidP="00171C0B">
      <w:pPr>
        <w:pStyle w:val="ListBullet"/>
      </w:pPr>
      <w:r>
        <w:t>Support community education programs to achieve regional conservation outcomes.</w:t>
      </w:r>
    </w:p>
    <w:p w14:paraId="5F299394" w14:textId="0A817E96" w:rsidR="002B6A3F" w:rsidRDefault="008349ED" w:rsidP="009E7A91">
      <w:pPr>
        <w:pStyle w:val="ListBullet"/>
      </w:pPr>
      <w:r w:rsidRPr="008349ED">
        <w:t xml:space="preserve">Raise public awareness of the importance of large old trees (particularly isolated paddock trees and hollow-bearing trees, live and dead) and </w:t>
      </w:r>
      <w:r w:rsidR="000A2D7C" w:rsidRPr="008349ED">
        <w:t>undertak</w:t>
      </w:r>
      <w:r w:rsidR="000A2D7C">
        <w:t>e</w:t>
      </w:r>
      <w:r w:rsidR="000A2D7C" w:rsidRPr="008349ED">
        <w:t xml:space="preserve"> </w:t>
      </w:r>
      <w:r w:rsidRPr="008349ED">
        <w:t>restoration and revegetation</w:t>
      </w:r>
      <w:r w:rsidR="000A2D7C">
        <w:t xml:space="preserve"> activities</w:t>
      </w:r>
      <w:r w:rsidRPr="008349ED">
        <w:t xml:space="preserve"> to replace cohorts of trees where they have been removed from the landscape, particularly in areas adjacent to and connecting woodland remnants.</w:t>
      </w:r>
    </w:p>
    <w:p w14:paraId="6092A02D" w14:textId="2C1F28BE" w:rsidR="00452EBD" w:rsidRDefault="00F85831" w:rsidP="00DB0E41">
      <w:pPr>
        <w:pStyle w:val="ListBullet"/>
      </w:pPr>
      <w:r w:rsidRPr="00F85831">
        <w:t>Encourage the retention of woody ground debris</w:t>
      </w:r>
      <w:r w:rsidR="00452EBD">
        <w:t>:</w:t>
      </w:r>
    </w:p>
    <w:p w14:paraId="5E9B7993" w14:textId="5FC9ECE9" w:rsidR="00452EBD" w:rsidRDefault="008349ED" w:rsidP="00452EBD">
      <w:pPr>
        <w:pStyle w:val="ListBullet2"/>
      </w:pPr>
      <w:r w:rsidRPr="008349ED">
        <w:t xml:space="preserve">Raise public awareness of the damage caused to </w:t>
      </w:r>
      <w:r w:rsidR="00403001">
        <w:t xml:space="preserve">native </w:t>
      </w:r>
      <w:r w:rsidRPr="008349ED">
        <w:t xml:space="preserve">wildlife habitat by </w:t>
      </w:r>
      <w:r w:rsidR="00403001">
        <w:t xml:space="preserve">firewood collection, cleaning up, </w:t>
      </w:r>
      <w:r w:rsidRPr="008349ED">
        <w:t>over-grazing, and frequent fuel reduction burns.</w:t>
      </w:r>
      <w:r w:rsidR="00F85831">
        <w:t xml:space="preserve"> </w:t>
      </w:r>
    </w:p>
    <w:p w14:paraId="36ABAB67" w14:textId="3FE56689" w:rsidR="008349ED" w:rsidRDefault="00F85831" w:rsidP="00452EBD">
      <w:pPr>
        <w:pStyle w:val="ListBullet2"/>
      </w:pPr>
      <w:r>
        <w:t>Promote the retention of large old trees that have the potential to contribute woody ground debris via the shedding of limbs.</w:t>
      </w:r>
    </w:p>
    <w:bookmarkEnd w:id="34"/>
    <w:p w14:paraId="6C099707" w14:textId="79360C10" w:rsidR="00171C0B" w:rsidRDefault="00171C0B" w:rsidP="00403001">
      <w:pPr>
        <w:pStyle w:val="ListBullet"/>
      </w:pPr>
      <w:r>
        <w:t>Encourage responsible pet ownership, e.g., keeping cats indoors</w:t>
      </w:r>
      <w:r w:rsidR="0E3522D1">
        <w:t xml:space="preserve"> or contained within secure outdoor areas</w:t>
      </w:r>
      <w:r>
        <w:t>.</w:t>
      </w:r>
    </w:p>
    <w:p w14:paraId="590F7CD7" w14:textId="49D19B28" w:rsidR="002B6A3F" w:rsidRDefault="002B6A3F" w:rsidP="009E7A91">
      <w:pPr>
        <w:pStyle w:val="Heading3"/>
        <w:ind w:left="964" w:hanging="964"/>
      </w:pPr>
      <w:r>
        <w:t xml:space="preserve">Survey and </w:t>
      </w:r>
      <w:r w:rsidR="009F08D5">
        <w:t>m</w:t>
      </w:r>
      <w:r>
        <w:t>onitoring priorities</w:t>
      </w:r>
    </w:p>
    <w:p w14:paraId="10D5EFA4" w14:textId="3B345B14" w:rsidR="0097684A" w:rsidRDefault="00403001" w:rsidP="0097684A">
      <w:pPr>
        <w:pStyle w:val="ListBullet"/>
      </w:pPr>
      <w:bookmarkStart w:id="35" w:name="_Hlk68618451"/>
      <w:bookmarkStart w:id="36" w:name="_Hlk68591684"/>
      <w:r>
        <w:t>Monitor long term trends and status of the subspecies.</w:t>
      </w:r>
    </w:p>
    <w:bookmarkEnd w:id="35"/>
    <w:p w14:paraId="5B50EE4A" w14:textId="79129528" w:rsidR="009A436A" w:rsidRDefault="00166D6F" w:rsidP="009A436A">
      <w:pPr>
        <w:pStyle w:val="ListBullet"/>
      </w:pPr>
      <w:r>
        <w:t xml:space="preserve">Monitor </w:t>
      </w:r>
      <w:r w:rsidR="009A436A" w:rsidRPr="009A436A">
        <w:t>the effectiveness of management actions and trends in local populations</w:t>
      </w:r>
      <w:r>
        <w:t xml:space="preserve"> regularly</w:t>
      </w:r>
      <w:r w:rsidR="009A436A" w:rsidRPr="009A436A">
        <w:t xml:space="preserve">. Any site-based management </w:t>
      </w:r>
      <w:r w:rsidR="00B5259C">
        <w:t>should</w:t>
      </w:r>
      <w:r w:rsidR="009A436A" w:rsidRPr="009A436A">
        <w:t xml:space="preserve"> be adapted, added or removed over time in response to monitoring results.</w:t>
      </w:r>
    </w:p>
    <w:bookmarkEnd w:id="36"/>
    <w:p w14:paraId="0C826ACD" w14:textId="2588799C" w:rsidR="002B6A3F" w:rsidRDefault="002B6A3F" w:rsidP="00403001">
      <w:pPr>
        <w:pStyle w:val="Heading3"/>
      </w:pPr>
      <w:r>
        <w:t xml:space="preserve">Information and </w:t>
      </w:r>
      <w:r w:rsidR="009F08D5">
        <w:t>r</w:t>
      </w:r>
      <w:r>
        <w:t>esearch priorities</w:t>
      </w:r>
    </w:p>
    <w:p w14:paraId="095B0B3C" w14:textId="77777777" w:rsidR="00FE54D7" w:rsidRDefault="00FE54D7" w:rsidP="00FE54D7">
      <w:pPr>
        <w:pStyle w:val="ListBullet"/>
      </w:pPr>
      <w:r>
        <w:t>Determine population densities and trends in all parts of the range.</w:t>
      </w:r>
    </w:p>
    <w:p w14:paraId="75B2F169" w14:textId="4D04064C" w:rsidR="00FE54D7" w:rsidRDefault="00FE54D7" w:rsidP="00FE54D7">
      <w:pPr>
        <w:pStyle w:val="ListBullet"/>
      </w:pPr>
      <w:r>
        <w:t>Continue research into the ecology and conservation requirements of the subspecies, including the identification of key habitats and potential habitats.</w:t>
      </w:r>
    </w:p>
    <w:p w14:paraId="2924041E" w14:textId="6394B604" w:rsidR="00FE54D7" w:rsidRDefault="7BF1A718" w:rsidP="00FE54D7">
      <w:pPr>
        <w:pStyle w:val="ListBullet"/>
      </w:pPr>
      <w:r>
        <w:t>Identify fire regimes appropriate to the species’ habitat requirements.</w:t>
      </w:r>
    </w:p>
    <w:p w14:paraId="0E911BD2" w14:textId="4E7564E1" w:rsidR="000D525D" w:rsidRDefault="00403001" w:rsidP="000D525D">
      <w:pPr>
        <w:pStyle w:val="ListBullet"/>
      </w:pPr>
      <w:r>
        <w:t>Determine</w:t>
      </w:r>
      <w:r w:rsidR="000D525D">
        <w:t xml:space="preserve"> habitat conditions needed for successful reintroduction.</w:t>
      </w:r>
    </w:p>
    <w:p w14:paraId="22C4C9AB" w14:textId="3E52A962" w:rsidR="00B85566" w:rsidRDefault="00B85566" w:rsidP="00B85566">
      <w:pPr>
        <w:pStyle w:val="ListBullet"/>
      </w:pPr>
      <w:r>
        <w:t>Identify different practical methods for restoring the structure and function of the ground layer in degraded habitat, including soil biota and its functionality.</w:t>
      </w:r>
    </w:p>
    <w:p w14:paraId="3CB4970D" w14:textId="47BC6D95" w:rsidR="000D525D" w:rsidRDefault="000D525D" w:rsidP="000D525D">
      <w:pPr>
        <w:pStyle w:val="ListBullet"/>
      </w:pPr>
      <w:r>
        <w:t xml:space="preserve">Investigate appropriate management interventions for isolated subpopulations, including </w:t>
      </w:r>
      <w:r w:rsidR="008A1CB1">
        <w:t>translocation of birds</w:t>
      </w:r>
      <w:r>
        <w:t xml:space="preserve"> between fragments.</w:t>
      </w:r>
    </w:p>
    <w:p w14:paraId="77139DF8" w14:textId="4E99C737" w:rsidR="000D525D" w:rsidRDefault="008A1CB1" w:rsidP="000D525D">
      <w:pPr>
        <w:pStyle w:val="ListBullet"/>
      </w:pPr>
      <w:r>
        <w:t>Assess the sustainable levels of firewood collection from areas of habitat occupied by the subspecies.</w:t>
      </w:r>
    </w:p>
    <w:p w14:paraId="0A70E2D0" w14:textId="730A56E4" w:rsidR="000D525D" w:rsidRDefault="000D525D" w:rsidP="000D525D">
      <w:pPr>
        <w:pStyle w:val="ListBullet"/>
      </w:pPr>
      <w:r>
        <w:t>Assess effects of water management on populations of this and other species in floodplain woodlands, including competitors such as Noisy Miners.</w:t>
      </w:r>
    </w:p>
    <w:p w14:paraId="6EB45A1E" w14:textId="7C7C63A4" w:rsidR="00D65075" w:rsidRDefault="00D65075" w:rsidP="000D525D">
      <w:pPr>
        <w:pStyle w:val="ListBullet"/>
      </w:pPr>
      <w:r>
        <w:t>Determine the current consequences of isolated subpopulation and habitat fragmentation on the subspecies.</w:t>
      </w:r>
    </w:p>
    <w:p w14:paraId="4B07828A" w14:textId="58F123B4" w:rsidR="00D65075" w:rsidRDefault="00B85566" w:rsidP="00D65075">
      <w:pPr>
        <w:pStyle w:val="ListBullet"/>
      </w:pPr>
      <w:r>
        <w:t>Continue to a</w:t>
      </w:r>
      <w:r w:rsidR="00D65075">
        <w:t>ssess the impact</w:t>
      </w:r>
      <w:r w:rsidR="00D65075" w:rsidRPr="009C1F15">
        <w:t xml:space="preserve"> of </w:t>
      </w:r>
      <w:r w:rsidR="00D65075">
        <w:t>N</w:t>
      </w:r>
      <w:r w:rsidR="00D65075" w:rsidRPr="009C1F15">
        <w:t xml:space="preserve">oisy </w:t>
      </w:r>
      <w:r w:rsidR="00D65075">
        <w:t>M</w:t>
      </w:r>
      <w:r w:rsidR="00D65075" w:rsidRPr="009C1F15">
        <w:t xml:space="preserve">iners on </w:t>
      </w:r>
      <w:r w:rsidR="00D65075">
        <w:t>sub</w:t>
      </w:r>
      <w:r w:rsidR="00D65075" w:rsidRPr="009C1F15">
        <w:t>species</w:t>
      </w:r>
      <w:r w:rsidR="00D65075">
        <w:t>’</w:t>
      </w:r>
      <w:r w:rsidR="00D65075" w:rsidRPr="009C1F15">
        <w:t xml:space="preserve"> populations and habitat, and </w:t>
      </w:r>
      <w:r w:rsidR="00D65075">
        <w:t xml:space="preserve">determine </w:t>
      </w:r>
      <w:r w:rsidR="00D65075" w:rsidRPr="009C1F15">
        <w:t xml:space="preserve">appropriate management actions with demonstrated effectiveness to reduce the impacts of </w:t>
      </w:r>
      <w:r w:rsidR="00D65075">
        <w:t>N</w:t>
      </w:r>
      <w:r w:rsidR="00D65075" w:rsidRPr="009C1F15">
        <w:t xml:space="preserve">oisy </w:t>
      </w:r>
      <w:r w:rsidR="00D65075">
        <w:t>M</w:t>
      </w:r>
      <w:r w:rsidR="00D65075" w:rsidRPr="009C1F15">
        <w:t xml:space="preserve">iners if/where required. </w:t>
      </w:r>
    </w:p>
    <w:p w14:paraId="60E74C8F" w14:textId="5B17914A" w:rsidR="00D65075" w:rsidRDefault="00863651" w:rsidP="00B85566">
      <w:pPr>
        <w:pStyle w:val="ListBullet"/>
      </w:pPr>
      <w:r>
        <w:lastRenderedPageBreak/>
        <w:t>Determine</w:t>
      </w:r>
      <w:r w:rsidR="00D65075">
        <w:t xml:space="preserve"> where hollows are limiting and develop strategies to increase hollow availability</w:t>
      </w:r>
      <w:r w:rsidR="00B85566">
        <w:t xml:space="preserve"> that have clear objectives and include monitoring, maintenance, and reporting requirements</w:t>
      </w:r>
      <w:r w:rsidR="00D65075">
        <w:t>. Possible actions include:</w:t>
      </w:r>
    </w:p>
    <w:p w14:paraId="2470E42A" w14:textId="77777777" w:rsidR="00D65075" w:rsidRDefault="00D65075" w:rsidP="00D65075">
      <w:pPr>
        <w:pStyle w:val="ListBullet2"/>
      </w:pPr>
      <w:r w:rsidRPr="009C1F15">
        <w:t xml:space="preserve">nest box installation, </w:t>
      </w:r>
    </w:p>
    <w:p w14:paraId="19EDED69" w14:textId="77777777" w:rsidR="00D65075" w:rsidRDefault="00D65075" w:rsidP="00D65075">
      <w:pPr>
        <w:pStyle w:val="ListBullet2"/>
      </w:pPr>
      <w:r w:rsidRPr="009C1F15">
        <w:t xml:space="preserve">the humane control of introduced species, and </w:t>
      </w:r>
    </w:p>
    <w:p w14:paraId="1CFB7072" w14:textId="46B2383C" w:rsidR="00D65075" w:rsidRDefault="00D65075" w:rsidP="00D65075">
      <w:pPr>
        <w:pStyle w:val="ListBullet2"/>
      </w:pPr>
      <w:r w:rsidRPr="009C1F15">
        <w:t>the protection of trees having the potential to develop hollows.</w:t>
      </w:r>
    </w:p>
    <w:p w14:paraId="77BD13D8" w14:textId="77777777" w:rsidR="007462AA" w:rsidRDefault="007462AA" w:rsidP="007462AA">
      <w:pPr>
        <w:pStyle w:val="Heading3"/>
        <w:ind w:left="964" w:hanging="964"/>
      </w:pPr>
      <w:r>
        <w:t>Recovery plan decision</w:t>
      </w:r>
    </w:p>
    <w:p w14:paraId="15DDC436" w14:textId="7F4E254C" w:rsidR="007462AA" w:rsidRPr="007462AA" w:rsidRDefault="007462AA" w:rsidP="007462AA">
      <w:pPr>
        <w:keepNext/>
        <w:rPr>
          <w:rFonts w:cs="Calibri"/>
        </w:rPr>
      </w:pPr>
      <w:r>
        <w:t xml:space="preserve">A decision about whether there should be a recovery plan for this species has not yet been determined. The purpose of this consultation document is to elicit additional information to help inform this decision. </w:t>
      </w:r>
    </w:p>
    <w:p w14:paraId="0C86BE97" w14:textId="601EBA4B" w:rsidR="002B6A3F" w:rsidRDefault="002B6A3F" w:rsidP="00CC062B">
      <w:pPr>
        <w:pStyle w:val="Heading2"/>
        <w:ind w:left="720" w:hanging="720"/>
      </w:pPr>
      <w:r>
        <w:t>Links to relevant implementation documents</w:t>
      </w:r>
    </w:p>
    <w:p w14:paraId="0DEA1CAB" w14:textId="7B8B6833" w:rsidR="00CC3164" w:rsidRDefault="001E1F5E" w:rsidP="000D525D">
      <w:pPr>
        <w:pStyle w:val="ListBullet"/>
      </w:pPr>
      <w:hyperlink r:id="rId28" w:history="1">
        <w:r w:rsidR="00CC3164" w:rsidRPr="00CC3164">
          <w:rPr>
            <w:rStyle w:val="Hyperlink"/>
          </w:rPr>
          <w:t>Threat abatement plan for predation by European red fox</w:t>
        </w:r>
      </w:hyperlink>
      <w:r w:rsidR="00CC3164">
        <w:t xml:space="preserve"> (Commonwealth of Australia 2008b).</w:t>
      </w:r>
    </w:p>
    <w:p w14:paraId="329787DE" w14:textId="22FE3954" w:rsidR="000D525D" w:rsidRPr="00887B29" w:rsidRDefault="001E1F5E" w:rsidP="000D525D">
      <w:pPr>
        <w:pStyle w:val="ListBullet"/>
      </w:pPr>
      <w:hyperlink r:id="rId29" w:history="1">
        <w:r w:rsidR="000D525D" w:rsidRPr="00887B29">
          <w:rPr>
            <w:rStyle w:val="Hyperlink"/>
          </w:rPr>
          <w:t>Threat</w:t>
        </w:r>
        <w:r w:rsidR="00CD5C21">
          <w:rPr>
            <w:rStyle w:val="Hyperlink"/>
          </w:rPr>
          <w:t xml:space="preserve"> </w:t>
        </w:r>
        <w:r w:rsidR="002B264C">
          <w:rPr>
            <w:rStyle w:val="Hyperlink"/>
          </w:rPr>
          <w:t>a</w:t>
        </w:r>
        <w:r w:rsidR="000D525D" w:rsidRPr="00887B29">
          <w:rPr>
            <w:rStyle w:val="Hyperlink"/>
          </w:rPr>
          <w:t xml:space="preserve">batement </w:t>
        </w:r>
        <w:r w:rsidR="002B264C">
          <w:rPr>
            <w:rStyle w:val="Hyperlink"/>
          </w:rPr>
          <w:t>p</w:t>
        </w:r>
        <w:r w:rsidR="000D525D" w:rsidRPr="00887B29">
          <w:rPr>
            <w:rStyle w:val="Hyperlink"/>
          </w:rPr>
          <w:t>lan for predation by feral cats</w:t>
        </w:r>
      </w:hyperlink>
      <w:r w:rsidR="000D525D" w:rsidRPr="00887B29">
        <w:t xml:space="preserve"> (Commonwealth of Australia 2015b).</w:t>
      </w:r>
    </w:p>
    <w:bookmarkStart w:id="37" w:name="_Hlk68618584"/>
    <w:p w14:paraId="21C4809F" w14:textId="5B2234EB" w:rsidR="00966DC8" w:rsidRPr="007E029B" w:rsidRDefault="001A24FE" w:rsidP="00966DC8">
      <w:pPr>
        <w:pStyle w:val="ListBullet"/>
        <w:rPr>
          <w:b/>
          <w:bCs/>
          <w:u w:val="single"/>
          <w:lang w:val="en-US" w:eastAsia="en-AU"/>
        </w:rPr>
      </w:pPr>
      <w:r>
        <w:fldChar w:fldCharType="begin"/>
      </w:r>
      <w:r>
        <w:instrText xml:space="preserve"> HYPERLINK "http://www.environment.gov.au/system/files/resources/bf9352c2-35ae-4a80-8828-96de630731a9/files/tap-rabbit-background-2016.pdf" </w:instrText>
      </w:r>
      <w:r>
        <w:fldChar w:fldCharType="separate"/>
      </w:r>
      <w:r w:rsidR="00966DC8" w:rsidRPr="007E029B">
        <w:rPr>
          <w:rStyle w:val="Hyperlink"/>
        </w:rPr>
        <w:t>Threat abatement plan for competition and land degradation by rabbits</w:t>
      </w:r>
      <w:r>
        <w:rPr>
          <w:rStyle w:val="Hyperlink"/>
        </w:rPr>
        <w:fldChar w:fldCharType="end"/>
      </w:r>
      <w:r w:rsidR="00A46573" w:rsidRPr="00A46573">
        <w:rPr>
          <w:rStyle w:val="Hyperlink"/>
          <w:u w:val="none"/>
        </w:rPr>
        <w:t xml:space="preserve"> </w:t>
      </w:r>
      <w:r w:rsidR="00966DC8">
        <w:rPr>
          <w:color w:val="000000"/>
          <w:lang w:val="en-US"/>
        </w:rPr>
        <w:t>(Commonwealth of Australia 2016b).</w:t>
      </w:r>
    </w:p>
    <w:p w14:paraId="1C4CA276" w14:textId="45A625BB" w:rsidR="00966DC8" w:rsidRPr="00887B29" w:rsidRDefault="001E1F5E" w:rsidP="00966DC8">
      <w:pPr>
        <w:pStyle w:val="ListBullet"/>
      </w:pPr>
      <w:hyperlink r:id="rId30" w:history="1">
        <w:r w:rsidR="00966DC8" w:rsidRPr="00CD5C21">
          <w:rPr>
            <w:rStyle w:val="Hyperlink"/>
          </w:rPr>
          <w:t xml:space="preserve">Listing </w:t>
        </w:r>
        <w:r w:rsidR="00966DC8">
          <w:rPr>
            <w:rStyle w:val="Hyperlink"/>
          </w:rPr>
          <w:t>a</w:t>
        </w:r>
        <w:r w:rsidR="00966DC8" w:rsidRPr="00CD5C21">
          <w:rPr>
            <w:rStyle w:val="Hyperlink"/>
          </w:rPr>
          <w:t>ssessment for aggressive exclusion of birds from potential woodland and forest habitat by over-abundant noisy miners (</w:t>
        </w:r>
        <w:r w:rsidR="00966DC8" w:rsidRPr="00CD5C21">
          <w:rPr>
            <w:rStyle w:val="Hyperlink"/>
            <w:i/>
            <w:iCs/>
          </w:rPr>
          <w:t>Manorina melanocephala</w:t>
        </w:r>
        <w:r w:rsidR="00966DC8" w:rsidRPr="00CD5C21">
          <w:rPr>
            <w:rStyle w:val="Hyperlink"/>
          </w:rPr>
          <w:t>)</w:t>
        </w:r>
      </w:hyperlink>
      <w:r w:rsidR="00B34362">
        <w:t xml:space="preserve"> (Commonwealth of Australia 2014).</w:t>
      </w:r>
    </w:p>
    <w:p w14:paraId="73D1F254" w14:textId="2D136F50" w:rsidR="00726F67" w:rsidRDefault="001E1F5E" w:rsidP="00726F67">
      <w:pPr>
        <w:pStyle w:val="ListBullet"/>
      </w:pPr>
      <w:hyperlink r:id="rId31" w:history="1">
        <w:r w:rsidR="001C094D" w:rsidRPr="001C094D">
          <w:rPr>
            <w:rStyle w:val="Hyperlink"/>
          </w:rPr>
          <w:t>Removal of dead wood as a key threatening process</w:t>
        </w:r>
      </w:hyperlink>
      <w:r w:rsidR="001C094D">
        <w:t xml:space="preserve"> (NSW National Parks and Wildlife Service 2003)</w:t>
      </w:r>
      <w:r w:rsidR="00827E08">
        <w:t>.</w:t>
      </w:r>
    </w:p>
    <w:bookmarkEnd w:id="37"/>
    <w:p w14:paraId="470BE008" w14:textId="43014F13" w:rsidR="009E13C2" w:rsidRPr="009E13C2" w:rsidRDefault="002319AB" w:rsidP="00966DC8">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2"/>
      <w:bookmarkEnd w:id="23"/>
      <w:r w:rsidR="0012461E">
        <w:t>L</w:t>
      </w:r>
      <w:r>
        <w:t xml:space="preserve">isting </w:t>
      </w:r>
      <w:r w:rsidR="0012461E">
        <w:t>A</w:t>
      </w:r>
      <w:r>
        <w:t>ssessment references</w:t>
      </w:r>
    </w:p>
    <w:p w14:paraId="70688F37" w14:textId="76C23C29" w:rsidR="00944A89" w:rsidRDefault="00944A89" w:rsidP="00944A89">
      <w:r>
        <w:t>Amos JN, Harrisson KA, Radford JQ, White M, Newell G, Nally RM, Sunnucks P</w:t>
      </w:r>
      <w:r w:rsidR="000A2D7C">
        <w:t xml:space="preserve"> &amp; </w:t>
      </w:r>
      <w:r>
        <w:t xml:space="preserve">Pavlova A (2014) Species‐and sex‐specific connectivity effects of habitat fragmentation in a suite of woodland birds. </w:t>
      </w:r>
      <w:r w:rsidRPr="00944A89">
        <w:rPr>
          <w:i/>
          <w:iCs/>
        </w:rPr>
        <w:t>Ecology</w:t>
      </w:r>
      <w:r>
        <w:t xml:space="preserve"> 95, 1556–1568.</w:t>
      </w:r>
    </w:p>
    <w:p w14:paraId="6D930B69" w14:textId="77777777" w:rsidR="00944A89" w:rsidRDefault="00944A89" w:rsidP="00944A89">
      <w:r>
        <w:t xml:space="preserve">ANZECC (Australian and New Zealand Environment and Conservation Council) (2001) </w:t>
      </w:r>
      <w:r w:rsidRPr="001C094D">
        <w:rPr>
          <w:i/>
          <w:iCs/>
        </w:rPr>
        <w:t>Review of the National Strategy for the Conservation of Australia's Biological Diversity</w:t>
      </w:r>
      <w:r>
        <w:t>. Environment Australia, Canberra.</w:t>
      </w:r>
    </w:p>
    <w:p w14:paraId="3AD08AAC" w14:textId="32D14C80" w:rsidR="00944A89" w:rsidRDefault="00944A89" w:rsidP="00944A89">
      <w:r>
        <w:t xml:space="preserve">Barrett GW, Silcocks AF &amp; Cunningham R (2002) </w:t>
      </w:r>
      <w:r w:rsidRPr="00944A89">
        <w:rPr>
          <w:i/>
          <w:iCs/>
        </w:rPr>
        <w:t>Australian Bird Atlas (1998–2001) Supplementary Report No. 1 – Comparison of Atlas 1 (1977–1981) and Atlas 2 (1998–2001).</w:t>
      </w:r>
      <w:r>
        <w:t xml:space="preserve"> Report to the Natural Heritage Trust, Canberra.</w:t>
      </w:r>
    </w:p>
    <w:p w14:paraId="4A609FC7" w14:textId="7A2325A7" w:rsidR="00944A89" w:rsidRDefault="00944A89" w:rsidP="00944A89">
      <w:r>
        <w:t xml:space="preserve">Bennett VA, Doerr VA, Doerr ED, Manning AD, Lindenmayer DB &amp; Yoon HJ (2013) Causes of reintroduction failure of the brown treecreeper: Implications for ecosystem restoration. </w:t>
      </w:r>
      <w:r w:rsidRPr="00944A89">
        <w:rPr>
          <w:i/>
          <w:iCs/>
        </w:rPr>
        <w:t>Austral Ecology</w:t>
      </w:r>
      <w:r>
        <w:t xml:space="preserve"> 38, 700–712.</w:t>
      </w:r>
    </w:p>
    <w:p w14:paraId="2A7FC6DB" w14:textId="22709BB9" w:rsidR="00944A89" w:rsidRDefault="00944A89" w:rsidP="00944A89">
      <w:r>
        <w:t>Bird JP, Martin R, Akçakaya HR, Gilroy J, Burfield IJ, Garnett ST, Symes A, Taylor J, Şekercioğlu ÇH</w:t>
      </w:r>
      <w:r w:rsidR="000A2D7C">
        <w:t xml:space="preserve"> &amp; </w:t>
      </w:r>
      <w:r>
        <w:t xml:space="preserve">Butchart SHM (2020) Generation lengths of the world's birds and their implications for extinction risk. </w:t>
      </w:r>
      <w:r w:rsidRPr="00944A89">
        <w:rPr>
          <w:i/>
          <w:iCs/>
        </w:rPr>
        <w:t xml:space="preserve">Conservation Biology </w:t>
      </w:r>
      <w:r>
        <w:t>34, 1252–1261.</w:t>
      </w:r>
    </w:p>
    <w:p w14:paraId="59DF3242" w14:textId="48333C11" w:rsidR="00307A7D" w:rsidRDefault="00307A7D" w:rsidP="00944A89">
      <w:r w:rsidRPr="00307A7D">
        <w:lastRenderedPageBreak/>
        <w:t xml:space="preserve">Bradshaw C (2012) Little left to lose: Deforestation and forest degradation in Australia since European colonization. </w:t>
      </w:r>
      <w:r w:rsidRPr="00AF1302">
        <w:rPr>
          <w:i/>
          <w:iCs/>
        </w:rPr>
        <w:t>Journal of Plant Ecology</w:t>
      </w:r>
      <w:r w:rsidRPr="00307A7D">
        <w:t xml:space="preserve"> 5</w:t>
      </w:r>
      <w:r w:rsidR="00AF1302">
        <w:t>,</w:t>
      </w:r>
      <w:r w:rsidRPr="00307A7D">
        <w:t xml:space="preserve"> 109</w:t>
      </w:r>
      <w:r w:rsidR="00AF1302">
        <w:t>–</w:t>
      </w:r>
      <w:r w:rsidRPr="00307A7D">
        <w:t xml:space="preserve">120. </w:t>
      </w:r>
    </w:p>
    <w:p w14:paraId="7094360F" w14:textId="1EF555D5" w:rsidR="004B1CD8" w:rsidRPr="004B1CD8" w:rsidRDefault="004B1CD8" w:rsidP="00944A89">
      <w:pPr>
        <w:rPr>
          <w:lang w:val="en-US" w:eastAsia="ja-JP"/>
        </w:rPr>
      </w:pPr>
      <w:r w:rsidRPr="00F84263">
        <w:rPr>
          <w:lang w:val="en-US" w:eastAsia="ja-JP"/>
        </w:rPr>
        <w:t>BOM (Bureau of Meteorology) &amp; CSIRO (Commonwealth Scientific and Industrial Research Organisation) (20</w:t>
      </w:r>
      <w:r>
        <w:rPr>
          <w:lang w:val="en-US" w:eastAsia="ja-JP"/>
        </w:rPr>
        <w:t>20</w:t>
      </w:r>
      <w:r w:rsidRPr="00F84263">
        <w:rPr>
          <w:lang w:val="en-US" w:eastAsia="ja-JP"/>
        </w:rPr>
        <w:t xml:space="preserve">) </w:t>
      </w:r>
      <w:r w:rsidRPr="00F84263">
        <w:rPr>
          <w:i/>
          <w:lang w:val="en-US" w:eastAsia="ja-JP"/>
        </w:rPr>
        <w:t>State of the Climate 20</w:t>
      </w:r>
      <w:r>
        <w:rPr>
          <w:i/>
          <w:lang w:val="en-US" w:eastAsia="ja-JP"/>
        </w:rPr>
        <w:t>20</w:t>
      </w:r>
      <w:r w:rsidRPr="00F84263">
        <w:rPr>
          <w:lang w:val="en-US" w:eastAsia="ja-JP"/>
        </w:rPr>
        <w:t>. CSIRO, Acton.</w:t>
      </w:r>
    </w:p>
    <w:p w14:paraId="633EAA00" w14:textId="0ACAAE63" w:rsidR="00944A89" w:rsidRDefault="00944A89" w:rsidP="00944A89">
      <w:r>
        <w:t xml:space="preserve">Canberra Ornithologists Group (2020) </w:t>
      </w:r>
      <w:r w:rsidR="00882A2D">
        <w:t>Brown Treecreeper</w:t>
      </w:r>
      <w:r>
        <w:t xml:space="preserve">. Canberra Ornithologists Group, Canberra. Available at: </w:t>
      </w:r>
      <w:hyperlink r:id="rId32" w:history="1">
        <w:r w:rsidR="00B53D3E" w:rsidRPr="00ED2606">
          <w:rPr>
            <w:rStyle w:val="Hyperlink"/>
          </w:rPr>
          <w:t>http://canberrabirds.org.au</w:t>
        </w:r>
      </w:hyperlink>
      <w:r>
        <w:t>.</w:t>
      </w:r>
    </w:p>
    <w:p w14:paraId="25DA4EBE" w14:textId="20BCFF7F" w:rsidR="00CC3164" w:rsidRPr="000709E9" w:rsidRDefault="00CC3164" w:rsidP="00CC3164">
      <w:pPr>
        <w:rPr>
          <w:lang w:val="en-US" w:eastAsia="ja-JP"/>
        </w:rPr>
      </w:pPr>
      <w:r w:rsidRPr="00F84263">
        <w:rPr>
          <w:lang w:val="en-US" w:eastAsia="ja-JP"/>
        </w:rPr>
        <w:t>Commonwealth of Australia (20</w:t>
      </w:r>
      <w:r>
        <w:rPr>
          <w:lang w:val="en-US" w:eastAsia="ja-JP"/>
        </w:rPr>
        <w:t>08</w:t>
      </w:r>
      <w:r w:rsidRPr="00F84263">
        <w:rPr>
          <w:lang w:val="en-US" w:eastAsia="ja-JP"/>
        </w:rPr>
        <w:t xml:space="preserve">a) </w:t>
      </w:r>
      <w:r w:rsidRPr="00F84263">
        <w:rPr>
          <w:i/>
          <w:lang w:val="en-US" w:eastAsia="ja-JP"/>
        </w:rPr>
        <w:t>Background document</w:t>
      </w:r>
      <w:r>
        <w:rPr>
          <w:i/>
          <w:lang w:val="en-US" w:eastAsia="ja-JP"/>
        </w:rPr>
        <w:t>:</w:t>
      </w:r>
      <w:r w:rsidRPr="00F84263">
        <w:rPr>
          <w:i/>
          <w:lang w:val="en-US" w:eastAsia="ja-JP"/>
        </w:rPr>
        <w:t xml:space="preserve"> </w:t>
      </w:r>
      <w:r w:rsidR="000459D5" w:rsidRPr="000459D5">
        <w:rPr>
          <w:i/>
          <w:lang w:val="en-US" w:eastAsia="ja-JP"/>
        </w:rPr>
        <w:t>Threat abatement plan for predation by European red fox</w:t>
      </w:r>
      <w:r w:rsidRPr="00F84263">
        <w:rPr>
          <w:lang w:val="en-US" w:eastAsia="ja-JP"/>
        </w:rPr>
        <w:t>. Department of the Environment, Canberra.</w:t>
      </w:r>
    </w:p>
    <w:p w14:paraId="0354951B" w14:textId="05AA4B82" w:rsidR="00CC3164" w:rsidRDefault="00CC3164" w:rsidP="00B53D3E">
      <w:pPr>
        <w:rPr>
          <w:lang w:val="en-US" w:eastAsia="ja-JP"/>
        </w:rPr>
      </w:pPr>
      <w:r w:rsidRPr="00F84263">
        <w:rPr>
          <w:lang w:val="en-US" w:eastAsia="ja-JP"/>
        </w:rPr>
        <w:t>Commonwealth of Australia (20</w:t>
      </w:r>
      <w:r w:rsidR="000459D5">
        <w:rPr>
          <w:lang w:val="en-US" w:eastAsia="ja-JP"/>
        </w:rPr>
        <w:t>08b</w:t>
      </w:r>
      <w:r w:rsidRPr="00F84263">
        <w:rPr>
          <w:lang w:val="en-US" w:eastAsia="ja-JP"/>
        </w:rPr>
        <w:t xml:space="preserve">) </w:t>
      </w:r>
      <w:r w:rsidR="000459D5" w:rsidRPr="000459D5">
        <w:rPr>
          <w:i/>
          <w:iCs/>
          <w:lang w:val="en-US" w:eastAsia="ja-JP"/>
        </w:rPr>
        <w:t>Threat abatement plan for predation by European red fox</w:t>
      </w:r>
      <w:r w:rsidRPr="00F84263">
        <w:rPr>
          <w:lang w:val="en-US" w:eastAsia="ja-JP"/>
        </w:rPr>
        <w:t>. Department of the Environment, Canberra.</w:t>
      </w:r>
    </w:p>
    <w:p w14:paraId="416F0ED3" w14:textId="2E295953" w:rsidR="00B53D3E" w:rsidRPr="000709E9" w:rsidRDefault="00B53D3E" w:rsidP="00B53D3E">
      <w:pPr>
        <w:rPr>
          <w:lang w:val="en-US" w:eastAsia="ja-JP"/>
        </w:rPr>
      </w:pPr>
      <w:r w:rsidRPr="00F84263">
        <w:rPr>
          <w:lang w:val="en-US" w:eastAsia="ja-JP"/>
        </w:rPr>
        <w:t xml:space="preserve">Commonwealth of Australia (2015a) </w:t>
      </w:r>
      <w:r w:rsidRPr="00F84263">
        <w:rPr>
          <w:i/>
          <w:lang w:val="en-US" w:eastAsia="ja-JP"/>
        </w:rPr>
        <w:t>Background document</w:t>
      </w:r>
      <w:r w:rsidR="00CC3164">
        <w:rPr>
          <w:i/>
          <w:lang w:val="en-US" w:eastAsia="ja-JP"/>
        </w:rPr>
        <w:t>:</w:t>
      </w:r>
      <w:r w:rsidRPr="00F84263">
        <w:rPr>
          <w:i/>
          <w:lang w:val="en-US" w:eastAsia="ja-JP"/>
        </w:rPr>
        <w:t xml:space="preserve"> Threat abatement plan for predation by feral cats</w:t>
      </w:r>
      <w:r w:rsidRPr="00F84263">
        <w:rPr>
          <w:lang w:val="en-US" w:eastAsia="ja-JP"/>
        </w:rPr>
        <w:t>. Department of the Environment, Canberra.</w:t>
      </w:r>
    </w:p>
    <w:p w14:paraId="2425BB49" w14:textId="1675FD77" w:rsidR="00B53D3E" w:rsidRDefault="00B53D3E" w:rsidP="00944A89">
      <w:pPr>
        <w:rPr>
          <w:lang w:val="en-US" w:eastAsia="ja-JP"/>
        </w:rPr>
      </w:pPr>
      <w:r w:rsidRPr="00F84263">
        <w:rPr>
          <w:lang w:val="en-US" w:eastAsia="ja-JP"/>
        </w:rPr>
        <w:t xml:space="preserve">Commonwealth of Australia (2015b) </w:t>
      </w:r>
      <w:r w:rsidRPr="00F84263">
        <w:rPr>
          <w:i/>
          <w:lang w:val="en-US" w:eastAsia="ja-JP"/>
        </w:rPr>
        <w:t>Threat abatement plan for predation by feral cats</w:t>
      </w:r>
      <w:r w:rsidR="00CC3164">
        <w:rPr>
          <w:i/>
          <w:lang w:val="en-US" w:eastAsia="ja-JP"/>
        </w:rPr>
        <w:t>.</w:t>
      </w:r>
      <w:r w:rsidRPr="00F84263">
        <w:rPr>
          <w:lang w:val="en-US" w:eastAsia="ja-JP"/>
        </w:rPr>
        <w:t xml:space="preserve"> Department of the Environment, Canberra.</w:t>
      </w:r>
    </w:p>
    <w:p w14:paraId="47897C45" w14:textId="51B40B15" w:rsidR="00CC3164" w:rsidRDefault="00CC3164" w:rsidP="00944A89">
      <w:pPr>
        <w:rPr>
          <w:lang w:val="en-US" w:eastAsia="ja-JP"/>
        </w:rPr>
      </w:pPr>
      <w:r w:rsidRPr="00CC3164">
        <w:rPr>
          <w:lang w:val="en-US" w:eastAsia="ja-JP"/>
        </w:rPr>
        <w:t xml:space="preserve">Commonwealth of Australia </w:t>
      </w:r>
      <w:r>
        <w:rPr>
          <w:lang w:val="en-US" w:eastAsia="ja-JP"/>
        </w:rPr>
        <w:t>(</w:t>
      </w:r>
      <w:r w:rsidRPr="00CC3164">
        <w:rPr>
          <w:lang w:val="en-US" w:eastAsia="ja-JP"/>
        </w:rPr>
        <w:t>2016</w:t>
      </w:r>
      <w:r>
        <w:rPr>
          <w:lang w:val="en-US" w:eastAsia="ja-JP"/>
        </w:rPr>
        <w:t>a)</w:t>
      </w:r>
      <w:r w:rsidRPr="00CC3164">
        <w:rPr>
          <w:lang w:val="en-US" w:eastAsia="ja-JP"/>
        </w:rPr>
        <w:t xml:space="preserve"> </w:t>
      </w:r>
      <w:r w:rsidRPr="00CC3164">
        <w:rPr>
          <w:i/>
          <w:iCs/>
          <w:lang w:val="en-US" w:eastAsia="ja-JP"/>
        </w:rPr>
        <w:t>Background document: Threat abatement plan for competition and land degradation by rabbits</w:t>
      </w:r>
      <w:r>
        <w:rPr>
          <w:lang w:val="en-US" w:eastAsia="ja-JP"/>
        </w:rPr>
        <w:t xml:space="preserve">. </w:t>
      </w:r>
      <w:r w:rsidRPr="00CC3164">
        <w:rPr>
          <w:lang w:val="en-US" w:eastAsia="ja-JP"/>
        </w:rPr>
        <w:t>Department of the Environment, Canberra.</w:t>
      </w:r>
    </w:p>
    <w:p w14:paraId="2E2A92DC" w14:textId="0400A100" w:rsidR="00CC3164" w:rsidRPr="00B53D3E" w:rsidRDefault="00CC3164" w:rsidP="00CC3164">
      <w:pPr>
        <w:rPr>
          <w:lang w:val="en-US" w:eastAsia="ja-JP"/>
        </w:rPr>
      </w:pPr>
      <w:r w:rsidRPr="00CC3164">
        <w:rPr>
          <w:lang w:val="en-US" w:eastAsia="ja-JP"/>
        </w:rPr>
        <w:t xml:space="preserve">Commonwealth of Australia </w:t>
      </w:r>
      <w:r>
        <w:rPr>
          <w:lang w:val="en-US" w:eastAsia="ja-JP"/>
        </w:rPr>
        <w:t>(</w:t>
      </w:r>
      <w:r w:rsidRPr="00CC3164">
        <w:rPr>
          <w:lang w:val="en-US" w:eastAsia="ja-JP"/>
        </w:rPr>
        <w:t>2016</w:t>
      </w:r>
      <w:r>
        <w:rPr>
          <w:lang w:val="en-US" w:eastAsia="ja-JP"/>
        </w:rPr>
        <w:t>b)</w:t>
      </w:r>
      <w:r w:rsidRPr="00CC3164">
        <w:rPr>
          <w:lang w:val="en-US" w:eastAsia="ja-JP"/>
        </w:rPr>
        <w:t xml:space="preserve"> </w:t>
      </w:r>
      <w:r w:rsidRPr="00CC3164">
        <w:rPr>
          <w:i/>
          <w:iCs/>
          <w:lang w:val="en-US" w:eastAsia="ja-JP"/>
        </w:rPr>
        <w:t>Threat abatement plan for competition and land degradation by rabbits</w:t>
      </w:r>
      <w:r>
        <w:rPr>
          <w:lang w:val="en-US" w:eastAsia="ja-JP"/>
        </w:rPr>
        <w:t xml:space="preserve">. </w:t>
      </w:r>
      <w:r w:rsidRPr="00CC3164">
        <w:rPr>
          <w:lang w:val="en-US" w:eastAsia="ja-JP"/>
        </w:rPr>
        <w:t>Department of the Environment, Canberra.</w:t>
      </w:r>
    </w:p>
    <w:p w14:paraId="439645D9" w14:textId="5512DE26" w:rsidR="00944A89" w:rsidRDefault="00944A89" w:rsidP="00944A89">
      <w:r>
        <w:t>Cooper CB</w:t>
      </w:r>
      <w:r w:rsidR="000A2D7C">
        <w:t xml:space="preserve"> &amp; </w:t>
      </w:r>
      <w:r>
        <w:t xml:space="preserve">Walters JR (2002a) Independent effects of woodland loss and fragmentation on Brown Treecreeper distribution. </w:t>
      </w:r>
      <w:r w:rsidRPr="00944A89">
        <w:rPr>
          <w:i/>
          <w:iCs/>
        </w:rPr>
        <w:t>Biological Conservation</w:t>
      </w:r>
      <w:r>
        <w:t xml:space="preserve"> 105, 1–10.</w:t>
      </w:r>
    </w:p>
    <w:p w14:paraId="33942A62" w14:textId="4FE13EC1" w:rsidR="00944A89" w:rsidRDefault="00944A89" w:rsidP="00944A89">
      <w:r>
        <w:t>Cooper CB</w:t>
      </w:r>
      <w:r w:rsidR="000A2D7C">
        <w:t xml:space="preserve"> &amp; </w:t>
      </w:r>
      <w:r>
        <w:t xml:space="preserve">Walters JR (2002b) Experimental evidence of disrupted dispersal causing decline of an Australian passerine in fragmented habitat. </w:t>
      </w:r>
      <w:r w:rsidRPr="00944A89">
        <w:rPr>
          <w:i/>
          <w:iCs/>
        </w:rPr>
        <w:t>Conservation Biology</w:t>
      </w:r>
      <w:r>
        <w:t xml:space="preserve"> 16, 471–478.</w:t>
      </w:r>
    </w:p>
    <w:p w14:paraId="6EAFD2E1" w14:textId="0F3161FC" w:rsidR="009A6F15" w:rsidRDefault="009A6F15" w:rsidP="009A6F15">
      <w:r>
        <w:t xml:space="preserve">Crates R, Terauds A, Rayner L, Stojanovic D, Heinsohn R, Wilkie C &amp; Webb M (2018) Spatially and temporally targeted suppression of despotic noisy miners has conservation benefits for highly mobile and threatened woodland birds. </w:t>
      </w:r>
      <w:r w:rsidRPr="009A6F15">
        <w:rPr>
          <w:i/>
          <w:iCs/>
        </w:rPr>
        <w:t>Biological Conservation</w:t>
      </w:r>
      <w:r>
        <w:t xml:space="preserve"> 227, 343–351.</w:t>
      </w:r>
    </w:p>
    <w:p w14:paraId="0FA33D2D" w14:textId="3840679D" w:rsidR="00185402" w:rsidRDefault="00185402" w:rsidP="00944A89">
      <w:r>
        <w:t xml:space="preserve">DPIE </w:t>
      </w:r>
      <w:r w:rsidR="004F304E">
        <w:t>(</w:t>
      </w:r>
      <w:r>
        <w:t xml:space="preserve">Department of </w:t>
      </w:r>
      <w:r w:rsidR="00A24751">
        <w:t>P</w:t>
      </w:r>
      <w:r>
        <w:t xml:space="preserve">lanning, </w:t>
      </w:r>
      <w:r w:rsidR="00A24751">
        <w:t>I</w:t>
      </w:r>
      <w:r>
        <w:t>ndustry and Environment</w:t>
      </w:r>
      <w:r w:rsidR="004F304E">
        <w:t xml:space="preserve">) </w:t>
      </w:r>
      <w:r>
        <w:t>(2017)</w:t>
      </w:r>
      <w:r w:rsidR="004F304E">
        <w:t xml:space="preserve"> NSW</w:t>
      </w:r>
      <w:r>
        <w:t xml:space="preserve"> </w:t>
      </w:r>
      <w:r w:rsidRPr="00185402">
        <w:t xml:space="preserve">Brown Treecreeper (eastern subspecies) </w:t>
      </w:r>
      <w:r>
        <w:t>–</w:t>
      </w:r>
      <w:r w:rsidRPr="00185402">
        <w:t xml:space="preserve"> profile</w:t>
      </w:r>
      <w:r>
        <w:t xml:space="preserve">. Accessed on: </w:t>
      </w:r>
      <w:bookmarkStart w:id="38" w:name="_Hlk83212814"/>
      <w:r>
        <w:t xml:space="preserve">21 July 2021. </w:t>
      </w:r>
      <w:bookmarkEnd w:id="38"/>
      <w:r>
        <w:t xml:space="preserve">Available at: </w:t>
      </w:r>
      <w:hyperlink r:id="rId33" w:history="1">
        <w:r w:rsidRPr="00B811A2">
          <w:rPr>
            <w:rStyle w:val="Hyperlink"/>
          </w:rPr>
          <w:t>https://www.environment.nsw.gov.au/threatenedspeciesapp/profile.aspx?id=10171</w:t>
        </w:r>
      </w:hyperlink>
      <w:r>
        <w:t xml:space="preserve">. </w:t>
      </w:r>
    </w:p>
    <w:p w14:paraId="3F05AB2D" w14:textId="35F39A1E" w:rsidR="00944A89" w:rsidRDefault="00944A89" w:rsidP="00944A89">
      <w:r>
        <w:t xml:space="preserve">Doerr ED &amp; Doerr VAJ (2007) </w:t>
      </w:r>
      <w:r w:rsidRPr="00944A89">
        <w:rPr>
          <w:i/>
          <w:iCs/>
        </w:rPr>
        <w:t>Gene flow in fragmented landscapes: final report. In Better Knowledge Better Bush Project.</w:t>
      </w:r>
      <w:r>
        <w:t xml:space="preserve"> (Eds PG Ryan, D Freudenberger </w:t>
      </w:r>
      <w:r w:rsidR="00185402">
        <w:t>&amp;</w:t>
      </w:r>
      <w:r>
        <w:t xml:space="preserve"> S Briggs). CSIRO Sustainable Ecosystems, Canberra.</w:t>
      </w:r>
    </w:p>
    <w:p w14:paraId="19ED38AE" w14:textId="5EB7AC10" w:rsidR="00944A89" w:rsidRDefault="00944A89" w:rsidP="00944A89">
      <w:r>
        <w:t xml:space="preserve">Doerr VAJ, Doerr ED &amp; Jenkins SH (2006) Habitat selection in two Australasian treecreepers: what cues should they use? </w:t>
      </w:r>
      <w:r w:rsidRPr="00944A89">
        <w:rPr>
          <w:i/>
          <w:iCs/>
        </w:rPr>
        <w:t>Emu</w:t>
      </w:r>
      <w:r>
        <w:t xml:space="preserve"> 106, 93–103.</w:t>
      </w:r>
    </w:p>
    <w:p w14:paraId="4750C072" w14:textId="7FF3BF0F" w:rsidR="005E29D6" w:rsidRDefault="005E29D6" w:rsidP="00944A89"/>
    <w:p w14:paraId="44F5A6FF" w14:textId="36FA5AA1" w:rsidR="005E29D6" w:rsidRDefault="005E29D6" w:rsidP="00944A89">
      <w:r w:rsidRPr="005E29D6">
        <w:lastRenderedPageBreak/>
        <w:t>Fischer J</w:t>
      </w:r>
      <w:r>
        <w:t>,</w:t>
      </w:r>
      <w:r w:rsidRPr="005E29D6">
        <w:t xml:space="preserve"> Stott J</w:t>
      </w:r>
      <w:r>
        <w:t xml:space="preserve">, </w:t>
      </w:r>
      <w:proofErr w:type="spellStart"/>
      <w:r w:rsidRPr="005E29D6">
        <w:t>Zerger</w:t>
      </w:r>
      <w:proofErr w:type="spellEnd"/>
      <w:r w:rsidRPr="005E29D6">
        <w:t xml:space="preserve"> A</w:t>
      </w:r>
      <w:r>
        <w:t>,</w:t>
      </w:r>
      <w:r w:rsidRPr="005E29D6">
        <w:t xml:space="preserve"> Warren G</w:t>
      </w:r>
      <w:r>
        <w:t>,</w:t>
      </w:r>
      <w:r w:rsidRPr="005E29D6">
        <w:t xml:space="preserve"> </w:t>
      </w:r>
      <w:proofErr w:type="spellStart"/>
      <w:r w:rsidRPr="005E29D6">
        <w:t>Sherren</w:t>
      </w:r>
      <w:proofErr w:type="spellEnd"/>
      <w:r w:rsidRPr="005E29D6">
        <w:t xml:space="preserve"> K</w:t>
      </w:r>
      <w:r>
        <w:t>,</w:t>
      </w:r>
      <w:r w:rsidRPr="005E29D6">
        <w:t xml:space="preserve"> Forrester R (2009) Reversing a tree regeneration crisis in an endangered ecoregion. </w:t>
      </w:r>
      <w:r w:rsidRPr="005E29D6">
        <w:rPr>
          <w:i/>
          <w:iCs/>
        </w:rPr>
        <w:t xml:space="preserve">Proceedings of the National Academy of Sciences of the United States of America </w:t>
      </w:r>
      <w:r w:rsidRPr="005E29D6">
        <w:t>106. 10386-91.</w:t>
      </w:r>
    </w:p>
    <w:p w14:paraId="01F7780F" w14:textId="408D6BA6" w:rsidR="00944A89" w:rsidRDefault="00944A89" w:rsidP="00944A89">
      <w:r>
        <w:t xml:space="preserve">Ford HA (2011) The causes of decline of birds of eucalypt woodlands: advances in our knowledge over the last 10 years. </w:t>
      </w:r>
      <w:r w:rsidRPr="00944A89">
        <w:rPr>
          <w:i/>
          <w:iCs/>
        </w:rPr>
        <w:t>Emu</w:t>
      </w:r>
      <w:r>
        <w:t xml:space="preserve"> 111, 1–9.</w:t>
      </w:r>
    </w:p>
    <w:p w14:paraId="0C6799BF" w14:textId="7488BB4A" w:rsidR="00882A2D" w:rsidRDefault="00882A2D" w:rsidP="00882A2D">
      <w:r>
        <w:t>Ford HA, Menkhorst P, Loyn RH, Watson DM, Tulloch AIT, Barnes MD</w:t>
      </w:r>
      <w:r w:rsidR="000A2D7C">
        <w:t xml:space="preserve"> &amp; </w:t>
      </w:r>
      <w:r>
        <w:t xml:space="preserve">Garnett ST (2021) South‐eastern Brown Treecreeper </w:t>
      </w:r>
      <w:r w:rsidRPr="00882A2D">
        <w:rPr>
          <w:i/>
          <w:iCs/>
        </w:rPr>
        <w:t>Climacteris picumnus victoriae</w:t>
      </w:r>
      <w:r>
        <w:t xml:space="preserve">. In </w:t>
      </w:r>
      <w:r w:rsidRPr="00882A2D">
        <w:rPr>
          <w:i/>
          <w:iCs/>
        </w:rPr>
        <w:t>The Action Plan for Australian Birds 2020</w:t>
      </w:r>
      <w:r>
        <w:t>. (Eds ST Garnett and GB Baker)</w:t>
      </w:r>
      <w:r w:rsidR="00A8089B">
        <w:t xml:space="preserve">. </w:t>
      </w:r>
      <w:r>
        <w:t>CSIRO Publishing, Melbourne.</w:t>
      </w:r>
    </w:p>
    <w:p w14:paraId="6D27C683" w14:textId="5EC8928D" w:rsidR="00944A89" w:rsidRDefault="00944A89" w:rsidP="00944A89">
      <w:r>
        <w:t xml:space="preserve">Ford HA, Walters JR, Cooper CB, Debus SJS &amp; Doerr VAJ (2009) Extinction debt or habitat change? Ongoing losses of woodland birds in north‐eastern New South Wales, Australia. </w:t>
      </w:r>
      <w:r w:rsidRPr="00944A89">
        <w:rPr>
          <w:i/>
          <w:iCs/>
        </w:rPr>
        <w:t>Biological Conservation</w:t>
      </w:r>
      <w:r>
        <w:t xml:space="preserve"> 142, 3182–3190.</w:t>
      </w:r>
    </w:p>
    <w:p w14:paraId="4FAB18C4" w14:textId="18562137" w:rsidR="00260B3B" w:rsidRPr="00260B3B" w:rsidRDefault="00260B3B" w:rsidP="00944A89">
      <w:pPr>
        <w:rPr>
          <w:lang w:val="en-US" w:eastAsia="ja-JP"/>
        </w:rPr>
      </w:pPr>
      <w:r w:rsidRPr="00A910FA">
        <w:rPr>
          <w:lang w:val="en-US" w:eastAsia="ja-JP"/>
        </w:rPr>
        <w:t xml:space="preserve">French K &amp; Zubovic A (1997) Effect of the Weed </w:t>
      </w:r>
      <w:r w:rsidRPr="00A910FA">
        <w:rPr>
          <w:i/>
          <w:iCs/>
          <w:lang w:val="en-US" w:eastAsia="ja-JP"/>
        </w:rPr>
        <w:t>Chrysanthemoides monilifera</w:t>
      </w:r>
      <w:r w:rsidRPr="00A910FA">
        <w:rPr>
          <w:lang w:val="en-US" w:eastAsia="ja-JP"/>
        </w:rPr>
        <w:t xml:space="preserve"> (Bitou Bush) on Bird Communities. </w:t>
      </w:r>
      <w:r w:rsidRPr="00A910FA">
        <w:rPr>
          <w:i/>
          <w:iCs/>
          <w:lang w:val="en-US" w:eastAsia="ja-JP"/>
        </w:rPr>
        <w:t>Wildlife Research</w:t>
      </w:r>
      <w:r w:rsidRPr="00A910FA">
        <w:rPr>
          <w:lang w:val="en-US" w:eastAsia="ja-JP"/>
        </w:rPr>
        <w:t xml:space="preserve"> 24, 6, 727-735.</w:t>
      </w:r>
    </w:p>
    <w:p w14:paraId="29F7896D" w14:textId="5AE96465" w:rsidR="00944A89" w:rsidRDefault="00944A89" w:rsidP="00944A89">
      <w:r>
        <w:t xml:space="preserve">Garnett ST, Szabo JK &amp; Dutson G (Eds.) (2011) </w:t>
      </w:r>
      <w:r w:rsidRPr="00944A89">
        <w:rPr>
          <w:i/>
          <w:iCs/>
        </w:rPr>
        <w:t>The Action Plan for Australian Birds 2010.</w:t>
      </w:r>
      <w:r>
        <w:t xml:space="preserve"> CSIRO Publishing, Melbourne.</w:t>
      </w:r>
    </w:p>
    <w:p w14:paraId="3076E94C" w14:textId="3C85EF4F" w:rsidR="00944A89" w:rsidRDefault="00944A89" w:rsidP="00944A89">
      <w:r>
        <w:t>Gosper DG</w:t>
      </w:r>
      <w:r w:rsidR="000A2D7C">
        <w:t xml:space="preserve"> &amp; </w:t>
      </w:r>
      <w:r>
        <w:t xml:space="preserve">Gosper CR (2016) Diurnal birds in the Bungawalbin Creek catchment, northern New South Wales, with a focus on spatial and temporal changes in reporting rates of declining woodland birds. </w:t>
      </w:r>
      <w:r w:rsidRPr="00944A89">
        <w:rPr>
          <w:i/>
          <w:iCs/>
        </w:rPr>
        <w:t xml:space="preserve">Corella </w:t>
      </w:r>
      <w:r>
        <w:t>40, 1–12.</w:t>
      </w:r>
    </w:p>
    <w:p w14:paraId="385C7E78" w14:textId="793A730D" w:rsidR="00944A89" w:rsidRDefault="00944A89" w:rsidP="00944A89">
      <w:r>
        <w:t>Higgins PJ</w:t>
      </w:r>
      <w:r w:rsidR="000A2D7C">
        <w:t xml:space="preserve"> &amp; </w:t>
      </w:r>
      <w:r>
        <w:t xml:space="preserve">Peter JM (Eds) (2002) </w:t>
      </w:r>
      <w:r w:rsidRPr="00944A89">
        <w:rPr>
          <w:i/>
          <w:iCs/>
        </w:rPr>
        <w:t>Handbook of Australian, New Zealand and Antarctic Birds. Volume 6: Pardalotes to Shrike‐thrushes.</w:t>
      </w:r>
      <w:r>
        <w:t xml:space="preserve"> Oxford University Press, Melbourne.</w:t>
      </w:r>
    </w:p>
    <w:p w14:paraId="5876FC02" w14:textId="549FCD75" w:rsidR="004B1CD8" w:rsidRDefault="004B1CD8" w:rsidP="00944A89">
      <w:pPr>
        <w:rPr>
          <w:lang w:val="en-US" w:eastAsia="ja-JP"/>
        </w:rPr>
      </w:pPr>
      <w:r w:rsidRPr="00F84263">
        <w:rPr>
          <w:lang w:val="en-US" w:eastAsia="ja-JP"/>
        </w:rPr>
        <w:t xml:space="preserve">IPCC (International Panel on Climate Change) (2018) </w:t>
      </w:r>
      <w:r w:rsidRPr="00F84263">
        <w:rPr>
          <w:i/>
          <w:lang w:val="en-US" w:eastAsia="ja-JP"/>
        </w:rPr>
        <w:t>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F84263">
        <w:rPr>
          <w:lang w:val="en-US" w:eastAsia="ja-JP"/>
        </w:rPr>
        <w:t>. World Meteorological Organization, Geneva.</w:t>
      </w:r>
    </w:p>
    <w:p w14:paraId="1199F532" w14:textId="2BF307D9" w:rsidR="00024E78" w:rsidRPr="00024E78" w:rsidRDefault="00024E78" w:rsidP="00944A89">
      <w:bookmarkStart w:id="39" w:name="_Hlk83027846"/>
      <w:r>
        <w:t>IPCC (</w:t>
      </w:r>
      <w:r w:rsidRPr="005876EC">
        <w:t>Intergovernmental Panel on Climate Change</w:t>
      </w:r>
      <w:r>
        <w:t xml:space="preserve">) (2021) </w:t>
      </w:r>
      <w:r w:rsidRPr="005876EC">
        <w:rPr>
          <w:i/>
          <w:iCs/>
        </w:rPr>
        <w:t xml:space="preserve">Regional fact sheet </w:t>
      </w:r>
      <w:r>
        <w:rPr>
          <w:i/>
          <w:iCs/>
        </w:rPr>
        <w:t>–</w:t>
      </w:r>
      <w:r w:rsidRPr="005876EC">
        <w:rPr>
          <w:i/>
          <w:iCs/>
        </w:rPr>
        <w:t xml:space="preserve"> Australasia</w:t>
      </w:r>
      <w:r>
        <w:t xml:space="preserve">. Sixth Assessment Report  Working Group I – The Physical Science Basis. Accessed on: 18 August 2021. Available at: </w:t>
      </w:r>
      <w:hyperlink r:id="rId34" w:history="1">
        <w:r w:rsidRPr="00717C7B">
          <w:rPr>
            <w:rStyle w:val="Hyperlink"/>
          </w:rPr>
          <w:t>https://www.ipcc.ch/report/ar6/wg1/downloads/factsheets/IPCC_AR6_WGI_Regional_Fact_Sheet_Australasia.pdf</w:t>
        </w:r>
      </w:hyperlink>
      <w:r>
        <w:t xml:space="preserve">. </w:t>
      </w:r>
    </w:p>
    <w:bookmarkEnd w:id="39"/>
    <w:p w14:paraId="3DDF472F" w14:textId="48CB9377" w:rsidR="004B1CD8" w:rsidRPr="004B1CD8" w:rsidRDefault="004B1CD8" w:rsidP="00944A89">
      <w:pPr>
        <w:rPr>
          <w:lang w:val="en-US" w:eastAsia="ja-JP"/>
        </w:rPr>
      </w:pPr>
      <w:r w:rsidRPr="00F84263">
        <w:rPr>
          <w:lang w:val="en-US" w:eastAsia="ja-JP"/>
        </w:rPr>
        <w:t xml:space="preserve">Invasive Plants and Animals Committee (2016) </w:t>
      </w:r>
      <w:r w:rsidRPr="00F84263">
        <w:rPr>
          <w:i/>
          <w:lang w:val="en-US" w:eastAsia="ja-JP"/>
        </w:rPr>
        <w:t>Australian Weeds Strategy 2017-2027</w:t>
      </w:r>
      <w:r w:rsidRPr="00F84263">
        <w:rPr>
          <w:lang w:val="en-US" w:eastAsia="ja-JP"/>
        </w:rPr>
        <w:t>. Department of Agriculture and Water Resources, Canberra.</w:t>
      </w:r>
    </w:p>
    <w:p w14:paraId="2AA3933A" w14:textId="101B00EA" w:rsidR="00F66CBB" w:rsidRDefault="00F66CBB" w:rsidP="00944A89">
      <w:r w:rsidRPr="00F66CBB">
        <w:t>Jackson WJ, Argent RM, Bax NJ, Bui E, Clark GF, Coleman S, Cresswell ID, Emmerson KM, Evans K, Hibberd MF, Johnston EL, Keywood MD, Klekociuk A, Mackay R, Metcalfe D, Murphy H, Rankin A, Smith DC</w:t>
      </w:r>
      <w:r>
        <w:t xml:space="preserve"> &amp; </w:t>
      </w:r>
      <w:r w:rsidRPr="00F66CBB">
        <w:t xml:space="preserve">Wienecke B (2016) Overview: Land-use change, and habitat fragmentation and degradation threaten ecosystems and resilience. In: </w:t>
      </w:r>
      <w:r w:rsidRPr="00D60F3B">
        <w:rPr>
          <w:i/>
          <w:iCs/>
        </w:rPr>
        <w:t>Australia state of the environment 2016</w:t>
      </w:r>
      <w:r w:rsidR="000A2D7C">
        <w:t>.</w:t>
      </w:r>
      <w:r w:rsidRPr="00F66CBB">
        <w:t xml:space="preserve"> Australian Government Department of the Environment and Energy, Canberra</w:t>
      </w:r>
      <w:r>
        <w:t xml:space="preserve">. </w:t>
      </w:r>
    </w:p>
    <w:p w14:paraId="638B420E" w14:textId="70720A38" w:rsidR="003C23DC" w:rsidRDefault="003C23DC" w:rsidP="00944A89">
      <w:r w:rsidRPr="003C23DC">
        <w:t>Kearney SG</w:t>
      </w:r>
      <w:r>
        <w:t>,</w:t>
      </w:r>
      <w:r w:rsidRPr="003C23DC">
        <w:t xml:space="preserve"> Watson JEM</w:t>
      </w:r>
      <w:r>
        <w:t>,</w:t>
      </w:r>
      <w:r w:rsidRPr="003C23DC">
        <w:t xml:space="preserve"> Reside AE</w:t>
      </w:r>
      <w:r>
        <w:t>,</w:t>
      </w:r>
      <w:r w:rsidRPr="003C23DC">
        <w:t xml:space="preserve"> Fisher DO</w:t>
      </w:r>
      <w:r>
        <w:t>,</w:t>
      </w:r>
      <w:r w:rsidRPr="003C23DC">
        <w:t xml:space="preserve"> Maron M</w:t>
      </w:r>
      <w:r>
        <w:t>,</w:t>
      </w:r>
      <w:r w:rsidRPr="003C23DC">
        <w:t xml:space="preserve"> Doherty TS</w:t>
      </w:r>
      <w:r>
        <w:t>,</w:t>
      </w:r>
      <w:r w:rsidRPr="003C23DC">
        <w:t xml:space="preserve"> Legge SM</w:t>
      </w:r>
      <w:r>
        <w:t>,</w:t>
      </w:r>
      <w:r w:rsidRPr="003C23DC">
        <w:t xml:space="preserve"> Woinarski JCZ</w:t>
      </w:r>
      <w:r>
        <w:t>,</w:t>
      </w:r>
      <w:r w:rsidRPr="003C23DC">
        <w:t xml:space="preserve"> Garnett ST</w:t>
      </w:r>
      <w:r>
        <w:t>,</w:t>
      </w:r>
      <w:r w:rsidRPr="003C23DC">
        <w:t xml:space="preserve"> Wintle BA</w:t>
      </w:r>
      <w:r>
        <w:t>,</w:t>
      </w:r>
      <w:r w:rsidRPr="003C23DC">
        <w:t xml:space="preserve"> Ritchie EG</w:t>
      </w:r>
      <w:r>
        <w:t>,</w:t>
      </w:r>
      <w:r w:rsidRPr="003C23DC">
        <w:t xml:space="preserve"> Driscoll DA</w:t>
      </w:r>
      <w:r>
        <w:t>,</w:t>
      </w:r>
      <w:r w:rsidRPr="003C23DC">
        <w:t xml:space="preserve"> Lindenmayer D</w:t>
      </w:r>
      <w:r>
        <w:t>,</w:t>
      </w:r>
      <w:r w:rsidRPr="003C23DC">
        <w:t xml:space="preserve"> Adams VM</w:t>
      </w:r>
      <w:r>
        <w:t>,</w:t>
      </w:r>
      <w:r w:rsidRPr="003C23DC">
        <w:t xml:space="preserve"> Ward MS</w:t>
      </w:r>
      <w:r>
        <w:t>,</w:t>
      </w:r>
      <w:r w:rsidRPr="003C23DC">
        <w:t xml:space="preserve"> Carwardine </w:t>
      </w:r>
      <w:r w:rsidRPr="003C23DC">
        <w:lastRenderedPageBreak/>
        <w:t>J</w:t>
      </w:r>
      <w:r>
        <w:t xml:space="preserve"> (2020)</w:t>
      </w:r>
      <w:r w:rsidRPr="003C23DC">
        <w:t xml:space="preserve"> A Novel Threat-Abatement Framework Confirms an Urgent Need to Limit Habitat Loss and Improve Management of Invasive Species and Inappropriate Fire Regimes for Australia’s Threatened Species. </w:t>
      </w:r>
      <w:r w:rsidRPr="003C23DC">
        <w:rPr>
          <w:i/>
          <w:iCs/>
        </w:rPr>
        <w:t>Preprints</w:t>
      </w:r>
      <w:r w:rsidRPr="003C23DC">
        <w:t xml:space="preserve"> 2020, 2020100372</w:t>
      </w:r>
      <w:r>
        <w:t>.</w:t>
      </w:r>
    </w:p>
    <w:p w14:paraId="451FFAAB" w14:textId="3504A3A0" w:rsidR="00260B3B" w:rsidRPr="00260B3B" w:rsidRDefault="00260B3B" w:rsidP="00944A89">
      <w:pPr>
        <w:rPr>
          <w:lang w:val="en-US" w:eastAsia="ja-JP"/>
        </w:rPr>
      </w:pPr>
      <w:r w:rsidRPr="00260B3B">
        <w:rPr>
          <w:lang w:val="en-US" w:eastAsia="ja-JP"/>
        </w:rPr>
        <w:t xml:space="preserve">Lindenmayer DB, Cunningham RB, Nix HA, Tanton MT &amp; Smith AP (1991) Predicting the abundance of hollow-bearing trees in montane forests of southeastern Australia. </w:t>
      </w:r>
      <w:r w:rsidRPr="00260B3B">
        <w:rPr>
          <w:i/>
          <w:iCs/>
          <w:lang w:val="en-US" w:eastAsia="ja-JP"/>
        </w:rPr>
        <w:t>Australian Journal of Ecology</w:t>
      </w:r>
      <w:r w:rsidRPr="00260B3B">
        <w:rPr>
          <w:lang w:val="en-US" w:eastAsia="ja-JP"/>
        </w:rPr>
        <w:t xml:space="preserve"> 16, 1, 91-98.</w:t>
      </w:r>
    </w:p>
    <w:p w14:paraId="2313B3E8" w14:textId="4955B66E" w:rsidR="00944A89" w:rsidRDefault="00944A89" w:rsidP="00944A89">
      <w:r>
        <w:t>Lindenmayer DB, Lane PW, Westgate MJ, Scheele BC, Foster C, Sato C, Ikin K, Crane M, Michael D, Florance D</w:t>
      </w:r>
      <w:r w:rsidR="000A2D7C">
        <w:t xml:space="preserve"> &amp; </w:t>
      </w:r>
      <w:r>
        <w:t xml:space="preserve">Barton PS (2018) Tests of predictions associated with temporal changes in Australian bird populations. </w:t>
      </w:r>
      <w:r w:rsidRPr="00944A89">
        <w:rPr>
          <w:i/>
          <w:iCs/>
        </w:rPr>
        <w:t>Biological Conservation</w:t>
      </w:r>
      <w:r>
        <w:t xml:space="preserve"> 222, 212–221.</w:t>
      </w:r>
    </w:p>
    <w:p w14:paraId="2B17F9FC" w14:textId="7844706D" w:rsidR="00944A89" w:rsidRDefault="00944A89" w:rsidP="00944A89">
      <w:r>
        <w:t>Loyn RH, Lumsden LF</w:t>
      </w:r>
      <w:r w:rsidR="000A2D7C">
        <w:t xml:space="preserve"> &amp; </w:t>
      </w:r>
      <w:r>
        <w:t xml:space="preserve">Ward KA (2002) Vertebrate fauna of Barmah Forest, a large forest of River Red Gum </w:t>
      </w:r>
      <w:r w:rsidRPr="00944A89">
        <w:rPr>
          <w:i/>
          <w:iCs/>
        </w:rPr>
        <w:t>Eucalyptus camaldulensis</w:t>
      </w:r>
      <w:r>
        <w:t xml:space="preserve"> on the floodplain of the Murray River. </w:t>
      </w:r>
      <w:r w:rsidRPr="00944A89">
        <w:rPr>
          <w:i/>
          <w:iCs/>
        </w:rPr>
        <w:t>Victorian Naturalist 119</w:t>
      </w:r>
      <w:r>
        <w:t>, 114–132.</w:t>
      </w:r>
    </w:p>
    <w:p w14:paraId="32EF25FE" w14:textId="51A434D3" w:rsidR="004B1CD8" w:rsidRDefault="00944A89" w:rsidP="00944A89">
      <w:r>
        <w:t>Loyn RH, Eyles D &amp; Hepworth G (2019</w:t>
      </w:r>
      <w:r w:rsidRPr="00944A89">
        <w:rPr>
          <w:i/>
          <w:iCs/>
        </w:rPr>
        <w:t>) Birds in Black Box woodlands in Hattah‐Kulkyne NP, Nangiloc and Kings Billabong spring 2018 to autumn 2019, with an assessment of effects of recent environmental flows. Final report from surveys October 2018 to March 2019</w:t>
      </w:r>
      <w:r>
        <w:t>. Report to Mallee CMA, Mildura.</w:t>
      </w:r>
    </w:p>
    <w:p w14:paraId="4289DC80" w14:textId="313646A8" w:rsidR="00944A89" w:rsidRDefault="00944A89" w:rsidP="00944A89">
      <w:r>
        <w:t xml:space="preserve">Mac Nally R (2006) Longer‐term response to experimental manipulation of fallen timber on forest floors of floodplain forest in south‐eastern Australia. </w:t>
      </w:r>
      <w:r w:rsidRPr="00944A89">
        <w:rPr>
          <w:i/>
          <w:iCs/>
        </w:rPr>
        <w:t>Forest Ecology and Management</w:t>
      </w:r>
      <w:r>
        <w:t xml:space="preserve"> 229, 155–160.</w:t>
      </w:r>
    </w:p>
    <w:p w14:paraId="595C0C71" w14:textId="5ED81E1F" w:rsidR="00B468D8" w:rsidRDefault="00B468D8" w:rsidP="00944A89">
      <w:r w:rsidRPr="00B468D8">
        <w:t>Martine</w:t>
      </w:r>
      <w:r>
        <w:t xml:space="preserve"> M</w:t>
      </w:r>
      <w:r w:rsidRPr="00B468D8">
        <w:t xml:space="preserve"> &amp; Alan</w:t>
      </w:r>
      <w:r>
        <w:t xml:space="preserve"> L</w:t>
      </w:r>
      <w:r w:rsidRPr="00B468D8">
        <w:t xml:space="preserve"> (2005) The influence of livestock grazing and weed invasion on habitat use by birds in grassy woodland remnants. </w:t>
      </w:r>
      <w:r w:rsidRPr="00B468D8">
        <w:rPr>
          <w:i/>
          <w:iCs/>
        </w:rPr>
        <w:t>Biological Conservation</w:t>
      </w:r>
      <w:r w:rsidRPr="00B468D8">
        <w:t xml:space="preserve"> 124</w:t>
      </w:r>
      <w:r>
        <w:t>,</w:t>
      </w:r>
      <w:r w:rsidRPr="00B468D8">
        <w:t xml:space="preserve"> 439</w:t>
      </w:r>
      <w:r>
        <w:t>–</w:t>
      </w:r>
      <w:r w:rsidRPr="00B468D8">
        <w:t xml:space="preserve">450. </w:t>
      </w:r>
    </w:p>
    <w:p w14:paraId="220B5CEB" w14:textId="77777777" w:rsidR="004B1CD8" w:rsidRPr="00F84263" w:rsidRDefault="004B1CD8" w:rsidP="004B1CD8">
      <w:pPr>
        <w:rPr>
          <w:lang w:eastAsia="ja-JP"/>
        </w:rPr>
      </w:pPr>
      <w:r w:rsidRPr="00F84263">
        <w:rPr>
          <w:lang w:val="en-US" w:eastAsia="ja-JP"/>
        </w:rPr>
        <w:t xml:space="preserve">McGregor HW, Legge S, Jones ME &amp; Johnson CN (2015) Feral Cats Are Better Killers in Open Habitats, Revealed by Animal-Borne Video. </w:t>
      </w:r>
      <w:r w:rsidRPr="00F84263">
        <w:rPr>
          <w:i/>
          <w:lang w:val="en-US" w:eastAsia="ja-JP"/>
        </w:rPr>
        <w:t>PLoS ONE</w:t>
      </w:r>
      <w:r w:rsidRPr="00F84263">
        <w:rPr>
          <w:lang w:val="en-US" w:eastAsia="ja-JP"/>
        </w:rPr>
        <w:t xml:space="preserve"> 10, 8, </w:t>
      </w:r>
      <w:r w:rsidRPr="00F84263">
        <w:rPr>
          <w:lang w:eastAsia="ja-JP"/>
        </w:rPr>
        <w:t>e0133915.</w:t>
      </w:r>
    </w:p>
    <w:p w14:paraId="28F87B1D" w14:textId="183608CA" w:rsidR="004B1CD8" w:rsidRDefault="004B1CD8" w:rsidP="004B1CD8">
      <w:pPr>
        <w:rPr>
          <w:lang w:val="en-US" w:eastAsia="ja-JP"/>
        </w:rPr>
      </w:pPr>
      <w:r w:rsidRPr="00F84263">
        <w:rPr>
          <w:lang w:val="en-US" w:eastAsia="ja-JP"/>
        </w:rPr>
        <w:t xml:space="preserve">McGregor HW, Legge S, Jones ME &amp; Johnson CN (2016) Extraterritorial hunting expeditions to intense fire scars by feral cats. </w:t>
      </w:r>
      <w:r w:rsidRPr="00F84263">
        <w:rPr>
          <w:i/>
          <w:lang w:val="en-US" w:eastAsia="ja-JP"/>
        </w:rPr>
        <w:t>Scientific Reports</w:t>
      </w:r>
      <w:r w:rsidRPr="00F84263">
        <w:rPr>
          <w:lang w:val="en-US" w:eastAsia="ja-JP"/>
        </w:rPr>
        <w:t xml:space="preserve"> 6, 22559.</w:t>
      </w:r>
    </w:p>
    <w:p w14:paraId="6BFBE56D" w14:textId="4C8921B5" w:rsidR="00260B3B" w:rsidRPr="00260B3B" w:rsidRDefault="00260B3B" w:rsidP="004B1CD8">
      <w:pPr>
        <w:rPr>
          <w:lang w:eastAsia="ja-JP"/>
        </w:rPr>
      </w:pPr>
      <w:r w:rsidRPr="00A910FA">
        <w:rPr>
          <w:lang w:eastAsia="ja-JP"/>
        </w:rPr>
        <w:t xml:space="preserve">Newton I (1994) The role of nest sites in limiting the numbers of hole-nesting birds: A review. </w:t>
      </w:r>
      <w:r w:rsidRPr="00A910FA">
        <w:rPr>
          <w:i/>
          <w:iCs/>
          <w:lang w:eastAsia="ja-JP"/>
        </w:rPr>
        <w:t>Biological Conservation</w:t>
      </w:r>
      <w:r w:rsidRPr="00A910FA">
        <w:rPr>
          <w:lang w:eastAsia="ja-JP"/>
        </w:rPr>
        <w:t xml:space="preserve"> 70, 3, 265-276.</w:t>
      </w:r>
    </w:p>
    <w:p w14:paraId="6670FB9B" w14:textId="36F1C238" w:rsidR="00944A89" w:rsidRDefault="00944A89" w:rsidP="00944A89">
      <w:r>
        <w:t xml:space="preserve">Noske RA (1982) </w:t>
      </w:r>
      <w:r w:rsidRPr="00944A89">
        <w:rPr>
          <w:i/>
          <w:iCs/>
        </w:rPr>
        <w:t>Comparative behaviour  and ecology of some Australian bark‐foraging birds.</w:t>
      </w:r>
      <w:r>
        <w:t xml:space="preserve"> PhD thesis. University of New England, Armidale, NSW.</w:t>
      </w:r>
    </w:p>
    <w:p w14:paraId="2AFBCA09" w14:textId="73B4AD17" w:rsidR="00AF1302" w:rsidRDefault="00AF1302" w:rsidP="00944A89">
      <w:r>
        <w:t xml:space="preserve">Olsen P, Weston M, </w:t>
      </w:r>
      <w:r w:rsidR="00F12A1B">
        <w:t xml:space="preserve">Tzaros C &amp; Silcocks A (2005) The state of Australia’s birds 2005. </w:t>
      </w:r>
      <w:r w:rsidR="00F12A1B" w:rsidRPr="00F12A1B">
        <w:rPr>
          <w:i/>
          <w:iCs/>
        </w:rPr>
        <w:t>Wingspan</w:t>
      </w:r>
      <w:r w:rsidR="00F12A1B">
        <w:rPr>
          <w:i/>
          <w:iCs/>
        </w:rPr>
        <w:t xml:space="preserve"> </w:t>
      </w:r>
      <w:r w:rsidR="00F12A1B">
        <w:t xml:space="preserve">15, 4, supplementary document. </w:t>
      </w:r>
    </w:p>
    <w:p w14:paraId="5EA50E5D" w14:textId="196E0BC1" w:rsidR="00260B3B" w:rsidRPr="00F12A1B" w:rsidRDefault="00260B3B" w:rsidP="00944A89">
      <w:pPr>
        <w:rPr>
          <w:lang w:eastAsia="ja-JP"/>
        </w:rPr>
      </w:pPr>
      <w:r w:rsidRPr="00260B3B">
        <w:rPr>
          <w:lang w:eastAsia="ja-JP"/>
        </w:rPr>
        <w:t xml:space="preserve">Salvo Aires F (2014) </w:t>
      </w:r>
      <w:r w:rsidRPr="00260B3B">
        <w:rPr>
          <w:i/>
          <w:iCs/>
          <w:lang w:eastAsia="ja-JP"/>
        </w:rPr>
        <w:t>Effects of woody weeds on fels and fire behaviour in Eastern Australian forests and woodlands</w:t>
      </w:r>
      <w:r w:rsidRPr="00260B3B">
        <w:rPr>
          <w:lang w:eastAsia="ja-JP"/>
        </w:rPr>
        <w:t>. PhD thesis, University of Sydney, Sydney.</w:t>
      </w:r>
    </w:p>
    <w:p w14:paraId="724336C8" w14:textId="5B6A8564" w:rsidR="00944A89" w:rsidRDefault="00944A89" w:rsidP="00944A89">
      <w:r>
        <w:t xml:space="preserve">Saunders ASJ (2018) Trends in woodland bird populations on the Cumberland plain, New South Wales, from long‐term datasets. </w:t>
      </w:r>
      <w:r w:rsidRPr="00944A89">
        <w:rPr>
          <w:i/>
          <w:iCs/>
        </w:rPr>
        <w:t>Australian Zoologist</w:t>
      </w:r>
      <w:r>
        <w:t xml:space="preserve"> 39, 675–697.</w:t>
      </w:r>
    </w:p>
    <w:p w14:paraId="17997D89" w14:textId="756147E2" w:rsidR="00944A89" w:rsidRDefault="00944A89" w:rsidP="00944A89">
      <w:r>
        <w:t>Schodde R</w:t>
      </w:r>
      <w:r w:rsidR="005F4DC1">
        <w:t xml:space="preserve"> &amp; </w:t>
      </w:r>
      <w:r>
        <w:t xml:space="preserve">Mason IJ (1999) </w:t>
      </w:r>
      <w:r w:rsidRPr="00944A89">
        <w:rPr>
          <w:i/>
          <w:iCs/>
        </w:rPr>
        <w:t>The Directory of Australian Birds: Passerines</w:t>
      </w:r>
      <w:r>
        <w:t>. CSIRO Publishing, Melbourne.</w:t>
      </w:r>
    </w:p>
    <w:p w14:paraId="0F6F0A0D" w14:textId="441992A5" w:rsidR="00F66CBB" w:rsidRDefault="00F66CBB" w:rsidP="00944A89">
      <w:r w:rsidRPr="00F66CBB">
        <w:lastRenderedPageBreak/>
        <w:t>Seddon J</w:t>
      </w:r>
      <w:r>
        <w:t>,</w:t>
      </w:r>
      <w:r w:rsidRPr="00F66CBB">
        <w:t xml:space="preserve"> Briggs</w:t>
      </w:r>
      <w:r>
        <w:t xml:space="preserve"> SV</w:t>
      </w:r>
      <w:r w:rsidRPr="00F66CBB">
        <w:t xml:space="preserve"> &amp; Doyle</w:t>
      </w:r>
      <w:r>
        <w:t xml:space="preserve"> SJ </w:t>
      </w:r>
      <w:r w:rsidRPr="00F66CBB">
        <w:t xml:space="preserve">(2003) Relationships between bird species and characteristics of woodland remnants in central New South Wales. </w:t>
      </w:r>
      <w:r w:rsidRPr="00F66CBB">
        <w:rPr>
          <w:i/>
          <w:iCs/>
        </w:rPr>
        <w:t>Pacific Conservation Biology</w:t>
      </w:r>
      <w:r>
        <w:t xml:space="preserve"> </w:t>
      </w:r>
      <w:r w:rsidRPr="00F66CBB">
        <w:t>9</w:t>
      </w:r>
      <w:r>
        <w:t>,</w:t>
      </w:r>
      <w:r w:rsidRPr="00F66CBB">
        <w:t xml:space="preserve"> 95</w:t>
      </w:r>
      <w:r>
        <w:t>–</w:t>
      </w:r>
      <w:r w:rsidRPr="00F66CBB">
        <w:t xml:space="preserve">119. </w:t>
      </w:r>
    </w:p>
    <w:p w14:paraId="323566C8" w14:textId="5A071088" w:rsidR="00307A7D" w:rsidRDefault="00307A7D" w:rsidP="00944A89">
      <w:r>
        <w:t xml:space="preserve">Stevens H (2001) </w:t>
      </w:r>
      <w:r w:rsidRPr="00307A7D">
        <w:t>Declining Biodiversity and Unsustainable Agricultural Production-Common Cause, Common Solution?</w:t>
      </w:r>
      <w:r>
        <w:t xml:space="preserve"> </w:t>
      </w:r>
      <w:r w:rsidRPr="00307A7D">
        <w:rPr>
          <w:i/>
          <w:iCs/>
        </w:rPr>
        <w:t>Science, Technology, Environment and Resources Group</w:t>
      </w:r>
      <w:r>
        <w:t>.</w:t>
      </w:r>
      <w:r w:rsidRPr="00307A7D">
        <w:t xml:space="preserve"> Research Paper 2 2001-02</w:t>
      </w:r>
      <w:r>
        <w:t xml:space="preserve">. </w:t>
      </w:r>
      <w:r w:rsidRPr="00307A7D">
        <w:t>Department of the Parliamentary Library</w:t>
      </w:r>
      <w:r>
        <w:t>, Canberra.</w:t>
      </w:r>
    </w:p>
    <w:p w14:paraId="02FB7C70" w14:textId="37F29139" w:rsidR="00944A89" w:rsidRDefault="00944A89" w:rsidP="00944A89">
      <w:r>
        <w:t xml:space="preserve">Szabo JK, Baxter PWJ, Vesk PA &amp; Possingham HP (2011) Paying the extinction debt: declining woodland birds in the Mount Lofty Ranges, South Australia. </w:t>
      </w:r>
      <w:r w:rsidRPr="00944A89">
        <w:rPr>
          <w:i/>
          <w:iCs/>
        </w:rPr>
        <w:t xml:space="preserve">Emu </w:t>
      </w:r>
      <w:r>
        <w:t>111, 59–70.</w:t>
      </w:r>
    </w:p>
    <w:p w14:paraId="6FBA1344" w14:textId="20CD9EF9" w:rsidR="004B1CD8" w:rsidRDefault="004B1CD8" w:rsidP="00944A89">
      <w:r w:rsidRPr="004B1CD8">
        <w:t>Ward M, Tulloch AIT, Radford JQ, Williams BA, Reside AE, Macdonald SL, Mayfield HJ, Maron M, Possingham HP, Vine SJ, O'Connor JL, Massingham EJ, Greenville AC, Woinarski JCZ, Garnett ST, Lintermans M, Scheele BC, Carwardine J, Nimmo DG, Lindenmayer DB, Kooyman RM, Simmonds JS, Sonter LJ &amp; Watson JEM (2020) Impact of 2019-2020 mega-fires on Australian fauna habitat. Nature Ecology &amp; Evolution 4, 1321–1326.</w:t>
      </w:r>
    </w:p>
    <w:p w14:paraId="5CDAF1CA" w14:textId="14EFE899" w:rsidR="00944A89" w:rsidRDefault="00944A89" w:rsidP="00944A89">
      <w:r>
        <w:t xml:space="preserve">Watson DM (2011) A productivity‐based explanation for woodland bird declines: poorer soils yield less food. </w:t>
      </w:r>
      <w:r w:rsidRPr="00944A89">
        <w:rPr>
          <w:i/>
          <w:iCs/>
        </w:rPr>
        <w:t xml:space="preserve">Emu </w:t>
      </w:r>
      <w:r>
        <w:t>111, 10–18.</w:t>
      </w:r>
    </w:p>
    <w:p w14:paraId="03E0767B" w14:textId="633DEE53" w:rsidR="00944A89" w:rsidRDefault="00944A89" w:rsidP="00944A89">
      <w:r>
        <w:t xml:space="preserve">Willson A &amp; Bignall J (2009) </w:t>
      </w:r>
      <w:r w:rsidRPr="00944A89">
        <w:rPr>
          <w:i/>
          <w:iCs/>
        </w:rPr>
        <w:t>Regional recovery plan for threatened species and ecological communities of Adelaide and the Mount Lofty Ranges, South Australia</w:t>
      </w:r>
      <w:r>
        <w:t>. Department for Environment and Heritage, South Australia.</w:t>
      </w:r>
    </w:p>
    <w:p w14:paraId="189308D5" w14:textId="42192C4C" w:rsidR="002D49D6" w:rsidRDefault="002D49D6" w:rsidP="002D49D6">
      <w:pPr>
        <w:rPr>
          <w:shd w:val="clear" w:color="auto" w:fill="FFFFFF"/>
        </w:rPr>
      </w:pPr>
      <w:r>
        <w:rPr>
          <w:shd w:val="clear" w:color="auto" w:fill="FFFFFF"/>
        </w:rPr>
        <w:t>Woinarski</w:t>
      </w:r>
      <w:r w:rsidR="00CC3164">
        <w:rPr>
          <w:shd w:val="clear" w:color="auto" w:fill="FFFFFF"/>
        </w:rPr>
        <w:t xml:space="preserve"> JC</w:t>
      </w:r>
      <w:r w:rsidR="00CD7EDA">
        <w:rPr>
          <w:shd w:val="clear" w:color="auto" w:fill="FFFFFF"/>
        </w:rPr>
        <w:t>Z</w:t>
      </w:r>
      <w:r>
        <w:rPr>
          <w:shd w:val="clear" w:color="auto" w:fill="FFFFFF"/>
        </w:rPr>
        <w:t>, Burbidge</w:t>
      </w:r>
      <w:r w:rsidR="00CC3164">
        <w:rPr>
          <w:shd w:val="clear" w:color="auto" w:fill="FFFFFF"/>
        </w:rPr>
        <w:t xml:space="preserve"> AH</w:t>
      </w:r>
      <w:r>
        <w:rPr>
          <w:shd w:val="clear" w:color="auto" w:fill="FFFFFF"/>
        </w:rPr>
        <w:t>, Comer</w:t>
      </w:r>
      <w:r w:rsidR="00CC3164">
        <w:rPr>
          <w:shd w:val="clear" w:color="auto" w:fill="FFFFFF"/>
        </w:rPr>
        <w:t xml:space="preserve"> </w:t>
      </w:r>
      <w:r>
        <w:rPr>
          <w:shd w:val="clear" w:color="auto" w:fill="FFFFFF"/>
        </w:rPr>
        <w:t>S, Harley D, Legge</w:t>
      </w:r>
      <w:r w:rsidR="00CC3164">
        <w:rPr>
          <w:shd w:val="clear" w:color="auto" w:fill="FFFFFF"/>
        </w:rPr>
        <w:t xml:space="preserve"> </w:t>
      </w:r>
      <w:r>
        <w:rPr>
          <w:shd w:val="clear" w:color="auto" w:fill="FFFFFF"/>
        </w:rPr>
        <w:t>S, Lindenmayer D</w:t>
      </w:r>
      <w:r w:rsidR="00CC3164">
        <w:rPr>
          <w:shd w:val="clear" w:color="auto" w:fill="FFFFFF"/>
        </w:rPr>
        <w:t>B</w:t>
      </w:r>
      <w:r>
        <w:rPr>
          <w:shd w:val="clear" w:color="auto" w:fill="FFFFFF"/>
        </w:rPr>
        <w:t xml:space="preserve"> &amp; Partridge </w:t>
      </w:r>
      <w:r w:rsidR="00CC3164">
        <w:rPr>
          <w:shd w:val="clear" w:color="auto" w:fill="FFFFFF"/>
        </w:rPr>
        <w:t>TB</w:t>
      </w:r>
      <w:r>
        <w:rPr>
          <w:shd w:val="clear" w:color="auto" w:fill="FFFFFF"/>
        </w:rPr>
        <w:t xml:space="preserve"> (2015) Fire and biodiversity in Australia. In</w:t>
      </w:r>
      <w:r w:rsidR="00CC3164">
        <w:rPr>
          <w:shd w:val="clear" w:color="auto" w:fill="FFFFFF"/>
        </w:rPr>
        <w:t xml:space="preserve"> </w:t>
      </w:r>
      <w:r>
        <w:rPr>
          <w:shd w:val="clear" w:color="auto" w:fill="FFFFFF"/>
        </w:rPr>
        <w:t>Stow</w:t>
      </w:r>
      <w:r w:rsidR="00CC3164">
        <w:rPr>
          <w:shd w:val="clear" w:color="auto" w:fill="FFFFFF"/>
        </w:rPr>
        <w:t xml:space="preserve"> A</w:t>
      </w:r>
      <w:r>
        <w:rPr>
          <w:shd w:val="clear" w:color="auto" w:fill="FFFFFF"/>
        </w:rPr>
        <w:t>, McLean</w:t>
      </w:r>
      <w:r w:rsidR="00CC3164">
        <w:rPr>
          <w:shd w:val="clear" w:color="auto" w:fill="FFFFFF"/>
        </w:rPr>
        <w:t xml:space="preserve"> N </w:t>
      </w:r>
      <w:r>
        <w:rPr>
          <w:shd w:val="clear" w:color="auto" w:fill="FFFFFF"/>
        </w:rPr>
        <w:t>&amp; Holwell</w:t>
      </w:r>
      <w:r w:rsidR="00CC3164">
        <w:rPr>
          <w:shd w:val="clear" w:color="auto" w:fill="FFFFFF"/>
        </w:rPr>
        <w:t xml:space="preserve"> GI</w:t>
      </w:r>
      <w:r>
        <w:rPr>
          <w:shd w:val="clear" w:color="auto" w:fill="FFFFFF"/>
        </w:rPr>
        <w:t xml:space="preserve"> (Eds.)</w:t>
      </w:r>
      <w:r w:rsidR="005F4DC1">
        <w:rPr>
          <w:shd w:val="clear" w:color="auto" w:fill="FFFFFF"/>
        </w:rPr>
        <w:t xml:space="preserve"> </w:t>
      </w:r>
      <w:r w:rsidRPr="00CC3164">
        <w:rPr>
          <w:i/>
          <w:iCs/>
        </w:rPr>
        <w:t>Austral Ark: The State of Wildlife in Australia and New Zealand</w:t>
      </w:r>
      <w:r w:rsidRPr="00CC3164">
        <w:t> (pp. 537-559). Cambridge U</w:t>
      </w:r>
      <w:r>
        <w:rPr>
          <w:shd w:val="clear" w:color="auto" w:fill="FFFFFF"/>
        </w:rPr>
        <w:t>niversity Press.</w:t>
      </w:r>
    </w:p>
    <w:p w14:paraId="5BC6861B" w14:textId="21557B16" w:rsidR="00CD7EDA" w:rsidRDefault="00CD7EDA" w:rsidP="00CD7EDA">
      <w:pPr>
        <w:rPr>
          <w:lang w:eastAsia="ja-JP"/>
        </w:rPr>
        <w:sectPr w:rsidR="00CD7EDA" w:rsidSect="005208A6">
          <w:pgSz w:w="11906" w:h="16838"/>
          <w:pgMar w:top="1418" w:right="1418" w:bottom="1418" w:left="1418" w:header="567" w:footer="284" w:gutter="0"/>
          <w:cols w:space="708"/>
          <w:titlePg/>
          <w:docGrid w:linePitch="360"/>
        </w:sectPr>
      </w:pPr>
      <w:r>
        <w:rPr>
          <w:lang w:eastAsia="ja-JP"/>
        </w:rPr>
        <w:t xml:space="preserve">Woinarski JCZ, Woolley LA, Garnett ST, Legge SM, Murphy BP, Lawes MJ, Comer S, Dickman CR, Doherty TS, Edwards G, Nankivill A, Palmer R &amp; Paton D (2017) Compilation and traits of Australian bird species killed by cats. </w:t>
      </w:r>
      <w:r w:rsidRPr="00CD14C8">
        <w:rPr>
          <w:i/>
          <w:iCs/>
          <w:lang w:eastAsia="ja-JP"/>
        </w:rPr>
        <w:t>Biological Conservation</w:t>
      </w:r>
      <w:r>
        <w:rPr>
          <w:lang w:eastAsia="ja-JP"/>
        </w:rPr>
        <w:t xml:space="preserve"> 216, 1–9</w:t>
      </w:r>
    </w:p>
    <w:p w14:paraId="3DE7205B" w14:textId="4E6537B5" w:rsidR="003A06CA" w:rsidRDefault="003A06CA" w:rsidP="003A06CA">
      <w:pPr>
        <w:pStyle w:val="Heading2"/>
        <w:pageBreakBefore/>
        <w:ind w:left="720" w:hanging="720"/>
      </w:pPr>
      <w:r>
        <w:lastRenderedPageBreak/>
        <w:t xml:space="preserve">Attachment A: Listing </w:t>
      </w:r>
      <w:r w:rsidR="0012461E">
        <w:t>A</w:t>
      </w:r>
      <w:r>
        <w:t xml:space="preserve">ssessment for </w:t>
      </w:r>
      <w:r w:rsidR="00726F67" w:rsidRPr="00726F67">
        <w:rPr>
          <w:i/>
          <w:iCs/>
        </w:rPr>
        <w:t>Climacteris picumnus victoriae</w:t>
      </w:r>
    </w:p>
    <w:p w14:paraId="3DF48A63" w14:textId="2AE1A40B" w:rsidR="003A06CA" w:rsidRDefault="003A06CA" w:rsidP="00933A0D">
      <w:pPr>
        <w:pStyle w:val="Heading3"/>
        <w:ind w:left="964" w:hanging="964"/>
        <w:rPr>
          <w:lang w:eastAsia="ja-JP"/>
        </w:rPr>
      </w:pPr>
      <w:r>
        <w:rPr>
          <w:lang w:eastAsia="ja-JP"/>
        </w:rPr>
        <w:t>Reason for assessment</w:t>
      </w:r>
    </w:p>
    <w:p w14:paraId="1ECBE028" w14:textId="5DC63642" w:rsidR="004D61C9" w:rsidRDefault="003A06CA" w:rsidP="00B4649B">
      <w:pPr>
        <w:rPr>
          <w:lang w:eastAsia="ja-JP"/>
        </w:rPr>
      </w:pPr>
      <w:r w:rsidRPr="00726F67">
        <w:t>This assessment follows</w:t>
      </w:r>
      <w:r w:rsidRPr="00726F67">
        <w:rPr>
          <w:lang w:eastAsia="ja-JP"/>
        </w:rPr>
        <w:t xml:space="preserve"> prioritisation of a nomination from the TSSC</w:t>
      </w:r>
      <w:r w:rsidR="00E15C08">
        <w:rPr>
          <w:lang w:eastAsia="ja-JP"/>
        </w:rPr>
        <w:t>.</w:t>
      </w:r>
    </w:p>
    <w:p w14:paraId="4BD554CD" w14:textId="77777777" w:rsidR="003A06CA" w:rsidRDefault="003A06CA" w:rsidP="004D61C9">
      <w:pPr>
        <w:pStyle w:val="Heading3"/>
        <w:ind w:left="964" w:hanging="964"/>
        <w:rPr>
          <w:lang w:eastAsia="ja-JP"/>
        </w:rPr>
      </w:pPr>
      <w:r>
        <w:rPr>
          <w:lang w:eastAsia="ja-JP"/>
        </w:rPr>
        <w:t>Assessment of eligibility for listing</w:t>
      </w:r>
    </w:p>
    <w:p w14:paraId="32C39848" w14:textId="7FAD4FEE" w:rsidR="003A06CA" w:rsidRDefault="003A06CA" w:rsidP="003A06CA">
      <w:pPr>
        <w:rPr>
          <w:lang w:eastAsia="ja-JP"/>
        </w:rPr>
      </w:pPr>
      <w:r>
        <w:rPr>
          <w:lang w:eastAsia="ja-JP"/>
        </w:rPr>
        <w:t xml:space="preserve">This assessment uses the criteria set out in the </w:t>
      </w:r>
      <w:hyperlink r:id="rId35" w:history="1">
        <w:r w:rsidRPr="00C77CE3">
          <w:rPr>
            <w:rStyle w:val="Hyperlink"/>
            <w:lang w:eastAsia="ja-JP"/>
          </w:rPr>
          <w:t>EPBC Regulations</w:t>
        </w:r>
      </w:hyperlink>
      <w:r>
        <w:rPr>
          <w:lang w:eastAsia="ja-JP"/>
        </w:rPr>
        <w:t xml:space="preserve">. The thresholds used correspond with those in the </w:t>
      </w:r>
      <w:hyperlink r:id="rId3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7B700CF" w14:textId="77777777" w:rsidR="0077351A" w:rsidRDefault="0077351A" w:rsidP="0077351A">
      <w:pPr>
        <w:pStyle w:val="Heading3"/>
        <w:rPr>
          <w:lang w:eastAsia="ja-JP"/>
        </w:rPr>
      </w:pPr>
      <w:r>
        <w:rPr>
          <w:lang w:eastAsia="ja-JP"/>
        </w:rPr>
        <w:t>Key assessment parameters</w:t>
      </w:r>
    </w:p>
    <w:p w14:paraId="64C65BB3" w14:textId="13151A71" w:rsidR="007019A7" w:rsidRDefault="0077351A" w:rsidP="0077351A">
      <w:pPr>
        <w:rPr>
          <w:lang w:eastAsia="ja-JP"/>
        </w:rPr>
      </w:pPr>
      <w:r>
        <w:rPr>
          <w:lang w:eastAsia="ja-JP"/>
        </w:rPr>
        <w:t xml:space="preserve">Table </w:t>
      </w:r>
      <w:r w:rsidR="006C1A3B">
        <w:rPr>
          <w:lang w:eastAsia="ja-JP"/>
        </w:rPr>
        <w:t>4</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7AF78410" w14:textId="0CBEF558" w:rsidR="0077351A" w:rsidRPr="009502E2" w:rsidRDefault="0077351A" w:rsidP="0077351A">
      <w:pPr>
        <w:pStyle w:val="Caption"/>
      </w:pPr>
      <w:r w:rsidRPr="009502E2">
        <w:t xml:space="preserve">Table </w:t>
      </w:r>
      <w:r w:rsidR="006C1A3B">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146D603B" w14:textId="77777777" w:rsidTr="00852A71">
        <w:trPr>
          <w:tblHeader/>
        </w:trPr>
        <w:tc>
          <w:tcPr>
            <w:tcW w:w="1741" w:type="dxa"/>
          </w:tcPr>
          <w:p w14:paraId="073179F2" w14:textId="4E80A894" w:rsidR="00CD441B" w:rsidRPr="00D20C80" w:rsidRDefault="00CD441B" w:rsidP="00E15C08">
            <w:pPr>
              <w:pStyle w:val="TableHeading"/>
              <w:keepNext w:val="0"/>
            </w:pPr>
            <w:r w:rsidRPr="00D20C80">
              <w:t>Metric</w:t>
            </w:r>
          </w:p>
        </w:tc>
        <w:tc>
          <w:tcPr>
            <w:tcW w:w="1422" w:type="dxa"/>
          </w:tcPr>
          <w:p w14:paraId="101FF3E3" w14:textId="31E3B1DB" w:rsidR="00CD441B" w:rsidRPr="00D20C80" w:rsidRDefault="00CD441B" w:rsidP="00E15C08">
            <w:pPr>
              <w:pStyle w:val="TableHeading"/>
              <w:keepNext w:val="0"/>
            </w:pPr>
            <w:r w:rsidRPr="00D20C80">
              <w:t>Estimate</w:t>
            </w:r>
            <w:r w:rsidR="00E22344">
              <w:t xml:space="preserve"> used in the assessment</w:t>
            </w:r>
          </w:p>
        </w:tc>
        <w:tc>
          <w:tcPr>
            <w:tcW w:w="1409" w:type="dxa"/>
          </w:tcPr>
          <w:p w14:paraId="34DBFD12" w14:textId="30E67D3E" w:rsidR="00CD441B" w:rsidRPr="00D20C80" w:rsidRDefault="00CD441B" w:rsidP="00E15C08">
            <w:pPr>
              <w:pStyle w:val="TableHeading"/>
              <w:keepNext w:val="0"/>
            </w:pPr>
            <w:r w:rsidRPr="00D20C80">
              <w:t>Minimum</w:t>
            </w:r>
            <w:r w:rsidR="00E22344">
              <w:t xml:space="preserve"> plausible value</w:t>
            </w:r>
          </w:p>
        </w:tc>
        <w:tc>
          <w:tcPr>
            <w:tcW w:w="1414" w:type="dxa"/>
          </w:tcPr>
          <w:p w14:paraId="76885874" w14:textId="063D4ED0" w:rsidR="00CD441B" w:rsidRPr="00D20C80" w:rsidRDefault="00CD441B" w:rsidP="00E15C08">
            <w:pPr>
              <w:pStyle w:val="TableHeading"/>
              <w:keepNext w:val="0"/>
            </w:pPr>
            <w:r w:rsidRPr="00D20C80">
              <w:t>Maximum</w:t>
            </w:r>
            <w:r w:rsidR="00E22344">
              <w:t xml:space="preserve"> plausible value</w:t>
            </w:r>
          </w:p>
        </w:tc>
        <w:tc>
          <w:tcPr>
            <w:tcW w:w="3074" w:type="dxa"/>
          </w:tcPr>
          <w:p w14:paraId="57D4A93D" w14:textId="5761FE78" w:rsidR="00CD441B" w:rsidRPr="00D20C80" w:rsidRDefault="00CD441B" w:rsidP="00E15C08">
            <w:pPr>
              <w:pStyle w:val="TableHeading"/>
              <w:keepNext w:val="0"/>
            </w:pPr>
            <w:r w:rsidRPr="00D20C80">
              <w:t>Justification</w:t>
            </w:r>
          </w:p>
        </w:tc>
      </w:tr>
      <w:tr w:rsidR="00D37773" w14:paraId="0DA57CB2" w14:textId="77777777" w:rsidTr="00852A71">
        <w:tc>
          <w:tcPr>
            <w:tcW w:w="1741" w:type="dxa"/>
          </w:tcPr>
          <w:p w14:paraId="34DDD149" w14:textId="77777777" w:rsidR="00D37773" w:rsidRDefault="00D37773" w:rsidP="002E31FA">
            <w:pPr>
              <w:pStyle w:val="TableHeading"/>
              <w:keepNext w:val="0"/>
              <w:rPr>
                <w:rStyle w:val="Strong"/>
                <w:b/>
                <w:bCs w:val="0"/>
              </w:rPr>
            </w:pPr>
            <w:r w:rsidRPr="00D20C80">
              <w:rPr>
                <w:rStyle w:val="Strong"/>
                <w:b/>
                <w:bCs w:val="0"/>
              </w:rPr>
              <w:t>Number of mature individuals</w:t>
            </w:r>
          </w:p>
          <w:p w14:paraId="3CB2B08A" w14:textId="1C0CA00B" w:rsidR="00D37773" w:rsidRPr="00D20C80" w:rsidRDefault="00D37773" w:rsidP="001376F1">
            <w:pPr>
              <w:pStyle w:val="TableText"/>
              <w:rPr>
                <w:rStyle w:val="Strong"/>
                <w:b w:val="0"/>
                <w:bCs w:val="0"/>
              </w:rPr>
            </w:pPr>
          </w:p>
        </w:tc>
        <w:tc>
          <w:tcPr>
            <w:tcW w:w="1422" w:type="dxa"/>
            <w:shd w:val="clear" w:color="auto" w:fill="auto"/>
          </w:tcPr>
          <w:p w14:paraId="2E2B81DD" w14:textId="77D4B779" w:rsidR="00D37773" w:rsidRDefault="00042016" w:rsidP="002E31FA">
            <w:pPr>
              <w:pStyle w:val="TableText"/>
            </w:pPr>
            <w:r>
              <w:t>68,000</w:t>
            </w:r>
          </w:p>
        </w:tc>
        <w:tc>
          <w:tcPr>
            <w:tcW w:w="1409" w:type="dxa"/>
            <w:shd w:val="clear" w:color="auto" w:fill="auto"/>
          </w:tcPr>
          <w:p w14:paraId="5621CC0F" w14:textId="53F8EFD5" w:rsidR="00D37773" w:rsidRDefault="00042016" w:rsidP="002E31FA">
            <w:pPr>
              <w:pStyle w:val="TableText"/>
            </w:pPr>
            <w:r>
              <w:t>36,000</w:t>
            </w:r>
          </w:p>
        </w:tc>
        <w:tc>
          <w:tcPr>
            <w:tcW w:w="1414" w:type="dxa"/>
            <w:shd w:val="clear" w:color="auto" w:fill="auto"/>
          </w:tcPr>
          <w:p w14:paraId="699E2DF1" w14:textId="24368962" w:rsidR="00D37773" w:rsidRDefault="00042016" w:rsidP="002E31FA">
            <w:pPr>
              <w:pStyle w:val="TableText"/>
            </w:pPr>
            <w:r>
              <w:t>113,000</w:t>
            </w:r>
          </w:p>
        </w:tc>
        <w:tc>
          <w:tcPr>
            <w:tcW w:w="3074" w:type="dxa"/>
            <w:shd w:val="clear" w:color="auto" w:fill="auto"/>
          </w:tcPr>
          <w:p w14:paraId="337BE5BC" w14:textId="44809C71" w:rsidR="00AB18AF" w:rsidRDefault="00033F38" w:rsidP="00AB18AF">
            <w:pPr>
              <w:pStyle w:val="TableText"/>
            </w:pPr>
            <w:r>
              <w:t xml:space="preserve">The population estimate of Brown Treecreepers (south-eastern) is the product of the three measures </w:t>
            </w:r>
            <w:r w:rsidR="009A12A9">
              <w:t xml:space="preserve">of </w:t>
            </w:r>
            <w:r>
              <w:t>AOO and the density recorded in 2 ha 20 min surveys (2.34/2 ha ± SD 1.93;</w:t>
            </w:r>
            <w:r w:rsidR="00E85F7C">
              <w:t xml:space="preserve"> </w:t>
            </w:r>
            <w:r>
              <w:t>BirdLife Australia</w:t>
            </w:r>
            <w:r w:rsidR="004C1A13">
              <w:t xml:space="preserve"> cited in Ford et al. 2021</w:t>
            </w:r>
            <w:r>
              <w:t>)</w:t>
            </w:r>
            <w:r w:rsidR="00217BCE">
              <w:t>.</w:t>
            </w:r>
          </w:p>
          <w:p w14:paraId="4BC29317" w14:textId="1D9B3D11" w:rsidR="00AB18AF" w:rsidRDefault="00AB18AF" w:rsidP="00AB18AF">
            <w:pPr>
              <w:pStyle w:val="TableText"/>
            </w:pPr>
            <w:r>
              <w:t>S</w:t>
            </w:r>
            <w:r w:rsidRPr="00844475">
              <w:t xml:space="preserve">tudies by Ford and others have shown that </w:t>
            </w:r>
            <w:r>
              <w:t>Brown Treecreepers (south-eastern)</w:t>
            </w:r>
            <w:r w:rsidRPr="00844475">
              <w:t xml:space="preserve"> tend to persist only in substantial areas of remnant habitat, so it is assumed that, if they are present at all, there must have been at least 20 ha of suitable habitat within the patch where they were observed</w:t>
            </w:r>
            <w:r>
              <w:t xml:space="preserve"> (S Garnett pers. comm. 9 Nov 2021)</w:t>
            </w:r>
            <w:r w:rsidRPr="00844475">
              <w:t>.</w:t>
            </w:r>
            <w:r w:rsidR="00093DC4">
              <w:t xml:space="preserve"> Therefore,</w:t>
            </w:r>
            <w:r>
              <w:t xml:space="preserve"> </w:t>
            </w:r>
            <w:r w:rsidR="00093DC4">
              <w:t>e</w:t>
            </w:r>
            <w:r w:rsidR="00093DC4" w:rsidRPr="2761FEF7">
              <w:rPr>
                <w:lang w:eastAsia="ja-JP"/>
              </w:rPr>
              <w:t xml:space="preserve">ach 2x2 km square contributing to the AOO is assumed to indicate </w:t>
            </w:r>
            <w:r w:rsidR="00093DC4">
              <w:rPr>
                <w:lang w:eastAsia="ja-JP"/>
              </w:rPr>
              <w:t>20</w:t>
            </w:r>
            <w:r w:rsidR="00093DC4" w:rsidRPr="2761FEF7">
              <w:rPr>
                <w:lang w:eastAsia="ja-JP"/>
              </w:rPr>
              <w:t xml:space="preserve"> ha of suitable habitat</w:t>
            </w:r>
            <w:r w:rsidR="00093DC4">
              <w:rPr>
                <w:lang w:eastAsia="ja-JP"/>
              </w:rPr>
              <w:t xml:space="preserve"> </w:t>
            </w:r>
            <w:r w:rsidR="00093DC4" w:rsidRPr="00DD230F">
              <w:t>(S Garnett pers. comm. 9 Nov 2021).</w:t>
            </w:r>
          </w:p>
          <w:p w14:paraId="7455763A" w14:textId="33292022" w:rsidR="004C1A13" w:rsidRDefault="004C1A13" w:rsidP="00AB18AF">
            <w:pPr>
              <w:pStyle w:val="TableText"/>
            </w:pPr>
            <w:r>
              <w:t>The reliability of this population estimate is low (S Garnett pers. comm. 9 Nov 2021).</w:t>
            </w:r>
          </w:p>
        </w:tc>
      </w:tr>
      <w:tr w:rsidR="00D37773" w14:paraId="491102AF" w14:textId="77777777" w:rsidTr="00852A71">
        <w:tc>
          <w:tcPr>
            <w:tcW w:w="1741" w:type="dxa"/>
          </w:tcPr>
          <w:p w14:paraId="20AD6240"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145F1D8B" w14:textId="4D67994B" w:rsidR="00D37773" w:rsidRDefault="008F30CC" w:rsidP="001376F1">
            <w:pPr>
              <w:pStyle w:val="TableText"/>
            </w:pPr>
            <w:r>
              <w:t>Declining</w:t>
            </w:r>
          </w:p>
        </w:tc>
        <w:tc>
          <w:tcPr>
            <w:tcW w:w="3074" w:type="dxa"/>
            <w:shd w:val="clear" w:color="auto" w:fill="auto"/>
          </w:tcPr>
          <w:p w14:paraId="1FFD0762" w14:textId="1410C1E7" w:rsidR="00D37773" w:rsidRDefault="00195A27" w:rsidP="00195A27">
            <w:pPr>
              <w:pStyle w:val="TableText"/>
              <w:rPr>
                <w:lang w:eastAsia="ja-JP"/>
              </w:rPr>
            </w:pPr>
            <w:r>
              <w:rPr>
                <w:lang w:eastAsia="ja-JP"/>
              </w:rPr>
              <w:t>There is evidence of sustained population declines (</w:t>
            </w:r>
            <w:r w:rsidR="000D0A29">
              <w:rPr>
                <w:lang w:eastAsia="ja-JP"/>
              </w:rPr>
              <w:t>Ford et al. 2021</w:t>
            </w:r>
            <w:r w:rsidR="007E03DB">
              <w:t>)</w:t>
            </w:r>
            <w:r w:rsidR="0087631E">
              <w:t>. The reliability of this estimate is medium (Ford et al. 2021).</w:t>
            </w:r>
          </w:p>
        </w:tc>
      </w:tr>
      <w:tr w:rsidR="00D37773" w14:paraId="24001EB2" w14:textId="77777777" w:rsidTr="00852A71">
        <w:tc>
          <w:tcPr>
            <w:tcW w:w="1741" w:type="dxa"/>
          </w:tcPr>
          <w:p w14:paraId="005ACCEE"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36746508" w14:textId="1A13BE68" w:rsidR="00D37773" w:rsidRDefault="008F30CC" w:rsidP="002E31FA">
            <w:pPr>
              <w:pStyle w:val="TableText"/>
            </w:pPr>
            <w:r>
              <w:t>4.9</w:t>
            </w:r>
          </w:p>
        </w:tc>
        <w:tc>
          <w:tcPr>
            <w:tcW w:w="1409" w:type="dxa"/>
            <w:shd w:val="clear" w:color="auto" w:fill="auto"/>
          </w:tcPr>
          <w:p w14:paraId="2A54C1F2" w14:textId="627E0402" w:rsidR="00D37773" w:rsidRDefault="008F30CC" w:rsidP="002E31FA">
            <w:pPr>
              <w:pStyle w:val="TableText"/>
            </w:pPr>
            <w:r>
              <w:t>4.7</w:t>
            </w:r>
          </w:p>
        </w:tc>
        <w:tc>
          <w:tcPr>
            <w:tcW w:w="1414" w:type="dxa"/>
            <w:shd w:val="clear" w:color="auto" w:fill="auto"/>
          </w:tcPr>
          <w:p w14:paraId="10A12135" w14:textId="08B860AE" w:rsidR="00D37773" w:rsidRDefault="008F30CC" w:rsidP="002E31FA">
            <w:pPr>
              <w:pStyle w:val="TableText"/>
            </w:pPr>
            <w:r>
              <w:t>5.1</w:t>
            </w:r>
          </w:p>
        </w:tc>
        <w:tc>
          <w:tcPr>
            <w:tcW w:w="3074" w:type="dxa"/>
            <w:shd w:val="clear" w:color="auto" w:fill="auto"/>
          </w:tcPr>
          <w:p w14:paraId="10839BE3" w14:textId="52F5A997" w:rsidR="00D37773" w:rsidRDefault="008F30CC" w:rsidP="002E31FA">
            <w:pPr>
              <w:pStyle w:val="TableText"/>
            </w:pPr>
            <w:r>
              <w:t xml:space="preserve">Bird et al. </w:t>
            </w:r>
            <w:r w:rsidR="00582D62">
              <w:t>(</w:t>
            </w:r>
            <w:r>
              <w:t>2020)</w:t>
            </w:r>
            <w:r w:rsidR="00D05085">
              <w:t>. The reliability of this estimate is high.</w:t>
            </w:r>
          </w:p>
        </w:tc>
      </w:tr>
      <w:tr w:rsidR="00CD441B" w14:paraId="6C8B1E3C" w14:textId="77777777" w:rsidTr="00852A71">
        <w:tc>
          <w:tcPr>
            <w:tcW w:w="1741" w:type="dxa"/>
          </w:tcPr>
          <w:p w14:paraId="0EA0F9EC" w14:textId="7439BF06" w:rsidR="00CD441B" w:rsidRPr="00A50415" w:rsidRDefault="00CD441B" w:rsidP="00A50415">
            <w:pPr>
              <w:pStyle w:val="TableHeading"/>
              <w:keepNext w:val="0"/>
              <w:rPr>
                <w:rStyle w:val="Strong"/>
                <w:b/>
                <w:sz w:val="22"/>
              </w:rPr>
            </w:pPr>
            <w:r w:rsidRPr="00D20C80">
              <w:rPr>
                <w:rStyle w:val="Strong"/>
                <w:b/>
                <w:bCs w:val="0"/>
              </w:rPr>
              <w:lastRenderedPageBreak/>
              <w:t>Extent of occurrence</w:t>
            </w:r>
          </w:p>
        </w:tc>
        <w:tc>
          <w:tcPr>
            <w:tcW w:w="1422" w:type="dxa"/>
            <w:shd w:val="clear" w:color="auto" w:fill="auto"/>
          </w:tcPr>
          <w:p w14:paraId="3B38010C" w14:textId="0803BAF4" w:rsidR="00CD441B" w:rsidRDefault="00216FE6" w:rsidP="00FD515C">
            <w:pPr>
              <w:pStyle w:val="TableText"/>
            </w:pPr>
            <w:r>
              <w:t>1,100,000 km</w:t>
            </w:r>
            <w:r w:rsidRPr="00216FE6">
              <w:rPr>
                <w:vertAlign w:val="superscript"/>
              </w:rPr>
              <w:t>2</w:t>
            </w:r>
          </w:p>
        </w:tc>
        <w:tc>
          <w:tcPr>
            <w:tcW w:w="1409" w:type="dxa"/>
            <w:shd w:val="clear" w:color="auto" w:fill="auto"/>
          </w:tcPr>
          <w:p w14:paraId="6E8CF077" w14:textId="0B815578" w:rsidR="00CD441B" w:rsidRDefault="00216FE6" w:rsidP="00FD515C">
            <w:pPr>
              <w:pStyle w:val="TableText"/>
            </w:pPr>
            <w:r>
              <w:t>1,000,000 km</w:t>
            </w:r>
            <w:r w:rsidRPr="00216FE6">
              <w:rPr>
                <w:vertAlign w:val="superscript"/>
              </w:rPr>
              <w:t>2</w:t>
            </w:r>
          </w:p>
        </w:tc>
        <w:tc>
          <w:tcPr>
            <w:tcW w:w="1414" w:type="dxa"/>
            <w:shd w:val="clear" w:color="auto" w:fill="auto"/>
          </w:tcPr>
          <w:p w14:paraId="2FF1ED88" w14:textId="3F0319FE" w:rsidR="00CD441B" w:rsidRDefault="00216FE6" w:rsidP="00FD515C">
            <w:pPr>
              <w:pStyle w:val="TableText"/>
            </w:pPr>
            <w:r>
              <w:t>1,200,000 km</w:t>
            </w:r>
            <w:r w:rsidRPr="00216FE6">
              <w:rPr>
                <w:vertAlign w:val="superscript"/>
              </w:rPr>
              <w:t>2</w:t>
            </w:r>
          </w:p>
        </w:tc>
        <w:tc>
          <w:tcPr>
            <w:tcW w:w="3074" w:type="dxa"/>
            <w:shd w:val="clear" w:color="auto" w:fill="auto"/>
          </w:tcPr>
          <w:p w14:paraId="77F0D0E7" w14:textId="2B999880" w:rsidR="00CD441B" w:rsidRDefault="000D0A29" w:rsidP="00FD515C">
            <w:pPr>
              <w:pStyle w:val="TableText"/>
            </w:pPr>
            <w:r>
              <w:rPr>
                <w:lang w:eastAsia="ja-JP"/>
              </w:rPr>
              <w:t>Ford et al. (2021</w:t>
            </w:r>
            <w:r>
              <w:t>)</w:t>
            </w:r>
            <w:r w:rsidR="0087631E">
              <w:t>. The reliability of this estimate is high (Ford et al. 2021).</w:t>
            </w:r>
          </w:p>
        </w:tc>
      </w:tr>
      <w:tr w:rsidR="00CD441B" w14:paraId="140A329E" w14:textId="77777777" w:rsidTr="00852A71">
        <w:tc>
          <w:tcPr>
            <w:tcW w:w="1741" w:type="dxa"/>
          </w:tcPr>
          <w:p w14:paraId="3013C86D"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D43CEDF" w14:textId="1601D314" w:rsidR="00CD441B" w:rsidRDefault="00216FE6" w:rsidP="00FD515C">
            <w:pPr>
              <w:pStyle w:val="TableText"/>
            </w:pPr>
            <w:r>
              <w:t>Stable</w:t>
            </w:r>
          </w:p>
        </w:tc>
        <w:tc>
          <w:tcPr>
            <w:tcW w:w="3074" w:type="dxa"/>
            <w:shd w:val="clear" w:color="auto" w:fill="auto"/>
          </w:tcPr>
          <w:p w14:paraId="6A492B2C" w14:textId="32287FC0" w:rsidR="00CD441B" w:rsidRDefault="000D0A29" w:rsidP="00FD515C">
            <w:pPr>
              <w:pStyle w:val="TableText"/>
            </w:pPr>
            <w:r>
              <w:rPr>
                <w:lang w:eastAsia="ja-JP"/>
              </w:rPr>
              <w:t>Ford et al. (2021</w:t>
            </w:r>
            <w:r>
              <w:t>)</w:t>
            </w:r>
            <w:r w:rsidR="0087631E">
              <w:t>. The reliability of this estimate is medium (Ford et al. 2021).</w:t>
            </w:r>
          </w:p>
        </w:tc>
      </w:tr>
      <w:tr w:rsidR="00CD441B" w14:paraId="62A887AF" w14:textId="77777777" w:rsidTr="00852A71">
        <w:tc>
          <w:tcPr>
            <w:tcW w:w="1741" w:type="dxa"/>
          </w:tcPr>
          <w:p w14:paraId="6644A5FF" w14:textId="77777777" w:rsidR="00CD441B" w:rsidRDefault="00CD441B" w:rsidP="00FD515C">
            <w:pPr>
              <w:pStyle w:val="TableHeading"/>
              <w:keepNext w:val="0"/>
              <w:rPr>
                <w:rStyle w:val="Strong"/>
                <w:b/>
                <w:sz w:val="22"/>
              </w:rPr>
            </w:pPr>
            <w:r w:rsidRPr="00D20C80">
              <w:rPr>
                <w:rStyle w:val="Strong"/>
                <w:b/>
                <w:bCs w:val="0"/>
              </w:rPr>
              <w:t>Area of Occupancy</w:t>
            </w:r>
          </w:p>
          <w:p w14:paraId="72A1163A" w14:textId="3E6B2504" w:rsidR="00CD441B" w:rsidRPr="00D20C80" w:rsidRDefault="00CD441B" w:rsidP="001376F1">
            <w:pPr>
              <w:pStyle w:val="TableText"/>
              <w:rPr>
                <w:rStyle w:val="Strong"/>
                <w:b w:val="0"/>
                <w:bCs w:val="0"/>
              </w:rPr>
            </w:pPr>
          </w:p>
        </w:tc>
        <w:tc>
          <w:tcPr>
            <w:tcW w:w="1422" w:type="dxa"/>
            <w:shd w:val="clear" w:color="auto" w:fill="auto"/>
          </w:tcPr>
          <w:p w14:paraId="28DEB32C" w14:textId="7379BAD7" w:rsidR="00CD441B" w:rsidRDefault="00216FE6" w:rsidP="00FD515C">
            <w:pPr>
              <w:pStyle w:val="TableText"/>
            </w:pPr>
            <w:r>
              <w:t>30,000 km</w:t>
            </w:r>
            <w:r w:rsidRPr="00216FE6">
              <w:rPr>
                <w:vertAlign w:val="superscript"/>
              </w:rPr>
              <w:t>2</w:t>
            </w:r>
          </w:p>
        </w:tc>
        <w:tc>
          <w:tcPr>
            <w:tcW w:w="1409" w:type="dxa"/>
            <w:shd w:val="clear" w:color="auto" w:fill="auto"/>
          </w:tcPr>
          <w:p w14:paraId="028C5B75" w14:textId="2543DFFC" w:rsidR="00CD441B" w:rsidRDefault="00216FE6" w:rsidP="00FD515C">
            <w:pPr>
              <w:pStyle w:val="TableText"/>
            </w:pPr>
            <w:r>
              <w:t>24,000 km</w:t>
            </w:r>
            <w:r w:rsidRPr="00216FE6">
              <w:rPr>
                <w:vertAlign w:val="superscript"/>
              </w:rPr>
              <w:t>2</w:t>
            </w:r>
          </w:p>
        </w:tc>
        <w:tc>
          <w:tcPr>
            <w:tcW w:w="1414" w:type="dxa"/>
            <w:shd w:val="clear" w:color="auto" w:fill="auto"/>
          </w:tcPr>
          <w:p w14:paraId="5D9D3B05" w14:textId="4B569121" w:rsidR="00CD441B" w:rsidRDefault="00216FE6" w:rsidP="00FD515C">
            <w:pPr>
              <w:pStyle w:val="TableText"/>
            </w:pPr>
            <w:r>
              <w:t>50,000 km</w:t>
            </w:r>
            <w:r w:rsidRPr="00216FE6">
              <w:rPr>
                <w:vertAlign w:val="superscript"/>
              </w:rPr>
              <w:t>2</w:t>
            </w:r>
          </w:p>
        </w:tc>
        <w:tc>
          <w:tcPr>
            <w:tcW w:w="3074" w:type="dxa"/>
            <w:shd w:val="clear" w:color="auto" w:fill="auto"/>
          </w:tcPr>
          <w:p w14:paraId="25B3209C" w14:textId="77777777" w:rsidR="00447F6E" w:rsidRDefault="00156AED" w:rsidP="007F10E2">
            <w:pPr>
              <w:pStyle w:val="TableText"/>
            </w:pPr>
            <w:r>
              <w:rPr>
                <w:lang w:eastAsia="ja-JP"/>
              </w:rPr>
              <w:t>The minimum AOO is the number of 2x2 km squares that includes all records, but it is assumed to be at least 20% higher</w:t>
            </w:r>
            <w:r w:rsidR="002D51CB">
              <w:rPr>
                <w:lang w:eastAsia="ja-JP"/>
              </w:rPr>
              <w:t xml:space="preserve"> than the calculated amount and possibly twice that</w:t>
            </w:r>
            <w:r w:rsidR="00986AE2">
              <w:rPr>
                <w:lang w:eastAsia="ja-JP"/>
              </w:rPr>
              <w:t xml:space="preserve"> (</w:t>
            </w:r>
            <w:r w:rsidR="000D0A29">
              <w:rPr>
                <w:lang w:eastAsia="ja-JP"/>
              </w:rPr>
              <w:t>Ford et al. 2021</w:t>
            </w:r>
            <w:r w:rsidR="0034288F">
              <w:rPr>
                <w:lang w:eastAsia="ja-JP"/>
              </w:rPr>
              <w:t>; S Garnett pers. comm. 9 Nov 2021</w:t>
            </w:r>
            <w:r w:rsidR="000D0A29">
              <w:t>)</w:t>
            </w:r>
            <w:r w:rsidR="00986AE2">
              <w:t>.</w:t>
            </w:r>
            <w:r w:rsidR="007F10E2">
              <w:t xml:space="preserve"> </w:t>
            </w:r>
          </w:p>
          <w:p w14:paraId="0E5EB73E" w14:textId="6BD6ACE1" w:rsidR="004C1A13" w:rsidRDefault="007F10E2" w:rsidP="007F10E2">
            <w:pPr>
              <w:pStyle w:val="TableText"/>
            </w:pPr>
            <w:r>
              <w:t xml:space="preserve">The reliability of </w:t>
            </w:r>
            <w:r w:rsidR="00435CC8">
              <w:t>this estimate is</w:t>
            </w:r>
            <w:r w:rsidR="004C1A13" w:rsidRPr="004C1A13">
              <w:t xml:space="preserve"> low (Hodder et al. 2021; S Garnett pers. comm. 9 Nov 2021).</w:t>
            </w:r>
          </w:p>
        </w:tc>
      </w:tr>
      <w:tr w:rsidR="00CD441B" w14:paraId="6DBA56B3" w14:textId="77777777" w:rsidTr="00852A71">
        <w:tc>
          <w:tcPr>
            <w:tcW w:w="1741" w:type="dxa"/>
          </w:tcPr>
          <w:p w14:paraId="766A2D52"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7B5DBE5" w14:textId="4FFCB815" w:rsidR="00CD441B" w:rsidRDefault="00216FE6" w:rsidP="00605A86">
            <w:pPr>
              <w:pStyle w:val="TableText"/>
            </w:pPr>
            <w:r w:rsidRPr="00216FE6">
              <w:t>C</w:t>
            </w:r>
            <w:r w:rsidR="00CD441B" w:rsidRPr="00216FE6">
              <w:t>ontracting</w:t>
            </w:r>
          </w:p>
        </w:tc>
        <w:tc>
          <w:tcPr>
            <w:tcW w:w="3074" w:type="dxa"/>
            <w:shd w:val="clear" w:color="auto" w:fill="auto"/>
          </w:tcPr>
          <w:p w14:paraId="4CC647B9" w14:textId="040D229D" w:rsidR="00CD441B" w:rsidRDefault="0087631E" w:rsidP="00FD515C">
            <w:pPr>
              <w:pStyle w:val="TableText"/>
            </w:pPr>
            <w:r>
              <w:rPr>
                <w:lang w:eastAsia="ja-JP"/>
              </w:rPr>
              <w:t>Ford et al. (2021</w:t>
            </w:r>
            <w:r>
              <w:t xml:space="preserve">). </w:t>
            </w:r>
            <w:r>
              <w:rPr>
                <w:lang w:eastAsia="ja-JP"/>
              </w:rPr>
              <w:t>The reliability of this estimate is medium (</w:t>
            </w:r>
            <w:r w:rsidR="000D0A29">
              <w:rPr>
                <w:lang w:eastAsia="ja-JP"/>
              </w:rPr>
              <w:t>Ford et al. 2021</w:t>
            </w:r>
            <w:r w:rsidR="000D0A29">
              <w:t>)</w:t>
            </w:r>
            <w:r>
              <w:t>.</w:t>
            </w:r>
          </w:p>
        </w:tc>
      </w:tr>
      <w:tr w:rsidR="00CD441B" w14:paraId="1A98B913" w14:textId="77777777" w:rsidTr="00852A71">
        <w:tc>
          <w:tcPr>
            <w:tcW w:w="1741" w:type="dxa"/>
          </w:tcPr>
          <w:p w14:paraId="1034E95A" w14:textId="3E883213" w:rsidR="00CD441B" w:rsidRPr="00216FE6" w:rsidRDefault="00CD441B" w:rsidP="00216FE6">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58E8D0E6" w14:textId="4E9B6861" w:rsidR="00CD441B" w:rsidRPr="00A01D0D" w:rsidRDefault="0087631E" w:rsidP="00FD515C">
            <w:pPr>
              <w:pStyle w:val="TableText"/>
              <w:rPr>
                <w:highlight w:val="yellow"/>
              </w:rPr>
            </w:pPr>
            <w:r w:rsidRPr="0087631E">
              <w:t>100</w:t>
            </w:r>
          </w:p>
        </w:tc>
        <w:tc>
          <w:tcPr>
            <w:tcW w:w="1409" w:type="dxa"/>
            <w:shd w:val="clear" w:color="auto" w:fill="auto"/>
          </w:tcPr>
          <w:p w14:paraId="76A2F206" w14:textId="5D51FE80" w:rsidR="00CD441B" w:rsidRPr="00A01D0D" w:rsidRDefault="00CD441B" w:rsidP="00FD515C">
            <w:pPr>
              <w:pStyle w:val="TableText"/>
              <w:rPr>
                <w:highlight w:val="yellow"/>
              </w:rPr>
            </w:pPr>
          </w:p>
        </w:tc>
        <w:tc>
          <w:tcPr>
            <w:tcW w:w="1414" w:type="dxa"/>
            <w:shd w:val="clear" w:color="auto" w:fill="auto"/>
          </w:tcPr>
          <w:p w14:paraId="642BD4A7" w14:textId="3897B266" w:rsidR="00CD441B" w:rsidRPr="00A01D0D" w:rsidRDefault="00CD441B" w:rsidP="00FD515C">
            <w:pPr>
              <w:pStyle w:val="TableText"/>
              <w:rPr>
                <w:highlight w:val="yellow"/>
              </w:rPr>
            </w:pPr>
          </w:p>
        </w:tc>
        <w:tc>
          <w:tcPr>
            <w:tcW w:w="3074" w:type="dxa"/>
            <w:shd w:val="clear" w:color="auto" w:fill="auto"/>
          </w:tcPr>
          <w:p w14:paraId="45DF1796" w14:textId="76A5F2BA" w:rsidR="00CD441B" w:rsidRDefault="0087631E" w:rsidP="00FD515C">
            <w:pPr>
              <w:pStyle w:val="TableText"/>
            </w:pPr>
            <w:r w:rsidRPr="00D51B58">
              <w:rPr>
                <w:lang w:eastAsia="ja-JP"/>
              </w:rPr>
              <w:t>Due to</w:t>
            </w:r>
            <w:r w:rsidR="00A01D0D" w:rsidRPr="00D51B58">
              <w:rPr>
                <w:lang w:eastAsia="ja-JP"/>
              </w:rPr>
              <w:t xml:space="preserve"> fragmentation of woodland habitat and low dispersal distances there are </w:t>
            </w:r>
            <w:r w:rsidRPr="00D51B58">
              <w:rPr>
                <w:lang w:eastAsia="ja-JP"/>
              </w:rPr>
              <w:t>likely to</w:t>
            </w:r>
            <w:r w:rsidR="00A01D0D" w:rsidRPr="00D51B58">
              <w:rPr>
                <w:lang w:eastAsia="ja-JP"/>
              </w:rPr>
              <w:t xml:space="preserve"> </w:t>
            </w:r>
            <w:r w:rsidRPr="00D51B58">
              <w:rPr>
                <w:lang w:eastAsia="ja-JP"/>
              </w:rPr>
              <w:t xml:space="preserve">be </w:t>
            </w:r>
            <w:r w:rsidR="00A01D0D" w:rsidRPr="00D51B58">
              <w:rPr>
                <w:lang w:eastAsia="ja-JP"/>
              </w:rPr>
              <w:t xml:space="preserve">many subpopulations </w:t>
            </w:r>
            <w:r w:rsidRPr="00D51B58">
              <w:rPr>
                <w:lang w:eastAsia="ja-JP"/>
              </w:rPr>
              <w:t>of Brown Treecreeper (south-eastern). For the purpose of this assessment there are estimated to be</w:t>
            </w:r>
            <w:r w:rsidR="00D05085">
              <w:rPr>
                <w:lang w:eastAsia="ja-JP"/>
              </w:rPr>
              <w:t xml:space="preserve"> </w:t>
            </w:r>
            <w:r w:rsidRPr="00D51B58">
              <w:rPr>
                <w:lang w:eastAsia="ja-JP"/>
              </w:rPr>
              <w:t>100 subpopulations</w:t>
            </w:r>
            <w:r w:rsidR="00A01D0D" w:rsidRPr="00D51B58">
              <w:rPr>
                <w:lang w:eastAsia="ja-JP"/>
              </w:rPr>
              <w:t xml:space="preserve">. </w:t>
            </w:r>
            <w:r w:rsidRPr="00D51B58">
              <w:rPr>
                <w:lang w:eastAsia="ja-JP"/>
              </w:rPr>
              <w:t>However, the</w:t>
            </w:r>
            <w:r w:rsidR="00A01D0D" w:rsidRPr="00D51B58">
              <w:rPr>
                <w:lang w:eastAsia="ja-JP"/>
              </w:rPr>
              <w:t xml:space="preserve"> reliability of this estimate is low (</w:t>
            </w:r>
            <w:r w:rsidR="48C5D29F" w:rsidRPr="00D51B58">
              <w:rPr>
                <w:lang w:eastAsia="ja-JP"/>
              </w:rPr>
              <w:t>Ford et al. 2021</w:t>
            </w:r>
            <w:r w:rsidR="48C5D29F" w:rsidRPr="00D51B58">
              <w:t>)</w:t>
            </w:r>
            <w:r w:rsidRPr="00D51B58">
              <w:t>.</w:t>
            </w:r>
          </w:p>
        </w:tc>
      </w:tr>
      <w:tr w:rsidR="00CD441B" w14:paraId="1EBAC238" w14:textId="77777777" w:rsidTr="00852A71">
        <w:tc>
          <w:tcPr>
            <w:tcW w:w="1741" w:type="dxa"/>
          </w:tcPr>
          <w:p w14:paraId="7000DC3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8EFF329" w14:textId="0FE1E856" w:rsidR="00CD441B" w:rsidRDefault="00216FE6" w:rsidP="00FD515C">
            <w:pPr>
              <w:pStyle w:val="TableText"/>
            </w:pPr>
            <w:r>
              <w:t>Declining</w:t>
            </w:r>
          </w:p>
        </w:tc>
        <w:tc>
          <w:tcPr>
            <w:tcW w:w="3074" w:type="dxa"/>
            <w:shd w:val="clear" w:color="auto" w:fill="auto"/>
          </w:tcPr>
          <w:p w14:paraId="5A483233" w14:textId="13E812F1" w:rsidR="00CD441B" w:rsidRPr="001B7D1F" w:rsidRDefault="0087631E" w:rsidP="00FD515C">
            <w:pPr>
              <w:pStyle w:val="TableText"/>
            </w:pPr>
            <w:r>
              <w:rPr>
                <w:lang w:eastAsia="ja-JP"/>
              </w:rPr>
              <w:t>Ford et al. (2021</w:t>
            </w:r>
            <w:r>
              <w:t xml:space="preserve">). </w:t>
            </w:r>
            <w:r>
              <w:rPr>
                <w:lang w:eastAsia="ja-JP"/>
              </w:rPr>
              <w:t>The reliability of this estimate is high (</w:t>
            </w:r>
            <w:r w:rsidR="000D0A29">
              <w:rPr>
                <w:lang w:eastAsia="ja-JP"/>
              </w:rPr>
              <w:t>Ford et al. 2021</w:t>
            </w:r>
            <w:r w:rsidR="000D0A29">
              <w:t>)</w:t>
            </w:r>
            <w:r>
              <w:t>.</w:t>
            </w:r>
          </w:p>
        </w:tc>
      </w:tr>
      <w:tr w:rsidR="00CD441B" w14:paraId="200FDA89" w14:textId="77777777" w:rsidTr="00852A71">
        <w:tc>
          <w:tcPr>
            <w:tcW w:w="1741" w:type="dxa"/>
          </w:tcPr>
          <w:p w14:paraId="55B6D8F5" w14:textId="68451D76" w:rsidR="00CD441B" w:rsidRPr="00216FE6" w:rsidRDefault="00CD441B" w:rsidP="00216FE6">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49FD937C" w14:textId="321E3247" w:rsidR="00CD441B" w:rsidRDefault="00216FE6" w:rsidP="00216FE6">
            <w:pPr>
              <w:pStyle w:val="TableText"/>
            </w:pPr>
            <w:r w:rsidRPr="00216FE6">
              <w:t>Fragmented populations appear to be genetically isolated because birds fail to disperse across vegetation gaps, and there are many fragments</w:t>
            </w:r>
            <w:r w:rsidR="000D0A29">
              <w:t xml:space="preserve"> (</w:t>
            </w:r>
            <w:r w:rsidR="000D0A29">
              <w:rPr>
                <w:lang w:eastAsia="ja-JP"/>
              </w:rPr>
              <w:t>Ford et al. 2021</w:t>
            </w:r>
            <w:r w:rsidR="000D0A29">
              <w:t>)</w:t>
            </w:r>
            <w:r>
              <w:t>.</w:t>
            </w:r>
          </w:p>
        </w:tc>
      </w:tr>
      <w:tr w:rsidR="00CD441B" w14:paraId="41242664" w14:textId="77777777" w:rsidTr="00852A71">
        <w:tc>
          <w:tcPr>
            <w:tcW w:w="1741" w:type="dxa"/>
          </w:tcPr>
          <w:p w14:paraId="6B96B853" w14:textId="3AE81350" w:rsidR="00CD441B" w:rsidRPr="00A50415" w:rsidRDefault="00CD441B" w:rsidP="00A50415">
            <w:pPr>
              <w:pStyle w:val="TableHeading"/>
              <w:keepNext w:val="0"/>
              <w:rPr>
                <w:rStyle w:val="Strong"/>
                <w:b/>
                <w:sz w:val="22"/>
              </w:rPr>
            </w:pPr>
            <w:r w:rsidRPr="00D20C80">
              <w:rPr>
                <w:rStyle w:val="Strong"/>
                <w:b/>
                <w:bCs w:val="0"/>
              </w:rPr>
              <w:t>No. locations</w:t>
            </w:r>
          </w:p>
        </w:tc>
        <w:tc>
          <w:tcPr>
            <w:tcW w:w="1422" w:type="dxa"/>
            <w:shd w:val="clear" w:color="auto" w:fill="auto"/>
          </w:tcPr>
          <w:p w14:paraId="102A2D9C" w14:textId="2F37644E" w:rsidR="00CD441B" w:rsidRDefault="00033F38" w:rsidP="00FD515C">
            <w:pPr>
              <w:pStyle w:val="TableText"/>
            </w:pPr>
            <w:r>
              <w:t>&gt;10</w:t>
            </w:r>
          </w:p>
        </w:tc>
        <w:tc>
          <w:tcPr>
            <w:tcW w:w="1409" w:type="dxa"/>
            <w:shd w:val="clear" w:color="auto" w:fill="auto"/>
          </w:tcPr>
          <w:p w14:paraId="3D246B0D" w14:textId="77777777" w:rsidR="00CD441B" w:rsidRDefault="00CD441B" w:rsidP="00FD515C">
            <w:pPr>
              <w:pStyle w:val="TableText"/>
            </w:pPr>
          </w:p>
        </w:tc>
        <w:tc>
          <w:tcPr>
            <w:tcW w:w="1414" w:type="dxa"/>
            <w:shd w:val="clear" w:color="auto" w:fill="auto"/>
          </w:tcPr>
          <w:p w14:paraId="392BA019" w14:textId="77777777" w:rsidR="00CD441B" w:rsidRDefault="00CD441B" w:rsidP="00FD515C">
            <w:pPr>
              <w:pStyle w:val="TableText"/>
            </w:pPr>
          </w:p>
        </w:tc>
        <w:tc>
          <w:tcPr>
            <w:tcW w:w="3074" w:type="dxa"/>
            <w:shd w:val="clear" w:color="auto" w:fill="auto"/>
          </w:tcPr>
          <w:p w14:paraId="5F2247AA" w14:textId="181C5899" w:rsidR="00CD441B" w:rsidRDefault="000D0A29" w:rsidP="00033F38">
            <w:pPr>
              <w:pStyle w:val="TableText"/>
            </w:pPr>
            <w:r>
              <w:rPr>
                <w:lang w:eastAsia="ja-JP"/>
              </w:rPr>
              <w:t>Ford et al. (2021</w:t>
            </w:r>
            <w:r>
              <w:t>)</w:t>
            </w:r>
            <w:r w:rsidR="00E15C08">
              <w:t>.</w:t>
            </w:r>
          </w:p>
        </w:tc>
      </w:tr>
      <w:tr w:rsidR="00CD441B" w14:paraId="23363499" w14:textId="77777777" w:rsidTr="00852A71">
        <w:tc>
          <w:tcPr>
            <w:tcW w:w="1741" w:type="dxa"/>
          </w:tcPr>
          <w:p w14:paraId="22E197CE"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01856FD" w14:textId="0A348197" w:rsidR="00CD441B" w:rsidRDefault="00216FE6" w:rsidP="00FD515C">
            <w:pPr>
              <w:pStyle w:val="TableText"/>
            </w:pPr>
            <w:r>
              <w:t>Not calculated</w:t>
            </w:r>
          </w:p>
        </w:tc>
        <w:tc>
          <w:tcPr>
            <w:tcW w:w="3074" w:type="dxa"/>
            <w:shd w:val="clear" w:color="auto" w:fill="auto"/>
          </w:tcPr>
          <w:p w14:paraId="33216541" w14:textId="127F9829" w:rsidR="00CD441B" w:rsidRDefault="000D0A29" w:rsidP="00FD515C">
            <w:pPr>
              <w:pStyle w:val="TableText"/>
            </w:pPr>
            <w:r>
              <w:rPr>
                <w:lang w:eastAsia="ja-JP"/>
              </w:rPr>
              <w:t>Ford et al. (2021</w:t>
            </w:r>
            <w:r>
              <w:t>)</w:t>
            </w:r>
            <w:r w:rsidR="00E15C08">
              <w:t>.</w:t>
            </w:r>
          </w:p>
        </w:tc>
      </w:tr>
      <w:tr w:rsidR="00CD441B" w14:paraId="14CEF631" w14:textId="77777777" w:rsidTr="00852A71">
        <w:tc>
          <w:tcPr>
            <w:tcW w:w="1741" w:type="dxa"/>
          </w:tcPr>
          <w:p w14:paraId="718C9E15" w14:textId="36831937" w:rsidR="00CD441B" w:rsidRPr="00D20C80" w:rsidRDefault="00CD441B" w:rsidP="00FD515C">
            <w:pPr>
              <w:pStyle w:val="TableHeading"/>
              <w:keepNext w:val="0"/>
              <w:rPr>
                <w:rStyle w:val="Strong"/>
                <w:b/>
                <w:sz w:val="22"/>
              </w:rPr>
            </w:pPr>
            <w:bookmarkStart w:id="40" w:name="_Hlk51878889"/>
            <w:r w:rsidRPr="00D20C80">
              <w:rPr>
                <w:rStyle w:val="Strong"/>
                <w:b/>
                <w:bCs w:val="0"/>
              </w:rPr>
              <w:t>Basis of assessment of location number</w:t>
            </w:r>
            <w:bookmarkEnd w:id="40"/>
          </w:p>
        </w:tc>
        <w:tc>
          <w:tcPr>
            <w:tcW w:w="7319" w:type="dxa"/>
            <w:gridSpan w:val="4"/>
            <w:shd w:val="clear" w:color="auto" w:fill="auto"/>
          </w:tcPr>
          <w:p w14:paraId="02CD309F" w14:textId="229D0DEF" w:rsidR="00CD441B" w:rsidRDefault="007E03DB" w:rsidP="00FE0F63">
            <w:pPr>
              <w:pStyle w:val="TableText"/>
            </w:pPr>
            <w:r>
              <w:t>The spatial nature of the threats is such that there are &gt;10 geographically or ecologically distinct areas where a single threatening event could affect all individuals of the subspecies present within a period of one generation (</w:t>
            </w:r>
            <w:r w:rsidR="000D0A29">
              <w:rPr>
                <w:lang w:eastAsia="ja-JP"/>
              </w:rPr>
              <w:t>Ford et al. 2021</w:t>
            </w:r>
            <w:r>
              <w:t>).</w:t>
            </w:r>
          </w:p>
        </w:tc>
      </w:tr>
      <w:tr w:rsidR="00D37773" w14:paraId="32B3A1D5" w14:textId="77777777" w:rsidTr="00852A71">
        <w:tc>
          <w:tcPr>
            <w:tcW w:w="1741" w:type="dxa"/>
          </w:tcPr>
          <w:p w14:paraId="27DD6D1B" w14:textId="16197A56" w:rsidR="00D37773" w:rsidRDefault="00D37773" w:rsidP="002E31FA">
            <w:pPr>
              <w:pStyle w:val="TableHeading"/>
              <w:keepNext w:val="0"/>
              <w:rPr>
                <w:rStyle w:val="Strong"/>
                <w:b/>
                <w:bCs w:val="0"/>
              </w:rPr>
            </w:pPr>
            <w:r w:rsidRPr="00D20C80">
              <w:rPr>
                <w:rStyle w:val="Strong"/>
                <w:b/>
                <w:bCs w:val="0"/>
              </w:rPr>
              <w:t>Fragmentation</w:t>
            </w:r>
          </w:p>
          <w:p w14:paraId="74AF67A4" w14:textId="7840A88E" w:rsidR="00D37773" w:rsidRPr="00D20C80" w:rsidRDefault="00D37773" w:rsidP="001376F1">
            <w:pPr>
              <w:pStyle w:val="TableText"/>
              <w:rPr>
                <w:rStyle w:val="Strong"/>
                <w:b w:val="0"/>
                <w:bCs w:val="0"/>
              </w:rPr>
            </w:pPr>
          </w:p>
        </w:tc>
        <w:tc>
          <w:tcPr>
            <w:tcW w:w="7319" w:type="dxa"/>
            <w:gridSpan w:val="4"/>
            <w:shd w:val="clear" w:color="auto" w:fill="auto"/>
          </w:tcPr>
          <w:p w14:paraId="6EDD1676" w14:textId="7E2C5007" w:rsidR="00D37773" w:rsidRDefault="00216FE6" w:rsidP="001376F1">
            <w:pPr>
              <w:pStyle w:val="TableText"/>
            </w:pPr>
            <w:r w:rsidRPr="00216FE6">
              <w:t>Fragmented but many large subpopulations</w:t>
            </w:r>
            <w:r>
              <w:t xml:space="preserve"> (</w:t>
            </w:r>
            <w:r w:rsidR="000D0A29">
              <w:rPr>
                <w:lang w:eastAsia="ja-JP"/>
              </w:rPr>
              <w:t>Ford et al. 2021</w:t>
            </w:r>
            <w:r>
              <w:t>).</w:t>
            </w:r>
          </w:p>
        </w:tc>
      </w:tr>
      <w:tr w:rsidR="00CD441B" w14:paraId="235B8154" w14:textId="77777777" w:rsidTr="00852A71">
        <w:tc>
          <w:tcPr>
            <w:tcW w:w="1741" w:type="dxa"/>
          </w:tcPr>
          <w:p w14:paraId="62C772A5" w14:textId="638F4346" w:rsidR="00CD441B" w:rsidRDefault="00CD441B" w:rsidP="008E4C40">
            <w:pPr>
              <w:pStyle w:val="TableHeading"/>
              <w:keepNext w:val="0"/>
              <w:rPr>
                <w:rStyle w:val="Strong"/>
                <w:b/>
                <w:sz w:val="22"/>
              </w:rPr>
            </w:pPr>
            <w:r w:rsidRPr="00D20C80">
              <w:rPr>
                <w:rStyle w:val="Strong"/>
                <w:b/>
                <w:bCs w:val="0"/>
              </w:rPr>
              <w:t>Fluctuations</w:t>
            </w:r>
          </w:p>
          <w:p w14:paraId="1886014E" w14:textId="0A14BFA8" w:rsidR="00CD441B" w:rsidRPr="00D20C80" w:rsidRDefault="00CD441B" w:rsidP="001376F1">
            <w:pPr>
              <w:pStyle w:val="TableText"/>
              <w:rPr>
                <w:rStyle w:val="Strong"/>
                <w:b w:val="0"/>
                <w:bCs w:val="0"/>
              </w:rPr>
            </w:pPr>
          </w:p>
        </w:tc>
        <w:tc>
          <w:tcPr>
            <w:tcW w:w="7319" w:type="dxa"/>
            <w:gridSpan w:val="4"/>
            <w:shd w:val="clear" w:color="auto" w:fill="auto"/>
          </w:tcPr>
          <w:p w14:paraId="25EA2A0A" w14:textId="05072451" w:rsidR="00CD441B" w:rsidRDefault="00CD441B" w:rsidP="008E4C40">
            <w:pPr>
              <w:pStyle w:val="TableText"/>
            </w:pPr>
            <w:r w:rsidRPr="00216FE6">
              <w:t xml:space="preserve">Not subject to extreme fluctuations in EOO, AOO, number of subpopulations, locations or mature individuals </w:t>
            </w:r>
            <w:bookmarkStart w:id="41" w:name="_Hlk52438645"/>
            <w:r w:rsidRPr="00216FE6">
              <w:t>– no parameter was changed by an order of magnitude by the 2019/20 fire</w:t>
            </w:r>
            <w:bookmarkEnd w:id="41"/>
            <w:r w:rsidR="000D0A29">
              <w:t xml:space="preserve"> (</w:t>
            </w:r>
            <w:r w:rsidR="000D0A29">
              <w:rPr>
                <w:lang w:eastAsia="ja-JP"/>
              </w:rPr>
              <w:t>Ford et al. 2021</w:t>
            </w:r>
            <w:r w:rsidR="000D0A29">
              <w:t>)</w:t>
            </w:r>
            <w:r w:rsidR="0049477E" w:rsidRPr="00216FE6">
              <w:t>.</w:t>
            </w:r>
          </w:p>
        </w:tc>
      </w:tr>
    </w:tbl>
    <w:p w14:paraId="63E7FA87" w14:textId="77777777" w:rsidR="008F30CC" w:rsidRDefault="008F30CC" w:rsidP="00D447A7">
      <w:pPr>
        <w:pStyle w:val="Caption"/>
        <w:rPr>
          <w:lang w:eastAsia="ja-JP"/>
        </w:rPr>
      </w:pPr>
    </w:p>
    <w:p w14:paraId="29ED4C46" w14:textId="7879636B"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EFBC065" w14:textId="77777777" w:rsidTr="0050535B">
        <w:trPr>
          <w:cantSplit/>
          <w:trHeight w:val="606"/>
        </w:trPr>
        <w:tc>
          <w:tcPr>
            <w:tcW w:w="9975" w:type="dxa"/>
            <w:gridSpan w:val="6"/>
            <w:shd w:val="clear" w:color="auto" w:fill="595959" w:themeFill="text1" w:themeFillTint="A6"/>
            <w:vAlign w:val="center"/>
          </w:tcPr>
          <w:p w14:paraId="3B63CEA7" w14:textId="188A2FD4"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0D9E88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10D9D4" w14:textId="4D3D75EA"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816CA9" w14:textId="77777777" w:rsidR="00DD3067" w:rsidRPr="00936152" w:rsidRDefault="00DD3067" w:rsidP="00476948">
            <w:pPr>
              <w:pStyle w:val="TableText"/>
              <w:keepNext/>
              <w:rPr>
                <w:rStyle w:val="Strong"/>
              </w:rPr>
            </w:pPr>
            <w:r w:rsidRPr="00936152">
              <w:rPr>
                <w:rStyle w:val="Strong"/>
              </w:rPr>
              <w:t>Critically Endangered</w:t>
            </w:r>
          </w:p>
          <w:p w14:paraId="303276A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AFE7D79" w14:textId="77777777" w:rsidR="00DD3067" w:rsidRPr="00936152" w:rsidRDefault="00DD3067" w:rsidP="00476948">
            <w:pPr>
              <w:pStyle w:val="TableText"/>
              <w:keepNext/>
              <w:rPr>
                <w:rStyle w:val="Strong"/>
              </w:rPr>
            </w:pPr>
            <w:r w:rsidRPr="00936152">
              <w:rPr>
                <w:rStyle w:val="Strong"/>
              </w:rPr>
              <w:t>Endangered</w:t>
            </w:r>
          </w:p>
          <w:p w14:paraId="30204328"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0BD11D9" w14:textId="77777777" w:rsidR="00DD3067" w:rsidRPr="00936152" w:rsidRDefault="00DD3067" w:rsidP="00476948">
            <w:pPr>
              <w:pStyle w:val="TableText"/>
              <w:keepNext/>
              <w:rPr>
                <w:rStyle w:val="Strong"/>
              </w:rPr>
            </w:pPr>
            <w:r w:rsidRPr="00936152">
              <w:rPr>
                <w:rStyle w:val="Strong"/>
              </w:rPr>
              <w:t>Vulnerable</w:t>
            </w:r>
          </w:p>
          <w:p w14:paraId="5062942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05247C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2BAF090"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8ABBD07"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F7F5AA2"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3C4CF52" w14:textId="77777777" w:rsidR="00DD3067" w:rsidRPr="00556843" w:rsidRDefault="00DD3067" w:rsidP="00476948">
            <w:pPr>
              <w:pStyle w:val="TableText"/>
              <w:keepNext/>
            </w:pPr>
            <w:r w:rsidRPr="00556843">
              <w:t>≥ 50%</w:t>
            </w:r>
          </w:p>
        </w:tc>
      </w:tr>
      <w:tr w:rsidR="00DD3067" w:rsidRPr="00556843" w14:paraId="07A0797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F9909C4"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D1887EF"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123BB10"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22CC031F" w14:textId="77777777" w:rsidR="00DD3067" w:rsidRPr="00556843" w:rsidRDefault="00DD3067" w:rsidP="00476948">
            <w:pPr>
              <w:pStyle w:val="TableText"/>
              <w:keepNext/>
            </w:pPr>
            <w:r w:rsidRPr="00556843">
              <w:t>≥ 30%</w:t>
            </w:r>
          </w:p>
        </w:tc>
      </w:tr>
      <w:tr w:rsidR="00266DC5" w:rsidRPr="00556843" w14:paraId="21490C45"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2612685" w14:textId="780A125E" w:rsidR="00266DC5" w:rsidRPr="00556843" w:rsidRDefault="00266DC5" w:rsidP="000D55B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540F970E"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7522CCA6"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311F0F8"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DD13AE8" w14:textId="0D67181B"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7147FE7" wp14:editId="0593A22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894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B9A3C08"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6B9F6EB" w14:textId="77777777" w:rsidR="00266DC5" w:rsidRDefault="00266DC5" w:rsidP="000D55BC">
            <w:pPr>
              <w:pStyle w:val="TableText"/>
              <w:ind w:left="312" w:hanging="312"/>
            </w:pPr>
            <w:r w:rsidRPr="00556843">
              <w:t>(b)</w:t>
            </w:r>
            <w:r w:rsidRPr="00556843">
              <w:tab/>
              <w:t>an index of abundance appropriate to the taxon</w:t>
            </w:r>
          </w:p>
          <w:p w14:paraId="36668449" w14:textId="3C850913"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EDA902" w14:textId="1DB36EC6" w:rsidR="00266DC5" w:rsidRPr="00556843" w:rsidRDefault="00266DC5" w:rsidP="000D55BC">
            <w:pPr>
              <w:pStyle w:val="TableText"/>
              <w:ind w:left="312" w:hanging="312"/>
            </w:pPr>
            <w:r w:rsidRPr="00556843">
              <w:t>(d)</w:t>
            </w:r>
            <w:r w:rsidRPr="00556843">
              <w:tab/>
              <w:t>actual or potential levels of exploitation</w:t>
            </w:r>
          </w:p>
          <w:p w14:paraId="597965F3" w14:textId="489D2F1C" w:rsidR="00266DC5" w:rsidRPr="00556843" w:rsidRDefault="00266DC5" w:rsidP="000D55BC">
            <w:pPr>
              <w:pStyle w:val="TableText"/>
              <w:ind w:left="312" w:hanging="312"/>
            </w:pPr>
            <w:r w:rsidRPr="00556843">
              <w:t>(e)</w:t>
            </w:r>
            <w:r w:rsidRPr="00556843">
              <w:tab/>
              <w:t>the effects of introduced taxa, hybridization, pathogens, pollutants, competitors or parasites</w:t>
            </w:r>
          </w:p>
        </w:tc>
      </w:tr>
    </w:tbl>
    <w:p w14:paraId="0083826D" w14:textId="02A9951E" w:rsidR="000F3D21" w:rsidRDefault="00C2736A" w:rsidP="00B52E90">
      <w:pPr>
        <w:pStyle w:val="Heading3"/>
        <w:rPr>
          <w:lang w:eastAsia="ja-JP"/>
        </w:rPr>
      </w:pPr>
      <w:r>
        <w:rPr>
          <w:lang w:eastAsia="ja-JP"/>
        </w:rPr>
        <w:t>Criterion 1 e</w:t>
      </w:r>
      <w:r w:rsidR="000F3D21">
        <w:rPr>
          <w:lang w:eastAsia="ja-JP"/>
        </w:rPr>
        <w:t>vidence</w:t>
      </w:r>
    </w:p>
    <w:p w14:paraId="4C53618B" w14:textId="3984B93E" w:rsidR="00CF270B" w:rsidRDefault="000F3D21" w:rsidP="00CF270B">
      <w:pPr>
        <w:rPr>
          <w:lang w:eastAsia="ja-JP"/>
        </w:rPr>
      </w:pPr>
      <w:r w:rsidRPr="00155BA9">
        <w:rPr>
          <w:rStyle w:val="Strong"/>
        </w:rPr>
        <w:t>Eligible under Criterion 1</w:t>
      </w:r>
      <w:r>
        <w:rPr>
          <w:lang w:eastAsia="ja-JP"/>
        </w:rPr>
        <w:t xml:space="preserve"> </w:t>
      </w:r>
      <w:r w:rsidR="009F10A8" w:rsidRPr="005F2EAB">
        <w:t>A2bce+3ce+4bce</w:t>
      </w:r>
      <w:r w:rsidR="00347206" w:rsidRPr="005F2EAB">
        <w:t xml:space="preserve"> </w:t>
      </w:r>
      <w:r w:rsidR="00347206" w:rsidRPr="005F2EAB">
        <w:rPr>
          <w:b/>
          <w:bCs/>
        </w:rPr>
        <w:t>for listing as</w:t>
      </w:r>
      <w:r w:rsidR="009F10A8" w:rsidRPr="005F2EAB">
        <w:t xml:space="preserve"> </w:t>
      </w:r>
      <w:sdt>
        <w:sdtPr>
          <w:id w:val="-796447343"/>
          <w:placeholder>
            <w:docPart w:val="76A168ED837349059F88D777372262E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AE7D5A">
            <w:t>Vulnerable</w:t>
          </w:r>
        </w:sdtContent>
      </w:sdt>
    </w:p>
    <w:p w14:paraId="508C1A54" w14:textId="0F3714C6" w:rsidR="00A37F05" w:rsidRDefault="00582D62" w:rsidP="00582D62">
      <w:pPr>
        <w:rPr>
          <w:lang w:eastAsia="ja-JP"/>
        </w:rPr>
      </w:pPr>
      <w:r w:rsidRPr="2DB4A274">
        <w:rPr>
          <w:lang w:eastAsia="ja-JP"/>
        </w:rPr>
        <w:t xml:space="preserve">Brown Treecreepers (south-eastern) occur in south‐eastern Australia from the Grampians in western Victoria, through central New South Wales to the Bunya Mountains in Queensland (Schodde &amp; Mason 1999), from </w:t>
      </w:r>
      <w:r w:rsidR="00D60F3B" w:rsidRPr="2DB4A274">
        <w:rPr>
          <w:lang w:eastAsia="ja-JP"/>
        </w:rPr>
        <w:t xml:space="preserve">the </w:t>
      </w:r>
      <w:r w:rsidRPr="2DB4A274">
        <w:rPr>
          <w:lang w:eastAsia="ja-JP"/>
        </w:rPr>
        <w:t>coast to the inland slopes of Great Dividing Range (</w:t>
      </w:r>
      <w:r w:rsidR="008970BF" w:rsidRPr="2DB4A274">
        <w:rPr>
          <w:lang w:eastAsia="ja-JP"/>
        </w:rPr>
        <w:t>Ford et al. 2021</w:t>
      </w:r>
      <w:r w:rsidRPr="2DB4A274">
        <w:rPr>
          <w:lang w:eastAsia="ja-JP"/>
        </w:rPr>
        <w:t xml:space="preserve">). </w:t>
      </w:r>
      <w:bookmarkStart w:id="42" w:name="_Hlk69381488"/>
      <w:r w:rsidRPr="2DB4A274">
        <w:rPr>
          <w:lang w:eastAsia="ja-JP"/>
        </w:rPr>
        <w:t xml:space="preserve">The subspecies has long been recognised as a declining member of the woodland avifauna </w:t>
      </w:r>
      <w:r w:rsidR="002068B1" w:rsidRPr="2DB4A274">
        <w:rPr>
          <w:lang w:eastAsia="ja-JP"/>
        </w:rPr>
        <w:t>(</w:t>
      </w:r>
      <w:r w:rsidR="008970BF" w:rsidRPr="2DB4A274">
        <w:rPr>
          <w:lang w:eastAsia="ja-JP"/>
        </w:rPr>
        <w:t>Ford et al. 2021</w:t>
      </w:r>
      <w:r w:rsidR="002068B1" w:rsidRPr="2DB4A274">
        <w:rPr>
          <w:lang w:eastAsia="ja-JP"/>
        </w:rPr>
        <w:t xml:space="preserve">). </w:t>
      </w:r>
      <w:bookmarkEnd w:id="42"/>
    </w:p>
    <w:p w14:paraId="46246C1D" w14:textId="6A8288FA" w:rsidR="00AC6363" w:rsidRDefault="002D51CB" w:rsidP="00582D62">
      <w:pPr>
        <w:rPr>
          <w:lang w:eastAsia="ja-JP"/>
        </w:rPr>
      </w:pPr>
      <w:r w:rsidRPr="2DB4A274">
        <w:rPr>
          <w:lang w:eastAsia="ja-JP"/>
        </w:rPr>
        <w:t xml:space="preserve">It appears likely that the </w:t>
      </w:r>
      <w:r w:rsidR="007D45BF">
        <w:rPr>
          <w:lang w:eastAsia="ja-JP"/>
        </w:rPr>
        <w:t xml:space="preserve">Brown Treecreeper (south-eastern) </w:t>
      </w:r>
      <w:r w:rsidRPr="2DB4A274">
        <w:rPr>
          <w:lang w:eastAsia="ja-JP"/>
        </w:rPr>
        <w:t>population has undergone a significant reduction in size (30–50%) in the last three generations (15 years) based on reporting rate data</w:t>
      </w:r>
      <w:r>
        <w:rPr>
          <w:lang w:eastAsia="ja-JP"/>
        </w:rPr>
        <w:t xml:space="preserve"> (Ford et al. 2021)</w:t>
      </w:r>
      <w:r w:rsidRPr="2DB4A274">
        <w:rPr>
          <w:lang w:eastAsia="ja-JP"/>
        </w:rPr>
        <w:t>.</w:t>
      </w:r>
      <w:r>
        <w:rPr>
          <w:lang w:eastAsia="ja-JP"/>
        </w:rPr>
        <w:t xml:space="preserve"> Reporting rate data can be used to determine bird species abundance. Data used in trend analyses are limited to standardised bird surveys drawn from discrete (spatially separated) sites which have multiple repeat observations over time. </w:t>
      </w:r>
      <w:r w:rsidR="008F30CC" w:rsidRPr="2DB4A274">
        <w:rPr>
          <w:lang w:eastAsia="ja-JP"/>
        </w:rPr>
        <w:t>Trends between the 1977–1981 and 1998–2002 BirdLife Australia Atlases were variable among regions (Barrett et al. 2002), and there were a variety of trends reported up until 2010 but most of them negative (Ford et al. 2009; Garnett et al. 2011; Szabo et al. 2011; Saunders 2018). At a local level, the reporting rate in the Australian Capital Territory declined by 83</w:t>
      </w:r>
      <w:r w:rsidR="006233AC" w:rsidRPr="2DB4A274">
        <w:rPr>
          <w:lang w:eastAsia="ja-JP"/>
        </w:rPr>
        <w:t>%</w:t>
      </w:r>
      <w:r w:rsidR="008F30CC" w:rsidRPr="2DB4A274">
        <w:rPr>
          <w:lang w:eastAsia="ja-JP"/>
        </w:rPr>
        <w:t xml:space="preserve"> from 1987–2017 with a 70</w:t>
      </w:r>
      <w:r w:rsidR="006233AC" w:rsidRPr="2DB4A274">
        <w:rPr>
          <w:lang w:eastAsia="ja-JP"/>
        </w:rPr>
        <w:t>%</w:t>
      </w:r>
      <w:r w:rsidR="008F30CC" w:rsidRPr="2DB4A274">
        <w:rPr>
          <w:lang w:eastAsia="ja-JP"/>
        </w:rPr>
        <w:t xml:space="preserve"> decline in the final 15 years (Canberra Ornithologists Group 2020)</w:t>
      </w:r>
      <w:r w:rsidR="003128A3" w:rsidRPr="2DB4A274">
        <w:rPr>
          <w:lang w:eastAsia="ja-JP"/>
        </w:rPr>
        <w:t>.</w:t>
      </w:r>
      <w:r w:rsidR="008F30CC" w:rsidRPr="2DB4A274">
        <w:rPr>
          <w:lang w:eastAsia="ja-JP"/>
        </w:rPr>
        <w:t xml:space="preserve"> </w:t>
      </w:r>
      <w:r w:rsidR="003128A3" w:rsidRPr="2DB4A274">
        <w:rPr>
          <w:lang w:eastAsia="ja-JP"/>
        </w:rPr>
        <w:t xml:space="preserve">In </w:t>
      </w:r>
      <w:r w:rsidR="008F30CC" w:rsidRPr="2DB4A274">
        <w:rPr>
          <w:lang w:eastAsia="ja-JP"/>
        </w:rPr>
        <w:t xml:space="preserve">southern New South Wales, </w:t>
      </w:r>
      <w:r w:rsidR="00F92FE4" w:rsidRPr="2DB4A274">
        <w:rPr>
          <w:lang w:eastAsia="ja-JP"/>
        </w:rPr>
        <w:t>the subspecies</w:t>
      </w:r>
      <w:r w:rsidR="008F30CC" w:rsidRPr="2DB4A274">
        <w:rPr>
          <w:lang w:eastAsia="ja-JP"/>
        </w:rPr>
        <w:t xml:space="preserve"> declined by 42</w:t>
      </w:r>
      <w:r w:rsidR="006233AC" w:rsidRPr="2DB4A274">
        <w:rPr>
          <w:lang w:eastAsia="ja-JP"/>
        </w:rPr>
        <w:t>%</w:t>
      </w:r>
      <w:r w:rsidR="008F30CC" w:rsidRPr="2DB4A274">
        <w:rPr>
          <w:lang w:eastAsia="ja-JP"/>
        </w:rPr>
        <w:t xml:space="preserve"> from 2002–2015 (Lindenmayer et al. 2018) and in north‐east New South Wales reporting rates at 41 sites were 70</w:t>
      </w:r>
      <w:r w:rsidR="006233AC" w:rsidRPr="2DB4A274">
        <w:rPr>
          <w:lang w:eastAsia="ja-JP"/>
        </w:rPr>
        <w:t>%</w:t>
      </w:r>
      <w:r w:rsidR="008F30CC" w:rsidRPr="2DB4A274">
        <w:rPr>
          <w:lang w:eastAsia="ja-JP"/>
        </w:rPr>
        <w:t xml:space="preserve"> in 1977–1980 and 83</w:t>
      </w:r>
      <w:r w:rsidR="006233AC" w:rsidRPr="2DB4A274">
        <w:rPr>
          <w:lang w:eastAsia="ja-JP"/>
        </w:rPr>
        <w:t>%</w:t>
      </w:r>
      <w:r w:rsidR="008F30CC" w:rsidRPr="2DB4A274">
        <w:rPr>
          <w:lang w:eastAsia="ja-JP"/>
        </w:rPr>
        <w:t xml:space="preserve"> in 2004–2006 (Gosper </w:t>
      </w:r>
      <w:r w:rsidR="002068B1" w:rsidRPr="2DB4A274">
        <w:rPr>
          <w:lang w:eastAsia="ja-JP"/>
        </w:rPr>
        <w:t>&amp;</w:t>
      </w:r>
      <w:r w:rsidR="008F30CC" w:rsidRPr="2DB4A274">
        <w:rPr>
          <w:lang w:eastAsia="ja-JP"/>
        </w:rPr>
        <w:t xml:space="preserve"> Gosper 2016) but only 24</w:t>
      </w:r>
      <w:r w:rsidR="006233AC" w:rsidRPr="2DB4A274">
        <w:rPr>
          <w:lang w:eastAsia="ja-JP"/>
        </w:rPr>
        <w:t>%</w:t>
      </w:r>
      <w:r w:rsidR="008F30CC" w:rsidRPr="2DB4A274">
        <w:rPr>
          <w:lang w:eastAsia="ja-JP"/>
        </w:rPr>
        <w:t xml:space="preserve"> in 2020 (DG and CR Gosper pers</w:t>
      </w:r>
      <w:r w:rsidR="007D45BF">
        <w:rPr>
          <w:lang w:eastAsia="ja-JP"/>
        </w:rPr>
        <w:t>.</w:t>
      </w:r>
      <w:r w:rsidR="008F30CC" w:rsidRPr="2DB4A274">
        <w:rPr>
          <w:lang w:eastAsia="ja-JP"/>
        </w:rPr>
        <w:t xml:space="preserve"> comm</w:t>
      </w:r>
      <w:r w:rsidR="007D45BF">
        <w:rPr>
          <w:lang w:eastAsia="ja-JP"/>
        </w:rPr>
        <w:t>.</w:t>
      </w:r>
      <w:r w:rsidR="002068B1" w:rsidRPr="2DB4A274">
        <w:rPr>
          <w:lang w:eastAsia="ja-JP"/>
        </w:rPr>
        <w:t xml:space="preserve"> </w:t>
      </w:r>
      <w:r w:rsidR="00BE508B" w:rsidRPr="2DB4A274">
        <w:rPr>
          <w:lang w:eastAsia="ja-JP"/>
        </w:rPr>
        <w:t>c</w:t>
      </w:r>
      <w:r w:rsidR="002068B1" w:rsidRPr="2DB4A274">
        <w:rPr>
          <w:lang w:eastAsia="ja-JP"/>
        </w:rPr>
        <w:t xml:space="preserve">ited in </w:t>
      </w:r>
      <w:r w:rsidR="008970BF" w:rsidRPr="2DB4A274">
        <w:rPr>
          <w:lang w:eastAsia="ja-JP"/>
        </w:rPr>
        <w:t xml:space="preserve">Ford et al. 2021). </w:t>
      </w:r>
      <w:r w:rsidR="008F30CC" w:rsidRPr="2DB4A274">
        <w:rPr>
          <w:lang w:eastAsia="ja-JP"/>
        </w:rPr>
        <w:t xml:space="preserve">Across the range from 2003–2018, reporting rates from 2 ha 20 min counts </w:t>
      </w:r>
      <w:r w:rsidR="008F30CC" w:rsidRPr="2DB4A274">
        <w:rPr>
          <w:lang w:eastAsia="ja-JP"/>
        </w:rPr>
        <w:lastRenderedPageBreak/>
        <w:t>and 500 m area searches declined by 36</w:t>
      </w:r>
      <w:r w:rsidR="006233AC" w:rsidRPr="2DB4A274">
        <w:rPr>
          <w:lang w:eastAsia="ja-JP"/>
        </w:rPr>
        <w:t>%</w:t>
      </w:r>
      <w:r w:rsidR="008F30CC" w:rsidRPr="2DB4A274">
        <w:rPr>
          <w:lang w:eastAsia="ja-JP"/>
        </w:rPr>
        <w:t xml:space="preserve"> and 29</w:t>
      </w:r>
      <w:r w:rsidR="006233AC" w:rsidRPr="2DB4A274">
        <w:rPr>
          <w:lang w:eastAsia="ja-JP"/>
        </w:rPr>
        <w:t>%</w:t>
      </w:r>
      <w:r w:rsidR="008F30CC" w:rsidRPr="2DB4A274">
        <w:rPr>
          <w:lang w:eastAsia="ja-JP"/>
        </w:rPr>
        <w:t xml:space="preserve"> respectively (Birdata</w:t>
      </w:r>
      <w:r w:rsidR="00134322">
        <w:rPr>
          <w:lang w:eastAsia="ja-JP"/>
        </w:rPr>
        <w:t xml:space="preserve"> cited in </w:t>
      </w:r>
      <w:r w:rsidR="00134322" w:rsidRPr="2DB4A274">
        <w:rPr>
          <w:lang w:eastAsia="ja-JP"/>
        </w:rPr>
        <w:t>Ford et al. 2021</w:t>
      </w:r>
      <w:r w:rsidR="008F30CC" w:rsidRPr="2DB4A274">
        <w:rPr>
          <w:lang w:eastAsia="ja-JP"/>
        </w:rPr>
        <w:t>).</w:t>
      </w:r>
      <w:r>
        <w:rPr>
          <w:lang w:eastAsia="ja-JP"/>
        </w:rPr>
        <w:t xml:space="preserve"> </w:t>
      </w:r>
    </w:p>
    <w:p w14:paraId="0E94C0F7" w14:textId="31DA7EE0" w:rsidR="00A37F05" w:rsidRDefault="00B965B3" w:rsidP="00A37F05">
      <w:pPr>
        <w:rPr>
          <w:lang w:eastAsia="ja-JP"/>
        </w:rPr>
      </w:pPr>
      <w:r w:rsidRPr="16D679A8">
        <w:rPr>
          <w:lang w:eastAsia="ja-JP"/>
        </w:rPr>
        <w:t xml:space="preserve">Decline of </w:t>
      </w:r>
      <w:r w:rsidR="00A37F05" w:rsidRPr="16D679A8">
        <w:rPr>
          <w:lang w:eastAsia="ja-JP"/>
        </w:rPr>
        <w:t>Brown Treecreepers</w:t>
      </w:r>
      <w:r w:rsidRPr="16D679A8">
        <w:rPr>
          <w:lang w:eastAsia="ja-JP"/>
        </w:rPr>
        <w:t xml:space="preserve"> (south-eastern)</w:t>
      </w:r>
      <w:r w:rsidR="00A37F05" w:rsidRPr="16D679A8">
        <w:rPr>
          <w:lang w:eastAsia="ja-JP"/>
        </w:rPr>
        <w:t xml:space="preserve"> </w:t>
      </w:r>
      <w:bookmarkStart w:id="43" w:name="_Hlk69381772"/>
      <w:r w:rsidRPr="16D679A8">
        <w:rPr>
          <w:lang w:eastAsia="ja-JP"/>
        </w:rPr>
        <w:t xml:space="preserve">is partially attributed to such </w:t>
      </w:r>
      <w:r w:rsidR="00A37F05" w:rsidRPr="16D679A8">
        <w:rPr>
          <w:lang w:eastAsia="ja-JP"/>
        </w:rPr>
        <w:t xml:space="preserve">ongoing threats </w:t>
      </w:r>
      <w:r w:rsidRPr="16D679A8">
        <w:rPr>
          <w:lang w:eastAsia="ja-JP"/>
        </w:rPr>
        <w:t>as:</w:t>
      </w:r>
      <w:r w:rsidR="00A37F05" w:rsidRPr="16D679A8">
        <w:rPr>
          <w:lang w:eastAsia="ja-JP"/>
        </w:rPr>
        <w:t xml:space="preserve"> </w:t>
      </w:r>
      <w:bookmarkEnd w:id="43"/>
      <w:r w:rsidR="00A37F05" w:rsidRPr="16D679A8">
        <w:rPr>
          <w:lang w:eastAsia="ja-JP"/>
        </w:rPr>
        <w:t>increased predation from introduced mammals, invasive weeds</w:t>
      </w:r>
      <w:r w:rsidR="003128A3" w:rsidRPr="16D679A8">
        <w:rPr>
          <w:lang w:eastAsia="ja-JP"/>
        </w:rPr>
        <w:t>,</w:t>
      </w:r>
      <w:r w:rsidR="00A37F05" w:rsidRPr="16D679A8">
        <w:rPr>
          <w:lang w:eastAsia="ja-JP"/>
        </w:rPr>
        <w:t xml:space="preserve"> and exclusion by Noisy Miners </w:t>
      </w:r>
      <w:r w:rsidR="007D45BF">
        <w:rPr>
          <w:lang w:eastAsia="ja-JP"/>
        </w:rPr>
        <w:t>(</w:t>
      </w:r>
      <w:r w:rsidR="00A37F05" w:rsidRPr="16D679A8">
        <w:rPr>
          <w:i/>
          <w:iCs/>
          <w:lang w:eastAsia="ja-JP"/>
        </w:rPr>
        <w:t>Manorina melanocephala</w:t>
      </w:r>
      <w:r w:rsidR="007D45BF">
        <w:rPr>
          <w:lang w:eastAsia="ja-JP"/>
        </w:rPr>
        <w:t>)</w:t>
      </w:r>
      <w:r w:rsidR="00A37F05" w:rsidRPr="16D679A8">
        <w:rPr>
          <w:lang w:eastAsia="ja-JP"/>
        </w:rPr>
        <w:t xml:space="preserve"> (Willson </w:t>
      </w:r>
      <w:r w:rsidRPr="16D679A8">
        <w:rPr>
          <w:lang w:eastAsia="ja-JP"/>
        </w:rPr>
        <w:t>&amp;</w:t>
      </w:r>
      <w:r w:rsidR="00A37F05" w:rsidRPr="16D679A8">
        <w:rPr>
          <w:lang w:eastAsia="ja-JP"/>
        </w:rPr>
        <w:t xml:space="preserve"> Bignall 2009). Most of these threats are greater at habitat edges </w:t>
      </w:r>
      <w:r w:rsidR="008F4426" w:rsidRPr="16D679A8">
        <w:rPr>
          <w:lang w:eastAsia="ja-JP"/>
        </w:rPr>
        <w:t xml:space="preserve">and </w:t>
      </w:r>
      <w:r w:rsidR="00A37F05" w:rsidRPr="16D679A8">
        <w:rPr>
          <w:lang w:eastAsia="ja-JP"/>
        </w:rPr>
        <w:t xml:space="preserve">so </w:t>
      </w:r>
      <w:r w:rsidR="008F4426" w:rsidRPr="16D679A8">
        <w:rPr>
          <w:lang w:eastAsia="ja-JP"/>
        </w:rPr>
        <w:t xml:space="preserve">are </w:t>
      </w:r>
      <w:r w:rsidR="00A37F05" w:rsidRPr="16D679A8">
        <w:rPr>
          <w:lang w:eastAsia="ja-JP"/>
        </w:rPr>
        <w:t xml:space="preserve">exacerbated by fragmentation. Grazing by stock, rabbits </w:t>
      </w:r>
      <w:r w:rsidR="007D45BF">
        <w:rPr>
          <w:lang w:eastAsia="ja-JP"/>
        </w:rPr>
        <w:t>(</w:t>
      </w:r>
      <w:r w:rsidR="00A37F05" w:rsidRPr="16D679A8">
        <w:rPr>
          <w:i/>
          <w:iCs/>
          <w:lang w:eastAsia="ja-JP"/>
        </w:rPr>
        <w:t>Oryctolagus cuniculus</w:t>
      </w:r>
      <w:r w:rsidR="007D45BF">
        <w:rPr>
          <w:lang w:eastAsia="ja-JP"/>
        </w:rPr>
        <w:t>)</w:t>
      </w:r>
      <w:r w:rsidR="00A37F05" w:rsidRPr="16D679A8">
        <w:rPr>
          <w:lang w:eastAsia="ja-JP"/>
        </w:rPr>
        <w:t xml:space="preserve"> </w:t>
      </w:r>
      <w:bookmarkStart w:id="44" w:name="_Hlk69382375"/>
      <w:r w:rsidR="00A37F05" w:rsidRPr="16D679A8">
        <w:rPr>
          <w:lang w:eastAsia="ja-JP"/>
        </w:rPr>
        <w:t xml:space="preserve">and </w:t>
      </w:r>
      <w:r w:rsidR="7745FA5F" w:rsidRPr="16D679A8">
        <w:rPr>
          <w:lang w:eastAsia="ja-JP"/>
        </w:rPr>
        <w:t xml:space="preserve">overabundant </w:t>
      </w:r>
      <w:r w:rsidR="00A37F05" w:rsidRPr="16D679A8">
        <w:rPr>
          <w:lang w:eastAsia="ja-JP"/>
        </w:rPr>
        <w:t xml:space="preserve">kangaroos </w:t>
      </w:r>
      <w:r w:rsidR="007D45BF">
        <w:rPr>
          <w:lang w:eastAsia="ja-JP"/>
        </w:rPr>
        <w:t>(</w:t>
      </w:r>
      <w:r w:rsidR="00A37F05" w:rsidRPr="16D679A8">
        <w:rPr>
          <w:i/>
          <w:iCs/>
          <w:lang w:eastAsia="ja-JP"/>
        </w:rPr>
        <w:t xml:space="preserve">Macropus </w:t>
      </w:r>
      <w:r w:rsidR="00A37F05" w:rsidRPr="16D679A8">
        <w:rPr>
          <w:lang w:eastAsia="ja-JP"/>
        </w:rPr>
        <w:t>spp.</w:t>
      </w:r>
      <w:r w:rsidR="007D45BF">
        <w:rPr>
          <w:lang w:eastAsia="ja-JP"/>
        </w:rPr>
        <w:t>)</w:t>
      </w:r>
      <w:r w:rsidR="00A37F05" w:rsidRPr="16D679A8">
        <w:rPr>
          <w:lang w:eastAsia="ja-JP"/>
        </w:rPr>
        <w:t xml:space="preserve"> </w:t>
      </w:r>
      <w:r w:rsidR="008F4426" w:rsidRPr="16D679A8">
        <w:rPr>
          <w:lang w:eastAsia="ja-JP"/>
        </w:rPr>
        <w:t xml:space="preserve">can also negatively affect the subspecies by </w:t>
      </w:r>
      <w:r w:rsidR="00A37F05" w:rsidRPr="16D679A8">
        <w:rPr>
          <w:lang w:eastAsia="ja-JP"/>
        </w:rPr>
        <w:t>prevent</w:t>
      </w:r>
      <w:r w:rsidR="008F4426" w:rsidRPr="16D679A8">
        <w:rPr>
          <w:lang w:eastAsia="ja-JP"/>
        </w:rPr>
        <w:t>ing</w:t>
      </w:r>
      <w:r w:rsidR="00A37F05" w:rsidRPr="16D679A8">
        <w:rPr>
          <w:lang w:eastAsia="ja-JP"/>
        </w:rPr>
        <w:t xml:space="preserve"> regeneration</w:t>
      </w:r>
      <w:r w:rsidR="008F4426" w:rsidRPr="16D679A8">
        <w:rPr>
          <w:lang w:eastAsia="ja-JP"/>
        </w:rPr>
        <w:t>.</w:t>
      </w:r>
      <w:bookmarkEnd w:id="44"/>
      <w:r w:rsidR="008F4426" w:rsidRPr="16D679A8">
        <w:rPr>
          <w:lang w:eastAsia="ja-JP"/>
        </w:rPr>
        <w:t xml:space="preserve"> </w:t>
      </w:r>
      <w:bookmarkStart w:id="45" w:name="_Hlk69382418"/>
      <w:r w:rsidRPr="16D679A8">
        <w:rPr>
          <w:lang w:eastAsia="ja-JP"/>
        </w:rPr>
        <w:t>The</w:t>
      </w:r>
      <w:r w:rsidR="008F4426" w:rsidRPr="16D679A8">
        <w:rPr>
          <w:lang w:eastAsia="ja-JP"/>
        </w:rPr>
        <w:t xml:space="preserve"> effect of these</w:t>
      </w:r>
      <w:r w:rsidRPr="16D679A8">
        <w:rPr>
          <w:lang w:eastAsia="ja-JP"/>
        </w:rPr>
        <w:t xml:space="preserve"> threats, combined with habitat loss and fragmentation for large-scale agriculture, inappropriate fire regimes, residential and commercial development, </w:t>
      </w:r>
      <w:r w:rsidR="008F4426" w:rsidRPr="16D679A8">
        <w:rPr>
          <w:lang w:eastAsia="ja-JP"/>
        </w:rPr>
        <w:t xml:space="preserve">and </w:t>
      </w:r>
      <w:r w:rsidRPr="16D679A8">
        <w:rPr>
          <w:lang w:eastAsia="ja-JP"/>
        </w:rPr>
        <w:t>inappropriate firewood collection and tidying of farmland</w:t>
      </w:r>
      <w:r w:rsidR="008F4426" w:rsidRPr="16D679A8">
        <w:rPr>
          <w:lang w:eastAsia="ja-JP"/>
        </w:rPr>
        <w:t>, have not ceased and may not be reversible.</w:t>
      </w:r>
    </w:p>
    <w:p w14:paraId="65F794E5" w14:textId="5B5EBE82" w:rsidR="00DD3067" w:rsidRDefault="008C0415" w:rsidP="008C0415">
      <w:pPr>
        <w:rPr>
          <w:lang w:eastAsia="ja-JP"/>
        </w:rPr>
      </w:pPr>
      <w:bookmarkStart w:id="46" w:name="_Hlk67393313"/>
      <w:bookmarkEnd w:id="45"/>
      <w:r w:rsidRPr="00E37B1D">
        <w:rPr>
          <w:lang w:eastAsia="ja-JP"/>
        </w:rPr>
        <w:t xml:space="preserve">The data presented above appear to demonstrate that the subspecies is </w:t>
      </w:r>
      <w:r w:rsidRPr="00E37B1D">
        <w:rPr>
          <w:b/>
          <w:bCs/>
          <w:lang w:eastAsia="ja-JP"/>
        </w:rPr>
        <w:t>eligible for listing as Vulnerable</w:t>
      </w:r>
      <w:r w:rsidRPr="00E37B1D">
        <w:rPr>
          <w:lang w:eastAsia="ja-JP"/>
        </w:rPr>
        <w:t xml:space="preserve">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p>
    <w:bookmarkEnd w:id="46"/>
    <w:p w14:paraId="10D9D732" w14:textId="227581C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3F42C32" w14:textId="77777777" w:rsidTr="00B6264B">
        <w:trPr>
          <w:trHeight w:val="350"/>
        </w:trPr>
        <w:tc>
          <w:tcPr>
            <w:tcW w:w="10738" w:type="dxa"/>
            <w:gridSpan w:val="4"/>
            <w:tcBorders>
              <w:bottom w:val="nil"/>
            </w:tcBorders>
            <w:shd w:val="clear" w:color="auto" w:fill="595959" w:themeFill="text1" w:themeFillTint="A6"/>
            <w:vAlign w:val="center"/>
          </w:tcPr>
          <w:p w14:paraId="4EE28AD0" w14:textId="11007FFE"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0EDEE744" w14:textId="77777777" w:rsidTr="00B6264B">
        <w:tc>
          <w:tcPr>
            <w:tcW w:w="4111" w:type="dxa"/>
            <w:tcBorders>
              <w:top w:val="nil"/>
              <w:bottom w:val="nil"/>
              <w:right w:val="nil"/>
            </w:tcBorders>
          </w:tcPr>
          <w:p w14:paraId="295063D1" w14:textId="2A92F105"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C1200C0" w14:textId="77777777" w:rsidR="00B6264B" w:rsidRPr="00795F43" w:rsidRDefault="00B6264B" w:rsidP="000E630E">
            <w:pPr>
              <w:pStyle w:val="TableText"/>
              <w:keepNext/>
              <w:rPr>
                <w:rStyle w:val="Strong"/>
              </w:rPr>
            </w:pPr>
            <w:r w:rsidRPr="00795F43">
              <w:rPr>
                <w:rStyle w:val="Strong"/>
              </w:rPr>
              <w:t>Critically Endangered</w:t>
            </w:r>
          </w:p>
          <w:p w14:paraId="29B38597"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718C267" w14:textId="77777777" w:rsidR="00B6264B" w:rsidRPr="00556843" w:rsidRDefault="00B6264B" w:rsidP="000E630E">
            <w:pPr>
              <w:pStyle w:val="TableText"/>
              <w:keepNext/>
              <w:rPr>
                <w:b/>
              </w:rPr>
            </w:pPr>
            <w:r w:rsidRPr="00556843">
              <w:rPr>
                <w:b/>
              </w:rPr>
              <w:t>Endangered</w:t>
            </w:r>
          </w:p>
          <w:p w14:paraId="3BE6CD5F"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0619B31" w14:textId="77777777" w:rsidR="00B6264B" w:rsidRPr="00556843" w:rsidRDefault="00B6264B" w:rsidP="000E630E">
            <w:pPr>
              <w:pStyle w:val="TableText"/>
              <w:keepNext/>
              <w:rPr>
                <w:b/>
              </w:rPr>
            </w:pPr>
            <w:r w:rsidRPr="00556843">
              <w:rPr>
                <w:b/>
              </w:rPr>
              <w:t>Vulnerable</w:t>
            </w:r>
          </w:p>
          <w:p w14:paraId="5B8B6CEF" w14:textId="77777777" w:rsidR="00B6264B" w:rsidRPr="00556843" w:rsidRDefault="00B6264B" w:rsidP="000E630E">
            <w:pPr>
              <w:pStyle w:val="TableText"/>
              <w:keepNext/>
              <w:rPr>
                <w:b/>
              </w:rPr>
            </w:pPr>
            <w:r w:rsidRPr="00556843">
              <w:rPr>
                <w:b/>
              </w:rPr>
              <w:t>Limited</w:t>
            </w:r>
          </w:p>
        </w:tc>
      </w:tr>
      <w:tr w:rsidR="00B6264B" w:rsidRPr="00556843" w14:paraId="07DA6FB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85AD866"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02C7979"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53D0E8A"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263C070"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7F44F86"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1FC8FF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12B60A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26C3EC"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23720DB"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6088CDF2" w14:textId="77777777" w:rsidTr="00B6264B">
        <w:tc>
          <w:tcPr>
            <w:tcW w:w="10738" w:type="dxa"/>
            <w:gridSpan w:val="4"/>
            <w:tcBorders>
              <w:top w:val="nil"/>
              <w:bottom w:val="nil"/>
            </w:tcBorders>
          </w:tcPr>
          <w:p w14:paraId="429B729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6A29D15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519FBE"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56A2C4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5310A70"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56A4D71" w14:textId="77777777" w:rsidR="00B6264B" w:rsidRPr="00556843" w:rsidRDefault="00B6264B" w:rsidP="000E630E">
            <w:pPr>
              <w:pStyle w:val="TableText"/>
              <w:keepNext/>
              <w:rPr>
                <w:b/>
              </w:rPr>
            </w:pPr>
            <w:r w:rsidRPr="00556843">
              <w:rPr>
                <w:b/>
              </w:rPr>
              <w:t>≤ 10</w:t>
            </w:r>
          </w:p>
        </w:tc>
      </w:tr>
      <w:tr w:rsidR="00B6264B" w:rsidRPr="00556843" w14:paraId="5E88525D"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1503EDB" w14:textId="5655BAAE" w:rsidR="00B6264B" w:rsidRPr="00556843" w:rsidRDefault="00B6264B"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556843" w14:paraId="7D5BA3D9" w14:textId="77777777" w:rsidTr="00B6264B">
        <w:tc>
          <w:tcPr>
            <w:tcW w:w="10738" w:type="dxa"/>
            <w:gridSpan w:val="4"/>
            <w:tcBorders>
              <w:top w:val="single" w:sz="4" w:space="0" w:color="FFFFFF" w:themeColor="background1"/>
            </w:tcBorders>
            <w:shd w:val="clear" w:color="auto" w:fill="BFBFBF" w:themeFill="background1" w:themeFillShade="BF"/>
          </w:tcPr>
          <w:p w14:paraId="2ECCAED3" w14:textId="45DA55E6"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753EF89D" w14:textId="5446286B"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0BD49F9E" w14:textId="10F721EF" w:rsidR="00B6264B" w:rsidRDefault="00B6264B" w:rsidP="00B6264B">
      <w:pPr>
        <w:rPr>
          <w:b/>
          <w:bCs/>
          <w:lang w:eastAsia="ja-JP"/>
        </w:rPr>
      </w:pPr>
      <w:r w:rsidRPr="008C0415">
        <w:rPr>
          <w:b/>
          <w:bCs/>
          <w:lang w:eastAsia="ja-JP"/>
        </w:rPr>
        <w:t>Not eligible</w:t>
      </w:r>
    </w:p>
    <w:p w14:paraId="73DD7A67" w14:textId="62075D7B" w:rsidR="008C0415" w:rsidRDefault="008F4426" w:rsidP="008F4426">
      <w:pPr>
        <w:rPr>
          <w:lang w:eastAsia="ja-JP"/>
        </w:rPr>
      </w:pPr>
      <w:bookmarkStart w:id="47" w:name="_Hlk68591844"/>
      <w:r w:rsidRPr="16D679A8">
        <w:rPr>
          <w:lang w:eastAsia="ja-JP"/>
        </w:rPr>
        <w:t>Brown Treecreepers (south-eastern) EOO is estimated to be 1,100,000 km</w:t>
      </w:r>
      <w:r w:rsidRPr="16D679A8">
        <w:rPr>
          <w:vertAlign w:val="superscript"/>
          <w:lang w:eastAsia="ja-JP"/>
        </w:rPr>
        <w:t>2</w:t>
      </w:r>
      <w:r w:rsidRPr="16D679A8">
        <w:rPr>
          <w:lang w:eastAsia="ja-JP"/>
        </w:rPr>
        <w:t xml:space="preserve"> (range 1,000,00–1,200,000 km</w:t>
      </w:r>
      <w:r w:rsidRPr="16D679A8">
        <w:rPr>
          <w:vertAlign w:val="superscript"/>
          <w:lang w:eastAsia="ja-JP"/>
        </w:rPr>
        <w:t>2</w:t>
      </w:r>
      <w:r w:rsidRPr="16D679A8">
        <w:rPr>
          <w:lang w:eastAsia="ja-JP"/>
        </w:rPr>
        <w:t>) and AOO is estimated to be 30,000 km</w:t>
      </w:r>
      <w:r w:rsidR="00BE508B" w:rsidRPr="16D679A8">
        <w:rPr>
          <w:vertAlign w:val="superscript"/>
          <w:lang w:eastAsia="ja-JP"/>
        </w:rPr>
        <w:t>2</w:t>
      </w:r>
      <w:r w:rsidRPr="16D679A8">
        <w:rPr>
          <w:lang w:eastAsia="ja-JP"/>
        </w:rPr>
        <w:t xml:space="preserve"> (range 24,000–50,000 km</w:t>
      </w:r>
      <w:r w:rsidR="00BE508B" w:rsidRPr="16D679A8">
        <w:rPr>
          <w:vertAlign w:val="superscript"/>
          <w:lang w:eastAsia="ja-JP"/>
        </w:rPr>
        <w:t>2</w:t>
      </w:r>
      <w:r w:rsidRPr="16D679A8">
        <w:rPr>
          <w:lang w:eastAsia="ja-JP"/>
        </w:rPr>
        <w:t>) (</w:t>
      </w:r>
      <w:r w:rsidR="008970BF" w:rsidRPr="16D679A8">
        <w:rPr>
          <w:lang w:eastAsia="ja-JP"/>
        </w:rPr>
        <w:t>Ford et al. 2021</w:t>
      </w:r>
      <w:r w:rsidRPr="16D679A8">
        <w:rPr>
          <w:lang w:eastAsia="ja-JP"/>
        </w:rPr>
        <w:t xml:space="preserve">). </w:t>
      </w:r>
      <w:r w:rsidR="00B24145" w:rsidRPr="16D679A8">
        <w:rPr>
          <w:lang w:eastAsia="ja-JP"/>
        </w:rPr>
        <w:t xml:space="preserve">The population is fragmented but there are many large subpopulations spread across more than 10 geographically or ecologically distinct areas. </w:t>
      </w:r>
      <w:r w:rsidRPr="16D679A8">
        <w:rPr>
          <w:lang w:eastAsia="ja-JP"/>
        </w:rPr>
        <w:t>The EOO for the subspecies is stable though the AOO has a contracting trend (</w:t>
      </w:r>
      <w:r w:rsidR="008970BF" w:rsidRPr="16D679A8">
        <w:rPr>
          <w:lang w:eastAsia="ja-JP"/>
        </w:rPr>
        <w:t>Ford et al. 2021</w:t>
      </w:r>
      <w:r w:rsidRPr="16D679A8">
        <w:rPr>
          <w:lang w:eastAsia="ja-JP"/>
        </w:rPr>
        <w:t xml:space="preserve">). </w:t>
      </w:r>
      <w:r w:rsidR="00B24145" w:rsidRPr="16D679A8">
        <w:rPr>
          <w:lang w:eastAsia="ja-JP"/>
        </w:rPr>
        <w:t>There are estimated to be</w:t>
      </w:r>
      <w:r w:rsidR="0087631E">
        <w:rPr>
          <w:lang w:eastAsia="ja-JP"/>
        </w:rPr>
        <w:t xml:space="preserve"> </w:t>
      </w:r>
      <w:r w:rsidR="00746540">
        <w:t xml:space="preserve">68,000 </w:t>
      </w:r>
      <w:r w:rsidR="00746540">
        <w:lastRenderedPageBreak/>
        <w:t xml:space="preserve">(range 36,000–113,000) </w:t>
      </w:r>
      <w:r w:rsidR="00746540" w:rsidRPr="16D679A8">
        <w:rPr>
          <w:lang w:eastAsia="ja-JP"/>
        </w:rPr>
        <w:t>mature individuals in the wild</w:t>
      </w:r>
      <w:r w:rsidR="00746540">
        <w:rPr>
          <w:lang w:eastAsia="ja-JP"/>
        </w:rPr>
        <w:t xml:space="preserve"> (S Garnett pers. comm. 9 Nov 2021) and </w:t>
      </w:r>
      <w:r w:rsidR="0087631E">
        <w:rPr>
          <w:lang w:eastAsia="ja-JP"/>
        </w:rPr>
        <w:t xml:space="preserve">100 </w:t>
      </w:r>
      <w:r w:rsidR="00B24145" w:rsidRPr="16D679A8">
        <w:rPr>
          <w:lang w:eastAsia="ja-JP"/>
        </w:rPr>
        <w:t>subpopulations</w:t>
      </w:r>
      <w:r w:rsidR="00BE508B" w:rsidRPr="16D679A8">
        <w:rPr>
          <w:lang w:eastAsia="ja-JP"/>
        </w:rPr>
        <w:t xml:space="preserve"> </w:t>
      </w:r>
      <w:r w:rsidR="00746540">
        <w:rPr>
          <w:lang w:eastAsia="ja-JP"/>
        </w:rPr>
        <w:t>(Ford et al. 2021)</w:t>
      </w:r>
      <w:r w:rsidR="00B24145" w:rsidRPr="16D679A8">
        <w:rPr>
          <w:lang w:eastAsia="ja-JP"/>
        </w:rPr>
        <w:t>, both of these estimates have declining trends (</w:t>
      </w:r>
      <w:r w:rsidR="008970BF" w:rsidRPr="16D679A8">
        <w:rPr>
          <w:lang w:eastAsia="ja-JP"/>
        </w:rPr>
        <w:t>Ford et al. 2021</w:t>
      </w:r>
      <w:r w:rsidR="00B24145" w:rsidRPr="16D679A8">
        <w:rPr>
          <w:lang w:eastAsia="ja-JP"/>
        </w:rPr>
        <w:t xml:space="preserve">). </w:t>
      </w:r>
      <w:r w:rsidRPr="16D679A8">
        <w:rPr>
          <w:lang w:eastAsia="ja-JP"/>
        </w:rPr>
        <w:t>The subspecies is not subject to extreme fluctuations in EOO, AOO, number of subpopulations, locations or mature individuals</w:t>
      </w:r>
      <w:r w:rsidR="00B24145" w:rsidRPr="16D679A8">
        <w:rPr>
          <w:lang w:eastAsia="ja-JP"/>
        </w:rPr>
        <w:t xml:space="preserve"> (</w:t>
      </w:r>
      <w:r w:rsidR="008970BF" w:rsidRPr="16D679A8">
        <w:rPr>
          <w:lang w:eastAsia="ja-JP"/>
        </w:rPr>
        <w:t>Ford et al. 2021</w:t>
      </w:r>
      <w:r w:rsidR="00B24145" w:rsidRPr="16D679A8">
        <w:rPr>
          <w:lang w:eastAsia="ja-JP"/>
        </w:rPr>
        <w:t>).</w:t>
      </w:r>
    </w:p>
    <w:p w14:paraId="6FDF08BD" w14:textId="7A1EF703" w:rsidR="008C0415" w:rsidRPr="00B6264B" w:rsidRDefault="008C0415" w:rsidP="008C0415">
      <w:pPr>
        <w:rPr>
          <w:lang w:eastAsia="ja-JP"/>
        </w:rPr>
      </w:pPr>
      <w:bookmarkStart w:id="48" w:name="_Hlk67393440"/>
      <w:bookmarkEnd w:id="47"/>
      <w:r w:rsidRPr="00E37B1D">
        <w:rPr>
          <w:lang w:eastAsia="ja-JP"/>
        </w:rPr>
        <w:t>The data presented above appear to demonstrate the subspecies is not eligible for listing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r>
        <w:rPr>
          <w:lang w:eastAsia="ja-JP"/>
        </w:rPr>
        <w:t xml:space="preserve"> </w:t>
      </w:r>
    </w:p>
    <w:bookmarkEnd w:id="48"/>
    <w:p w14:paraId="698C6603" w14:textId="69F941B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62F98E7"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2168D1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9E37F02" w14:textId="77777777" w:rsidTr="002B134C">
        <w:tc>
          <w:tcPr>
            <w:tcW w:w="3395" w:type="dxa"/>
            <w:gridSpan w:val="2"/>
            <w:tcBorders>
              <w:top w:val="nil"/>
              <w:left w:val="single" w:sz="4" w:space="0" w:color="auto"/>
              <w:bottom w:val="nil"/>
              <w:right w:val="nil"/>
            </w:tcBorders>
          </w:tcPr>
          <w:p w14:paraId="7B09AD35"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D46BB8C" w14:textId="77777777" w:rsidR="002B134C" w:rsidRPr="00556843" w:rsidRDefault="002B134C" w:rsidP="00F658E8">
            <w:pPr>
              <w:pStyle w:val="TableText"/>
              <w:keepNext/>
              <w:rPr>
                <w:b/>
              </w:rPr>
            </w:pPr>
            <w:r w:rsidRPr="00556843">
              <w:rPr>
                <w:b/>
              </w:rPr>
              <w:t>Critically Endangered</w:t>
            </w:r>
          </w:p>
          <w:p w14:paraId="5D95B5E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370937F" w14:textId="77777777" w:rsidR="002B134C" w:rsidRPr="00556843" w:rsidRDefault="002B134C" w:rsidP="00F658E8">
            <w:pPr>
              <w:pStyle w:val="TableText"/>
              <w:keepNext/>
              <w:rPr>
                <w:b/>
              </w:rPr>
            </w:pPr>
            <w:r w:rsidRPr="00556843">
              <w:rPr>
                <w:b/>
              </w:rPr>
              <w:t>Endangered</w:t>
            </w:r>
          </w:p>
          <w:p w14:paraId="20D73F89"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CAD40C9" w14:textId="77777777" w:rsidR="002B134C" w:rsidRPr="00556843" w:rsidRDefault="002B134C" w:rsidP="00F658E8">
            <w:pPr>
              <w:pStyle w:val="TableText"/>
              <w:keepNext/>
              <w:rPr>
                <w:b/>
              </w:rPr>
            </w:pPr>
            <w:r w:rsidRPr="00556843">
              <w:rPr>
                <w:b/>
              </w:rPr>
              <w:t>Vulnerable</w:t>
            </w:r>
          </w:p>
          <w:p w14:paraId="1D9B4CF1" w14:textId="77777777" w:rsidR="002B134C" w:rsidRPr="00556843" w:rsidRDefault="002B134C" w:rsidP="00F658E8">
            <w:pPr>
              <w:pStyle w:val="TableText"/>
              <w:keepNext/>
              <w:rPr>
                <w:b/>
              </w:rPr>
            </w:pPr>
            <w:r w:rsidRPr="00556843">
              <w:rPr>
                <w:b/>
              </w:rPr>
              <w:t>Limited</w:t>
            </w:r>
          </w:p>
        </w:tc>
      </w:tr>
      <w:tr w:rsidR="002B134C" w:rsidRPr="00556843" w14:paraId="2A99C208"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78C582D"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E1F9821"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D1C0566"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7080AF9" w14:textId="77777777" w:rsidR="002B134C" w:rsidRPr="00556843" w:rsidRDefault="002B134C" w:rsidP="00F658E8">
            <w:pPr>
              <w:pStyle w:val="TableText"/>
              <w:keepNext/>
            </w:pPr>
            <w:r w:rsidRPr="00556843">
              <w:rPr>
                <w:b/>
              </w:rPr>
              <w:t xml:space="preserve">&lt; 10,000 </w:t>
            </w:r>
          </w:p>
        </w:tc>
      </w:tr>
      <w:tr w:rsidR="002B134C" w:rsidRPr="00556843" w14:paraId="28B4192F"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7B582F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96F658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196AD4F"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C836B32" w14:textId="77777777" w:rsidR="002B134C" w:rsidRPr="00556843" w:rsidRDefault="002B134C" w:rsidP="00F658E8">
            <w:pPr>
              <w:pStyle w:val="TableText"/>
              <w:keepNext/>
              <w:rPr>
                <w:b/>
              </w:rPr>
            </w:pPr>
          </w:p>
        </w:tc>
      </w:tr>
      <w:tr w:rsidR="002B134C" w:rsidRPr="00556843" w14:paraId="2FD8697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036F203" w14:textId="15BEAD2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6EF1552" w14:textId="77777777" w:rsidR="002B134C" w:rsidRPr="00556843" w:rsidRDefault="002B134C" w:rsidP="00F658E8">
            <w:pPr>
              <w:pStyle w:val="TableText"/>
              <w:keepNext/>
              <w:rPr>
                <w:b/>
              </w:rPr>
            </w:pPr>
            <w:r w:rsidRPr="00556843">
              <w:rPr>
                <w:b/>
              </w:rPr>
              <w:t>Very high rate</w:t>
            </w:r>
          </w:p>
          <w:p w14:paraId="4D11E423" w14:textId="77777777" w:rsidR="002B134C" w:rsidRPr="00556843" w:rsidRDefault="002B134C" w:rsidP="00F658E8">
            <w:pPr>
              <w:pStyle w:val="TableText"/>
              <w:keepNext/>
              <w:rPr>
                <w:b/>
              </w:rPr>
            </w:pPr>
            <w:r w:rsidRPr="00556843">
              <w:rPr>
                <w:b/>
              </w:rPr>
              <w:t>25% in 3 years or 1 generation</w:t>
            </w:r>
          </w:p>
          <w:p w14:paraId="4269DFD1"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2BC2B3E" w14:textId="77777777" w:rsidR="002B134C" w:rsidRPr="00556843" w:rsidRDefault="002B134C" w:rsidP="00F658E8">
            <w:pPr>
              <w:pStyle w:val="TableText"/>
              <w:keepNext/>
              <w:rPr>
                <w:b/>
              </w:rPr>
            </w:pPr>
            <w:r w:rsidRPr="00556843">
              <w:rPr>
                <w:b/>
              </w:rPr>
              <w:t>High rate</w:t>
            </w:r>
          </w:p>
          <w:p w14:paraId="37D3CCF4" w14:textId="77777777" w:rsidR="002B134C" w:rsidRPr="00556843" w:rsidRDefault="002B134C" w:rsidP="00F658E8">
            <w:pPr>
              <w:pStyle w:val="TableText"/>
              <w:keepNext/>
              <w:rPr>
                <w:b/>
              </w:rPr>
            </w:pPr>
            <w:r w:rsidRPr="00556843">
              <w:rPr>
                <w:b/>
              </w:rPr>
              <w:t>20% in 5 years or 2 generation</w:t>
            </w:r>
          </w:p>
          <w:p w14:paraId="536A87FA"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8EF6BC5" w14:textId="77777777" w:rsidR="002B134C" w:rsidRPr="00556843" w:rsidRDefault="002B134C" w:rsidP="00F658E8">
            <w:pPr>
              <w:pStyle w:val="TableText"/>
              <w:keepNext/>
              <w:rPr>
                <w:b/>
              </w:rPr>
            </w:pPr>
            <w:r w:rsidRPr="00556843">
              <w:rPr>
                <w:b/>
              </w:rPr>
              <w:t>Substantial rate</w:t>
            </w:r>
          </w:p>
          <w:p w14:paraId="54063843" w14:textId="77777777" w:rsidR="002B134C" w:rsidRPr="00556843" w:rsidRDefault="002B134C" w:rsidP="00F658E8">
            <w:pPr>
              <w:pStyle w:val="TableText"/>
              <w:keepNext/>
              <w:rPr>
                <w:b/>
              </w:rPr>
            </w:pPr>
            <w:r w:rsidRPr="00556843">
              <w:rPr>
                <w:b/>
              </w:rPr>
              <w:t>10% in 10 years or 3 generations</w:t>
            </w:r>
          </w:p>
          <w:p w14:paraId="0DA93810" w14:textId="77777777" w:rsidR="002B134C" w:rsidRPr="00556843" w:rsidRDefault="002B134C" w:rsidP="00F658E8">
            <w:pPr>
              <w:pStyle w:val="TableText"/>
              <w:keepNext/>
              <w:rPr>
                <w:b/>
              </w:rPr>
            </w:pPr>
            <w:r w:rsidRPr="00556843">
              <w:rPr>
                <w:b/>
              </w:rPr>
              <w:t>(whichever is longer)</w:t>
            </w:r>
          </w:p>
        </w:tc>
      </w:tr>
      <w:tr w:rsidR="002B134C" w:rsidRPr="00556843" w14:paraId="7CB0003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C540302" w14:textId="4F057DE5" w:rsidR="002B134C" w:rsidRPr="00556843" w:rsidRDefault="002B134C" w:rsidP="00F658E8">
            <w:pPr>
              <w:pStyle w:val="TableText"/>
              <w:keepNext/>
              <w:ind w:left="336" w:hanging="336"/>
            </w:pPr>
            <w:r w:rsidRPr="00855316">
              <w:rPr>
                <w:rStyle w:val="Strong"/>
              </w:rPr>
              <w:t>C2</w:t>
            </w:r>
            <w:r w:rsidR="00855316">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E041D58" w14:textId="77777777" w:rsidR="002B134C" w:rsidRPr="00556843" w:rsidRDefault="002B134C" w:rsidP="00F658E8">
            <w:pPr>
              <w:pStyle w:val="TableText"/>
              <w:keepNext/>
            </w:pPr>
          </w:p>
        </w:tc>
        <w:tc>
          <w:tcPr>
            <w:tcW w:w="1833" w:type="dxa"/>
            <w:tcBorders>
              <w:top w:val="nil"/>
              <w:left w:val="nil"/>
              <w:bottom w:val="nil"/>
              <w:right w:val="nil"/>
            </w:tcBorders>
          </w:tcPr>
          <w:p w14:paraId="5EE6ACF5"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528613BC" w14:textId="77777777" w:rsidR="002B134C" w:rsidRPr="00556843" w:rsidRDefault="002B134C" w:rsidP="00F658E8">
            <w:pPr>
              <w:pStyle w:val="TableText"/>
              <w:keepNext/>
            </w:pPr>
          </w:p>
        </w:tc>
      </w:tr>
      <w:tr w:rsidR="002B134C" w:rsidRPr="00556843" w14:paraId="0128DF6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0706286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2490E8D"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BFF8DD"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ABAEE42"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05327C1" w14:textId="77777777" w:rsidR="002B134C" w:rsidRPr="00556843" w:rsidRDefault="002B134C" w:rsidP="00F658E8">
            <w:pPr>
              <w:pStyle w:val="TableText"/>
              <w:keepNext/>
              <w:rPr>
                <w:b/>
              </w:rPr>
            </w:pPr>
            <w:r w:rsidRPr="00556843">
              <w:rPr>
                <w:b/>
              </w:rPr>
              <w:t>≤ 1,000</w:t>
            </w:r>
          </w:p>
        </w:tc>
      </w:tr>
      <w:tr w:rsidR="002B134C" w:rsidRPr="00556843" w14:paraId="2D840E30"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80FF094"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8D160A"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D934C6B"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E791AA"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CCC1D12" w14:textId="77777777" w:rsidR="002B134C" w:rsidRPr="00556843" w:rsidRDefault="002B134C" w:rsidP="00F658E8">
            <w:pPr>
              <w:pStyle w:val="TableText"/>
              <w:keepNext/>
              <w:rPr>
                <w:b/>
              </w:rPr>
            </w:pPr>
            <w:r w:rsidRPr="00556843">
              <w:rPr>
                <w:b/>
              </w:rPr>
              <w:t>100%</w:t>
            </w:r>
          </w:p>
        </w:tc>
      </w:tr>
      <w:tr w:rsidR="002B134C" w:rsidRPr="00556843" w14:paraId="02EBE4C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E210853"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4493D89"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8CA5B07"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66130677" w14:textId="77777777" w:rsidR="002B134C" w:rsidRPr="00556843" w:rsidRDefault="002B134C" w:rsidP="00F658E8">
            <w:pPr>
              <w:pStyle w:val="TableText"/>
              <w:keepNext/>
            </w:pPr>
          </w:p>
        </w:tc>
      </w:tr>
    </w:tbl>
    <w:p w14:paraId="255B41EC" w14:textId="50B9BC73" w:rsidR="002B69E4" w:rsidRPr="002B69E4" w:rsidRDefault="00C2736A" w:rsidP="00CD30FC">
      <w:pPr>
        <w:pStyle w:val="Heading3"/>
        <w:spacing w:before="240"/>
        <w:ind w:left="964" w:hanging="964"/>
      </w:pPr>
      <w:r>
        <w:t>Criterion 3 e</w:t>
      </w:r>
      <w:r w:rsidR="002B69E4" w:rsidRPr="002B69E4">
        <w:t>vidence</w:t>
      </w:r>
    </w:p>
    <w:p w14:paraId="38FCC849" w14:textId="468F3233" w:rsidR="002B69E4" w:rsidRPr="00CD30FC" w:rsidRDefault="00A45C2B" w:rsidP="002B69E4">
      <w:pPr>
        <w:rPr>
          <w:rStyle w:val="Strong"/>
        </w:rPr>
      </w:pPr>
      <w:r w:rsidRPr="006C1A3B">
        <w:rPr>
          <w:rStyle w:val="Strong"/>
        </w:rPr>
        <w:t>N</w:t>
      </w:r>
      <w:r w:rsidR="002B69E4" w:rsidRPr="006C1A3B">
        <w:rPr>
          <w:rStyle w:val="Strong"/>
        </w:rPr>
        <w:t>ot eligible</w:t>
      </w:r>
    </w:p>
    <w:p w14:paraId="7A52699A" w14:textId="4E1FE6DA" w:rsidR="002B69E4" w:rsidRDefault="002B69E4" w:rsidP="002B69E4">
      <w:pPr>
        <w:rPr>
          <w:bCs/>
        </w:rPr>
      </w:pPr>
      <w:bookmarkStart w:id="49" w:name="_Hlk69381053"/>
      <w:bookmarkStart w:id="50" w:name="_Hlk67393546"/>
      <w:r w:rsidRPr="002B69E4">
        <w:rPr>
          <w:bCs/>
        </w:rPr>
        <w:t xml:space="preserve">The total number of mature individuals is </w:t>
      </w:r>
      <w:r w:rsidR="00B24145">
        <w:rPr>
          <w:bCs/>
        </w:rPr>
        <w:t xml:space="preserve">estimated to be </w:t>
      </w:r>
      <w:bookmarkStart w:id="51" w:name="_Hlk69381077"/>
      <w:bookmarkEnd w:id="49"/>
      <w:r w:rsidR="00746540">
        <w:t xml:space="preserve">68,000 (range 36,000–113,000) </w:t>
      </w:r>
      <w:r w:rsidR="00B24145">
        <w:rPr>
          <w:lang w:eastAsia="ja-JP"/>
        </w:rPr>
        <w:t>(</w:t>
      </w:r>
      <w:r w:rsidR="00746540">
        <w:rPr>
          <w:lang w:eastAsia="ja-JP"/>
        </w:rPr>
        <w:t>S Garnett pers. comm. 9 Nov 2021</w:t>
      </w:r>
      <w:r w:rsidR="00B24145">
        <w:rPr>
          <w:lang w:eastAsia="ja-JP"/>
        </w:rPr>
        <w:t xml:space="preserve">). </w:t>
      </w:r>
      <w:bookmarkEnd w:id="50"/>
      <w:bookmarkEnd w:id="51"/>
      <w:r w:rsidR="00BA02A9">
        <w:rPr>
          <w:bCs/>
        </w:rPr>
        <w:t xml:space="preserve">There are estimated to be </w:t>
      </w:r>
      <w:r w:rsidR="002F324E">
        <w:rPr>
          <w:bCs/>
        </w:rPr>
        <w:t>100</w:t>
      </w:r>
      <w:r w:rsidR="00BA02A9">
        <w:rPr>
          <w:bCs/>
        </w:rPr>
        <w:t xml:space="preserve"> subpopulations </w:t>
      </w:r>
      <w:bookmarkStart w:id="52" w:name="_Hlk69381110"/>
      <w:r w:rsidR="00BA02A9">
        <w:rPr>
          <w:bCs/>
        </w:rPr>
        <w:t>with a declining trend</w:t>
      </w:r>
      <w:r w:rsidR="00746540">
        <w:rPr>
          <w:bCs/>
        </w:rPr>
        <w:t xml:space="preserve"> (Ford et al. 2021)</w:t>
      </w:r>
      <w:r w:rsidR="00BA02A9">
        <w:rPr>
          <w:bCs/>
        </w:rPr>
        <w:t>.</w:t>
      </w:r>
      <w:r w:rsidRPr="002B69E4">
        <w:rPr>
          <w:bCs/>
        </w:rPr>
        <w:t xml:space="preserve"> </w:t>
      </w:r>
      <w:bookmarkStart w:id="53" w:name="_Hlk69381045"/>
      <w:bookmarkEnd w:id="52"/>
      <w:r w:rsidR="00B24145">
        <w:rPr>
          <w:bCs/>
        </w:rPr>
        <w:t>The</w:t>
      </w:r>
      <w:r w:rsidRPr="002B69E4">
        <w:rPr>
          <w:bCs/>
        </w:rPr>
        <w:t xml:space="preserve"> s</w:t>
      </w:r>
      <w:r w:rsidR="00B24145">
        <w:rPr>
          <w:bCs/>
        </w:rPr>
        <w:t>ubs</w:t>
      </w:r>
      <w:r w:rsidRPr="002B69E4">
        <w:rPr>
          <w:bCs/>
        </w:rPr>
        <w:t xml:space="preserve">pecies’ distribution is </w:t>
      </w:r>
      <w:r w:rsidR="00B24145">
        <w:rPr>
          <w:bCs/>
        </w:rPr>
        <w:t xml:space="preserve">not </w:t>
      </w:r>
      <w:r w:rsidRPr="002B69E4">
        <w:rPr>
          <w:bCs/>
        </w:rPr>
        <w:t xml:space="preserve">precarious for its survival. </w:t>
      </w:r>
      <w:r w:rsidR="00B24145" w:rsidRPr="00B24145">
        <w:rPr>
          <w:bCs/>
        </w:rPr>
        <w:t xml:space="preserve">The subspecies is not subject to extreme fluctuations in </w:t>
      </w:r>
      <w:r w:rsidR="00B24145">
        <w:rPr>
          <w:bCs/>
        </w:rPr>
        <w:t>the number of</w:t>
      </w:r>
      <w:r w:rsidR="00B24145" w:rsidRPr="00B24145">
        <w:rPr>
          <w:bCs/>
        </w:rPr>
        <w:t xml:space="preserve"> mature individuals (</w:t>
      </w:r>
      <w:r w:rsidR="008970BF">
        <w:rPr>
          <w:lang w:eastAsia="ja-JP"/>
        </w:rPr>
        <w:t>Ford et al. 2021</w:t>
      </w:r>
      <w:r w:rsidR="00B24145" w:rsidRPr="00B24145">
        <w:rPr>
          <w:bCs/>
        </w:rPr>
        <w:t>).</w:t>
      </w:r>
      <w:bookmarkEnd w:id="53"/>
    </w:p>
    <w:p w14:paraId="3D8FCA4E" w14:textId="0F373974" w:rsidR="008C0415" w:rsidRPr="008C0415" w:rsidRDefault="008C0415" w:rsidP="002B69E4">
      <w:r w:rsidRPr="00E37B1D">
        <w:lastRenderedPageBreak/>
        <w:t>The data presented above appear to demonstrate the subspecies is not eligible for listing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p>
    <w:p w14:paraId="61158563" w14:textId="161C5D9C"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4D6C4D10"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16DD409" w14:textId="1522902C" w:rsidR="00166185" w:rsidRPr="00166185" w:rsidRDefault="00166185" w:rsidP="000E630E">
            <w:pPr>
              <w:pStyle w:val="TableText"/>
              <w:keepNext/>
            </w:pPr>
          </w:p>
        </w:tc>
      </w:tr>
      <w:tr w:rsidR="00166185" w:rsidRPr="00166185" w14:paraId="5CADCF9D"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ED538F3" w14:textId="0EF106F5"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4F6AFD2" w14:textId="77777777" w:rsidR="00166185" w:rsidRPr="009E3E71" w:rsidRDefault="00166185" w:rsidP="000E630E">
            <w:pPr>
              <w:pStyle w:val="TableText"/>
              <w:keepNext/>
              <w:rPr>
                <w:rStyle w:val="Strong"/>
              </w:rPr>
            </w:pPr>
            <w:r w:rsidRPr="009E3E71">
              <w:rPr>
                <w:rStyle w:val="Strong"/>
              </w:rPr>
              <w:t>Critically Endangered</w:t>
            </w:r>
          </w:p>
          <w:p w14:paraId="66C3FA8E"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7700FAD" w14:textId="77777777" w:rsidR="00166185" w:rsidRPr="009E3E71" w:rsidRDefault="00166185" w:rsidP="000E630E">
            <w:pPr>
              <w:pStyle w:val="TableText"/>
              <w:keepNext/>
              <w:rPr>
                <w:rStyle w:val="Strong"/>
              </w:rPr>
            </w:pPr>
            <w:r w:rsidRPr="009E3E71">
              <w:rPr>
                <w:rStyle w:val="Strong"/>
              </w:rPr>
              <w:t>Endangered</w:t>
            </w:r>
          </w:p>
          <w:p w14:paraId="71161D83"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877173C" w14:textId="77777777" w:rsidR="00166185" w:rsidRPr="009E3E71" w:rsidRDefault="00166185" w:rsidP="000E630E">
            <w:pPr>
              <w:pStyle w:val="TableText"/>
              <w:keepNext/>
              <w:rPr>
                <w:rStyle w:val="Strong"/>
              </w:rPr>
            </w:pPr>
            <w:r w:rsidRPr="009E3E71">
              <w:rPr>
                <w:rStyle w:val="Strong"/>
              </w:rPr>
              <w:t>Vulnerable</w:t>
            </w:r>
          </w:p>
          <w:p w14:paraId="0BC34153" w14:textId="77777777" w:rsidR="00166185" w:rsidRPr="009E3E71" w:rsidRDefault="00166185" w:rsidP="000E630E">
            <w:pPr>
              <w:pStyle w:val="TableText"/>
              <w:keepNext/>
              <w:rPr>
                <w:rStyle w:val="Strong"/>
              </w:rPr>
            </w:pPr>
            <w:r w:rsidRPr="009E3E71">
              <w:rPr>
                <w:rStyle w:val="Strong"/>
              </w:rPr>
              <w:t>Low</w:t>
            </w:r>
          </w:p>
        </w:tc>
      </w:tr>
      <w:tr w:rsidR="00166185" w:rsidRPr="00166185" w14:paraId="21FFCB59"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302984C" w14:textId="3A2FA34F"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599626A"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8616F4C"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CF79AF0"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0E51514"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D28C6DB" w14:textId="5098EE22"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5061C23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165493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B7BA5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6475A919"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0BEEC6B"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7" w:history="1">
        <w:r w:rsidRPr="00166185">
          <w:rPr>
            <w:rStyle w:val="Hyperlink"/>
            <w:bCs/>
            <w:i/>
            <w:iCs/>
          </w:rPr>
          <w:t>common assessment method</w:t>
        </w:r>
      </w:hyperlink>
      <w:r w:rsidRPr="00166185">
        <w:t>.</w:t>
      </w:r>
    </w:p>
    <w:p w14:paraId="727104F9" w14:textId="19E72260" w:rsidR="00C2736A" w:rsidRPr="00C2736A" w:rsidRDefault="00C2736A">
      <w:pPr>
        <w:pStyle w:val="Heading3"/>
        <w:ind w:left="964" w:hanging="964"/>
      </w:pPr>
      <w:r>
        <w:t>Criterion 4 e</w:t>
      </w:r>
      <w:r w:rsidR="00BE530B" w:rsidRPr="00BE530B">
        <w:t>vidence</w:t>
      </w:r>
    </w:p>
    <w:p w14:paraId="50F4D4CE" w14:textId="77875262" w:rsidR="00BE530B" w:rsidRPr="00AD2D38" w:rsidRDefault="00BE530B" w:rsidP="00BE530B">
      <w:pPr>
        <w:rPr>
          <w:rStyle w:val="Strong"/>
        </w:rPr>
      </w:pPr>
      <w:r w:rsidRPr="001F7C9A">
        <w:rPr>
          <w:rStyle w:val="Strong"/>
        </w:rPr>
        <w:t>Not eligible</w:t>
      </w:r>
    </w:p>
    <w:p w14:paraId="0EF54F7E" w14:textId="25559B0B" w:rsidR="00BE530B" w:rsidRPr="0071018A" w:rsidRDefault="00BE530B" w:rsidP="0071018A">
      <w:pPr>
        <w:rPr>
          <w:lang w:eastAsia="ja-JP"/>
        </w:rPr>
      </w:pPr>
      <w:bookmarkStart w:id="54" w:name="_Hlk69381171"/>
      <w:r>
        <w:t xml:space="preserve">The total number of mature individuals is </w:t>
      </w:r>
      <w:bookmarkEnd w:id="54"/>
      <w:r w:rsidR="00746540">
        <w:t xml:space="preserve">68,000 (range 36,000–113,000) </w:t>
      </w:r>
      <w:r w:rsidR="00746540">
        <w:rPr>
          <w:lang w:eastAsia="ja-JP"/>
        </w:rPr>
        <w:t>(S Garnett pers. comm. 9 Nov 2021)</w:t>
      </w:r>
      <w:r w:rsidR="00995FC6">
        <w:rPr>
          <w:lang w:eastAsia="ja-JP"/>
        </w:rPr>
        <w:t xml:space="preserve"> with a declining trend (medium reliability)</w:t>
      </w:r>
      <w:r w:rsidR="00A521E6">
        <w:rPr>
          <w:lang w:eastAsia="ja-JP"/>
        </w:rPr>
        <w:t xml:space="preserve"> (Ford et al. 2021)</w:t>
      </w:r>
      <w:r w:rsidR="00746540">
        <w:rPr>
          <w:lang w:eastAsia="ja-JP"/>
        </w:rPr>
        <w:t>.</w:t>
      </w:r>
      <w:r w:rsidR="002F5A91">
        <w:rPr>
          <w:lang w:eastAsia="ja-JP"/>
        </w:rPr>
        <w:t xml:space="preserve"> </w:t>
      </w:r>
      <w:r w:rsidR="00995FC6">
        <w:rPr>
          <w:lang w:eastAsia="ja-JP"/>
        </w:rPr>
        <w:t>The AOO is estimated to be 30,000 km</w:t>
      </w:r>
      <w:r w:rsidR="00995FC6" w:rsidRPr="00995FC6">
        <w:rPr>
          <w:vertAlign w:val="superscript"/>
          <w:lang w:eastAsia="ja-JP"/>
        </w:rPr>
        <w:t>2</w:t>
      </w:r>
      <w:r w:rsidR="00995FC6">
        <w:rPr>
          <w:lang w:eastAsia="ja-JP"/>
        </w:rPr>
        <w:t xml:space="preserve"> (range 24,000–50,000 km</w:t>
      </w:r>
      <w:r w:rsidR="00995FC6" w:rsidRPr="00995FC6">
        <w:rPr>
          <w:vertAlign w:val="superscript"/>
          <w:lang w:eastAsia="ja-JP"/>
        </w:rPr>
        <w:t>2</w:t>
      </w:r>
      <w:r w:rsidR="00995FC6">
        <w:rPr>
          <w:lang w:eastAsia="ja-JP"/>
        </w:rPr>
        <w:t>; low reliability) with a contracting trend (medium reliability), and is not considered to be</w:t>
      </w:r>
      <w:r w:rsidR="00884AF4">
        <w:rPr>
          <w:lang w:eastAsia="ja-JP"/>
        </w:rPr>
        <w:t xml:space="preserve"> small or</w:t>
      </w:r>
      <w:r w:rsidR="00995FC6">
        <w:rPr>
          <w:lang w:eastAsia="ja-JP"/>
        </w:rPr>
        <w:t xml:space="preserve"> restricted</w:t>
      </w:r>
      <w:r w:rsidR="00A521E6">
        <w:rPr>
          <w:lang w:eastAsia="ja-JP"/>
        </w:rPr>
        <w:t xml:space="preserve"> (Ford et al. 2021)</w:t>
      </w:r>
      <w:r w:rsidR="00995FC6">
        <w:rPr>
          <w:lang w:eastAsia="ja-JP"/>
        </w:rPr>
        <w:t xml:space="preserve">. </w:t>
      </w:r>
    </w:p>
    <w:p w14:paraId="59F7CF8A" w14:textId="544ADEC9" w:rsidR="001F7C9A" w:rsidRPr="00583880" w:rsidRDefault="001F7C9A" w:rsidP="00BE530B">
      <w:bookmarkStart w:id="55" w:name="_Hlk68533838"/>
      <w:r w:rsidRPr="00E37B1D">
        <w:t>The data presented above appear to demonstrate that the subspecies is not eligible for listing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bookmarkEnd w:id="55"/>
    </w:p>
    <w:p w14:paraId="6CB5188C" w14:textId="1923D105"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04D1B3AF"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E89BAD7" w14:textId="0E16688A" w:rsidR="00AD2722" w:rsidRPr="00556843" w:rsidRDefault="00AD2722" w:rsidP="000E630E">
            <w:pPr>
              <w:keepNext/>
              <w:tabs>
                <w:tab w:val="left" w:pos="284"/>
              </w:tabs>
              <w:rPr>
                <w:rFonts w:ascii="Arial" w:hAnsi="Arial" w:cs="Arial"/>
                <w:b/>
                <w:color w:val="FFFFFF" w:themeColor="background1"/>
              </w:rPr>
            </w:pPr>
          </w:p>
        </w:tc>
      </w:tr>
      <w:tr w:rsidR="00AD2722" w:rsidRPr="00556843" w14:paraId="700FB662" w14:textId="77777777" w:rsidTr="001C7420">
        <w:trPr>
          <w:trHeight w:val="439"/>
        </w:trPr>
        <w:tc>
          <w:tcPr>
            <w:tcW w:w="4042" w:type="dxa"/>
            <w:tcBorders>
              <w:top w:val="nil"/>
              <w:left w:val="single" w:sz="4" w:space="0" w:color="auto"/>
              <w:bottom w:val="nil"/>
              <w:right w:val="nil"/>
            </w:tcBorders>
          </w:tcPr>
          <w:p w14:paraId="7BE6F180" w14:textId="0F1AD6B3"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5CBACCA" w14:textId="77777777" w:rsidR="00AD2722" w:rsidRPr="009E3E71" w:rsidRDefault="00AD2722" w:rsidP="000E630E">
            <w:pPr>
              <w:pStyle w:val="TableText"/>
              <w:keepNext/>
              <w:rPr>
                <w:rStyle w:val="Strong"/>
              </w:rPr>
            </w:pPr>
            <w:r w:rsidRPr="009E3E71">
              <w:rPr>
                <w:rStyle w:val="Strong"/>
              </w:rPr>
              <w:t>Critically Endangered</w:t>
            </w:r>
          </w:p>
          <w:p w14:paraId="51B0B3C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2EE80F7" w14:textId="77777777" w:rsidR="00AD2722" w:rsidRPr="009E3E71" w:rsidRDefault="00AD2722" w:rsidP="000E630E">
            <w:pPr>
              <w:pStyle w:val="TableText"/>
              <w:keepNext/>
              <w:rPr>
                <w:rStyle w:val="Strong"/>
              </w:rPr>
            </w:pPr>
            <w:r w:rsidRPr="009E3E71">
              <w:rPr>
                <w:rStyle w:val="Strong"/>
              </w:rPr>
              <w:t>Endangered</w:t>
            </w:r>
          </w:p>
          <w:p w14:paraId="12D62DC5"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DA68E39" w14:textId="77777777" w:rsidR="00AD2722" w:rsidRPr="009E3E71" w:rsidRDefault="00AD2722" w:rsidP="000E630E">
            <w:pPr>
              <w:pStyle w:val="TableText"/>
              <w:keepNext/>
              <w:rPr>
                <w:rStyle w:val="Strong"/>
              </w:rPr>
            </w:pPr>
            <w:r w:rsidRPr="009E3E71">
              <w:rPr>
                <w:rStyle w:val="Strong"/>
              </w:rPr>
              <w:t>Vulnerable</w:t>
            </w:r>
          </w:p>
          <w:p w14:paraId="39AAFF44"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3DF44964"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5D4AFE9"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B6D3D1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8CE2F3E"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8F72FDE"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45FADB1F" w14:textId="52FB2098" w:rsidR="00AD2722" w:rsidRPr="00AD2722" w:rsidRDefault="00C2736A" w:rsidP="00A41058">
      <w:pPr>
        <w:pStyle w:val="Heading3"/>
        <w:spacing w:before="240"/>
        <w:ind w:left="964" w:hanging="964"/>
      </w:pPr>
      <w:r>
        <w:t>Criterion 5 e</w:t>
      </w:r>
      <w:r w:rsidR="00AD2722" w:rsidRPr="00AD2722">
        <w:t>vidence</w:t>
      </w:r>
    </w:p>
    <w:p w14:paraId="61E6B7BA" w14:textId="77777777" w:rsidR="00145862" w:rsidRPr="00A41058" w:rsidRDefault="00AD2722" w:rsidP="00AD2722">
      <w:pPr>
        <w:rPr>
          <w:rStyle w:val="Strong"/>
        </w:rPr>
      </w:pPr>
      <w:r w:rsidRPr="001F7C9A">
        <w:rPr>
          <w:rStyle w:val="Strong"/>
        </w:rPr>
        <w:t>Insufficient data to determine eligibility</w:t>
      </w:r>
      <w:r w:rsidRPr="00A41058">
        <w:rPr>
          <w:rStyle w:val="Strong"/>
        </w:rPr>
        <w:t xml:space="preserve"> </w:t>
      </w:r>
    </w:p>
    <w:p w14:paraId="0EC265D1" w14:textId="77777777" w:rsidR="001F7C9A" w:rsidRDefault="001F7C9A" w:rsidP="001F7C9A">
      <w:pPr>
        <w:rPr>
          <w:bCs/>
        </w:rPr>
      </w:pPr>
      <w:bookmarkStart w:id="56" w:name="_Hlk67394765"/>
      <w:r w:rsidRPr="00E37B1D">
        <w:rPr>
          <w:bCs/>
        </w:rPr>
        <w:t xml:space="preserve">Population viability analysis appears not to have been undertaken, and therefore there is insufficient data to demonstrate if the subspecies is eligible for listing under this criterion. </w:t>
      </w:r>
      <w:bookmarkStart w:id="57" w:name="_Hlk65766140"/>
      <w:r w:rsidRPr="00E37B1D">
        <w:rPr>
          <w:bCs/>
        </w:rPr>
        <w:t>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bookmarkEnd w:id="57"/>
    </w:p>
    <w:bookmarkEnd w:id="56"/>
    <w:p w14:paraId="5C6C43B0" w14:textId="77777777" w:rsidR="00AD2722" w:rsidRPr="00AD2722" w:rsidRDefault="00AD2722" w:rsidP="00F20180">
      <w:pPr>
        <w:pStyle w:val="Heading3"/>
        <w:ind w:left="964" w:hanging="964"/>
      </w:pPr>
      <w:r w:rsidRPr="00AD2722">
        <w:t>Adequacy of survey</w:t>
      </w:r>
    </w:p>
    <w:p w14:paraId="3FAFA75A" w14:textId="02E22E73" w:rsidR="00862660" w:rsidRDefault="00AD2722" w:rsidP="00F20180">
      <w:pPr>
        <w:rPr>
          <w:bCs/>
        </w:rPr>
      </w:pPr>
      <w:r w:rsidRPr="001F7C9A">
        <w:rPr>
          <w:bCs/>
        </w:rPr>
        <w:t>The survey effort has been considered adequate and there is sufficient scientific evidence to support the assessment.</w:t>
      </w:r>
    </w:p>
    <w:p w14:paraId="09B35D7C" w14:textId="0E59FD08" w:rsidR="001F7C9A" w:rsidRDefault="00862660">
      <w:pPr>
        <w:spacing w:after="0" w:line="240" w:lineRule="auto"/>
        <w:rPr>
          <w:bCs/>
        </w:rPr>
      </w:pPr>
      <w:r>
        <w:rPr>
          <w:bCs/>
        </w:rPr>
        <w:br w:type="page"/>
      </w:r>
    </w:p>
    <w:p w14:paraId="4116010A" w14:textId="4BA4A69B" w:rsidR="001F7C9A" w:rsidRPr="00341C73" w:rsidRDefault="001F7C9A" w:rsidP="001F7C9A">
      <w:pPr>
        <w:pStyle w:val="TSSC"/>
        <w:numPr>
          <w:ilvl w:val="0"/>
          <w:numId w:val="0"/>
        </w:numPr>
        <w:tabs>
          <w:tab w:val="clear" w:pos="567"/>
          <w:tab w:val="left" w:pos="720"/>
        </w:tabs>
        <w:ind w:left="1560" w:hanging="1560"/>
        <w:rPr>
          <w:rFonts w:ascii="Arial" w:hAnsi="Arial" w:cs="Arial"/>
          <w:b/>
          <w:szCs w:val="24"/>
          <w:u w:val="single"/>
        </w:rPr>
      </w:pPr>
      <w:bookmarkStart w:id="58" w:name="_Hlk67394787"/>
      <w:r w:rsidRPr="00341C73">
        <w:rPr>
          <w:rFonts w:ascii="Arial" w:hAnsi="Arial" w:cs="Arial"/>
          <w:b/>
          <w:szCs w:val="24"/>
          <w:u w:val="single"/>
        </w:rPr>
        <w:lastRenderedPageBreak/>
        <w:t xml:space="preserve">CONSULTATION QUESTIONS FOR </w:t>
      </w:r>
      <w:r w:rsidRPr="001F7C9A">
        <w:rPr>
          <w:rFonts w:ascii="Arial" w:hAnsi="Arial" w:cs="Arial"/>
          <w:b/>
          <w:i/>
          <w:iCs/>
          <w:szCs w:val="24"/>
          <w:u w:val="single"/>
        </w:rPr>
        <w:t>Climacteris picumnus</w:t>
      </w:r>
      <w:r w:rsidRPr="001F7C9A">
        <w:rPr>
          <w:rFonts w:ascii="Arial" w:hAnsi="Arial" w:cs="Arial"/>
          <w:b/>
          <w:szCs w:val="24"/>
          <w:u w:val="single"/>
        </w:rPr>
        <w:t xml:space="preserve"> </w:t>
      </w:r>
      <w:r w:rsidRPr="001F7C9A">
        <w:rPr>
          <w:rFonts w:ascii="Arial" w:hAnsi="Arial" w:cs="Arial"/>
          <w:b/>
          <w:i/>
          <w:iCs/>
          <w:szCs w:val="24"/>
          <w:u w:val="single"/>
        </w:rPr>
        <w:t>victoriae</w:t>
      </w:r>
      <w:r w:rsidRPr="001F7C9A">
        <w:rPr>
          <w:rFonts w:ascii="Arial" w:hAnsi="Arial" w:cs="Arial"/>
          <w:b/>
          <w:szCs w:val="24"/>
          <w:u w:val="single"/>
        </w:rPr>
        <w:t xml:space="preserve"> (Brown Treecreeper (south-eastern)) </w:t>
      </w:r>
    </w:p>
    <w:p w14:paraId="0432AFCF" w14:textId="77777777" w:rsidR="001F7C9A" w:rsidRPr="00341C73" w:rsidRDefault="001F7C9A" w:rsidP="001F7C9A">
      <w:pPr>
        <w:tabs>
          <w:tab w:val="left" w:pos="720"/>
        </w:tabs>
        <w:spacing w:after="240" w:line="240" w:lineRule="auto"/>
        <w:ind w:left="1560" w:hanging="1560"/>
        <w:rPr>
          <w:rFonts w:ascii="Arial" w:eastAsia="Times New Roman" w:hAnsi="Arial" w:cs="Arial"/>
          <w:u w:val="single"/>
        </w:rPr>
      </w:pPr>
      <w:r w:rsidRPr="00341C73">
        <w:rPr>
          <w:rFonts w:ascii="Arial" w:eastAsia="Times New Roman" w:hAnsi="Arial" w:cs="Arial"/>
          <w:b/>
          <w:u w:val="single"/>
        </w:rPr>
        <w:t>SECTION A - GENERAL</w:t>
      </w:r>
    </w:p>
    <w:p w14:paraId="278F3D24"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3D29569C"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75EC71EA"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data or information relevant to this assessment?</w:t>
      </w:r>
    </w:p>
    <w:p w14:paraId="0ADB16A5"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12007C81"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Have you been involved in previous state, territory or national assessments of this species/subspecies? If so, in what capacity?</w:t>
      </w:r>
    </w:p>
    <w:p w14:paraId="37B51C0F"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3A0231F5"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01435AED"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1 – INFORMATION TO ASSIST LISTING ASSESSMENT</w:t>
      </w:r>
    </w:p>
    <w:p w14:paraId="1003DE30"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7F6F91BB"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7636A469"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B</w:t>
      </w:r>
      <w:r w:rsidRPr="00341C73">
        <w:rPr>
          <w:rFonts w:ascii="Arial" w:eastAsia="Times New Roman" w:hAnsi="Arial" w:cs="Arial"/>
          <w:b/>
        </w:rPr>
        <w:tab/>
        <w:t>DO YOU HAVE ADDITIONAL INFORMATION ON THE ECOLOGY OR BIOLOGY OF THE SPECIES/SUBSPECIES? (If no, skip to section C)</w:t>
      </w:r>
    </w:p>
    <w:p w14:paraId="294E40EA"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p>
    <w:p w14:paraId="3A1D12B8" w14:textId="77777777" w:rsidR="001F7C9A" w:rsidRPr="00341C73" w:rsidRDefault="001F7C9A" w:rsidP="001F7C9A">
      <w:pPr>
        <w:autoSpaceDE w:val="0"/>
        <w:autoSpaceDN w:val="0"/>
        <w:adjustRightInd w:val="0"/>
        <w:spacing w:after="0" w:line="240" w:lineRule="auto"/>
        <w:rPr>
          <w:rFonts w:ascii="Arial" w:eastAsia="Times New Roman" w:hAnsi="Arial" w:cs="Arial"/>
          <w:b/>
          <w:bCs/>
        </w:rPr>
      </w:pPr>
      <w:r w:rsidRPr="00341C73">
        <w:rPr>
          <w:rFonts w:ascii="Arial" w:eastAsia="Times New Roman" w:hAnsi="Arial" w:cs="Arial"/>
          <w:b/>
          <w:bCs/>
        </w:rPr>
        <w:t>Biological information</w:t>
      </w:r>
    </w:p>
    <w:p w14:paraId="08640227" w14:textId="77777777" w:rsidR="001F7C9A" w:rsidRPr="00341C73" w:rsidRDefault="001F7C9A" w:rsidP="001F7C9A">
      <w:pPr>
        <w:autoSpaceDE w:val="0"/>
        <w:autoSpaceDN w:val="0"/>
        <w:adjustRightInd w:val="0"/>
        <w:spacing w:after="0" w:line="240" w:lineRule="auto"/>
        <w:rPr>
          <w:rFonts w:ascii="Arial" w:eastAsia="Times New Roman" w:hAnsi="Arial" w:cs="Arial"/>
          <w:b/>
          <w:bCs/>
        </w:rPr>
      </w:pPr>
    </w:p>
    <w:p w14:paraId="7FB33575"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any additional or alternative references, information or estimates on longevity, average life span and generation length?</w:t>
      </w:r>
    </w:p>
    <w:p w14:paraId="1916B88D"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17B2B432"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have any additional information on the ecology or biology of the species/subspecies not in the current advice?</w:t>
      </w:r>
    </w:p>
    <w:p w14:paraId="3DB793C4"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46ACA97C"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C</w:t>
      </w:r>
      <w:r w:rsidRPr="00341C73">
        <w:rPr>
          <w:rFonts w:ascii="Arial" w:eastAsia="Times New Roman" w:hAnsi="Arial" w:cs="Arial"/>
        </w:rPr>
        <w:tab/>
      </w:r>
      <w:r w:rsidRPr="00341C73">
        <w:rPr>
          <w:rFonts w:ascii="Arial" w:eastAsia="Times New Roman" w:hAnsi="Arial" w:cs="Arial"/>
          <w:b/>
        </w:rPr>
        <w:t>ARE YOU AWARE OF THE STATUS OF THE TOTAL NATIONAL POPULATION OF THE SPECIES/SUBSPECIES? (If no, skip to section D)</w:t>
      </w:r>
    </w:p>
    <w:p w14:paraId="68EEC75F"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2B6372BC"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Population size</w:t>
      </w:r>
    </w:p>
    <w:p w14:paraId="21356D5E"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p>
    <w:p w14:paraId="19B1652D"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taxon been adequate to determine its national adult population size? If not, please provide justification for your response.</w:t>
      </w:r>
    </w:p>
    <w:p w14:paraId="4583216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52A52CC8"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25B3CF9F"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7E30CDDD"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3156A5F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64292F1F"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1B019BEB"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p>
    <w:p w14:paraId="27C7502D"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7D4ED0A6" w14:textId="19C6DD3D" w:rsidR="001857C4"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001519BE">
        <w:rPr>
          <w:rFonts w:ascii="Arial" w:eastAsia="Times New Roman" w:hAnsi="Arial" w:cs="Arial"/>
        </w:rPr>
        <w:t>&lt;100</w:t>
      </w:r>
      <w:r w:rsidR="00BE508B">
        <w:rPr>
          <w:rFonts w:ascii="Arial" w:eastAsia="Times New Roman" w:hAnsi="Arial" w:cs="Arial"/>
        </w:rPr>
        <w:t>,000</w:t>
      </w:r>
      <w:r w:rsidRPr="00341C73">
        <w:rPr>
          <w:rFonts w:ascii="Arial" w:eastAsia="Times New Roman" w:hAnsi="Arial" w:cs="Arial"/>
        </w:rPr>
        <w:t xml:space="preserve"> </w:t>
      </w:r>
      <w:r w:rsidRPr="00341C73">
        <w:rPr>
          <w:rFonts w:ascii="Arial" w:eastAsia="Times New Roman" w:hAnsi="Arial" w:cs="Arial"/>
          <w:sz w:val="44"/>
          <w:szCs w:val="44"/>
        </w:rPr>
        <w:t>□</w:t>
      </w:r>
      <w:r w:rsidR="001519BE">
        <w:rPr>
          <w:rFonts w:ascii="Arial" w:eastAsia="Times New Roman" w:hAnsi="Arial" w:cs="Arial"/>
        </w:rPr>
        <w:t>100</w:t>
      </w:r>
      <w:r w:rsidR="00BE508B">
        <w:rPr>
          <w:rFonts w:ascii="Arial" w:eastAsia="Times New Roman" w:hAnsi="Arial" w:cs="Arial"/>
        </w:rPr>
        <w:t>,00</w:t>
      </w:r>
      <w:r w:rsidR="001519BE">
        <w:rPr>
          <w:rFonts w:ascii="Arial" w:eastAsia="Times New Roman" w:hAnsi="Arial" w:cs="Arial"/>
        </w:rPr>
        <w:t>1</w:t>
      </w:r>
      <w:r w:rsidR="00BE508B">
        <w:rPr>
          <w:rFonts w:ascii="Arial" w:eastAsia="Times New Roman" w:hAnsi="Arial" w:cs="Arial"/>
        </w:rPr>
        <w:t>–</w:t>
      </w:r>
      <w:r w:rsidR="001519BE">
        <w:rPr>
          <w:rFonts w:ascii="Arial" w:eastAsia="Times New Roman" w:hAnsi="Arial" w:cs="Arial"/>
        </w:rPr>
        <w:t>200</w:t>
      </w:r>
      <w:r w:rsidR="00BE508B">
        <w:rPr>
          <w:rFonts w:ascii="Arial" w:eastAsia="Times New Roman" w:hAnsi="Arial" w:cs="Arial"/>
        </w:rPr>
        <w:t>,000</w:t>
      </w:r>
      <w:r w:rsidR="001857C4">
        <w:rPr>
          <w:rFonts w:ascii="Arial" w:eastAsia="Times New Roman" w:hAnsi="Arial" w:cs="Arial"/>
        </w:rPr>
        <w:t xml:space="preserve"> </w:t>
      </w:r>
      <w:r w:rsidRPr="00341C73">
        <w:rPr>
          <w:rFonts w:ascii="Arial" w:eastAsia="Times New Roman" w:hAnsi="Arial" w:cs="Arial"/>
          <w:sz w:val="44"/>
          <w:szCs w:val="44"/>
        </w:rPr>
        <w:t>□</w:t>
      </w:r>
      <w:r w:rsidR="001519BE">
        <w:rPr>
          <w:rFonts w:ascii="Arial" w:eastAsia="Times New Roman" w:hAnsi="Arial" w:cs="Arial"/>
        </w:rPr>
        <w:t>2</w:t>
      </w:r>
      <w:r w:rsidR="00BE508B">
        <w:rPr>
          <w:rFonts w:ascii="Arial" w:eastAsia="Times New Roman" w:hAnsi="Arial" w:cs="Arial"/>
        </w:rPr>
        <w:t>01</w:t>
      </w:r>
      <w:r w:rsidR="001519BE">
        <w:rPr>
          <w:rFonts w:ascii="Arial" w:eastAsia="Times New Roman" w:hAnsi="Arial" w:cs="Arial"/>
        </w:rPr>
        <w:t>,000</w:t>
      </w:r>
      <w:r w:rsidR="00BE508B">
        <w:rPr>
          <w:rFonts w:ascii="Arial" w:eastAsia="Times New Roman" w:hAnsi="Arial" w:cs="Arial"/>
        </w:rPr>
        <w:t>–</w:t>
      </w:r>
      <w:r w:rsidR="001857C4">
        <w:rPr>
          <w:rFonts w:ascii="Arial" w:eastAsia="Times New Roman" w:hAnsi="Arial" w:cs="Arial"/>
        </w:rPr>
        <w:t>30</w:t>
      </w:r>
      <w:r w:rsidR="001519BE">
        <w:rPr>
          <w:rFonts w:ascii="Arial" w:eastAsia="Times New Roman" w:hAnsi="Arial" w:cs="Arial"/>
        </w:rPr>
        <w:t>0</w:t>
      </w:r>
      <w:r w:rsidR="00BE508B">
        <w:rPr>
          <w:rFonts w:ascii="Arial" w:eastAsia="Times New Roman" w:hAnsi="Arial" w:cs="Arial"/>
        </w:rPr>
        <w:t>,000</w:t>
      </w:r>
      <w:r w:rsidRPr="00341C73">
        <w:rPr>
          <w:rFonts w:ascii="Arial" w:eastAsia="Times New Roman" w:hAnsi="Arial" w:cs="Arial"/>
          <w:sz w:val="44"/>
          <w:szCs w:val="44"/>
        </w:rPr>
        <w:t xml:space="preserve"> □</w:t>
      </w:r>
      <w:r w:rsidR="001857C4">
        <w:rPr>
          <w:rFonts w:ascii="Arial" w:eastAsia="Times New Roman" w:hAnsi="Arial" w:cs="Arial"/>
        </w:rPr>
        <w:t>30</w:t>
      </w:r>
      <w:r w:rsidR="001519BE">
        <w:rPr>
          <w:rFonts w:ascii="Arial" w:eastAsia="Times New Roman" w:hAnsi="Arial" w:cs="Arial"/>
        </w:rPr>
        <w:t>0</w:t>
      </w:r>
      <w:r w:rsidR="00BE508B">
        <w:rPr>
          <w:rFonts w:ascii="Arial" w:eastAsia="Times New Roman" w:hAnsi="Arial" w:cs="Arial"/>
        </w:rPr>
        <w:t>,001–</w:t>
      </w:r>
      <w:r w:rsidR="001857C4">
        <w:rPr>
          <w:rFonts w:ascii="Arial" w:eastAsia="Times New Roman" w:hAnsi="Arial" w:cs="Arial"/>
        </w:rPr>
        <w:t>40</w:t>
      </w:r>
      <w:r w:rsidR="001519BE">
        <w:rPr>
          <w:rFonts w:ascii="Arial" w:eastAsia="Times New Roman" w:hAnsi="Arial" w:cs="Arial"/>
        </w:rPr>
        <w:t>0</w:t>
      </w:r>
      <w:r w:rsidR="00BE508B">
        <w:rPr>
          <w:rFonts w:ascii="Arial" w:eastAsia="Times New Roman" w:hAnsi="Arial" w:cs="Arial"/>
        </w:rPr>
        <w:t>,000</w:t>
      </w:r>
      <w:r w:rsidRPr="00341C73">
        <w:rPr>
          <w:rFonts w:ascii="Arial" w:eastAsia="Times New Roman" w:hAnsi="Arial" w:cs="Arial"/>
        </w:rPr>
        <w:t xml:space="preserve"> </w:t>
      </w:r>
    </w:p>
    <w:p w14:paraId="245BA4F7" w14:textId="3E4D1FF4" w:rsidR="001F7C9A" w:rsidRPr="00341C73" w:rsidRDefault="001857C4" w:rsidP="001F7C9A">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lastRenderedPageBreak/>
        <w:t>□</w:t>
      </w:r>
      <w:r w:rsidR="001519BE">
        <w:rPr>
          <w:rFonts w:ascii="Arial" w:eastAsia="Times New Roman" w:hAnsi="Arial" w:cs="Arial"/>
        </w:rPr>
        <w:t>4</w:t>
      </w:r>
      <w:r>
        <w:rPr>
          <w:rFonts w:ascii="Arial" w:eastAsia="Times New Roman" w:hAnsi="Arial" w:cs="Arial"/>
        </w:rPr>
        <w:t>0</w:t>
      </w:r>
      <w:r w:rsidR="001519BE">
        <w:rPr>
          <w:rFonts w:ascii="Arial" w:eastAsia="Times New Roman" w:hAnsi="Arial" w:cs="Arial"/>
        </w:rPr>
        <w:t>0</w:t>
      </w:r>
      <w:r>
        <w:rPr>
          <w:rFonts w:ascii="Arial" w:eastAsia="Times New Roman" w:hAnsi="Arial" w:cs="Arial"/>
        </w:rPr>
        <w:t>,001–</w:t>
      </w:r>
      <w:r w:rsidR="001519BE">
        <w:rPr>
          <w:rFonts w:ascii="Arial" w:eastAsia="Times New Roman" w:hAnsi="Arial" w:cs="Arial"/>
        </w:rPr>
        <w:t>5</w:t>
      </w:r>
      <w:r>
        <w:rPr>
          <w:rFonts w:ascii="Arial" w:eastAsia="Times New Roman" w:hAnsi="Arial" w:cs="Arial"/>
        </w:rPr>
        <w:t>0</w:t>
      </w:r>
      <w:r w:rsidR="001519BE">
        <w:rPr>
          <w:rFonts w:ascii="Arial" w:eastAsia="Times New Roman" w:hAnsi="Arial" w:cs="Arial"/>
        </w:rPr>
        <w:t>0</w:t>
      </w:r>
      <w:r>
        <w:rPr>
          <w:rFonts w:ascii="Arial" w:eastAsia="Times New Roman" w:hAnsi="Arial" w:cs="Arial"/>
        </w:rPr>
        <w:t>,000</w:t>
      </w:r>
      <w:r w:rsidRPr="00341C73">
        <w:rPr>
          <w:rFonts w:ascii="Arial" w:eastAsia="Times New Roman" w:hAnsi="Arial" w:cs="Arial"/>
          <w:sz w:val="44"/>
          <w:szCs w:val="44"/>
        </w:rPr>
        <w:t xml:space="preserve"> □</w:t>
      </w:r>
      <w:r w:rsidR="001519BE">
        <w:rPr>
          <w:rFonts w:ascii="Arial" w:eastAsia="Times New Roman" w:hAnsi="Arial" w:cs="Arial"/>
        </w:rPr>
        <w:t>50</w:t>
      </w:r>
      <w:r>
        <w:rPr>
          <w:rFonts w:ascii="Arial" w:eastAsia="Times New Roman" w:hAnsi="Arial" w:cs="Arial"/>
        </w:rPr>
        <w:t>0,001–</w:t>
      </w:r>
      <w:r w:rsidR="001519BE">
        <w:rPr>
          <w:rFonts w:ascii="Arial" w:eastAsia="Times New Roman" w:hAnsi="Arial" w:cs="Arial"/>
        </w:rPr>
        <w:t>60</w:t>
      </w:r>
      <w:r>
        <w:rPr>
          <w:rFonts w:ascii="Arial" w:eastAsia="Times New Roman" w:hAnsi="Arial" w:cs="Arial"/>
        </w:rPr>
        <w:t>0,000</w:t>
      </w:r>
      <w:r w:rsidRPr="00341C73">
        <w:rPr>
          <w:rFonts w:ascii="Arial" w:eastAsia="Times New Roman" w:hAnsi="Arial" w:cs="Arial"/>
        </w:rPr>
        <w:t xml:space="preserve"> </w:t>
      </w:r>
      <w:r w:rsidR="001F7C9A" w:rsidRPr="00341C73">
        <w:rPr>
          <w:rFonts w:ascii="Arial" w:eastAsia="Times New Roman" w:hAnsi="Arial" w:cs="Arial"/>
          <w:sz w:val="44"/>
          <w:szCs w:val="44"/>
        </w:rPr>
        <w:t>□</w:t>
      </w:r>
      <w:r w:rsidR="001F7C9A" w:rsidRPr="00341C73">
        <w:rPr>
          <w:rFonts w:ascii="Arial" w:eastAsia="Times New Roman" w:hAnsi="Arial" w:cs="Arial"/>
        </w:rPr>
        <w:t xml:space="preserve"> &gt;</w:t>
      </w:r>
      <w:r w:rsidR="001519BE">
        <w:rPr>
          <w:rFonts w:ascii="Arial" w:eastAsia="Times New Roman" w:hAnsi="Arial" w:cs="Arial"/>
        </w:rPr>
        <w:t>600</w:t>
      </w:r>
      <w:r w:rsidR="00BE508B">
        <w:rPr>
          <w:rFonts w:ascii="Arial" w:eastAsia="Times New Roman" w:hAnsi="Arial" w:cs="Arial"/>
        </w:rPr>
        <w:t>,</w:t>
      </w:r>
      <w:r w:rsidR="001F7C9A" w:rsidRPr="00341C73">
        <w:rPr>
          <w:rFonts w:ascii="Arial" w:eastAsia="Times New Roman" w:hAnsi="Arial" w:cs="Arial"/>
        </w:rPr>
        <w:t xml:space="preserve">000 </w:t>
      </w:r>
    </w:p>
    <w:p w14:paraId="6AD470AB"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72F3414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791B8BF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30D580D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09BC6032"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1AC3187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95–100% - high level of certainty, information indicates quantity within this range</w:t>
      </w:r>
    </w:p>
    <w:p w14:paraId="498E267B"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are accurate within this range</w:t>
      </w:r>
    </w:p>
    <w:p w14:paraId="6D671EB0"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28113642"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D</w:t>
      </w:r>
      <w:r w:rsidRPr="00341C73">
        <w:rPr>
          <w:rFonts w:ascii="Arial" w:eastAsia="Times New Roman" w:hAnsi="Arial" w:cs="Arial"/>
        </w:rPr>
        <w:tab/>
      </w:r>
      <w:r w:rsidRPr="00341C73">
        <w:rPr>
          <w:rFonts w:ascii="Arial" w:eastAsia="Times New Roman" w:hAnsi="Arial" w:cs="Arial"/>
          <w:b/>
        </w:rPr>
        <w:t>ARE YOU AWARE OF TRENDS IN THE OVERALL POPULATION OF THE SPECIES/SUBSPECIES? (If no, skip to section E)</w:t>
      </w:r>
    </w:p>
    <w:p w14:paraId="375B403E"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p>
    <w:p w14:paraId="42BC6231"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500FB935"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06410411" w14:textId="77777777" w:rsidR="001F7C9A" w:rsidRPr="00341C73" w:rsidRDefault="001F7C9A" w:rsidP="001F7C9A">
      <w:pPr>
        <w:autoSpaceDE w:val="0"/>
        <w:autoSpaceDN w:val="0"/>
        <w:adjustRightInd w:val="0"/>
        <w:spacing w:after="0" w:line="240" w:lineRule="auto"/>
        <w:rPr>
          <w:rFonts w:ascii="Arial" w:eastAsia="Times New Roman" w:hAnsi="Arial" w:cs="Arial"/>
        </w:rPr>
      </w:pPr>
      <w:r w:rsidRPr="00341C73">
        <w:rPr>
          <w:rFonts w:ascii="Arial,Bold" w:eastAsia="Times New Roman" w:hAnsi="Arial,Bold" w:cs="Arial,Bold"/>
          <w:b/>
          <w:bCs/>
        </w:rPr>
        <w:t>Evidence of total population size change</w:t>
      </w:r>
    </w:p>
    <w:p w14:paraId="0745C38A"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p>
    <w:p w14:paraId="1A6B43ED" w14:textId="77777777" w:rsidR="001F7C9A" w:rsidRPr="00341C73" w:rsidRDefault="001F7C9A" w:rsidP="0038751E">
      <w:pPr>
        <w:numPr>
          <w:ilvl w:val="0"/>
          <w:numId w:val="11"/>
        </w:numPr>
        <w:autoSpaceDE w:val="0"/>
        <w:autoSpaceDN w:val="0"/>
        <w:adjustRightInd w:val="0"/>
        <w:spacing w:after="0" w:line="240" w:lineRule="auto"/>
        <w:contextualSpacing/>
        <w:rPr>
          <w:rFonts w:ascii="Arial,Italic" w:eastAsia="Times New Roman" w:hAnsi="Arial,Italic" w:cs="Arial,Italic"/>
          <w:i/>
          <w:iCs/>
        </w:rPr>
      </w:pPr>
      <w:r w:rsidRPr="00341C73">
        <w:rPr>
          <w:rFonts w:ascii="Arial" w:eastAsia="Times New Roman" w:hAnsi="Arial" w:cs="Arial"/>
        </w:rPr>
        <w:t xml:space="preserve">Are you able to provide an estimate of the total population size during the </w:t>
      </w:r>
      <w:r>
        <w:rPr>
          <w:rFonts w:ascii="Arial" w:eastAsia="Times New Roman" w:hAnsi="Arial" w:cs="Arial"/>
        </w:rPr>
        <w:t>late</w:t>
      </w:r>
      <w:r w:rsidRPr="00341C73">
        <w:rPr>
          <w:rFonts w:ascii="Arial" w:eastAsia="Times New Roman" w:hAnsi="Arial" w:cs="Arial"/>
        </w:rPr>
        <w:t xml:space="preserve"> </w:t>
      </w:r>
      <w:r>
        <w:rPr>
          <w:rFonts w:ascii="Arial" w:eastAsia="Times New Roman" w:hAnsi="Arial" w:cs="Arial"/>
        </w:rPr>
        <w:t>2000</w:t>
      </w:r>
      <w:r w:rsidRPr="00341C73">
        <w:rPr>
          <w:rFonts w:ascii="Arial" w:eastAsia="Times New Roman" w:hAnsi="Arial" w:cs="Arial"/>
        </w:rPr>
        <w:t xml:space="preserve">s </w:t>
      </w:r>
      <w:r w:rsidRPr="00341C73">
        <w:rPr>
          <w:rFonts w:ascii="Arial,Italic" w:eastAsia="Times New Roman" w:hAnsi="Arial,Italic" w:cs="Arial,Italic"/>
          <w:i/>
          <w:iCs/>
        </w:rPr>
        <w:t>(at or soon after the start of the most recent three generation period)</w:t>
      </w:r>
      <w:r w:rsidRPr="00341C73">
        <w:rPr>
          <w:rFonts w:ascii="Arial" w:eastAsia="Times New Roman" w:hAnsi="Arial" w:cs="Arial"/>
        </w:rPr>
        <w:t>? Please provide justification for your response.</w:t>
      </w:r>
    </w:p>
    <w:p w14:paraId="201996D1" w14:textId="77777777" w:rsidR="001F7C9A" w:rsidRPr="00341C73" w:rsidRDefault="001F7C9A" w:rsidP="001F7C9A">
      <w:pPr>
        <w:autoSpaceDE w:val="0"/>
        <w:autoSpaceDN w:val="0"/>
        <w:adjustRightInd w:val="0"/>
        <w:spacing w:after="0" w:line="240" w:lineRule="auto"/>
        <w:ind w:left="360"/>
        <w:rPr>
          <w:rFonts w:ascii="Arial,Italic" w:eastAsia="Times New Roman" w:hAnsi="Arial,Italic" w:cs="Arial,Italic"/>
          <w:i/>
          <w:iCs/>
        </w:rPr>
      </w:pPr>
    </w:p>
    <w:p w14:paraId="10BBA0DA"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09168545"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400352C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546FCABC" w14:textId="77777777" w:rsidR="00E008FD" w:rsidRDefault="00E008FD" w:rsidP="00E008FD">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&lt;100,000</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 xml:space="preserve">100,001–200,000 </w:t>
      </w:r>
      <w:r w:rsidRPr="00341C73">
        <w:rPr>
          <w:rFonts w:ascii="Arial" w:eastAsia="Times New Roman" w:hAnsi="Arial" w:cs="Arial"/>
          <w:sz w:val="44"/>
          <w:szCs w:val="44"/>
        </w:rPr>
        <w:t>□</w:t>
      </w:r>
      <w:r>
        <w:rPr>
          <w:rFonts w:ascii="Arial" w:eastAsia="Times New Roman" w:hAnsi="Arial" w:cs="Arial"/>
        </w:rPr>
        <w:t>201,000–300,000</w:t>
      </w:r>
      <w:r w:rsidRPr="00341C73">
        <w:rPr>
          <w:rFonts w:ascii="Arial" w:eastAsia="Times New Roman" w:hAnsi="Arial" w:cs="Arial"/>
          <w:sz w:val="44"/>
          <w:szCs w:val="44"/>
        </w:rPr>
        <w:t xml:space="preserve"> □</w:t>
      </w:r>
      <w:r>
        <w:rPr>
          <w:rFonts w:ascii="Arial" w:eastAsia="Times New Roman" w:hAnsi="Arial" w:cs="Arial"/>
        </w:rPr>
        <w:t>300,001–400,000</w:t>
      </w:r>
      <w:r w:rsidRPr="00341C73">
        <w:rPr>
          <w:rFonts w:ascii="Arial" w:eastAsia="Times New Roman" w:hAnsi="Arial" w:cs="Arial"/>
        </w:rPr>
        <w:t xml:space="preserve"> </w:t>
      </w:r>
    </w:p>
    <w:p w14:paraId="5FC168A9" w14:textId="77777777" w:rsidR="00E008FD" w:rsidRPr="00341C73" w:rsidRDefault="00E008FD" w:rsidP="00E008FD">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t>□</w:t>
      </w:r>
      <w:r>
        <w:rPr>
          <w:rFonts w:ascii="Arial" w:eastAsia="Times New Roman" w:hAnsi="Arial" w:cs="Arial"/>
        </w:rPr>
        <w:t>400,001–500,000</w:t>
      </w:r>
      <w:r w:rsidRPr="00341C73">
        <w:rPr>
          <w:rFonts w:ascii="Arial" w:eastAsia="Times New Roman" w:hAnsi="Arial" w:cs="Arial"/>
          <w:sz w:val="44"/>
          <w:szCs w:val="44"/>
        </w:rPr>
        <w:t xml:space="preserve"> □</w:t>
      </w:r>
      <w:r>
        <w:rPr>
          <w:rFonts w:ascii="Arial" w:eastAsia="Times New Roman" w:hAnsi="Arial" w:cs="Arial"/>
        </w:rPr>
        <w:t>500,001–600,000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600,</w:t>
      </w:r>
      <w:r w:rsidRPr="00341C73">
        <w:rPr>
          <w:rFonts w:ascii="Arial" w:eastAsia="Times New Roman" w:hAnsi="Arial" w:cs="Arial"/>
        </w:rPr>
        <w:t xml:space="preserve">000 </w:t>
      </w:r>
    </w:p>
    <w:p w14:paraId="3093A6CE"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2B72F59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74448A01"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046F34A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394316D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5DCF6CAD"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quantity within this range</w:t>
      </w:r>
    </w:p>
    <w:p w14:paraId="79890262"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182D6C21" w14:textId="77777777" w:rsidR="001F7C9A" w:rsidRPr="00341C73" w:rsidRDefault="001F7C9A" w:rsidP="001F7C9A">
      <w:pPr>
        <w:autoSpaceDE w:val="0"/>
        <w:autoSpaceDN w:val="0"/>
        <w:adjustRightInd w:val="0"/>
        <w:spacing w:after="0" w:line="240" w:lineRule="auto"/>
        <w:rPr>
          <w:rFonts w:ascii="Arial,Italic" w:eastAsia="Times New Roman" w:hAnsi="Arial,Italic" w:cs="Arial,Italic"/>
          <w:i/>
          <w:iCs/>
        </w:rPr>
      </w:pPr>
    </w:p>
    <w:p w14:paraId="2199F1A7"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you able to comment on the extent of decline in the species/subspecies’ total population size over the last approximately 1</w:t>
      </w:r>
      <w:r>
        <w:rPr>
          <w:rFonts w:ascii="Arial" w:eastAsia="Times New Roman" w:hAnsi="Arial" w:cs="Arial"/>
        </w:rPr>
        <w:t>3</w:t>
      </w:r>
      <w:r w:rsidRPr="00341C73">
        <w:rPr>
          <w:rFonts w:ascii="Arial" w:eastAsia="Times New Roman" w:hAnsi="Arial" w:cs="Arial"/>
        </w:rPr>
        <w:t xml:space="preserve"> years</w:t>
      </w:r>
      <w:r w:rsidRPr="00341C73">
        <w:rPr>
          <w:rFonts w:ascii="Arial" w:eastAsia="Times New Roman" w:hAnsi="Arial" w:cs="Arial"/>
          <w:color w:val="FF0000"/>
        </w:rPr>
        <w:t xml:space="preserve"> </w:t>
      </w:r>
      <w:r w:rsidRPr="00341C73">
        <w:rPr>
          <w:rFonts w:ascii="Arial" w:eastAsia="Times New Roman" w:hAnsi="Arial" w:cs="Arial"/>
        </w:rPr>
        <w:t>(i.e., three generations)? Please provide justification for your response.</w:t>
      </w:r>
    </w:p>
    <w:p w14:paraId="29D847F8"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694DC6B0"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lastRenderedPageBreak/>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67CC46B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22C1F98E"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Decline estimated to be in the range of:</w:t>
      </w:r>
    </w:p>
    <w:p w14:paraId="068F87F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1–30% </w:t>
      </w:r>
      <w:r w:rsidRPr="00341C73">
        <w:rPr>
          <w:rFonts w:ascii="Arial" w:eastAsia="Times New Roman" w:hAnsi="Arial" w:cs="Arial"/>
          <w:sz w:val="44"/>
          <w:szCs w:val="44"/>
        </w:rPr>
        <w:t>□</w:t>
      </w:r>
      <w:r w:rsidRPr="00341C73">
        <w:rPr>
          <w:rFonts w:ascii="Arial" w:eastAsia="Times New Roman" w:hAnsi="Arial" w:cs="Arial"/>
        </w:rPr>
        <w:t xml:space="preserve">31–50% </w:t>
      </w:r>
      <w:r w:rsidRPr="00341C73">
        <w:rPr>
          <w:rFonts w:ascii="Arial" w:eastAsia="Times New Roman" w:hAnsi="Arial" w:cs="Arial"/>
          <w:sz w:val="44"/>
          <w:szCs w:val="44"/>
        </w:rPr>
        <w:t>□</w:t>
      </w:r>
      <w:r w:rsidRPr="00341C73">
        <w:rPr>
          <w:rFonts w:ascii="Arial" w:eastAsia="Times New Roman" w:hAnsi="Arial" w:cs="Arial"/>
        </w:rPr>
        <w:t xml:space="preserve">51–80% </w:t>
      </w:r>
      <w:r w:rsidRPr="00341C73">
        <w:rPr>
          <w:rFonts w:ascii="Arial" w:eastAsia="Times New Roman" w:hAnsi="Arial" w:cs="Arial"/>
          <w:sz w:val="44"/>
          <w:szCs w:val="44"/>
        </w:rPr>
        <w:t>□</w:t>
      </w:r>
      <w:r w:rsidRPr="00341C73">
        <w:rPr>
          <w:rFonts w:ascii="Arial" w:eastAsia="Times New Roman" w:hAnsi="Arial" w:cs="Arial"/>
        </w:rPr>
        <w:t xml:space="preserve">81–100% </w:t>
      </w:r>
      <w:r w:rsidRPr="00341C73">
        <w:rPr>
          <w:rFonts w:ascii="Arial" w:eastAsia="Times New Roman" w:hAnsi="Arial" w:cs="Arial"/>
          <w:sz w:val="44"/>
          <w:szCs w:val="44"/>
        </w:rPr>
        <w:t>□</w:t>
      </w:r>
      <w:r w:rsidRPr="00341C73">
        <w:rPr>
          <w:rFonts w:ascii="Arial" w:eastAsia="Times New Roman" w:hAnsi="Arial" w:cs="Arial"/>
        </w:rPr>
        <w:t>90–100%</w:t>
      </w:r>
    </w:p>
    <w:p w14:paraId="4B5FDE3B"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37DD4C8F"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decline:</w:t>
      </w:r>
    </w:p>
    <w:p w14:paraId="3FCEDC9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7DF19A7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38BFD2F9"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suggests this range of decline</w:t>
      </w:r>
    </w:p>
    <w:p w14:paraId="320D6B2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a decline within this range</w:t>
      </w:r>
    </w:p>
    <w:p w14:paraId="47D4A90F"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446681E3"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2B91A859"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Please provide (if known) any additional evidence which shows the population is stable, increasing or declining.</w:t>
      </w:r>
    </w:p>
    <w:p w14:paraId="0DF431BB"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6C248CC7"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E</w:t>
      </w:r>
      <w:r w:rsidRPr="00341C73">
        <w:rPr>
          <w:rFonts w:ascii="Arial" w:eastAsia="Times New Roman" w:hAnsi="Arial" w:cs="Arial"/>
          <w:b/>
        </w:rPr>
        <w:tab/>
        <w:t>ARE YOU AWARE OF INFORMATION ON THE TOTAL RANGE OF THE SPECIES/SUBSPECIES? (If no, skip to section F)</w:t>
      </w:r>
    </w:p>
    <w:p w14:paraId="513990D3"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p>
    <w:p w14:paraId="2875C319"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Current Distribution/range/extent of occurrence, area of occupancy</w:t>
      </w:r>
    </w:p>
    <w:p w14:paraId="48CA64C2"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p>
    <w:p w14:paraId="178835A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assessment consider the entire geographic extent and national extent of the species/subspecies? If not, please provide justification for your response.</w:t>
      </w:r>
    </w:p>
    <w:p w14:paraId="5F80077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4DAB1CFF"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species/subspecies been adequate to determine its national distribution? If not, please provide justification for your response.</w:t>
      </w:r>
    </w:p>
    <w:p w14:paraId="38844864"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45D9F16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distribution described in the assessment accurate? If not, please provide justification for your response and provide alternate information.</w:t>
      </w:r>
    </w:p>
    <w:p w14:paraId="550FDF4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5CF58A39"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agree that the way the current extent of occurrence and/or area of occupancy have been estimated is appropriate? Please provide justification for your response.</w:t>
      </w:r>
    </w:p>
    <w:p w14:paraId="52C487F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58A11813"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estimates (or if you disagree with the estimates provided, alternative estimates) of the extent of occurrence and/or area of occupancy.</w:t>
      </w:r>
    </w:p>
    <w:p w14:paraId="372568B8"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312F3030"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7A587701" w14:textId="77777777" w:rsidR="001F7C9A" w:rsidRPr="00341C73" w:rsidRDefault="001F7C9A" w:rsidP="001F7C9A">
      <w:pPr>
        <w:autoSpaceDE w:val="0"/>
        <w:autoSpaceDN w:val="0"/>
        <w:adjustRightInd w:val="0"/>
        <w:spacing w:after="0" w:line="240" w:lineRule="auto"/>
        <w:rPr>
          <w:rFonts w:ascii="Arial" w:eastAsia="Times New Roman" w:hAnsi="Arial" w:cs="Arial"/>
          <w:sz w:val="20"/>
          <w:szCs w:val="20"/>
        </w:rPr>
      </w:pPr>
    </w:p>
    <w:p w14:paraId="2EDA4BD6"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Current extent of occurrence </w:t>
      </w:r>
      <w:r w:rsidRPr="00341C73">
        <w:rPr>
          <w:rFonts w:ascii="Arial" w:eastAsia="Times New Roman" w:hAnsi="Arial" w:cs="Arial"/>
        </w:rPr>
        <w:t>is estimated to be in the range of:</w:t>
      </w:r>
    </w:p>
    <w:p w14:paraId="46992AB5" w14:textId="77777777" w:rsidR="00780612"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&lt;1</w:t>
      </w:r>
      <w:r w:rsidR="00BE508B">
        <w:rPr>
          <w:rFonts w:ascii="Arial" w:eastAsia="Times New Roman" w:hAnsi="Arial" w:cs="Arial"/>
        </w:rPr>
        <w:t>,000,000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sidR="00BE508B">
        <w:rPr>
          <w:rFonts w:ascii="Arial" w:eastAsia="Times New Roman" w:hAnsi="Arial" w:cs="Arial"/>
        </w:rPr>
        <w:t>,000,0</w:t>
      </w:r>
      <w:r w:rsidRPr="00341C73">
        <w:rPr>
          <w:rFonts w:ascii="Arial" w:eastAsia="Times New Roman" w:hAnsi="Arial" w:cs="Arial"/>
        </w:rPr>
        <w:t>0</w:t>
      </w:r>
      <w:r w:rsidR="00BE508B">
        <w:rPr>
          <w:rFonts w:ascii="Arial" w:eastAsia="Times New Roman" w:hAnsi="Arial" w:cs="Arial"/>
        </w:rPr>
        <w:t>0</w:t>
      </w:r>
      <w:r w:rsidRPr="00341C73">
        <w:rPr>
          <w:rFonts w:ascii="Arial" w:eastAsia="Times New Roman" w:hAnsi="Arial" w:cs="Arial"/>
        </w:rPr>
        <w:t>–</w:t>
      </w:r>
      <w:r w:rsidR="00BE508B">
        <w:rPr>
          <w:rFonts w:ascii="Arial" w:eastAsia="Times New Roman" w:hAnsi="Arial" w:cs="Arial"/>
        </w:rPr>
        <w:t>1,</w:t>
      </w:r>
      <w:r w:rsidRPr="00341C73">
        <w:rPr>
          <w:rFonts w:ascii="Arial" w:eastAsia="Times New Roman" w:hAnsi="Arial" w:cs="Arial"/>
        </w:rPr>
        <w:t>5</w:t>
      </w:r>
      <w:r w:rsidR="00BE508B">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sidR="00BE508B">
        <w:rPr>
          <w:rFonts w:ascii="Arial" w:eastAsia="Times New Roman" w:hAnsi="Arial" w:cs="Arial"/>
        </w:rPr>
        <w:t>1,</w:t>
      </w:r>
      <w:r w:rsidRPr="00341C73">
        <w:rPr>
          <w:rFonts w:ascii="Arial" w:eastAsia="Times New Roman" w:hAnsi="Arial" w:cs="Arial"/>
        </w:rPr>
        <w:t>5</w:t>
      </w:r>
      <w:r w:rsidR="00BE508B">
        <w:rPr>
          <w:rFonts w:ascii="Arial" w:eastAsia="Times New Roman" w:hAnsi="Arial" w:cs="Arial"/>
        </w:rPr>
        <w:t>00,</w:t>
      </w:r>
      <w:r w:rsidRPr="00341C73">
        <w:rPr>
          <w:rFonts w:ascii="Arial" w:eastAsia="Times New Roman" w:hAnsi="Arial" w:cs="Arial"/>
        </w:rPr>
        <w:t>001–2</w:t>
      </w:r>
      <w:r w:rsidR="00BE508B">
        <w:rPr>
          <w:rFonts w:ascii="Arial" w:eastAsia="Times New Roman" w:hAnsi="Arial" w:cs="Arial"/>
        </w:rPr>
        <w:t>,00</w:t>
      </w:r>
      <w:r w:rsidRPr="00341C73">
        <w:rPr>
          <w:rFonts w:ascii="Arial" w:eastAsia="Times New Roman" w:hAnsi="Arial" w:cs="Arial"/>
        </w:rPr>
        <w:t>0</w:t>
      </w:r>
      <w:r w:rsidR="00BE508B">
        <w:rPr>
          <w:rFonts w:ascii="Arial" w:eastAsia="Times New Roman" w:hAnsi="Arial" w:cs="Arial"/>
        </w:rPr>
        <w:t>,</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079C2EEE" w14:textId="728A818E"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&gt;2</w:t>
      </w:r>
      <w:r w:rsidR="001A78DD">
        <w:rPr>
          <w:rFonts w:ascii="Arial" w:eastAsia="Times New Roman" w:hAnsi="Arial" w:cs="Arial"/>
        </w:rPr>
        <w:t>,</w:t>
      </w:r>
      <w:r w:rsidRPr="00341C73">
        <w:rPr>
          <w:rFonts w:ascii="Arial" w:eastAsia="Times New Roman" w:hAnsi="Arial" w:cs="Arial"/>
        </w:rPr>
        <w:t>0</w:t>
      </w:r>
      <w:r w:rsidR="00BE508B">
        <w:rPr>
          <w:rFonts w:ascii="Arial" w:eastAsia="Times New Roman" w:hAnsi="Arial" w:cs="Arial"/>
        </w:rPr>
        <w:t>0</w:t>
      </w:r>
      <w:r w:rsidR="001A78DD">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p>
    <w:p w14:paraId="0DC1204E"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4500FA85"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lastRenderedPageBreak/>
        <w:t>Level of your confidence in this estimated extent of occurrence</w:t>
      </w:r>
    </w:p>
    <w:p w14:paraId="5197A445"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0–30% - low level of certainty/ a bit of a guess/ not much data to go on</w:t>
      </w:r>
    </w:p>
    <w:p w14:paraId="4185D0BF"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45A5F585"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0AC8C9C2"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53F0D42B"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is accurate within this range</w:t>
      </w:r>
    </w:p>
    <w:p w14:paraId="59085467"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2F9AEB01"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65365B4E" w14:textId="77777777" w:rsidR="001F7C9A" w:rsidRPr="00341C73" w:rsidRDefault="001F7C9A" w:rsidP="001F7C9A">
      <w:pPr>
        <w:autoSpaceDE w:val="0"/>
        <w:autoSpaceDN w:val="0"/>
        <w:adjustRightInd w:val="0"/>
        <w:spacing w:after="0" w:line="240" w:lineRule="auto"/>
        <w:rPr>
          <w:rFonts w:ascii="Arial" w:eastAsia="Times New Roman" w:hAnsi="Arial" w:cs="Arial"/>
          <w:sz w:val="20"/>
          <w:szCs w:val="20"/>
        </w:rPr>
      </w:pPr>
    </w:p>
    <w:p w14:paraId="7159A649"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Bold" w:eastAsia="Times New Roman" w:hAnsi="Arial,Bold" w:cs="Arial,Bold"/>
          <w:b/>
          <w:bCs/>
        </w:rPr>
        <w:t xml:space="preserve">Current area of occupancy </w:t>
      </w:r>
      <w:r w:rsidRPr="00341C73">
        <w:rPr>
          <w:rFonts w:ascii="Arial" w:eastAsia="Times New Roman" w:hAnsi="Arial" w:cs="Arial"/>
        </w:rPr>
        <w:t>is estimated to be in the range of:</w:t>
      </w:r>
    </w:p>
    <w:p w14:paraId="33349C66" w14:textId="77777777" w:rsidR="00780612"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sidR="001A78DD">
        <w:rPr>
          <w:rFonts w:ascii="Arial" w:eastAsia="Times New Roman" w:hAnsi="Arial" w:cs="Arial"/>
        </w:rPr>
        <w:t>2</w:t>
      </w:r>
      <w:r w:rsidR="00780612">
        <w:rPr>
          <w:rFonts w:ascii="Arial" w:eastAsia="Times New Roman" w:hAnsi="Arial" w:cs="Arial"/>
        </w:rPr>
        <w:t>0</w:t>
      </w:r>
      <w:r w:rsidR="001A78DD">
        <w:rPr>
          <w:rFonts w:ascii="Arial" w:eastAsia="Times New Roman" w:hAnsi="Arial" w:cs="Arial"/>
        </w:rPr>
        <w:t>,000</w:t>
      </w:r>
      <w:r w:rsidR="001A78DD" w:rsidRPr="00341C73">
        <w:rPr>
          <w:rFonts w:ascii="Arial" w:eastAsia="Times New Roman" w:hAnsi="Arial" w:cs="Arial"/>
        </w:rPr>
        <w:t xml:space="preserve"> </w:t>
      </w:r>
      <w:r w:rsidRPr="00341C73">
        <w:rPr>
          <w:rFonts w:ascii="Arial" w:eastAsia="Times New Roman" w:hAnsi="Arial" w:cs="Arial"/>
        </w:rPr>
        <w:t>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001A78DD">
        <w:rPr>
          <w:rFonts w:ascii="Arial" w:eastAsia="Times New Roman" w:hAnsi="Arial" w:cs="Arial"/>
        </w:rPr>
        <w:t>2</w:t>
      </w:r>
      <w:r w:rsidR="00780612">
        <w:rPr>
          <w:rFonts w:ascii="Arial" w:eastAsia="Times New Roman" w:hAnsi="Arial" w:cs="Arial"/>
        </w:rPr>
        <w:t>0</w:t>
      </w:r>
      <w:r w:rsidR="001A78DD">
        <w:rPr>
          <w:rFonts w:ascii="Arial" w:eastAsia="Times New Roman" w:hAnsi="Arial" w:cs="Arial"/>
        </w:rPr>
        <w:t>,00</w:t>
      </w:r>
      <w:r w:rsidR="00780612">
        <w:rPr>
          <w:rFonts w:ascii="Arial" w:eastAsia="Times New Roman" w:hAnsi="Arial" w:cs="Arial"/>
        </w:rPr>
        <w:t>0</w:t>
      </w:r>
      <w:r w:rsidRPr="00341C73">
        <w:rPr>
          <w:rFonts w:ascii="Arial" w:eastAsia="Times New Roman" w:hAnsi="Arial" w:cs="Arial"/>
        </w:rPr>
        <w:t>–</w:t>
      </w:r>
      <w:r w:rsidR="00780612">
        <w:rPr>
          <w:rFonts w:ascii="Arial" w:eastAsia="Times New Roman" w:hAnsi="Arial" w:cs="Arial"/>
        </w:rPr>
        <w:t>40</w:t>
      </w:r>
      <w:r w:rsidR="001A78DD">
        <w:rPr>
          <w:rFonts w:ascii="Arial" w:eastAsia="Times New Roman" w:hAnsi="Arial" w:cs="Arial"/>
        </w:rPr>
        <w:t>,0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00780612">
        <w:rPr>
          <w:rFonts w:ascii="Arial" w:eastAsia="Times New Roman" w:hAnsi="Arial" w:cs="Arial"/>
        </w:rPr>
        <w:t>40</w:t>
      </w:r>
      <w:r w:rsidR="001A78DD">
        <w:rPr>
          <w:rFonts w:ascii="Arial" w:eastAsia="Times New Roman" w:hAnsi="Arial" w:cs="Arial"/>
        </w:rPr>
        <w:t>,00</w:t>
      </w:r>
      <w:r w:rsidRPr="00341C73">
        <w:rPr>
          <w:rFonts w:ascii="Arial" w:eastAsia="Times New Roman" w:hAnsi="Arial" w:cs="Arial"/>
        </w:rPr>
        <w:t>1–</w:t>
      </w:r>
      <w:r w:rsidR="00780612">
        <w:rPr>
          <w:rFonts w:ascii="Arial" w:eastAsia="Times New Roman" w:hAnsi="Arial" w:cs="Arial"/>
        </w:rPr>
        <w:t>6</w:t>
      </w:r>
      <w:r w:rsidR="001A78DD">
        <w:rPr>
          <w:rFonts w:ascii="Arial" w:eastAsia="Times New Roman" w:hAnsi="Arial" w:cs="Arial"/>
        </w:rPr>
        <w:t>0,</w:t>
      </w:r>
      <w:r w:rsidR="001A78DD" w:rsidRPr="00341C73">
        <w:rPr>
          <w:rFonts w:ascii="Arial" w:eastAsia="Times New Roman" w:hAnsi="Arial" w:cs="Arial"/>
        </w:rPr>
        <w:t xml:space="preserve">000 </w:t>
      </w:r>
      <w:r w:rsidRPr="00341C73">
        <w:rPr>
          <w:rFonts w:ascii="Arial" w:eastAsia="Times New Roman" w:hAnsi="Arial" w:cs="Arial"/>
        </w:rPr>
        <w:t>km</w:t>
      </w:r>
      <w:r w:rsidRPr="00341C73">
        <w:rPr>
          <w:rFonts w:ascii="Arial" w:eastAsia="Times New Roman" w:hAnsi="Arial" w:cs="Arial"/>
          <w:vertAlign w:val="superscript"/>
        </w:rPr>
        <w:t>2</w:t>
      </w:r>
      <w:r w:rsidRPr="00341C73">
        <w:rPr>
          <w:rFonts w:ascii="Arial" w:eastAsia="Times New Roman" w:hAnsi="Arial" w:cs="Arial"/>
        </w:rPr>
        <w:t xml:space="preserve"> </w:t>
      </w:r>
    </w:p>
    <w:p w14:paraId="174D2E64" w14:textId="369EF5A8" w:rsidR="001F7C9A" w:rsidRPr="00341C73" w:rsidRDefault="00780612"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60,000</w:t>
      </w:r>
      <w:r w:rsidRPr="00341C73">
        <w:rPr>
          <w:rFonts w:ascii="Arial" w:eastAsia="Times New Roman" w:hAnsi="Arial" w:cs="Arial"/>
        </w:rPr>
        <w:t>–</w:t>
      </w:r>
      <w:r>
        <w:rPr>
          <w:rFonts w:ascii="Arial" w:eastAsia="Times New Roman" w:hAnsi="Arial" w:cs="Arial"/>
        </w:rPr>
        <w:t>80,0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80,00</w:t>
      </w:r>
      <w:r w:rsidRPr="00341C73">
        <w:rPr>
          <w:rFonts w:ascii="Arial" w:eastAsia="Times New Roman" w:hAnsi="Arial" w:cs="Arial"/>
        </w:rPr>
        <w:t>1–</w:t>
      </w:r>
      <w:r>
        <w:rPr>
          <w:rFonts w:ascii="Arial" w:eastAsia="Times New Roman" w:hAnsi="Arial" w:cs="Arial"/>
        </w:rPr>
        <w:t>100,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001F7C9A" w:rsidRPr="00341C73">
        <w:rPr>
          <w:rFonts w:ascii="Arial" w:eastAsia="Times New Roman" w:hAnsi="Arial" w:cs="Arial"/>
          <w:sz w:val="44"/>
          <w:szCs w:val="44"/>
        </w:rPr>
        <w:t>□</w:t>
      </w:r>
      <w:r w:rsidR="001F7C9A" w:rsidRPr="00341C73">
        <w:rPr>
          <w:rFonts w:ascii="Arial" w:eastAsia="Times New Roman" w:hAnsi="Arial" w:cs="Arial"/>
        </w:rPr>
        <w:t>&gt;</w:t>
      </w:r>
      <w:r w:rsidR="001A78DD">
        <w:rPr>
          <w:rFonts w:ascii="Arial" w:eastAsia="Times New Roman" w:hAnsi="Arial" w:cs="Arial"/>
        </w:rPr>
        <w:t>100,000</w:t>
      </w:r>
      <w:r w:rsidR="001A78DD" w:rsidRPr="00341C73">
        <w:rPr>
          <w:rFonts w:ascii="Arial" w:eastAsia="Times New Roman" w:hAnsi="Arial" w:cs="Arial"/>
        </w:rPr>
        <w:t xml:space="preserve"> </w:t>
      </w:r>
      <w:r w:rsidR="001F7C9A" w:rsidRPr="00341C73">
        <w:rPr>
          <w:rFonts w:ascii="Arial" w:eastAsia="Times New Roman" w:hAnsi="Arial" w:cs="Arial"/>
        </w:rPr>
        <w:t>km</w:t>
      </w:r>
      <w:r w:rsidR="001F7C9A" w:rsidRPr="00341C73">
        <w:rPr>
          <w:rFonts w:ascii="Arial" w:eastAsia="Times New Roman" w:hAnsi="Arial" w:cs="Arial"/>
          <w:vertAlign w:val="superscript"/>
        </w:rPr>
        <w:t>2</w:t>
      </w:r>
    </w:p>
    <w:p w14:paraId="06F96D2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29DD14D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extent of occurrence:</w:t>
      </w:r>
    </w:p>
    <w:p w14:paraId="21751AE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2495DC7F"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2438C00B"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302C198C"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26DCE880"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03D04BC6" w14:textId="77777777" w:rsidR="001F7C9A" w:rsidRPr="00341C73" w:rsidRDefault="001F7C9A" w:rsidP="001F7C9A">
      <w:pPr>
        <w:autoSpaceDE w:val="0"/>
        <w:autoSpaceDN w:val="0"/>
        <w:adjustRightInd w:val="0"/>
        <w:spacing w:after="0" w:line="240" w:lineRule="auto"/>
        <w:ind w:left="1920" w:hanging="1560"/>
        <w:rPr>
          <w:rFonts w:ascii="Arial" w:eastAsia="Times New Roman" w:hAnsi="Arial" w:cs="Arial"/>
          <w:b/>
        </w:rPr>
      </w:pPr>
    </w:p>
    <w:p w14:paraId="68F7932A"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F</w:t>
      </w:r>
      <w:r w:rsidRPr="00341C73">
        <w:rPr>
          <w:rFonts w:ascii="Arial" w:eastAsia="Times New Roman" w:hAnsi="Arial" w:cs="Arial"/>
          <w:b/>
        </w:rPr>
        <w:tab/>
        <w:t>ARE YOU AWARE OF TRENDS IN THE TOTAL RANGE OF THE SPECIES/SUBSPECIES? (If no, skip to section G)</w:t>
      </w:r>
    </w:p>
    <w:p w14:paraId="7CD5A0D9" w14:textId="77777777" w:rsidR="001F7C9A" w:rsidRPr="00341C73" w:rsidRDefault="001F7C9A" w:rsidP="001F7C9A">
      <w:pPr>
        <w:autoSpaceDE w:val="0"/>
        <w:autoSpaceDN w:val="0"/>
        <w:adjustRightInd w:val="0"/>
        <w:spacing w:after="0" w:line="240" w:lineRule="auto"/>
        <w:rPr>
          <w:rFonts w:ascii="Arial" w:eastAsia="Times New Roman" w:hAnsi="Arial" w:cs="Arial"/>
          <w:b/>
        </w:rPr>
      </w:pPr>
    </w:p>
    <w:p w14:paraId="2A88A8EF"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Past Distribution/range/extent of occurrence, area of occupancy</w:t>
      </w:r>
    </w:p>
    <w:p w14:paraId="57C5954A"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51FD2820"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the way the historic distribution has been estimated is appropriate? Please provide justification for your response.</w:t>
      </w:r>
    </w:p>
    <w:p w14:paraId="77F93135"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2DE1B970"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estimates (or if you disagree with the estimates provided, alternative estimates) of the former extent of occurrence and/or area of occupancy.</w:t>
      </w:r>
    </w:p>
    <w:p w14:paraId="4793C8D7"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0B8CC111"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31D75E4D"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p>
    <w:p w14:paraId="2E49817F"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extent of occurrence </w:t>
      </w:r>
      <w:r w:rsidRPr="00341C73">
        <w:rPr>
          <w:rFonts w:ascii="Arial" w:eastAsia="Times New Roman" w:hAnsi="Arial" w:cs="Arial"/>
        </w:rPr>
        <w:t>is estimated to be in the range of:</w:t>
      </w:r>
    </w:p>
    <w:p w14:paraId="07805780" w14:textId="77777777" w:rsidR="00780612" w:rsidRDefault="00780612" w:rsidP="0078061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&lt;1</w:t>
      </w:r>
      <w:r>
        <w:rPr>
          <w:rFonts w:ascii="Arial" w:eastAsia="Times New Roman" w:hAnsi="Arial" w:cs="Arial"/>
        </w:rPr>
        <w:t>,000,000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Pr>
          <w:rFonts w:ascii="Arial" w:eastAsia="Times New Roman" w:hAnsi="Arial" w:cs="Arial"/>
        </w:rPr>
        <w:t>,000,0</w:t>
      </w:r>
      <w:r w:rsidRPr="00341C73">
        <w:rPr>
          <w:rFonts w:ascii="Arial" w:eastAsia="Times New Roman" w:hAnsi="Arial" w:cs="Arial"/>
        </w:rPr>
        <w:t>0</w:t>
      </w:r>
      <w:r>
        <w:rPr>
          <w:rFonts w:ascii="Arial" w:eastAsia="Times New Roman" w:hAnsi="Arial" w:cs="Arial"/>
        </w:rPr>
        <w:t>0</w:t>
      </w:r>
      <w:r w:rsidRPr="00341C73">
        <w:rPr>
          <w:rFonts w:ascii="Arial" w:eastAsia="Times New Roman" w:hAnsi="Arial" w:cs="Arial"/>
        </w:rPr>
        <w:t>–</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001–2</w:t>
      </w:r>
      <w:r>
        <w:rPr>
          <w:rFonts w:ascii="Arial" w:eastAsia="Times New Roman" w:hAnsi="Arial" w:cs="Arial"/>
        </w:rPr>
        <w:t>,00</w:t>
      </w:r>
      <w:r w:rsidRPr="00341C73">
        <w:rPr>
          <w:rFonts w:ascii="Arial" w:eastAsia="Times New Roman" w:hAnsi="Arial" w:cs="Arial"/>
        </w:rPr>
        <w:t>0</w:t>
      </w:r>
      <w:r>
        <w:rPr>
          <w:rFonts w:ascii="Arial" w:eastAsia="Times New Roman" w:hAnsi="Arial" w:cs="Arial"/>
        </w:rPr>
        <w:t>,</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61A973E8" w14:textId="77777777" w:rsidR="00780612" w:rsidRPr="00341C73" w:rsidRDefault="00780612" w:rsidP="0078061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&gt;2</w:t>
      </w:r>
      <w:r>
        <w:rPr>
          <w:rFonts w:ascii="Arial" w:eastAsia="Times New Roman" w:hAnsi="Arial" w:cs="Arial"/>
        </w:rPr>
        <w:t>,</w:t>
      </w:r>
      <w:r w:rsidRPr="00341C73">
        <w:rPr>
          <w:rFonts w:ascii="Arial" w:eastAsia="Times New Roman" w:hAnsi="Arial" w:cs="Arial"/>
        </w:rPr>
        <w:t>0</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p>
    <w:p w14:paraId="09F86754" w14:textId="77777777" w:rsidR="001F7C9A" w:rsidRPr="00341C73" w:rsidRDefault="001F7C9A" w:rsidP="00780612">
      <w:pPr>
        <w:autoSpaceDE w:val="0"/>
        <w:autoSpaceDN w:val="0"/>
        <w:adjustRightInd w:val="0"/>
        <w:spacing w:after="0" w:line="240" w:lineRule="auto"/>
        <w:rPr>
          <w:rFonts w:ascii="Arial" w:eastAsia="Times New Roman" w:hAnsi="Arial" w:cs="Arial"/>
        </w:rPr>
      </w:pPr>
    </w:p>
    <w:p w14:paraId="19A0A629"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43131F8D"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4FAE47F4"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6C0B2C69"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03B3B102"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1F9A4CC1"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7D7F5656"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p>
    <w:p w14:paraId="1920135C"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7E937C78" w14:textId="77777777" w:rsidR="001F7C9A" w:rsidRPr="00341C73" w:rsidRDefault="001F7C9A" w:rsidP="001F7C9A">
      <w:pPr>
        <w:autoSpaceDE w:val="0"/>
        <w:autoSpaceDN w:val="0"/>
        <w:adjustRightInd w:val="0"/>
        <w:spacing w:after="0" w:line="240" w:lineRule="auto"/>
        <w:rPr>
          <w:rFonts w:ascii="Arial,Bold" w:eastAsia="Times New Roman" w:hAnsi="Arial,Bold" w:cs="Arial,Bold"/>
          <w:b/>
          <w:bCs/>
        </w:rPr>
      </w:pPr>
    </w:p>
    <w:p w14:paraId="7B1B15CE"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area of occupancy </w:t>
      </w:r>
      <w:r w:rsidRPr="00341C73">
        <w:rPr>
          <w:rFonts w:ascii="Arial" w:eastAsia="Times New Roman" w:hAnsi="Arial" w:cs="Arial"/>
        </w:rPr>
        <w:t>is estimated to be in the range of:</w:t>
      </w:r>
    </w:p>
    <w:p w14:paraId="251AE2EE" w14:textId="77777777" w:rsidR="00780612" w:rsidRDefault="00780612" w:rsidP="0078061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Pr>
          <w:rFonts w:ascii="Arial" w:eastAsia="Times New Roman" w:hAnsi="Arial" w:cs="Arial"/>
        </w:rPr>
        <w:t>20,000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20,000</w:t>
      </w:r>
      <w:r w:rsidRPr="00341C73">
        <w:rPr>
          <w:rFonts w:ascii="Arial" w:eastAsia="Times New Roman" w:hAnsi="Arial" w:cs="Arial"/>
        </w:rPr>
        <w:t>–</w:t>
      </w:r>
      <w:r>
        <w:rPr>
          <w:rFonts w:ascii="Arial" w:eastAsia="Times New Roman" w:hAnsi="Arial" w:cs="Arial"/>
        </w:rPr>
        <w:t>40,0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40,00</w:t>
      </w:r>
      <w:r w:rsidRPr="00341C73">
        <w:rPr>
          <w:rFonts w:ascii="Arial" w:eastAsia="Times New Roman" w:hAnsi="Arial" w:cs="Arial"/>
        </w:rPr>
        <w:t>1–</w:t>
      </w:r>
      <w:r>
        <w:rPr>
          <w:rFonts w:ascii="Arial" w:eastAsia="Times New Roman" w:hAnsi="Arial" w:cs="Arial"/>
        </w:rPr>
        <w:t>60,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425999CA" w14:textId="471ACF18" w:rsidR="001A78DD" w:rsidRPr="00341C73" w:rsidRDefault="00780612" w:rsidP="0078061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60,000</w:t>
      </w:r>
      <w:r w:rsidRPr="00341C73">
        <w:rPr>
          <w:rFonts w:ascii="Arial" w:eastAsia="Times New Roman" w:hAnsi="Arial" w:cs="Arial"/>
        </w:rPr>
        <w:t>–</w:t>
      </w:r>
      <w:r>
        <w:rPr>
          <w:rFonts w:ascii="Arial" w:eastAsia="Times New Roman" w:hAnsi="Arial" w:cs="Arial"/>
        </w:rPr>
        <w:t>80,0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80,00</w:t>
      </w:r>
      <w:r w:rsidRPr="00341C73">
        <w:rPr>
          <w:rFonts w:ascii="Arial" w:eastAsia="Times New Roman" w:hAnsi="Arial" w:cs="Arial"/>
        </w:rPr>
        <w:t>1–</w:t>
      </w:r>
      <w:r>
        <w:rPr>
          <w:rFonts w:ascii="Arial" w:eastAsia="Times New Roman" w:hAnsi="Arial" w:cs="Arial"/>
        </w:rPr>
        <w:t>100,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&gt;</w:t>
      </w:r>
      <w:r>
        <w:rPr>
          <w:rFonts w:ascii="Arial" w:eastAsia="Times New Roman" w:hAnsi="Arial" w:cs="Arial"/>
        </w:rPr>
        <w:t>100,000</w:t>
      </w:r>
      <w:r w:rsidRPr="00341C73">
        <w:rPr>
          <w:rFonts w:ascii="Arial" w:eastAsia="Times New Roman" w:hAnsi="Arial" w:cs="Arial"/>
        </w:rPr>
        <w:t xml:space="preserve"> km</w:t>
      </w:r>
      <w:r w:rsidRPr="00341C73">
        <w:rPr>
          <w:rFonts w:ascii="Arial" w:eastAsia="Times New Roman" w:hAnsi="Arial" w:cs="Arial"/>
          <w:vertAlign w:val="superscript"/>
        </w:rPr>
        <w:t>2</w:t>
      </w:r>
    </w:p>
    <w:p w14:paraId="4D78616A"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p>
    <w:p w14:paraId="1E3E0C28"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4D651C8B"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3B04DB4F"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445E453C"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6F92D8F9" w14:textId="77777777" w:rsidR="001F7C9A" w:rsidRPr="00341C73" w:rsidRDefault="001F7C9A" w:rsidP="001F7C9A">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-high level of certainty, data indicates a decline within this range</w:t>
      </w:r>
    </w:p>
    <w:p w14:paraId="6F9AC1EA" w14:textId="77777777" w:rsidR="001F7C9A" w:rsidRPr="00341C73" w:rsidRDefault="001F7C9A" w:rsidP="001F7C9A">
      <w:pPr>
        <w:spacing w:after="0" w:line="240" w:lineRule="auto"/>
        <w:ind w:firstLine="360"/>
        <w:rPr>
          <w:rFonts w:ascii="Times New Roman" w:eastAsia="Times New Roman" w:hAnsi="Times New Roman" w:cs="Times New Roman"/>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F0E18C8"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7AD98459"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05B7466B"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2 – INFORMATION FOR CONSERVATION ADVICE ON THREATS AND CONSERVATION ACTIONS</w:t>
      </w:r>
    </w:p>
    <w:p w14:paraId="6315228D"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CDB7774"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4A827D20"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G</w:t>
      </w:r>
      <w:r w:rsidRPr="00341C73">
        <w:rPr>
          <w:rFonts w:ascii="Arial,Bold" w:eastAsia="Times New Roman" w:hAnsi="Arial,Bold" w:cs="Arial,Bold"/>
          <w:b/>
          <w:bCs/>
        </w:rPr>
        <w:tab/>
        <w:t xml:space="preserve">DO YOU HAVE INFORMATION ON THREATS TO THE SURVIVAL OF THE SPECIES/SUBSPECIES? </w:t>
      </w:r>
      <w:r w:rsidRPr="00341C73">
        <w:rPr>
          <w:rFonts w:ascii="Arial" w:eastAsia="Times New Roman" w:hAnsi="Arial" w:cs="Arial"/>
          <w:b/>
        </w:rPr>
        <w:t>(If no, skip to section H)</w:t>
      </w:r>
    </w:p>
    <w:p w14:paraId="0B070241" w14:textId="77777777" w:rsidR="001F7C9A" w:rsidRPr="00341C73" w:rsidRDefault="001F7C9A" w:rsidP="001F7C9A">
      <w:pPr>
        <w:autoSpaceDE w:val="0"/>
        <w:autoSpaceDN w:val="0"/>
        <w:adjustRightInd w:val="0"/>
        <w:spacing w:after="0" w:line="240" w:lineRule="auto"/>
        <w:ind w:left="1560" w:hanging="1560"/>
        <w:rPr>
          <w:rFonts w:ascii="Arial,Bold" w:eastAsia="Times New Roman" w:hAnsi="Arial,Bold" w:cs="Arial,Bold"/>
          <w:b/>
          <w:bCs/>
        </w:rPr>
      </w:pPr>
    </w:p>
    <w:p w14:paraId="26EE31FC"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all major threats have been identified and described adequately?</w:t>
      </w:r>
    </w:p>
    <w:p w14:paraId="1B005722"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771B6ADF"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To what degree are the identified threats likely to impact on the species/subspecies in the future?</w:t>
      </w:r>
    </w:p>
    <w:p w14:paraId="71DFDDB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3449236C"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the threats impacting on different populations equally, or do the threats vary across different populations?</w:t>
      </w:r>
    </w:p>
    <w:p w14:paraId="74E0C8C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6E82DB92"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lastRenderedPageBreak/>
        <w:t>Can you provide additional or alternative information on past, current or potential threats that may adversely affect the species/subspecies at any stage of its life cycle?</w:t>
      </w:r>
    </w:p>
    <w:p w14:paraId="2D2E5E43"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66E2EB4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supporting data/justification or other information for your responses to these questions about threats?</w:t>
      </w:r>
    </w:p>
    <w:p w14:paraId="2A6A0DAB" w14:textId="77777777" w:rsidR="001F7C9A" w:rsidRPr="00341C73" w:rsidRDefault="001F7C9A" w:rsidP="001F7C9A">
      <w:pPr>
        <w:autoSpaceDE w:val="0"/>
        <w:autoSpaceDN w:val="0"/>
        <w:adjustRightInd w:val="0"/>
        <w:spacing w:after="0" w:line="240" w:lineRule="auto"/>
        <w:ind w:left="1560" w:hanging="1560"/>
        <w:rPr>
          <w:rFonts w:ascii="Arial,Bold" w:eastAsia="Times New Roman" w:hAnsi="Arial,Bold" w:cs="Arial,Bold"/>
          <w:b/>
          <w:bCs/>
        </w:rPr>
      </w:pPr>
    </w:p>
    <w:p w14:paraId="419B160A" w14:textId="77777777" w:rsidR="001F7C9A" w:rsidRPr="00341C73" w:rsidRDefault="001F7C9A" w:rsidP="001F7C9A">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H</w:t>
      </w:r>
      <w:r w:rsidRPr="00341C73">
        <w:rPr>
          <w:rFonts w:ascii="Arial,Bold" w:eastAsia="Times New Roman" w:hAnsi="Arial,Bold" w:cs="Arial,Bold"/>
          <w:b/>
          <w:bCs/>
        </w:rPr>
        <w:t xml:space="preserve"> </w:t>
      </w:r>
      <w:r w:rsidRPr="00341C73">
        <w:rPr>
          <w:rFonts w:ascii="Arial,Bold" w:eastAsia="Times New Roman" w:hAnsi="Arial,Bold" w:cs="Arial,Bold"/>
          <w:b/>
          <w:bCs/>
        </w:rPr>
        <w:tab/>
        <w:t xml:space="preserve">DO YOU HAVE INFORMATION ON CURRENT OR FUTURE MANAGEMENT FOR THE RECOVERY OF THE SPECIES/SUBSPECIES? </w:t>
      </w:r>
      <w:r w:rsidRPr="00341C73">
        <w:rPr>
          <w:rFonts w:ascii="Arial" w:eastAsia="Times New Roman" w:hAnsi="Arial" w:cs="Arial"/>
          <w:b/>
        </w:rPr>
        <w:t>(If no, skip to section I)</w:t>
      </w:r>
    </w:p>
    <w:p w14:paraId="75A94AF5" w14:textId="77777777" w:rsidR="001F7C9A" w:rsidRPr="00341C73" w:rsidRDefault="001F7C9A" w:rsidP="001F7C9A">
      <w:pPr>
        <w:autoSpaceDE w:val="0"/>
        <w:autoSpaceDN w:val="0"/>
        <w:adjustRightInd w:val="0"/>
        <w:spacing w:after="0" w:line="240" w:lineRule="auto"/>
        <w:ind w:left="1560" w:hanging="1560"/>
        <w:rPr>
          <w:rFonts w:ascii="Arial,Bold" w:eastAsia="Times New Roman" w:hAnsi="Arial,Bold" w:cs="Arial,Bold"/>
          <w:b/>
          <w:bCs/>
        </w:rPr>
      </w:pPr>
    </w:p>
    <w:p w14:paraId="7AAD8439"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What planning, management and recovery actions are currently in place supporting protection and recovery of the species/subspecies? To what extent have they been effective?</w:t>
      </w:r>
    </w:p>
    <w:p w14:paraId="6DB67C36"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0CC8070D"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recommend any additional or alternative specific threat abatement or conservation actions that would aid the protection and recovery of the species/subspecies?</w:t>
      </w:r>
    </w:p>
    <w:p w14:paraId="70C332B2" w14:textId="77777777" w:rsidR="001F7C9A" w:rsidRPr="00341C73" w:rsidRDefault="001F7C9A" w:rsidP="001F7C9A">
      <w:pPr>
        <w:autoSpaceDE w:val="0"/>
        <w:autoSpaceDN w:val="0"/>
        <w:adjustRightInd w:val="0"/>
        <w:spacing w:after="0" w:line="240" w:lineRule="auto"/>
        <w:ind w:left="360"/>
        <w:rPr>
          <w:rFonts w:ascii="Arial" w:eastAsia="Times New Roman" w:hAnsi="Arial" w:cs="Arial"/>
        </w:rPr>
      </w:pPr>
    </w:p>
    <w:p w14:paraId="0B7CC09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Would you recommend translocation (outside of the species’ historic range) as a viable option as a conservation actions for this species/subspecies?</w:t>
      </w:r>
    </w:p>
    <w:p w14:paraId="4BF61AE1"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3B720D65" w14:textId="77777777" w:rsidR="001F7C9A" w:rsidRPr="00341C73" w:rsidRDefault="001F7C9A" w:rsidP="001F7C9A">
      <w:pPr>
        <w:keepNext/>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I</w:t>
      </w:r>
      <w:r w:rsidRPr="00341C73">
        <w:rPr>
          <w:rFonts w:ascii="Arial" w:eastAsia="Times New Roman" w:hAnsi="Arial" w:cs="Arial"/>
          <w:b/>
        </w:rPr>
        <w:t xml:space="preserve"> </w:t>
      </w:r>
      <w:r w:rsidRPr="00341C73">
        <w:rPr>
          <w:rFonts w:ascii="Arial" w:eastAsia="Times New Roman" w:hAnsi="Arial" w:cs="Arial"/>
          <w:b/>
        </w:rPr>
        <w:tab/>
        <w:t>DO YOU HAVE INFORMATION ON STAKEHOLDERS IN THE RECOVERY OF THE SPECIES/SUBSPECIES?</w:t>
      </w:r>
    </w:p>
    <w:p w14:paraId="2178A57F" w14:textId="77777777" w:rsidR="001F7C9A" w:rsidRPr="00341C73" w:rsidRDefault="001F7C9A" w:rsidP="001F7C9A">
      <w:pPr>
        <w:keepNext/>
        <w:autoSpaceDE w:val="0"/>
        <w:autoSpaceDN w:val="0"/>
        <w:adjustRightInd w:val="0"/>
        <w:spacing w:after="0" w:line="240" w:lineRule="auto"/>
        <w:ind w:left="1560" w:hanging="1560"/>
        <w:rPr>
          <w:rFonts w:ascii="Arial" w:eastAsia="Times New Roman" w:hAnsi="Arial" w:cs="Arial"/>
          <w:b/>
        </w:rPr>
      </w:pPr>
    </w:p>
    <w:p w14:paraId="2C71CFC1"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other knowledge (e.g., traditional ecological knowledge) or individuals/groups with knowledge that may help better understand population trends/fluctuations, or critical areas of habitat?</w:t>
      </w:r>
    </w:p>
    <w:p w14:paraId="253BF80E" w14:textId="77777777" w:rsidR="001F7C9A" w:rsidRPr="00341C73" w:rsidRDefault="001F7C9A" w:rsidP="001F7C9A">
      <w:pPr>
        <w:autoSpaceDE w:val="0"/>
        <w:autoSpaceDN w:val="0"/>
        <w:adjustRightInd w:val="0"/>
        <w:spacing w:after="0" w:line="240" w:lineRule="auto"/>
        <w:ind w:left="360"/>
        <w:rPr>
          <w:rFonts w:ascii="Arial" w:eastAsia="Times New Roman" w:hAnsi="Arial" w:cs="Arial"/>
          <w:color w:val="000000"/>
        </w:rPr>
      </w:pPr>
    </w:p>
    <w:p w14:paraId="08A7FBD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any cultural or social importance or use that the species/subspecies has?</w:t>
      </w:r>
    </w:p>
    <w:p w14:paraId="2F7631C4" w14:textId="77777777" w:rsidR="001F7C9A" w:rsidRPr="00341C73" w:rsidRDefault="001F7C9A" w:rsidP="001F7C9A">
      <w:pPr>
        <w:autoSpaceDE w:val="0"/>
        <w:autoSpaceDN w:val="0"/>
        <w:adjustRightInd w:val="0"/>
        <w:spacing w:after="0" w:line="240" w:lineRule="auto"/>
        <w:ind w:left="360"/>
        <w:rPr>
          <w:rFonts w:ascii="Arial" w:eastAsia="Times New Roman" w:hAnsi="Arial" w:cs="Arial"/>
          <w:color w:val="000000"/>
        </w:rPr>
      </w:pPr>
    </w:p>
    <w:p w14:paraId="645FF5EE"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individuals or organisations are currently, or potentially could be, involved in management and recovery of the species/subspecies?</w:t>
      </w:r>
    </w:p>
    <w:p w14:paraId="506AA179" w14:textId="77777777" w:rsidR="001F7C9A" w:rsidRPr="00341C73" w:rsidRDefault="001F7C9A" w:rsidP="001F7C9A">
      <w:pPr>
        <w:autoSpaceDE w:val="0"/>
        <w:autoSpaceDN w:val="0"/>
        <w:adjustRightInd w:val="0"/>
        <w:spacing w:after="0" w:line="240" w:lineRule="auto"/>
        <w:ind w:left="360"/>
        <w:rPr>
          <w:rFonts w:ascii="Arial" w:eastAsia="Times New Roman" w:hAnsi="Arial" w:cs="Arial"/>
          <w:color w:val="000000"/>
        </w:rPr>
      </w:pPr>
    </w:p>
    <w:p w14:paraId="25C17C05"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 xml:space="preserve">How aware of this species/subspecies are land managers where the species/subspecies is found? </w:t>
      </w:r>
    </w:p>
    <w:p w14:paraId="0ABF9639" w14:textId="77777777" w:rsidR="001F7C9A" w:rsidRPr="00341C73" w:rsidRDefault="001F7C9A" w:rsidP="001F7C9A">
      <w:pPr>
        <w:autoSpaceDE w:val="0"/>
        <w:autoSpaceDN w:val="0"/>
        <w:adjustRightInd w:val="0"/>
        <w:spacing w:after="0" w:line="240" w:lineRule="auto"/>
        <w:ind w:left="360"/>
        <w:rPr>
          <w:rFonts w:ascii="Arial" w:eastAsia="Times New Roman" w:hAnsi="Arial" w:cs="Arial"/>
          <w:color w:val="000000"/>
        </w:rPr>
      </w:pPr>
    </w:p>
    <w:p w14:paraId="72F2CA57" w14:textId="77777777" w:rsidR="001F7C9A" w:rsidRPr="00341C73" w:rsidRDefault="001F7C9A" w:rsidP="0038751E">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level of awareness is there with individuals or organisations around the issues affecting the species/subspecies?</w:t>
      </w:r>
    </w:p>
    <w:p w14:paraId="6749704D" w14:textId="77777777" w:rsidR="001F7C9A" w:rsidRPr="00341C73" w:rsidRDefault="001F7C9A" w:rsidP="001F7C9A">
      <w:pPr>
        <w:autoSpaceDE w:val="0"/>
        <w:autoSpaceDN w:val="0"/>
        <w:adjustRightInd w:val="0"/>
        <w:spacing w:after="0" w:line="240" w:lineRule="auto"/>
        <w:ind w:left="360"/>
        <w:rPr>
          <w:rFonts w:ascii="Arial" w:eastAsia="Times New Roman" w:hAnsi="Arial" w:cs="Arial"/>
          <w:color w:val="000000"/>
        </w:rPr>
      </w:pPr>
    </w:p>
    <w:p w14:paraId="07662E31" w14:textId="77777777" w:rsidR="001F7C9A" w:rsidRPr="00341C73" w:rsidRDefault="001F7C9A" w:rsidP="0038751E">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Where there is awareness, what are these interests of these individuals/organisations?</w:t>
      </w:r>
    </w:p>
    <w:p w14:paraId="7606B6B5" w14:textId="77777777" w:rsidR="001F7C9A" w:rsidRPr="00341C73" w:rsidRDefault="001F7C9A" w:rsidP="001F7C9A">
      <w:pPr>
        <w:autoSpaceDE w:val="0"/>
        <w:autoSpaceDN w:val="0"/>
        <w:adjustRightInd w:val="0"/>
        <w:spacing w:after="0" w:line="240" w:lineRule="auto"/>
        <w:ind w:left="1080"/>
        <w:rPr>
          <w:rFonts w:ascii="Arial" w:eastAsia="Times New Roman" w:hAnsi="Arial" w:cs="Arial"/>
          <w:color w:val="000000"/>
        </w:rPr>
      </w:pPr>
    </w:p>
    <w:p w14:paraId="7A9C44B2" w14:textId="77777777" w:rsidR="001F7C9A" w:rsidRPr="00341C73" w:rsidRDefault="001F7C9A" w:rsidP="0038751E">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there populations or areas of habitat that are particularly important to the community?</w:t>
      </w:r>
    </w:p>
    <w:p w14:paraId="5804661C" w14:textId="77777777" w:rsidR="001F7C9A" w:rsidRPr="00341C73" w:rsidRDefault="001F7C9A" w:rsidP="001F7C9A">
      <w:pPr>
        <w:autoSpaceDE w:val="0"/>
        <w:autoSpaceDN w:val="0"/>
        <w:adjustRightInd w:val="0"/>
        <w:spacing w:after="0" w:line="240" w:lineRule="auto"/>
        <w:rPr>
          <w:rFonts w:ascii="Times New Roman" w:eastAsia="Times New Roman" w:hAnsi="Times New Roman" w:cs="Times New Roman"/>
          <w:sz w:val="20"/>
          <w:szCs w:val="20"/>
        </w:rPr>
      </w:pPr>
    </w:p>
    <w:p w14:paraId="3BCE2D58"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6FAE5565"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3 – ANY OTHER INFORMATION</w:t>
      </w:r>
    </w:p>
    <w:p w14:paraId="0E0EE806" w14:textId="77777777" w:rsidR="001F7C9A" w:rsidRPr="00341C73" w:rsidRDefault="001F7C9A" w:rsidP="001F7C9A">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6CE7EA0C" w14:textId="77777777" w:rsidR="001F7C9A" w:rsidRPr="00341C73" w:rsidRDefault="001F7C9A" w:rsidP="001F7C9A">
      <w:pPr>
        <w:autoSpaceDE w:val="0"/>
        <w:autoSpaceDN w:val="0"/>
        <w:adjustRightInd w:val="0"/>
        <w:spacing w:after="0" w:line="240" w:lineRule="auto"/>
        <w:rPr>
          <w:rFonts w:ascii="Arial" w:eastAsia="Times New Roman" w:hAnsi="Arial" w:cs="Arial"/>
        </w:rPr>
      </w:pPr>
    </w:p>
    <w:p w14:paraId="6CA415AF" w14:textId="79C74021" w:rsidR="001F7C9A" w:rsidRPr="00960FBE" w:rsidRDefault="001F7C9A" w:rsidP="0038751E">
      <w:pPr>
        <w:numPr>
          <w:ilvl w:val="0"/>
          <w:numId w:val="11"/>
        </w:numPr>
        <w:autoSpaceDE w:val="0"/>
        <w:autoSpaceDN w:val="0"/>
        <w:adjustRightInd w:val="0"/>
        <w:spacing w:after="0" w:line="240" w:lineRule="auto"/>
        <w:contextualSpacing/>
        <w:rPr>
          <w:rFonts w:ascii="Times New Roman" w:eastAsia="Times New Roman" w:hAnsi="Times New Roman" w:cs="Times New Roman"/>
          <w:sz w:val="20"/>
          <w:szCs w:val="20"/>
        </w:rPr>
      </w:pPr>
      <w:r w:rsidRPr="00960FBE">
        <w:rPr>
          <w:rFonts w:ascii="Arial" w:eastAsia="Times New Roman" w:hAnsi="Arial" w:cs="Arial"/>
          <w:color w:val="000000"/>
        </w:rPr>
        <w:t>Do you have comments on any other matters relevant to the assessment of this species/subspecies?</w:t>
      </w:r>
    </w:p>
    <w:p w14:paraId="6DE0BA55" w14:textId="77777777" w:rsidR="001F7C9A" w:rsidRPr="00341C73" w:rsidRDefault="001F7C9A" w:rsidP="001F7C9A">
      <w:pPr>
        <w:spacing w:after="0" w:line="240" w:lineRule="auto"/>
        <w:rPr>
          <w:rFonts w:ascii="Times New Roman" w:eastAsia="Times New Roman" w:hAnsi="Times New Roman" w:cs="Times New Roman"/>
          <w:sz w:val="20"/>
          <w:szCs w:val="20"/>
        </w:rPr>
      </w:pPr>
    </w:p>
    <w:p w14:paraId="61592E1C" w14:textId="77777777" w:rsidR="001F7C9A" w:rsidRDefault="001F7C9A" w:rsidP="001F7C9A">
      <w:pPr>
        <w:spacing w:after="0" w:line="240" w:lineRule="auto"/>
      </w:pPr>
    </w:p>
    <w:bookmarkEnd w:id="58"/>
    <w:p w14:paraId="374F7751" w14:textId="77777777" w:rsidR="00F20180" w:rsidRDefault="00F20180" w:rsidP="00F20180">
      <w:pPr>
        <w:rPr>
          <w:bCs/>
        </w:rPr>
      </w:pPr>
    </w:p>
    <w:sectPr w:rsidR="00F20180" w:rsidSect="002F232F">
      <w:headerReference w:type="even" r:id="rId38"/>
      <w:headerReference w:type="default" r:id="rId39"/>
      <w:headerReference w:type="first" r:id="rId40"/>
      <w:footerReference w:type="first" r:id="rId4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A4FE" w14:textId="77777777" w:rsidR="00DB0E41" w:rsidRDefault="00DB0E41">
      <w:r>
        <w:separator/>
      </w:r>
    </w:p>
    <w:p w14:paraId="11016F21" w14:textId="77777777" w:rsidR="00DB0E41" w:rsidRDefault="00DB0E41"/>
    <w:p w14:paraId="7F110A12" w14:textId="77777777" w:rsidR="00DB0E41" w:rsidRDefault="00DB0E41"/>
    <w:p w14:paraId="4BBC4083" w14:textId="77777777" w:rsidR="00DB0E41" w:rsidRDefault="00DB0E41"/>
  </w:endnote>
  <w:endnote w:type="continuationSeparator" w:id="0">
    <w:p w14:paraId="78C48D71" w14:textId="77777777" w:rsidR="00DB0E41" w:rsidRDefault="00DB0E41">
      <w:r>
        <w:continuationSeparator/>
      </w:r>
    </w:p>
    <w:p w14:paraId="27732675" w14:textId="77777777" w:rsidR="00DB0E41" w:rsidRDefault="00DB0E41"/>
    <w:p w14:paraId="07971A78" w14:textId="77777777" w:rsidR="00DB0E41" w:rsidRDefault="00DB0E41"/>
    <w:p w14:paraId="4ADF1767" w14:textId="77777777" w:rsidR="00DB0E41" w:rsidRDefault="00DB0E41"/>
  </w:endnote>
  <w:endnote w:type="continuationNotice" w:id="1">
    <w:p w14:paraId="4F62721C" w14:textId="77777777" w:rsidR="00DB0E41" w:rsidRDefault="00DB0E41">
      <w:pPr>
        <w:pStyle w:val="Footer"/>
      </w:pPr>
    </w:p>
    <w:p w14:paraId="0EC086CC" w14:textId="77777777" w:rsidR="00DB0E41" w:rsidRDefault="00DB0E41"/>
    <w:p w14:paraId="0B0005CC" w14:textId="77777777" w:rsidR="00DB0E41" w:rsidRDefault="00DB0E41"/>
    <w:p w14:paraId="1AEB13BE" w14:textId="77777777" w:rsidR="00DB0E41" w:rsidRDefault="00DB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A217" w14:textId="77777777" w:rsidR="00DB0E41" w:rsidRDefault="00DB0E41" w:rsidP="00E02D9C">
    <w:pPr>
      <w:pStyle w:val="Footer"/>
    </w:pPr>
    <w:r>
      <w:t>Threatened Species Scientific Committee</w:t>
    </w:r>
  </w:p>
  <w:p w14:paraId="36BA1124" w14:textId="77777777" w:rsidR="00DB0E41" w:rsidRDefault="00DB0E41"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34D4" w14:textId="77777777" w:rsidR="00DB0E41" w:rsidRDefault="00DB0E41" w:rsidP="002F232F">
    <w:pPr>
      <w:pStyle w:val="Footer"/>
    </w:pPr>
    <w:r>
      <w:t>Department of Agriculture, Water and the Environment</w:t>
    </w:r>
  </w:p>
  <w:p w14:paraId="6B7A9895" w14:textId="77777777" w:rsidR="00DB0E41" w:rsidRDefault="00DB0E41"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C289" w14:textId="10D64E6D" w:rsidR="00DB0E41" w:rsidRDefault="00DB0E41" w:rsidP="002F232F">
    <w:pPr>
      <w:pStyle w:val="Footer"/>
    </w:pPr>
    <w:r>
      <w:t>Threatened Species Scientific Committee</w:t>
    </w:r>
  </w:p>
  <w:p w14:paraId="76D7ADC0" w14:textId="77777777" w:rsidR="00DB0E41" w:rsidRDefault="00DB0E41"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C7EA" w14:textId="77777777" w:rsidR="00DB0E41" w:rsidRDefault="00DB0E41">
      <w:r>
        <w:separator/>
      </w:r>
    </w:p>
    <w:p w14:paraId="4C911C39" w14:textId="77777777" w:rsidR="00DB0E41" w:rsidRDefault="00DB0E41"/>
    <w:p w14:paraId="75F483BB" w14:textId="77777777" w:rsidR="00DB0E41" w:rsidRDefault="00DB0E41"/>
    <w:p w14:paraId="406E92A5" w14:textId="77777777" w:rsidR="00DB0E41" w:rsidRDefault="00DB0E41"/>
  </w:footnote>
  <w:footnote w:type="continuationSeparator" w:id="0">
    <w:p w14:paraId="344EBB88" w14:textId="77777777" w:rsidR="00DB0E41" w:rsidRDefault="00DB0E41">
      <w:r>
        <w:continuationSeparator/>
      </w:r>
    </w:p>
    <w:p w14:paraId="4B7D32F0" w14:textId="77777777" w:rsidR="00DB0E41" w:rsidRDefault="00DB0E41"/>
    <w:p w14:paraId="1D17F58F" w14:textId="77777777" w:rsidR="00DB0E41" w:rsidRDefault="00DB0E41"/>
    <w:p w14:paraId="3B3436A8" w14:textId="77777777" w:rsidR="00DB0E41" w:rsidRDefault="00DB0E41"/>
  </w:footnote>
  <w:footnote w:type="continuationNotice" w:id="1">
    <w:p w14:paraId="6DC4BBEF" w14:textId="77777777" w:rsidR="00DB0E41" w:rsidRDefault="00DB0E41">
      <w:pPr>
        <w:pStyle w:val="Footer"/>
      </w:pPr>
    </w:p>
    <w:p w14:paraId="2F6AA67A" w14:textId="77777777" w:rsidR="00DB0E41" w:rsidRDefault="00DB0E41"/>
    <w:p w14:paraId="29816A77" w14:textId="77777777" w:rsidR="00DB0E41" w:rsidRDefault="00DB0E41"/>
    <w:p w14:paraId="64DE3065" w14:textId="77777777" w:rsidR="00DB0E41" w:rsidRDefault="00DB0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9285" w14:textId="77777777" w:rsidR="00DB0E41" w:rsidRDefault="00DB0E41">
    <w:pPr>
      <w:pStyle w:val="Header"/>
    </w:pPr>
  </w:p>
  <w:p w14:paraId="0BE8FAEB" w14:textId="77777777" w:rsidR="00DB0E41" w:rsidRDefault="00DB0E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1ACC" w14:textId="63D9142A" w:rsidR="00DB0E41" w:rsidRPr="00650D63" w:rsidRDefault="00DB0E41" w:rsidP="00817ED8">
    <w:pPr>
      <w:pStyle w:val="Header"/>
    </w:pPr>
    <w:r>
      <w:rPr>
        <w:rStyle w:val="Emphasis"/>
      </w:rPr>
      <w:t>Climacteris picumnus victoriae</w:t>
    </w:r>
    <w:r w:rsidRPr="00650D63">
      <w:rPr>
        <w:rStyle w:val="Emphasis"/>
        <w:i w:val="0"/>
        <w:iCs w:val="0"/>
      </w:rPr>
      <w:t xml:space="preserve"> (</w:t>
    </w:r>
    <w:r>
      <w:rPr>
        <w:rStyle w:val="Emphasis"/>
        <w:i w:val="0"/>
        <w:iCs w:val="0"/>
      </w:rPr>
      <w:t>Brown Treecreeper (south-eastern)</w:t>
    </w:r>
    <w:r w:rsidRPr="00650D63">
      <w:rPr>
        <w:rStyle w:val="Emphasis"/>
        <w:i w:val="0"/>
        <w:iCs w:val="0"/>
      </w:rPr>
      <w:t xml:space="preserve">) </w:t>
    </w:r>
    <w:r>
      <w:rPr>
        <w:rStyle w:val="Emphasis"/>
        <w:i w:val="0"/>
        <w:iCs w:val="0"/>
      </w:rPr>
      <w:t>C</w:t>
    </w:r>
    <w:r w:rsidRPr="00650D63">
      <w:rPr>
        <w:rStyle w:val="Emphasis"/>
        <w:i w:val="0"/>
        <w:iCs w:val="0"/>
      </w:rPr>
      <w:t xml:space="preserve">onsultation </w:t>
    </w:r>
    <w:r>
      <w:rPr>
        <w:rStyle w:val="Emphasis"/>
        <w:i w:val="0"/>
        <w:iCs w:val="0"/>
      </w:rPr>
      <w:t>D</w:t>
    </w:r>
    <w:r w:rsidRPr="00650D63">
      <w:rPr>
        <w:rStyle w:val="Emphasis"/>
        <w:i w:val="0"/>
        <w:iCs w:val="0"/>
      </w:rPr>
      <w:t>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38DB" w14:textId="77777777" w:rsidR="00DB0E41" w:rsidRDefault="00DB0E41" w:rsidP="00C37215">
    <w:pPr>
      <w:pStyle w:val="Header"/>
      <w:tabs>
        <w:tab w:val="clear" w:pos="4820"/>
        <w:tab w:val="left" w:pos="7992"/>
      </w:tabs>
      <w:jc w:val="left"/>
    </w:pPr>
    <w:r>
      <w:rPr>
        <w:noProof/>
        <w:lang w:eastAsia="en-AU"/>
      </w:rPr>
      <w:drawing>
        <wp:inline distT="0" distB="0" distL="0" distR="0" wp14:anchorId="7FCCCE0F" wp14:editId="6F0A0670">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D48" w14:textId="4EC8303F" w:rsidR="00DB0E41" w:rsidRDefault="00DB0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FCD8" w14:textId="73E1D45A" w:rsidR="00DB0E41" w:rsidRDefault="00DB0E41" w:rsidP="008E7C80">
    <w:pPr>
      <w:pStyle w:val="Header"/>
    </w:pPr>
    <w:r w:rsidRPr="005F2EAB">
      <w:rPr>
        <w:rStyle w:val="Emphasis"/>
      </w:rPr>
      <w:t xml:space="preserve">Climacteris picumnus victoriae </w:t>
    </w:r>
    <w:r w:rsidRPr="005F2EAB">
      <w:rPr>
        <w:rStyle w:val="Emphasis"/>
        <w:i w:val="0"/>
        <w:iCs w:val="0"/>
      </w:rPr>
      <w:t>(Brown Treecreeper (south-eastern))</w:t>
    </w:r>
    <w:r>
      <w:t xml:space="preserve"> Consultation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E25" w14:textId="6379B2AB" w:rsidR="00DB0E41" w:rsidRPr="003E30FD" w:rsidRDefault="00DB0E41"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1CA5597" w14:textId="7CBD7742" w:rsidR="00DB0E41" w:rsidRPr="00D728A1" w:rsidRDefault="00DB0E41"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E5D1D2F" w14:textId="42ED4BB4" w:rsidR="00DB0E41" w:rsidRDefault="00DB0E41" w:rsidP="00B66CC6">
    <w:pPr>
      <w:pStyle w:val="Header"/>
    </w:pPr>
    <w:r>
      <w:t>The Threatened Species Scientific Committee draft listing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30A7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31120E1C"/>
    <w:lvl w:ilvl="0" w:tplc="B9FA63BE">
      <w:start w:val="1"/>
      <w:numFmt w:val="bullet"/>
      <w:pStyle w:val="TableBullet1"/>
      <w:lvlText w:val=""/>
      <w:lvlJc w:val="left"/>
      <w:pPr>
        <w:ind w:left="720" w:hanging="360"/>
      </w:pPr>
      <w:rPr>
        <w:rFonts w:ascii="Symbol" w:hAnsi="Symbol" w:hint="default"/>
      </w:rPr>
    </w:lvl>
    <w:lvl w:ilvl="1" w:tplc="04987ACC">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DD1959"/>
    <w:multiLevelType w:val="hybridMultilevel"/>
    <w:tmpl w:val="590E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8"/>
  </w:num>
  <w:num w:numId="2">
    <w:abstractNumId w:val="4"/>
  </w:num>
  <w:num w:numId="3">
    <w:abstractNumId w:val="11"/>
  </w:num>
  <w:num w:numId="4">
    <w:abstractNumId w:val="12"/>
  </w:num>
  <w:num w:numId="5">
    <w:abstractNumId w:val="6"/>
  </w:num>
  <w:num w:numId="6">
    <w:abstractNumId w:val="10"/>
  </w:num>
  <w:num w:numId="7">
    <w:abstractNumId w:val="5"/>
  </w:num>
  <w:num w:numId="8">
    <w:abstractNumId w:val="9"/>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B"/>
    <w:rsid w:val="000011D8"/>
    <w:rsid w:val="00002EE4"/>
    <w:rsid w:val="000075C7"/>
    <w:rsid w:val="00010D07"/>
    <w:rsid w:val="00011B6F"/>
    <w:rsid w:val="000202F4"/>
    <w:rsid w:val="000213FD"/>
    <w:rsid w:val="00022783"/>
    <w:rsid w:val="00024E78"/>
    <w:rsid w:val="00025619"/>
    <w:rsid w:val="00033F38"/>
    <w:rsid w:val="00034091"/>
    <w:rsid w:val="000341E0"/>
    <w:rsid w:val="000351D6"/>
    <w:rsid w:val="00041499"/>
    <w:rsid w:val="00041DED"/>
    <w:rsid w:val="00042016"/>
    <w:rsid w:val="0004550E"/>
    <w:rsid w:val="000459D5"/>
    <w:rsid w:val="00055069"/>
    <w:rsid w:val="000575E0"/>
    <w:rsid w:val="000627F1"/>
    <w:rsid w:val="00063044"/>
    <w:rsid w:val="00063C71"/>
    <w:rsid w:val="00063E78"/>
    <w:rsid w:val="00065F4B"/>
    <w:rsid w:val="00071129"/>
    <w:rsid w:val="000802C8"/>
    <w:rsid w:val="00082E2B"/>
    <w:rsid w:val="000835A0"/>
    <w:rsid w:val="00085069"/>
    <w:rsid w:val="000853F7"/>
    <w:rsid w:val="0008655C"/>
    <w:rsid w:val="00093DC4"/>
    <w:rsid w:val="000959C5"/>
    <w:rsid w:val="000A2D7C"/>
    <w:rsid w:val="000A4134"/>
    <w:rsid w:val="000A6133"/>
    <w:rsid w:val="000A722E"/>
    <w:rsid w:val="000B5E97"/>
    <w:rsid w:val="000B7CE7"/>
    <w:rsid w:val="000C05FC"/>
    <w:rsid w:val="000C2B44"/>
    <w:rsid w:val="000C48F2"/>
    <w:rsid w:val="000D0A29"/>
    <w:rsid w:val="000D1830"/>
    <w:rsid w:val="000D51F3"/>
    <w:rsid w:val="000D525D"/>
    <w:rsid w:val="000D55BC"/>
    <w:rsid w:val="000D738D"/>
    <w:rsid w:val="000D7EC7"/>
    <w:rsid w:val="000D7FAF"/>
    <w:rsid w:val="000E3737"/>
    <w:rsid w:val="000E630E"/>
    <w:rsid w:val="000E690C"/>
    <w:rsid w:val="000F018A"/>
    <w:rsid w:val="000F30DC"/>
    <w:rsid w:val="000F3D21"/>
    <w:rsid w:val="000F4AD8"/>
    <w:rsid w:val="000F7696"/>
    <w:rsid w:val="001003CC"/>
    <w:rsid w:val="00102FDA"/>
    <w:rsid w:val="001044A0"/>
    <w:rsid w:val="00106145"/>
    <w:rsid w:val="00114207"/>
    <w:rsid w:val="0011667C"/>
    <w:rsid w:val="001168AA"/>
    <w:rsid w:val="001200FA"/>
    <w:rsid w:val="00120CED"/>
    <w:rsid w:val="0012461E"/>
    <w:rsid w:val="00125A2C"/>
    <w:rsid w:val="00126D8F"/>
    <w:rsid w:val="00130A0B"/>
    <w:rsid w:val="00133292"/>
    <w:rsid w:val="00134322"/>
    <w:rsid w:val="001376F1"/>
    <w:rsid w:val="00137F5A"/>
    <w:rsid w:val="00142F9E"/>
    <w:rsid w:val="001443D1"/>
    <w:rsid w:val="0014504E"/>
    <w:rsid w:val="00145862"/>
    <w:rsid w:val="00145DB1"/>
    <w:rsid w:val="001519BE"/>
    <w:rsid w:val="00152BDD"/>
    <w:rsid w:val="00154B5B"/>
    <w:rsid w:val="00155BA9"/>
    <w:rsid w:val="00156AED"/>
    <w:rsid w:val="001578B6"/>
    <w:rsid w:val="0016081E"/>
    <w:rsid w:val="00161E8C"/>
    <w:rsid w:val="001622C7"/>
    <w:rsid w:val="001633F4"/>
    <w:rsid w:val="001634C7"/>
    <w:rsid w:val="00165364"/>
    <w:rsid w:val="00166185"/>
    <w:rsid w:val="00166D6F"/>
    <w:rsid w:val="00170795"/>
    <w:rsid w:val="001710CB"/>
    <w:rsid w:val="00171C0B"/>
    <w:rsid w:val="00172CCD"/>
    <w:rsid w:val="001739A8"/>
    <w:rsid w:val="001776BE"/>
    <w:rsid w:val="00177744"/>
    <w:rsid w:val="00180329"/>
    <w:rsid w:val="0018058D"/>
    <w:rsid w:val="00185402"/>
    <w:rsid w:val="001857C4"/>
    <w:rsid w:val="00186635"/>
    <w:rsid w:val="00186F32"/>
    <w:rsid w:val="0019368D"/>
    <w:rsid w:val="0019598A"/>
    <w:rsid w:val="00195A27"/>
    <w:rsid w:val="0019773B"/>
    <w:rsid w:val="001A0FF1"/>
    <w:rsid w:val="001A12A5"/>
    <w:rsid w:val="001A24FE"/>
    <w:rsid w:val="001A2D13"/>
    <w:rsid w:val="001A3C77"/>
    <w:rsid w:val="001A3EBA"/>
    <w:rsid w:val="001A49CD"/>
    <w:rsid w:val="001A78DD"/>
    <w:rsid w:val="001B077B"/>
    <w:rsid w:val="001B19FD"/>
    <w:rsid w:val="001B2BE2"/>
    <w:rsid w:val="001B441B"/>
    <w:rsid w:val="001B55AE"/>
    <w:rsid w:val="001B729C"/>
    <w:rsid w:val="001C094D"/>
    <w:rsid w:val="001C39EA"/>
    <w:rsid w:val="001C3F42"/>
    <w:rsid w:val="001C7420"/>
    <w:rsid w:val="001D3024"/>
    <w:rsid w:val="001E1F5E"/>
    <w:rsid w:val="001E2D2C"/>
    <w:rsid w:val="001E3289"/>
    <w:rsid w:val="001E4765"/>
    <w:rsid w:val="001E5131"/>
    <w:rsid w:val="001E68C4"/>
    <w:rsid w:val="001F12B7"/>
    <w:rsid w:val="001F423E"/>
    <w:rsid w:val="001F7C9A"/>
    <w:rsid w:val="00201371"/>
    <w:rsid w:val="002068B1"/>
    <w:rsid w:val="00210732"/>
    <w:rsid w:val="0021433D"/>
    <w:rsid w:val="00216FE6"/>
    <w:rsid w:val="00217BCE"/>
    <w:rsid w:val="00221209"/>
    <w:rsid w:val="0022142B"/>
    <w:rsid w:val="00223138"/>
    <w:rsid w:val="0023010D"/>
    <w:rsid w:val="002319AB"/>
    <w:rsid w:val="00232977"/>
    <w:rsid w:val="00232B16"/>
    <w:rsid w:val="0024549B"/>
    <w:rsid w:val="00252237"/>
    <w:rsid w:val="00252454"/>
    <w:rsid w:val="00260AA3"/>
    <w:rsid w:val="00260B3B"/>
    <w:rsid w:val="00263A39"/>
    <w:rsid w:val="00266DC5"/>
    <w:rsid w:val="00273E16"/>
    <w:rsid w:val="00274B8A"/>
    <w:rsid w:val="002767E0"/>
    <w:rsid w:val="00276E5C"/>
    <w:rsid w:val="002802A2"/>
    <w:rsid w:val="002803B8"/>
    <w:rsid w:val="00280857"/>
    <w:rsid w:val="0028144F"/>
    <w:rsid w:val="0028148E"/>
    <w:rsid w:val="00284D99"/>
    <w:rsid w:val="00284E69"/>
    <w:rsid w:val="002872CD"/>
    <w:rsid w:val="002906BC"/>
    <w:rsid w:val="00291107"/>
    <w:rsid w:val="00292E73"/>
    <w:rsid w:val="00292F01"/>
    <w:rsid w:val="00293750"/>
    <w:rsid w:val="00297049"/>
    <w:rsid w:val="0029756F"/>
    <w:rsid w:val="002A6BDE"/>
    <w:rsid w:val="002B01EE"/>
    <w:rsid w:val="002B03D2"/>
    <w:rsid w:val="002B134C"/>
    <w:rsid w:val="002B1F3E"/>
    <w:rsid w:val="002B264C"/>
    <w:rsid w:val="002B32FF"/>
    <w:rsid w:val="002B698E"/>
    <w:rsid w:val="002B69E4"/>
    <w:rsid w:val="002B6A3F"/>
    <w:rsid w:val="002B76C9"/>
    <w:rsid w:val="002D1777"/>
    <w:rsid w:val="002D412E"/>
    <w:rsid w:val="002D49D6"/>
    <w:rsid w:val="002D51CB"/>
    <w:rsid w:val="002E31FA"/>
    <w:rsid w:val="002E32CA"/>
    <w:rsid w:val="002E34B7"/>
    <w:rsid w:val="002E4376"/>
    <w:rsid w:val="002F232F"/>
    <w:rsid w:val="002F324E"/>
    <w:rsid w:val="002F34D8"/>
    <w:rsid w:val="002F3AEA"/>
    <w:rsid w:val="002F4DAD"/>
    <w:rsid w:val="002F5A91"/>
    <w:rsid w:val="002F78C0"/>
    <w:rsid w:val="00306BC4"/>
    <w:rsid w:val="00307A7D"/>
    <w:rsid w:val="003113EE"/>
    <w:rsid w:val="00311878"/>
    <w:rsid w:val="003128A3"/>
    <w:rsid w:val="00315392"/>
    <w:rsid w:val="0031646F"/>
    <w:rsid w:val="003179DA"/>
    <w:rsid w:val="00317A1C"/>
    <w:rsid w:val="00321758"/>
    <w:rsid w:val="00330701"/>
    <w:rsid w:val="00334A9C"/>
    <w:rsid w:val="00337360"/>
    <w:rsid w:val="0034288F"/>
    <w:rsid w:val="003437D5"/>
    <w:rsid w:val="003445EF"/>
    <w:rsid w:val="00344617"/>
    <w:rsid w:val="00345389"/>
    <w:rsid w:val="00346541"/>
    <w:rsid w:val="00347206"/>
    <w:rsid w:val="00351E68"/>
    <w:rsid w:val="003522D4"/>
    <w:rsid w:val="00355A21"/>
    <w:rsid w:val="00355F1B"/>
    <w:rsid w:val="00360272"/>
    <w:rsid w:val="003607B9"/>
    <w:rsid w:val="00360ACE"/>
    <w:rsid w:val="0036247C"/>
    <w:rsid w:val="0037042A"/>
    <w:rsid w:val="003722E5"/>
    <w:rsid w:val="0037602E"/>
    <w:rsid w:val="003844EE"/>
    <w:rsid w:val="0038751E"/>
    <w:rsid w:val="00387E7C"/>
    <w:rsid w:val="003909F0"/>
    <w:rsid w:val="0039336C"/>
    <w:rsid w:val="00394AB6"/>
    <w:rsid w:val="003A06CA"/>
    <w:rsid w:val="003A0EE3"/>
    <w:rsid w:val="003A7DA6"/>
    <w:rsid w:val="003B7E7C"/>
    <w:rsid w:val="003C23DC"/>
    <w:rsid w:val="003C7B5E"/>
    <w:rsid w:val="003E1291"/>
    <w:rsid w:val="003E30FD"/>
    <w:rsid w:val="003E5E90"/>
    <w:rsid w:val="003E6102"/>
    <w:rsid w:val="003F22EA"/>
    <w:rsid w:val="003F60E2"/>
    <w:rsid w:val="003F6E53"/>
    <w:rsid w:val="003F6EE8"/>
    <w:rsid w:val="0040031A"/>
    <w:rsid w:val="0040258A"/>
    <w:rsid w:val="00403001"/>
    <w:rsid w:val="004112A3"/>
    <w:rsid w:val="00412830"/>
    <w:rsid w:val="0041723E"/>
    <w:rsid w:val="0042000D"/>
    <w:rsid w:val="004218F0"/>
    <w:rsid w:val="00421E71"/>
    <w:rsid w:val="004236E0"/>
    <w:rsid w:val="004247E0"/>
    <w:rsid w:val="0042700B"/>
    <w:rsid w:val="004305E2"/>
    <w:rsid w:val="00432BB0"/>
    <w:rsid w:val="0043513C"/>
    <w:rsid w:val="00435CC8"/>
    <w:rsid w:val="00437E66"/>
    <w:rsid w:val="00440C79"/>
    <w:rsid w:val="0044391F"/>
    <w:rsid w:val="00447F6E"/>
    <w:rsid w:val="00452EBD"/>
    <w:rsid w:val="00460C44"/>
    <w:rsid w:val="00460D54"/>
    <w:rsid w:val="0046168A"/>
    <w:rsid w:val="00473DF9"/>
    <w:rsid w:val="00475FF3"/>
    <w:rsid w:val="00476948"/>
    <w:rsid w:val="00480C78"/>
    <w:rsid w:val="00481223"/>
    <w:rsid w:val="00482558"/>
    <w:rsid w:val="00486C20"/>
    <w:rsid w:val="004902AB"/>
    <w:rsid w:val="0049159F"/>
    <w:rsid w:val="00492C3D"/>
    <w:rsid w:val="004945A2"/>
    <w:rsid w:val="0049477E"/>
    <w:rsid w:val="004B06F9"/>
    <w:rsid w:val="004B1CD8"/>
    <w:rsid w:val="004C1A13"/>
    <w:rsid w:val="004C232B"/>
    <w:rsid w:val="004C2AA1"/>
    <w:rsid w:val="004C3033"/>
    <w:rsid w:val="004C4253"/>
    <w:rsid w:val="004C7F78"/>
    <w:rsid w:val="004D0288"/>
    <w:rsid w:val="004D2790"/>
    <w:rsid w:val="004D2C69"/>
    <w:rsid w:val="004D2E53"/>
    <w:rsid w:val="004D31F0"/>
    <w:rsid w:val="004D61C9"/>
    <w:rsid w:val="004E2385"/>
    <w:rsid w:val="004E7AAB"/>
    <w:rsid w:val="004F304E"/>
    <w:rsid w:val="004F32AB"/>
    <w:rsid w:val="004F412F"/>
    <w:rsid w:val="004F4696"/>
    <w:rsid w:val="004F5429"/>
    <w:rsid w:val="004F760C"/>
    <w:rsid w:val="00501322"/>
    <w:rsid w:val="005033A2"/>
    <w:rsid w:val="0050438E"/>
    <w:rsid w:val="00504E67"/>
    <w:rsid w:val="0050535B"/>
    <w:rsid w:val="0050545D"/>
    <w:rsid w:val="005059FD"/>
    <w:rsid w:val="005078B8"/>
    <w:rsid w:val="00510CEA"/>
    <w:rsid w:val="0051202F"/>
    <w:rsid w:val="00514923"/>
    <w:rsid w:val="005156CB"/>
    <w:rsid w:val="0051701F"/>
    <w:rsid w:val="005208A6"/>
    <w:rsid w:val="005219AD"/>
    <w:rsid w:val="005306BA"/>
    <w:rsid w:val="00540326"/>
    <w:rsid w:val="0054559E"/>
    <w:rsid w:val="0055033C"/>
    <w:rsid w:val="005568E4"/>
    <w:rsid w:val="0056348C"/>
    <w:rsid w:val="005779F0"/>
    <w:rsid w:val="00581B29"/>
    <w:rsid w:val="00582D62"/>
    <w:rsid w:val="00583880"/>
    <w:rsid w:val="0058583E"/>
    <w:rsid w:val="00590E2A"/>
    <w:rsid w:val="00592117"/>
    <w:rsid w:val="005960E3"/>
    <w:rsid w:val="005A02CB"/>
    <w:rsid w:val="005A3DAB"/>
    <w:rsid w:val="005A5154"/>
    <w:rsid w:val="005B2D1D"/>
    <w:rsid w:val="005B2DA0"/>
    <w:rsid w:val="005B7C2E"/>
    <w:rsid w:val="005C4878"/>
    <w:rsid w:val="005C5599"/>
    <w:rsid w:val="005C6382"/>
    <w:rsid w:val="005D0B73"/>
    <w:rsid w:val="005D1FC7"/>
    <w:rsid w:val="005D2006"/>
    <w:rsid w:val="005D22D0"/>
    <w:rsid w:val="005D3AAC"/>
    <w:rsid w:val="005E29D6"/>
    <w:rsid w:val="005E438C"/>
    <w:rsid w:val="005E4AF2"/>
    <w:rsid w:val="005E752A"/>
    <w:rsid w:val="005F0E4D"/>
    <w:rsid w:val="005F2EAB"/>
    <w:rsid w:val="005F376D"/>
    <w:rsid w:val="005F3E72"/>
    <w:rsid w:val="005F4DC1"/>
    <w:rsid w:val="00601FF6"/>
    <w:rsid w:val="006037DC"/>
    <w:rsid w:val="00605A86"/>
    <w:rsid w:val="00605BF7"/>
    <w:rsid w:val="00611FAC"/>
    <w:rsid w:val="006129B6"/>
    <w:rsid w:val="00612AA8"/>
    <w:rsid w:val="006134A7"/>
    <w:rsid w:val="00613B67"/>
    <w:rsid w:val="0061515E"/>
    <w:rsid w:val="00622D0D"/>
    <w:rsid w:val="006233AC"/>
    <w:rsid w:val="00624A10"/>
    <w:rsid w:val="00625A55"/>
    <w:rsid w:val="006261D7"/>
    <w:rsid w:val="0063169C"/>
    <w:rsid w:val="00632C20"/>
    <w:rsid w:val="00632DE9"/>
    <w:rsid w:val="00633C26"/>
    <w:rsid w:val="00635459"/>
    <w:rsid w:val="00643D03"/>
    <w:rsid w:val="0064742F"/>
    <w:rsid w:val="0065073D"/>
    <w:rsid w:val="00651F93"/>
    <w:rsid w:val="00677456"/>
    <w:rsid w:val="006807B3"/>
    <w:rsid w:val="00685944"/>
    <w:rsid w:val="00691AC8"/>
    <w:rsid w:val="00695903"/>
    <w:rsid w:val="00697EA2"/>
    <w:rsid w:val="006A0D23"/>
    <w:rsid w:val="006A4B4A"/>
    <w:rsid w:val="006A5604"/>
    <w:rsid w:val="006A6526"/>
    <w:rsid w:val="006A78FE"/>
    <w:rsid w:val="006B72EA"/>
    <w:rsid w:val="006C1A3B"/>
    <w:rsid w:val="006C480C"/>
    <w:rsid w:val="006C4BB4"/>
    <w:rsid w:val="006C5497"/>
    <w:rsid w:val="006C7342"/>
    <w:rsid w:val="006C7BAC"/>
    <w:rsid w:val="006D0068"/>
    <w:rsid w:val="006D3581"/>
    <w:rsid w:val="006D6C77"/>
    <w:rsid w:val="006E04A7"/>
    <w:rsid w:val="006E1B17"/>
    <w:rsid w:val="006E299C"/>
    <w:rsid w:val="006E5CC3"/>
    <w:rsid w:val="006E65E5"/>
    <w:rsid w:val="006E7B8E"/>
    <w:rsid w:val="006F1D0B"/>
    <w:rsid w:val="006F226E"/>
    <w:rsid w:val="006F34F8"/>
    <w:rsid w:val="006F4AC3"/>
    <w:rsid w:val="006F5D56"/>
    <w:rsid w:val="007019A7"/>
    <w:rsid w:val="0070330E"/>
    <w:rsid w:val="007063FF"/>
    <w:rsid w:val="0071018A"/>
    <w:rsid w:val="007110FD"/>
    <w:rsid w:val="0071552D"/>
    <w:rsid w:val="00715C18"/>
    <w:rsid w:val="007162B0"/>
    <w:rsid w:val="00720F63"/>
    <w:rsid w:val="007210AB"/>
    <w:rsid w:val="0072328F"/>
    <w:rsid w:val="00723AB0"/>
    <w:rsid w:val="007269A3"/>
    <w:rsid w:val="00726F67"/>
    <w:rsid w:val="00730CF3"/>
    <w:rsid w:val="0073141E"/>
    <w:rsid w:val="0073584B"/>
    <w:rsid w:val="007405CB"/>
    <w:rsid w:val="00743AA2"/>
    <w:rsid w:val="0074480F"/>
    <w:rsid w:val="00745436"/>
    <w:rsid w:val="007462AA"/>
    <w:rsid w:val="00746540"/>
    <w:rsid w:val="0074658B"/>
    <w:rsid w:val="00746B45"/>
    <w:rsid w:val="00751BCB"/>
    <w:rsid w:val="0075388B"/>
    <w:rsid w:val="00760AE2"/>
    <w:rsid w:val="00760FF8"/>
    <w:rsid w:val="0076197C"/>
    <w:rsid w:val="00763F74"/>
    <w:rsid w:val="0076542A"/>
    <w:rsid w:val="00765819"/>
    <w:rsid w:val="00770199"/>
    <w:rsid w:val="00772527"/>
    <w:rsid w:val="0077351A"/>
    <w:rsid w:val="00774EAA"/>
    <w:rsid w:val="007803B9"/>
    <w:rsid w:val="00780612"/>
    <w:rsid w:val="00780907"/>
    <w:rsid w:val="0078307B"/>
    <w:rsid w:val="00783F28"/>
    <w:rsid w:val="007840DB"/>
    <w:rsid w:val="00785AC0"/>
    <w:rsid w:val="00792E2B"/>
    <w:rsid w:val="00793C54"/>
    <w:rsid w:val="00795F43"/>
    <w:rsid w:val="007A5898"/>
    <w:rsid w:val="007B14D6"/>
    <w:rsid w:val="007B1BA0"/>
    <w:rsid w:val="007B4BF6"/>
    <w:rsid w:val="007C1000"/>
    <w:rsid w:val="007C5B70"/>
    <w:rsid w:val="007C5B94"/>
    <w:rsid w:val="007D0BB0"/>
    <w:rsid w:val="007D15CE"/>
    <w:rsid w:val="007D45BF"/>
    <w:rsid w:val="007D7F62"/>
    <w:rsid w:val="007E03DB"/>
    <w:rsid w:val="007E280E"/>
    <w:rsid w:val="007F10E2"/>
    <w:rsid w:val="007F4024"/>
    <w:rsid w:val="007F4224"/>
    <w:rsid w:val="00802773"/>
    <w:rsid w:val="00802C21"/>
    <w:rsid w:val="00805DF5"/>
    <w:rsid w:val="008064B3"/>
    <w:rsid w:val="00807052"/>
    <w:rsid w:val="008106B2"/>
    <w:rsid w:val="0081130C"/>
    <w:rsid w:val="00814CBA"/>
    <w:rsid w:val="00817ED8"/>
    <w:rsid w:val="00820598"/>
    <w:rsid w:val="0082249A"/>
    <w:rsid w:val="00825A10"/>
    <w:rsid w:val="00827E08"/>
    <w:rsid w:val="0083212D"/>
    <w:rsid w:val="00832E99"/>
    <w:rsid w:val="00832FAC"/>
    <w:rsid w:val="00833933"/>
    <w:rsid w:val="008349ED"/>
    <w:rsid w:val="00835BA7"/>
    <w:rsid w:val="0084049A"/>
    <w:rsid w:val="008468BC"/>
    <w:rsid w:val="00852A71"/>
    <w:rsid w:val="00852B2E"/>
    <w:rsid w:val="00855316"/>
    <w:rsid w:val="008570BE"/>
    <w:rsid w:val="008618C9"/>
    <w:rsid w:val="00862660"/>
    <w:rsid w:val="00863651"/>
    <w:rsid w:val="0086619D"/>
    <w:rsid w:val="008661D1"/>
    <w:rsid w:val="008709A8"/>
    <w:rsid w:val="00871C8E"/>
    <w:rsid w:val="00872E14"/>
    <w:rsid w:val="0087631E"/>
    <w:rsid w:val="00880060"/>
    <w:rsid w:val="00880E00"/>
    <w:rsid w:val="00881197"/>
    <w:rsid w:val="00882A2D"/>
    <w:rsid w:val="00884AF4"/>
    <w:rsid w:val="008861BF"/>
    <w:rsid w:val="00895793"/>
    <w:rsid w:val="0089596B"/>
    <w:rsid w:val="008970BF"/>
    <w:rsid w:val="008A17E1"/>
    <w:rsid w:val="008A18B0"/>
    <w:rsid w:val="008A1CB1"/>
    <w:rsid w:val="008A24A1"/>
    <w:rsid w:val="008A3D0A"/>
    <w:rsid w:val="008A3F9B"/>
    <w:rsid w:val="008A51E7"/>
    <w:rsid w:val="008A62C7"/>
    <w:rsid w:val="008A6F13"/>
    <w:rsid w:val="008B00FB"/>
    <w:rsid w:val="008B118D"/>
    <w:rsid w:val="008B5DAD"/>
    <w:rsid w:val="008B5DCA"/>
    <w:rsid w:val="008B78CE"/>
    <w:rsid w:val="008C0415"/>
    <w:rsid w:val="008C2F4F"/>
    <w:rsid w:val="008C531D"/>
    <w:rsid w:val="008D2312"/>
    <w:rsid w:val="008D4C1F"/>
    <w:rsid w:val="008D4E8C"/>
    <w:rsid w:val="008D594A"/>
    <w:rsid w:val="008D5FB2"/>
    <w:rsid w:val="008E26F5"/>
    <w:rsid w:val="008E37E7"/>
    <w:rsid w:val="008E4C40"/>
    <w:rsid w:val="008E4F1F"/>
    <w:rsid w:val="008E7C80"/>
    <w:rsid w:val="008F30CC"/>
    <w:rsid w:val="008F4426"/>
    <w:rsid w:val="008F57A7"/>
    <w:rsid w:val="008F5B78"/>
    <w:rsid w:val="00900F7B"/>
    <w:rsid w:val="00903010"/>
    <w:rsid w:val="00903833"/>
    <w:rsid w:val="00910D84"/>
    <w:rsid w:val="00911931"/>
    <w:rsid w:val="00916F8B"/>
    <w:rsid w:val="00921F7C"/>
    <w:rsid w:val="009254CE"/>
    <w:rsid w:val="009262B2"/>
    <w:rsid w:val="00927D81"/>
    <w:rsid w:val="00931643"/>
    <w:rsid w:val="009329C5"/>
    <w:rsid w:val="00932DA2"/>
    <w:rsid w:val="00933213"/>
    <w:rsid w:val="00933A0D"/>
    <w:rsid w:val="00933B07"/>
    <w:rsid w:val="00935CDF"/>
    <w:rsid w:val="00936152"/>
    <w:rsid w:val="00942315"/>
    <w:rsid w:val="00944A89"/>
    <w:rsid w:val="009460D7"/>
    <w:rsid w:val="009468FD"/>
    <w:rsid w:val="00947630"/>
    <w:rsid w:val="00947982"/>
    <w:rsid w:val="009502E2"/>
    <w:rsid w:val="009510A9"/>
    <w:rsid w:val="00953F4C"/>
    <w:rsid w:val="0095692A"/>
    <w:rsid w:val="00956DC6"/>
    <w:rsid w:val="0095701C"/>
    <w:rsid w:val="00957A21"/>
    <w:rsid w:val="00960FBE"/>
    <w:rsid w:val="00966DC8"/>
    <w:rsid w:val="00973D6E"/>
    <w:rsid w:val="00975E38"/>
    <w:rsid w:val="0097684A"/>
    <w:rsid w:val="00980788"/>
    <w:rsid w:val="0098092F"/>
    <w:rsid w:val="00982D5F"/>
    <w:rsid w:val="00986AE2"/>
    <w:rsid w:val="009939D9"/>
    <w:rsid w:val="00995B7F"/>
    <w:rsid w:val="00995FC6"/>
    <w:rsid w:val="009A12A9"/>
    <w:rsid w:val="009A2AC5"/>
    <w:rsid w:val="009A436A"/>
    <w:rsid w:val="009A5676"/>
    <w:rsid w:val="009A5850"/>
    <w:rsid w:val="009A615F"/>
    <w:rsid w:val="009A6F15"/>
    <w:rsid w:val="009A740F"/>
    <w:rsid w:val="009B1303"/>
    <w:rsid w:val="009B5162"/>
    <w:rsid w:val="009B7DE3"/>
    <w:rsid w:val="009C078D"/>
    <w:rsid w:val="009C1F15"/>
    <w:rsid w:val="009C33A3"/>
    <w:rsid w:val="009D24F2"/>
    <w:rsid w:val="009D3176"/>
    <w:rsid w:val="009E0E09"/>
    <w:rsid w:val="009E13C2"/>
    <w:rsid w:val="009E2BC4"/>
    <w:rsid w:val="009E30E5"/>
    <w:rsid w:val="009E3E71"/>
    <w:rsid w:val="009E59CA"/>
    <w:rsid w:val="009E5F5F"/>
    <w:rsid w:val="009E7A91"/>
    <w:rsid w:val="009F08D5"/>
    <w:rsid w:val="009F10A8"/>
    <w:rsid w:val="009F1A26"/>
    <w:rsid w:val="009F2B1B"/>
    <w:rsid w:val="00A01D0D"/>
    <w:rsid w:val="00A034C7"/>
    <w:rsid w:val="00A03B2E"/>
    <w:rsid w:val="00A06CB3"/>
    <w:rsid w:val="00A06FC3"/>
    <w:rsid w:val="00A12094"/>
    <w:rsid w:val="00A1580A"/>
    <w:rsid w:val="00A21391"/>
    <w:rsid w:val="00A24751"/>
    <w:rsid w:val="00A32092"/>
    <w:rsid w:val="00A33B04"/>
    <w:rsid w:val="00A35399"/>
    <w:rsid w:val="00A37B41"/>
    <w:rsid w:val="00A37F05"/>
    <w:rsid w:val="00A41058"/>
    <w:rsid w:val="00A446A3"/>
    <w:rsid w:val="00A45491"/>
    <w:rsid w:val="00A45C2B"/>
    <w:rsid w:val="00A46573"/>
    <w:rsid w:val="00A50415"/>
    <w:rsid w:val="00A51891"/>
    <w:rsid w:val="00A521E6"/>
    <w:rsid w:val="00A54B60"/>
    <w:rsid w:val="00A56664"/>
    <w:rsid w:val="00A5722D"/>
    <w:rsid w:val="00A60CB6"/>
    <w:rsid w:val="00A622EF"/>
    <w:rsid w:val="00A62941"/>
    <w:rsid w:val="00A64A84"/>
    <w:rsid w:val="00A65D7F"/>
    <w:rsid w:val="00A71FB8"/>
    <w:rsid w:val="00A72E1A"/>
    <w:rsid w:val="00A73DD2"/>
    <w:rsid w:val="00A7740E"/>
    <w:rsid w:val="00A8089B"/>
    <w:rsid w:val="00A81027"/>
    <w:rsid w:val="00A85421"/>
    <w:rsid w:val="00A85E32"/>
    <w:rsid w:val="00A87EFD"/>
    <w:rsid w:val="00A941C6"/>
    <w:rsid w:val="00AA2925"/>
    <w:rsid w:val="00AA5B46"/>
    <w:rsid w:val="00AA6060"/>
    <w:rsid w:val="00AA70E3"/>
    <w:rsid w:val="00AA74F0"/>
    <w:rsid w:val="00AA7D37"/>
    <w:rsid w:val="00AB0FBE"/>
    <w:rsid w:val="00AB18AF"/>
    <w:rsid w:val="00AB3719"/>
    <w:rsid w:val="00AB3EB4"/>
    <w:rsid w:val="00AC049E"/>
    <w:rsid w:val="00AC0FCF"/>
    <w:rsid w:val="00AC1F52"/>
    <w:rsid w:val="00AC3A2A"/>
    <w:rsid w:val="00AC5F6E"/>
    <w:rsid w:val="00AC6363"/>
    <w:rsid w:val="00AD2722"/>
    <w:rsid w:val="00AD2D38"/>
    <w:rsid w:val="00AD4043"/>
    <w:rsid w:val="00AD44EA"/>
    <w:rsid w:val="00AE31DA"/>
    <w:rsid w:val="00AE7D5A"/>
    <w:rsid w:val="00AF1302"/>
    <w:rsid w:val="00AF5211"/>
    <w:rsid w:val="00AF6941"/>
    <w:rsid w:val="00AF6C87"/>
    <w:rsid w:val="00AF6CF8"/>
    <w:rsid w:val="00B01AD0"/>
    <w:rsid w:val="00B01FB8"/>
    <w:rsid w:val="00B0203B"/>
    <w:rsid w:val="00B1458C"/>
    <w:rsid w:val="00B150DF"/>
    <w:rsid w:val="00B16806"/>
    <w:rsid w:val="00B21C20"/>
    <w:rsid w:val="00B24145"/>
    <w:rsid w:val="00B27E5A"/>
    <w:rsid w:val="00B34362"/>
    <w:rsid w:val="00B36554"/>
    <w:rsid w:val="00B3750C"/>
    <w:rsid w:val="00B40556"/>
    <w:rsid w:val="00B411FF"/>
    <w:rsid w:val="00B4139E"/>
    <w:rsid w:val="00B4649B"/>
    <w:rsid w:val="00B468D8"/>
    <w:rsid w:val="00B5259C"/>
    <w:rsid w:val="00B52E90"/>
    <w:rsid w:val="00B5314D"/>
    <w:rsid w:val="00B53D3E"/>
    <w:rsid w:val="00B54C08"/>
    <w:rsid w:val="00B55CA6"/>
    <w:rsid w:val="00B60BF3"/>
    <w:rsid w:val="00B61EEB"/>
    <w:rsid w:val="00B6264B"/>
    <w:rsid w:val="00B63452"/>
    <w:rsid w:val="00B64FEB"/>
    <w:rsid w:val="00B66CC6"/>
    <w:rsid w:val="00B67F39"/>
    <w:rsid w:val="00B706ED"/>
    <w:rsid w:val="00B7745D"/>
    <w:rsid w:val="00B810EC"/>
    <w:rsid w:val="00B85566"/>
    <w:rsid w:val="00B85665"/>
    <w:rsid w:val="00B900F0"/>
    <w:rsid w:val="00B92695"/>
    <w:rsid w:val="00B95AD8"/>
    <w:rsid w:val="00B965B3"/>
    <w:rsid w:val="00BA02A9"/>
    <w:rsid w:val="00BA28D1"/>
    <w:rsid w:val="00BA5DC7"/>
    <w:rsid w:val="00BB289D"/>
    <w:rsid w:val="00BB365A"/>
    <w:rsid w:val="00BB3E03"/>
    <w:rsid w:val="00BB731A"/>
    <w:rsid w:val="00BC4935"/>
    <w:rsid w:val="00BD67DE"/>
    <w:rsid w:val="00BD7983"/>
    <w:rsid w:val="00BE0A14"/>
    <w:rsid w:val="00BE1AEB"/>
    <w:rsid w:val="00BE508B"/>
    <w:rsid w:val="00BE530B"/>
    <w:rsid w:val="00BF2381"/>
    <w:rsid w:val="00BF794A"/>
    <w:rsid w:val="00C0217D"/>
    <w:rsid w:val="00C02B5E"/>
    <w:rsid w:val="00C032B2"/>
    <w:rsid w:val="00C0578E"/>
    <w:rsid w:val="00C07455"/>
    <w:rsid w:val="00C07686"/>
    <w:rsid w:val="00C116F9"/>
    <w:rsid w:val="00C12B43"/>
    <w:rsid w:val="00C1341A"/>
    <w:rsid w:val="00C14D04"/>
    <w:rsid w:val="00C14E62"/>
    <w:rsid w:val="00C171E4"/>
    <w:rsid w:val="00C17381"/>
    <w:rsid w:val="00C2128B"/>
    <w:rsid w:val="00C21813"/>
    <w:rsid w:val="00C2736A"/>
    <w:rsid w:val="00C304AA"/>
    <w:rsid w:val="00C31D9B"/>
    <w:rsid w:val="00C358D7"/>
    <w:rsid w:val="00C37215"/>
    <w:rsid w:val="00C44BCE"/>
    <w:rsid w:val="00C46709"/>
    <w:rsid w:val="00C500B0"/>
    <w:rsid w:val="00C52C46"/>
    <w:rsid w:val="00C5493E"/>
    <w:rsid w:val="00C5558E"/>
    <w:rsid w:val="00C64C7F"/>
    <w:rsid w:val="00C72F10"/>
    <w:rsid w:val="00C77652"/>
    <w:rsid w:val="00C77CE3"/>
    <w:rsid w:val="00C815C0"/>
    <w:rsid w:val="00C83797"/>
    <w:rsid w:val="00C83948"/>
    <w:rsid w:val="00C84C56"/>
    <w:rsid w:val="00C8541A"/>
    <w:rsid w:val="00C9428B"/>
    <w:rsid w:val="00C976B8"/>
    <w:rsid w:val="00CA3BFF"/>
    <w:rsid w:val="00CA6D34"/>
    <w:rsid w:val="00CA7C3F"/>
    <w:rsid w:val="00CC062B"/>
    <w:rsid w:val="00CC3164"/>
    <w:rsid w:val="00CC3C72"/>
    <w:rsid w:val="00CC7E29"/>
    <w:rsid w:val="00CD291E"/>
    <w:rsid w:val="00CD30FC"/>
    <w:rsid w:val="00CD40A1"/>
    <w:rsid w:val="00CD441B"/>
    <w:rsid w:val="00CD5010"/>
    <w:rsid w:val="00CD5C21"/>
    <w:rsid w:val="00CD7EDA"/>
    <w:rsid w:val="00CE18A3"/>
    <w:rsid w:val="00CE24D1"/>
    <w:rsid w:val="00CE2EE7"/>
    <w:rsid w:val="00CF0A90"/>
    <w:rsid w:val="00CF270B"/>
    <w:rsid w:val="00CF6762"/>
    <w:rsid w:val="00D04820"/>
    <w:rsid w:val="00D05085"/>
    <w:rsid w:val="00D06356"/>
    <w:rsid w:val="00D1236A"/>
    <w:rsid w:val="00D17C18"/>
    <w:rsid w:val="00D20DE1"/>
    <w:rsid w:val="00D24058"/>
    <w:rsid w:val="00D302F1"/>
    <w:rsid w:val="00D326F7"/>
    <w:rsid w:val="00D34806"/>
    <w:rsid w:val="00D34ADB"/>
    <w:rsid w:val="00D35115"/>
    <w:rsid w:val="00D366FE"/>
    <w:rsid w:val="00D3682A"/>
    <w:rsid w:val="00D37773"/>
    <w:rsid w:val="00D409F0"/>
    <w:rsid w:val="00D431C8"/>
    <w:rsid w:val="00D43428"/>
    <w:rsid w:val="00D447A7"/>
    <w:rsid w:val="00D447F8"/>
    <w:rsid w:val="00D45274"/>
    <w:rsid w:val="00D45E0E"/>
    <w:rsid w:val="00D46F55"/>
    <w:rsid w:val="00D516CF"/>
    <w:rsid w:val="00D51B58"/>
    <w:rsid w:val="00D60C9A"/>
    <w:rsid w:val="00D60F3B"/>
    <w:rsid w:val="00D65075"/>
    <w:rsid w:val="00D65D1A"/>
    <w:rsid w:val="00D666DC"/>
    <w:rsid w:val="00D67534"/>
    <w:rsid w:val="00D7056B"/>
    <w:rsid w:val="00D728A1"/>
    <w:rsid w:val="00D73BF2"/>
    <w:rsid w:val="00D81936"/>
    <w:rsid w:val="00D830A9"/>
    <w:rsid w:val="00D84ED1"/>
    <w:rsid w:val="00D85801"/>
    <w:rsid w:val="00D86EDB"/>
    <w:rsid w:val="00D87279"/>
    <w:rsid w:val="00D91156"/>
    <w:rsid w:val="00D933F5"/>
    <w:rsid w:val="00D93E30"/>
    <w:rsid w:val="00D945A0"/>
    <w:rsid w:val="00D94BF4"/>
    <w:rsid w:val="00D965AE"/>
    <w:rsid w:val="00D97723"/>
    <w:rsid w:val="00DA16D6"/>
    <w:rsid w:val="00DA5471"/>
    <w:rsid w:val="00DA58F1"/>
    <w:rsid w:val="00DB0E41"/>
    <w:rsid w:val="00DB5C4C"/>
    <w:rsid w:val="00DC3D9D"/>
    <w:rsid w:val="00DC3FBB"/>
    <w:rsid w:val="00DC4577"/>
    <w:rsid w:val="00DC5926"/>
    <w:rsid w:val="00DD3067"/>
    <w:rsid w:val="00DE00A7"/>
    <w:rsid w:val="00DE1243"/>
    <w:rsid w:val="00DE4612"/>
    <w:rsid w:val="00DE572F"/>
    <w:rsid w:val="00E008FD"/>
    <w:rsid w:val="00E02D9C"/>
    <w:rsid w:val="00E0596E"/>
    <w:rsid w:val="00E061EB"/>
    <w:rsid w:val="00E15C08"/>
    <w:rsid w:val="00E210A8"/>
    <w:rsid w:val="00E22344"/>
    <w:rsid w:val="00E24D39"/>
    <w:rsid w:val="00E25445"/>
    <w:rsid w:val="00E26D9F"/>
    <w:rsid w:val="00E30BEA"/>
    <w:rsid w:val="00E30C87"/>
    <w:rsid w:val="00E30FA2"/>
    <w:rsid w:val="00E31528"/>
    <w:rsid w:val="00E325CB"/>
    <w:rsid w:val="00E3282F"/>
    <w:rsid w:val="00E349E8"/>
    <w:rsid w:val="00E362EF"/>
    <w:rsid w:val="00E418DC"/>
    <w:rsid w:val="00E4466C"/>
    <w:rsid w:val="00E50CCA"/>
    <w:rsid w:val="00E560BF"/>
    <w:rsid w:val="00E6238F"/>
    <w:rsid w:val="00E65A59"/>
    <w:rsid w:val="00E707AE"/>
    <w:rsid w:val="00E72434"/>
    <w:rsid w:val="00E73F60"/>
    <w:rsid w:val="00E838B6"/>
    <w:rsid w:val="00E8423F"/>
    <w:rsid w:val="00E84D66"/>
    <w:rsid w:val="00E85F7C"/>
    <w:rsid w:val="00E869F7"/>
    <w:rsid w:val="00E928AC"/>
    <w:rsid w:val="00E94175"/>
    <w:rsid w:val="00E956B7"/>
    <w:rsid w:val="00EA0DA1"/>
    <w:rsid w:val="00EA2E37"/>
    <w:rsid w:val="00EA30EA"/>
    <w:rsid w:val="00EA4D74"/>
    <w:rsid w:val="00EA62BF"/>
    <w:rsid w:val="00EA690A"/>
    <w:rsid w:val="00EA7A09"/>
    <w:rsid w:val="00EB2C2A"/>
    <w:rsid w:val="00EB33D2"/>
    <w:rsid w:val="00EB6EDF"/>
    <w:rsid w:val="00EC2908"/>
    <w:rsid w:val="00EC69E6"/>
    <w:rsid w:val="00EC78C6"/>
    <w:rsid w:val="00EC7C3F"/>
    <w:rsid w:val="00ED07EC"/>
    <w:rsid w:val="00ED2A67"/>
    <w:rsid w:val="00ED2D87"/>
    <w:rsid w:val="00ED4B1B"/>
    <w:rsid w:val="00EE0F9A"/>
    <w:rsid w:val="00EE1E7A"/>
    <w:rsid w:val="00EE24D3"/>
    <w:rsid w:val="00EE4544"/>
    <w:rsid w:val="00EE4E28"/>
    <w:rsid w:val="00EF1ACF"/>
    <w:rsid w:val="00EF2584"/>
    <w:rsid w:val="00EF3899"/>
    <w:rsid w:val="00EF49F4"/>
    <w:rsid w:val="00F00FC3"/>
    <w:rsid w:val="00F03209"/>
    <w:rsid w:val="00F11913"/>
    <w:rsid w:val="00F12A1B"/>
    <w:rsid w:val="00F14F9F"/>
    <w:rsid w:val="00F20180"/>
    <w:rsid w:val="00F202EB"/>
    <w:rsid w:val="00F230FC"/>
    <w:rsid w:val="00F23281"/>
    <w:rsid w:val="00F321A6"/>
    <w:rsid w:val="00F3378B"/>
    <w:rsid w:val="00F33ECC"/>
    <w:rsid w:val="00F35B65"/>
    <w:rsid w:val="00F36D94"/>
    <w:rsid w:val="00F37C3F"/>
    <w:rsid w:val="00F52A16"/>
    <w:rsid w:val="00F5322A"/>
    <w:rsid w:val="00F5467D"/>
    <w:rsid w:val="00F64C25"/>
    <w:rsid w:val="00F658E8"/>
    <w:rsid w:val="00F66CBB"/>
    <w:rsid w:val="00F73FF8"/>
    <w:rsid w:val="00F83E8F"/>
    <w:rsid w:val="00F85831"/>
    <w:rsid w:val="00F92E66"/>
    <w:rsid w:val="00F92FE4"/>
    <w:rsid w:val="00F9338A"/>
    <w:rsid w:val="00F96CC2"/>
    <w:rsid w:val="00FA39C1"/>
    <w:rsid w:val="00FA66DA"/>
    <w:rsid w:val="00FA66EB"/>
    <w:rsid w:val="00FB08F7"/>
    <w:rsid w:val="00FB1187"/>
    <w:rsid w:val="00FB1937"/>
    <w:rsid w:val="00FB3DC0"/>
    <w:rsid w:val="00FC0EFA"/>
    <w:rsid w:val="00FC2FA4"/>
    <w:rsid w:val="00FC3CA5"/>
    <w:rsid w:val="00FC6E46"/>
    <w:rsid w:val="00FD0B84"/>
    <w:rsid w:val="00FD1483"/>
    <w:rsid w:val="00FD515C"/>
    <w:rsid w:val="00FE0139"/>
    <w:rsid w:val="00FE0F63"/>
    <w:rsid w:val="00FE1AAF"/>
    <w:rsid w:val="00FE54D7"/>
    <w:rsid w:val="00FF17FE"/>
    <w:rsid w:val="03D24C88"/>
    <w:rsid w:val="057F7CA0"/>
    <w:rsid w:val="06C95670"/>
    <w:rsid w:val="08C5FB54"/>
    <w:rsid w:val="0B9850F7"/>
    <w:rsid w:val="0BC43610"/>
    <w:rsid w:val="0CB2ACA9"/>
    <w:rsid w:val="0DACEE98"/>
    <w:rsid w:val="0E3522D1"/>
    <w:rsid w:val="0EB90894"/>
    <w:rsid w:val="1128B84E"/>
    <w:rsid w:val="1149B6AF"/>
    <w:rsid w:val="129C580E"/>
    <w:rsid w:val="1319430D"/>
    <w:rsid w:val="138E401F"/>
    <w:rsid w:val="16D679A8"/>
    <w:rsid w:val="22118159"/>
    <w:rsid w:val="232DE41B"/>
    <w:rsid w:val="244F40D4"/>
    <w:rsid w:val="2DB4A274"/>
    <w:rsid w:val="2E8A1306"/>
    <w:rsid w:val="2ED07507"/>
    <w:rsid w:val="2EF19580"/>
    <w:rsid w:val="302DE41B"/>
    <w:rsid w:val="3ACEECE0"/>
    <w:rsid w:val="3BE2688F"/>
    <w:rsid w:val="4008D923"/>
    <w:rsid w:val="4085DAE7"/>
    <w:rsid w:val="462C2B08"/>
    <w:rsid w:val="4657F99A"/>
    <w:rsid w:val="46DDE90B"/>
    <w:rsid w:val="47BC9A8B"/>
    <w:rsid w:val="48C5D29F"/>
    <w:rsid w:val="494DF5FB"/>
    <w:rsid w:val="4A15E3DC"/>
    <w:rsid w:val="4EA23301"/>
    <w:rsid w:val="52883B20"/>
    <w:rsid w:val="52FB3648"/>
    <w:rsid w:val="573DFBF2"/>
    <w:rsid w:val="593CD83A"/>
    <w:rsid w:val="5A58AB19"/>
    <w:rsid w:val="5B12E577"/>
    <w:rsid w:val="5BB64321"/>
    <w:rsid w:val="5CD56742"/>
    <w:rsid w:val="6089B444"/>
    <w:rsid w:val="61D8A12B"/>
    <w:rsid w:val="64B35191"/>
    <w:rsid w:val="654DBBC6"/>
    <w:rsid w:val="6A492B93"/>
    <w:rsid w:val="6D679FD4"/>
    <w:rsid w:val="70CBCED9"/>
    <w:rsid w:val="72A97BF1"/>
    <w:rsid w:val="73E85BF6"/>
    <w:rsid w:val="764DE3C7"/>
    <w:rsid w:val="76FDDEBB"/>
    <w:rsid w:val="7745FA5F"/>
    <w:rsid w:val="7899AF1C"/>
    <w:rsid w:val="7B173FAE"/>
    <w:rsid w:val="7B3A48F5"/>
    <w:rsid w:val="7BF1A718"/>
    <w:rsid w:val="7E58F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2EE24B0"/>
  <w15:docId w15:val="{83A82349-7AA5-42E9-8504-5BFB3CCD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link w:val="NormalWebChar"/>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NormalWebChar">
    <w:name w:val="Normal (Web) Char"/>
    <w:basedOn w:val="DefaultParagraphFont"/>
    <w:link w:val="NormalWeb"/>
    <w:rsid w:val="008F30CC"/>
    <w:rPr>
      <w:rFonts w:ascii="Times New Roman" w:eastAsiaTheme="minorHAnsi" w:hAnsi="Times New Roman" w:cstheme="minorBidi"/>
      <w:sz w:val="13"/>
      <w:szCs w:val="13"/>
    </w:rPr>
  </w:style>
  <w:style w:type="character" w:styleId="HTMLAcronym">
    <w:name w:val="HTML Acronym"/>
    <w:basedOn w:val="DefaultParagraphFont"/>
    <w:rsid w:val="008F30CC"/>
  </w:style>
  <w:style w:type="paragraph" w:customStyle="1" w:styleId="TSSC">
    <w:name w:val="TSSC"/>
    <w:basedOn w:val="Normal"/>
    <w:qFormat/>
    <w:rsid w:val="001F7C9A"/>
    <w:pPr>
      <w:numPr>
        <w:numId w:val="10"/>
      </w:numPr>
      <w:tabs>
        <w:tab w:val="left" w:pos="567"/>
      </w:tabs>
      <w:spacing w:after="240" w:line="240" w:lineRule="auto"/>
      <w:ind w:left="567" w:hanging="567"/>
    </w:pPr>
    <w:rPr>
      <w:rFonts w:ascii="Times New Roman" w:eastAsia="Times New Roman" w:hAnsi="Times New Roman" w:cs="Times New Roman"/>
      <w:sz w:val="24"/>
      <w:szCs w:val="20"/>
    </w:rPr>
  </w:style>
  <w:style w:type="paragraph" w:styleId="ListParagraph">
    <w:name w:val="List Paragraph"/>
    <w:basedOn w:val="Normal"/>
    <w:uiPriority w:val="99"/>
    <w:qFormat/>
    <w:rsid w:val="009A4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image" Target="media/image2.jpeg"/><Relationship Id="rId39" Type="http://schemas.openxmlformats.org/officeDocument/2006/relationships/header" Target="header5.xml"/><Relationship Id="rId21" Type="http://schemas.openxmlformats.org/officeDocument/2006/relationships/header" Target="header2.xml"/><Relationship Id="rId34" Type="http://schemas.openxmlformats.org/officeDocument/2006/relationships/hyperlink" Target="https://www.ipcc.ch/report/ar6/wg1/downloads/factsheets/IPCC_AR6_WGI_Regional_Fact_Sheet_Australasia.pdf"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0" Type="http://schemas.openxmlformats.org/officeDocument/2006/relationships/header" Target="header1.xml"/><Relationship Id="rId29" Type="http://schemas.openxmlformats.org/officeDocument/2006/relationships/hyperlink" Target="http://www.environment.gov.au/system/files/resources/78f3dea5-c278-4273-8923-fa0de27aacfb/files/tap-predation-feral-cats-2015.pdf" TargetMode="External"/><Relationship Id="rId41" Type="http://schemas.openxmlformats.org/officeDocument/2006/relationships/footer" Target="footer3.xml"/><Relationship Id="rId1" Type="http://schemas.openxmlformats.org/officeDocument/2006/relationships/customXml" Target="../customXml/item1.xml"/><Relationship Id="rId40" Type="http://schemas.openxmlformats.org/officeDocument/2006/relationships/header" Target="header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canberrabirds.org.au" TargetMode="External"/><Relationship Id="rId37" Type="http://schemas.openxmlformats.org/officeDocument/2006/relationships/hyperlink" Target="http://www.environment.gov.au/biodiversity/threatened/cam" TargetMode="External"/><Relationship Id="rId36" Type="http://schemas.openxmlformats.org/officeDocument/2006/relationships/hyperlink" Target="https://nc.iucnredlist.org/redlist/content/attachment_files/RedListGuidelines.pdf" TargetMode="Externa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eader" Target="header3.xml"/><Relationship Id="rId28" Type="http://schemas.openxmlformats.org/officeDocument/2006/relationships/hyperlink" Target="https://www.environment.gov.au/biodiversity/threatened/publications/tap/predation-european-red-fox" TargetMode="External"/><Relationship Id="rId10" Type="http://schemas.openxmlformats.org/officeDocument/2006/relationships/webSettings" Target="webSettings.xml"/><Relationship Id="rId19" Type="http://schemas.openxmlformats.org/officeDocument/2006/relationships/hyperlink" Target="http://environment.gov.au/privacy-policy" TargetMode="External"/><Relationship Id="rId31" Type="http://schemas.openxmlformats.org/officeDocument/2006/relationships/hyperlink" Target="https://www.environment.nsw.gov.au/resources/nature/factsheetKtpDeadwoodRemoval.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biodiversity/threatened/index.html" TargetMode="External"/><Relationship Id="rId22" Type="http://schemas.openxmlformats.org/officeDocument/2006/relationships/footer" Target="footer1.xml"/><Relationship Id="rId27" Type="http://schemas.openxmlformats.org/officeDocument/2006/relationships/hyperlink" Target="http://www.environment.gov.au/science/erin/databases-maps/snes" TargetMode="External"/><Relationship Id="rId30" Type="http://schemas.openxmlformats.org/officeDocument/2006/relationships/hyperlink" Target="https://www.environment.gov.au/biodiversity/threatened/key-threatening-processes/overabundant-noisy-miners" TargetMode="External"/><Relationship Id="rId35" Type="http://schemas.openxmlformats.org/officeDocument/2006/relationships/hyperlink" Target="http://www.environment.gov.au/system/files/pages/d72dfd1a-f0d8-4699-8d43-5d95bbb02428/files/tssc-guidelines-assessing-species-2018.pdf"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hyperlink" Target="http://www.environment.gov.au/cgi-bin/sprat/public/sprat.pl" TargetMode="External"/><Relationship Id="rId33" Type="http://schemas.openxmlformats.org/officeDocument/2006/relationships/hyperlink" Target="https://www.environment.nsw.gov.au/threatenedspeciesapp/profile.aspx?id=10171" TargetMode="External"/><Relationship Id="rId38"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EE983CED14C46848387C7EB105B7D"/>
        <w:category>
          <w:name w:val="General"/>
          <w:gallery w:val="placeholder"/>
        </w:category>
        <w:types>
          <w:type w:val="bbPlcHdr"/>
        </w:types>
        <w:behaviors>
          <w:behavior w:val="content"/>
        </w:behaviors>
        <w:guid w:val="{A047E452-EF8D-4906-B3E9-71966DFB0DF4}"/>
      </w:docPartPr>
      <w:docPartBody>
        <w:p w:rsidR="00835F51" w:rsidRDefault="0036247C" w:rsidP="0036247C">
          <w:pPr>
            <w:pStyle w:val="512EE983CED14C46848387C7EB105B7D2"/>
          </w:pPr>
          <w:r w:rsidRPr="0045331C">
            <w:rPr>
              <w:rStyle w:val="PlaceholderText"/>
            </w:rPr>
            <w:t>Choose an item.</w:t>
          </w:r>
        </w:p>
      </w:docPartBody>
    </w:docPart>
    <w:docPart>
      <w:docPartPr>
        <w:name w:val="D93F4A59AF604739A5E78E54F3A0C6C8"/>
        <w:category>
          <w:name w:val="General"/>
          <w:gallery w:val="placeholder"/>
        </w:category>
        <w:types>
          <w:type w:val="bbPlcHdr"/>
        </w:types>
        <w:behaviors>
          <w:behavior w:val="content"/>
        </w:behaviors>
        <w:guid w:val="{39A080D3-DFE6-4AE5-8FA9-F8B8C99C8DE3}"/>
      </w:docPartPr>
      <w:docPartBody>
        <w:p w:rsidR="00835F51" w:rsidRDefault="0036247C" w:rsidP="0036247C">
          <w:pPr>
            <w:pStyle w:val="D93F4A59AF604739A5E78E54F3A0C6C82"/>
          </w:pPr>
          <w:r w:rsidRPr="0045331C">
            <w:rPr>
              <w:rStyle w:val="PlaceholderText"/>
            </w:rPr>
            <w:t>Choose an item.</w:t>
          </w:r>
        </w:p>
      </w:docPartBody>
    </w:docPart>
    <w:docPart>
      <w:docPartPr>
        <w:name w:val="FBDD99FE0561433789195F5D645CA0F0"/>
        <w:category>
          <w:name w:val="General"/>
          <w:gallery w:val="placeholder"/>
        </w:category>
        <w:types>
          <w:type w:val="bbPlcHdr"/>
        </w:types>
        <w:behaviors>
          <w:behavior w:val="content"/>
        </w:behaviors>
        <w:guid w:val="{BC7A13BD-6014-4654-A379-B9C9B760B8FD}"/>
      </w:docPartPr>
      <w:docPartBody>
        <w:p w:rsidR="001A4ECC" w:rsidRDefault="0036247C" w:rsidP="0036247C">
          <w:pPr>
            <w:pStyle w:val="FBDD99FE0561433789195F5D645CA0F01"/>
          </w:pPr>
          <w:r w:rsidRPr="0045331C">
            <w:rPr>
              <w:rStyle w:val="PlaceholderText"/>
            </w:rPr>
            <w:t>Choose an item.</w:t>
          </w:r>
        </w:p>
      </w:docPartBody>
    </w:docPart>
    <w:docPart>
      <w:docPartPr>
        <w:name w:val="76A168ED837349059F88D777372262EE"/>
        <w:category>
          <w:name w:val="General"/>
          <w:gallery w:val="placeholder"/>
        </w:category>
        <w:types>
          <w:type w:val="bbPlcHdr"/>
        </w:types>
        <w:behaviors>
          <w:behavior w:val="content"/>
        </w:behaviors>
        <w:guid w:val="{2047C0AB-F5BE-454F-8EF6-6F0B3ED2AC57}"/>
      </w:docPartPr>
      <w:docPartBody>
        <w:p w:rsidR="00001E85" w:rsidRDefault="0036247C" w:rsidP="0036247C">
          <w:pPr>
            <w:pStyle w:val="76A168ED837349059F88D777372262EE1"/>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5A7"/>
    <w:multiLevelType w:val="multilevel"/>
    <w:tmpl w:val="770A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C5BD6"/>
    <w:multiLevelType w:val="multilevel"/>
    <w:tmpl w:val="F8D0D474"/>
    <w:lvl w:ilvl="0">
      <w:start w:val="1"/>
      <w:numFmt w:val="decimal"/>
      <w:pStyle w:val="FBDD99FE0561433789195F5D645CA0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E0"/>
    <w:rsid w:val="00001E85"/>
    <w:rsid w:val="00016D0A"/>
    <w:rsid w:val="000A241C"/>
    <w:rsid w:val="000A594F"/>
    <w:rsid w:val="000B5097"/>
    <w:rsid w:val="000C41E0"/>
    <w:rsid w:val="0014221D"/>
    <w:rsid w:val="00185209"/>
    <w:rsid w:val="00197F94"/>
    <w:rsid w:val="001A4ECC"/>
    <w:rsid w:val="0020068C"/>
    <w:rsid w:val="002B5615"/>
    <w:rsid w:val="002C1E4C"/>
    <w:rsid w:val="002C77AB"/>
    <w:rsid w:val="002D5C42"/>
    <w:rsid w:val="00355B77"/>
    <w:rsid w:val="0036247C"/>
    <w:rsid w:val="003669C5"/>
    <w:rsid w:val="003676FE"/>
    <w:rsid w:val="003F7703"/>
    <w:rsid w:val="00456A24"/>
    <w:rsid w:val="00465A51"/>
    <w:rsid w:val="00482D92"/>
    <w:rsid w:val="00504F5D"/>
    <w:rsid w:val="005A1521"/>
    <w:rsid w:val="00634B41"/>
    <w:rsid w:val="0067699F"/>
    <w:rsid w:val="006B2D4E"/>
    <w:rsid w:val="006D659B"/>
    <w:rsid w:val="007A5A73"/>
    <w:rsid w:val="007A69A5"/>
    <w:rsid w:val="00816F98"/>
    <w:rsid w:val="00817B10"/>
    <w:rsid w:val="0082605B"/>
    <w:rsid w:val="00835F51"/>
    <w:rsid w:val="008565BA"/>
    <w:rsid w:val="00864B67"/>
    <w:rsid w:val="008C189F"/>
    <w:rsid w:val="00927112"/>
    <w:rsid w:val="009A524A"/>
    <w:rsid w:val="00A076B5"/>
    <w:rsid w:val="00A34AE8"/>
    <w:rsid w:val="00A43BA3"/>
    <w:rsid w:val="00A6420C"/>
    <w:rsid w:val="00AA4506"/>
    <w:rsid w:val="00AC25B7"/>
    <w:rsid w:val="00BA1FF1"/>
    <w:rsid w:val="00BB38B3"/>
    <w:rsid w:val="00BC1339"/>
    <w:rsid w:val="00C24EA4"/>
    <w:rsid w:val="00C9764F"/>
    <w:rsid w:val="00CA48BE"/>
    <w:rsid w:val="00D30ABF"/>
    <w:rsid w:val="00D66BE8"/>
    <w:rsid w:val="00D75508"/>
    <w:rsid w:val="00DF32C0"/>
    <w:rsid w:val="00E60707"/>
    <w:rsid w:val="00E76198"/>
    <w:rsid w:val="00E911A6"/>
    <w:rsid w:val="00F84BB2"/>
    <w:rsid w:val="00F8745C"/>
    <w:rsid w:val="00F97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EA4"/>
    <w:rPr>
      <w:color w:val="808080"/>
    </w:rPr>
  </w:style>
  <w:style w:type="paragraph" w:customStyle="1" w:styleId="FBDD99FE0561433789195F5D645CA0F01">
    <w:name w:val="FBDD99FE0561433789195F5D645CA0F01"/>
    <w:rsid w:val="0036247C"/>
    <w:pPr>
      <w:numPr>
        <w:numId w:val="2"/>
      </w:numPr>
      <w:spacing w:before="120" w:after="120" w:line="276" w:lineRule="auto"/>
      <w:ind w:left="425" w:hanging="425"/>
    </w:pPr>
    <w:rPr>
      <w:rFonts w:ascii="Cambria" w:eastAsiaTheme="minorHAnsi" w:hAnsi="Cambria"/>
      <w:lang w:eastAsia="en-US"/>
    </w:rPr>
  </w:style>
  <w:style w:type="paragraph" w:customStyle="1" w:styleId="512EE983CED14C46848387C7EB105B7D2">
    <w:name w:val="512EE983CED14C46848387C7EB105B7D2"/>
    <w:rsid w:val="0036247C"/>
    <w:pPr>
      <w:tabs>
        <w:tab w:val="num" w:pos="720"/>
      </w:tabs>
      <w:spacing w:before="120" w:after="120" w:line="276" w:lineRule="auto"/>
      <w:ind w:left="425" w:hanging="425"/>
    </w:pPr>
    <w:rPr>
      <w:rFonts w:ascii="Cambria" w:eastAsiaTheme="minorHAnsi" w:hAnsi="Cambria"/>
      <w:lang w:eastAsia="en-US"/>
    </w:rPr>
  </w:style>
  <w:style w:type="paragraph" w:customStyle="1" w:styleId="D93F4A59AF604739A5E78E54F3A0C6C82">
    <w:name w:val="D93F4A59AF604739A5E78E54F3A0C6C82"/>
    <w:rsid w:val="0036247C"/>
    <w:pPr>
      <w:spacing w:after="200" w:line="276" w:lineRule="auto"/>
    </w:pPr>
    <w:rPr>
      <w:rFonts w:ascii="Cambria" w:eastAsiaTheme="minorHAnsi" w:hAnsi="Cambria"/>
      <w:lang w:eastAsia="en-US"/>
    </w:rPr>
  </w:style>
  <w:style w:type="paragraph" w:customStyle="1" w:styleId="76A168ED837349059F88D777372262EE1">
    <w:name w:val="76A168ED837349059F88D777372262EE1"/>
    <w:rsid w:val="0036247C"/>
    <w:pPr>
      <w:spacing w:after="200" w:line="276" w:lineRule="auto"/>
    </w:pPr>
    <w:rPr>
      <w:rFonts w:ascii="Cambria" w:eastAsiaTheme="minorHAnsi" w:hAnsi="Cambri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D1CAD33-3B39-4665-A5E6-666D035120E9}">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A52B3D5-EC1B-48D4-B444-DB429A92FBC8}"/>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5.xml><?xml version="1.0" encoding="utf-8"?>
<ds:datastoreItem xmlns:ds="http://schemas.openxmlformats.org/officeDocument/2006/customXml" ds:itemID="{8D8EDC65-8207-46F2-9A38-A0089E5AAD53}">
  <ds:schemaRefs>
    <ds:schemaRef ds:uri="http://schemas.microsoft.com/office/2006/metadata/customXsn"/>
  </ds:schemaRefs>
</ds:datastoreItem>
</file>

<file path=customXml/itemProps6.xml><?xml version="1.0" encoding="utf-8"?>
<ds:datastoreItem xmlns:ds="http://schemas.openxmlformats.org/officeDocument/2006/customXml" ds:itemID="{0124926B-48E5-489A-9F71-8C413040A6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12140</Words>
  <Characters>69203</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Climacteris picumnus victoriae</vt:lpstr>
    </vt:vector>
  </TitlesOfParts>
  <Company/>
  <LinksUpToDate>false</LinksUpToDate>
  <CharactersWithSpaces>81181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Climacteris picumnus victoriae</dc:title>
  <dc:creator>Department of Agriculture, Water and the Environment</dc:creator>
  <cp:lastModifiedBy>Bec Durack</cp:lastModifiedBy>
  <cp:revision>2</cp:revision>
  <cp:lastPrinted>2022-01-26T22:54:00Z</cp:lastPrinted>
  <dcterms:created xsi:type="dcterms:W3CDTF">2022-01-27T03:49:00Z</dcterms:created>
  <dcterms:modified xsi:type="dcterms:W3CDTF">2022-01-27T03:49:00Z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{ca4f8019-7951-48d2-9986-f0764866c9cc}</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