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B008" w14:textId="77777777" w:rsidR="00F46DF5" w:rsidRPr="00FE6C07" w:rsidRDefault="00F46DF5" w:rsidP="00F46DF5">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58EE28E0" w14:textId="77777777" w:rsidR="00F46DF5" w:rsidRPr="00FE6C07" w:rsidRDefault="00F46DF5" w:rsidP="00C763CC">
      <w:pPr>
        <w:pStyle w:val="Heading2"/>
        <w:rPr>
          <w:rFonts w:ascii="Arial" w:eastAsia="Times New Roman" w:hAnsi="Arial" w:cs="Arial"/>
          <w:sz w:val="28"/>
        </w:rPr>
      </w:pPr>
    </w:p>
    <w:p w14:paraId="43A310E3" w14:textId="77777777" w:rsidR="00F46DF5" w:rsidRPr="00FE6C07" w:rsidRDefault="00F46DF5" w:rsidP="00F46DF5">
      <w:pPr>
        <w:widowControl w:val="0"/>
        <w:spacing w:after="0" w:line="240" w:lineRule="auto"/>
        <w:jc w:val="center"/>
        <w:rPr>
          <w:rFonts w:ascii="Arial" w:eastAsia="Times New Roman" w:hAnsi="Arial" w:cs="Arial"/>
          <w:b/>
          <w:bCs/>
          <w:snapToGrid w:val="0"/>
          <w:sz w:val="24"/>
          <w:szCs w:val="24"/>
          <w:lang w:val="en-US"/>
        </w:rPr>
      </w:pPr>
      <w:proofErr w:type="spellStart"/>
      <w:r w:rsidRPr="00EF455C">
        <w:rPr>
          <w:rFonts w:ascii="Arial" w:eastAsia="Times New Roman" w:hAnsi="Arial" w:cs="Arial"/>
          <w:b/>
          <w:bCs/>
          <w:i/>
          <w:iCs/>
          <w:snapToGrid w:val="0"/>
          <w:sz w:val="24"/>
          <w:szCs w:val="24"/>
        </w:rPr>
        <w:t>Corokia</w:t>
      </w:r>
      <w:proofErr w:type="spellEnd"/>
      <w:r w:rsidRPr="00EF455C">
        <w:rPr>
          <w:rFonts w:ascii="Arial" w:eastAsia="Times New Roman" w:hAnsi="Arial" w:cs="Arial"/>
          <w:b/>
          <w:bCs/>
          <w:i/>
          <w:iCs/>
          <w:snapToGrid w:val="0"/>
          <w:sz w:val="24"/>
          <w:szCs w:val="24"/>
        </w:rPr>
        <w:t xml:space="preserve"> </w:t>
      </w:r>
      <w:proofErr w:type="spellStart"/>
      <w:r w:rsidRPr="00EF455C">
        <w:rPr>
          <w:rFonts w:ascii="Arial" w:eastAsia="Times New Roman" w:hAnsi="Arial" w:cs="Arial"/>
          <w:b/>
          <w:bCs/>
          <w:i/>
          <w:iCs/>
          <w:snapToGrid w:val="0"/>
          <w:sz w:val="24"/>
          <w:szCs w:val="24"/>
        </w:rPr>
        <w:t>whiteana</w:t>
      </w:r>
      <w:proofErr w:type="spellEnd"/>
      <w:r w:rsidRPr="00EF455C">
        <w:rPr>
          <w:rFonts w:ascii="Arial" w:eastAsia="Times New Roman" w:hAnsi="Arial" w:cs="Arial"/>
          <w:b/>
          <w:bCs/>
          <w:i/>
          <w:iCs/>
          <w:snapToGrid w:val="0"/>
          <w:sz w:val="24"/>
          <w:szCs w:val="24"/>
        </w:rPr>
        <w:t xml:space="preserve"> </w:t>
      </w:r>
    </w:p>
    <w:p w14:paraId="61CBA370" w14:textId="77777777" w:rsidR="00F46DF5" w:rsidRPr="00FE6C07" w:rsidRDefault="00F46DF5" w:rsidP="00F46DF5">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5C49EAC2" w14:textId="77777777" w:rsidR="00F46DF5" w:rsidRPr="00BC75A0" w:rsidRDefault="00F46DF5" w:rsidP="00F46DF5">
      <w:pPr>
        <w:rPr>
          <w:rFonts w:ascii="Arial" w:hAnsi="Arial" w:cs="Arial"/>
        </w:rPr>
      </w:pPr>
      <w:r w:rsidRPr="00BC75A0">
        <w:rPr>
          <w:rFonts w:ascii="Arial" w:hAnsi="Arial" w:cs="Arial"/>
        </w:rPr>
        <w:t>1)</w:t>
      </w:r>
      <w:r w:rsidRPr="00BC75A0">
        <w:rPr>
          <w:rFonts w:ascii="Arial" w:hAnsi="Arial" w:cs="Arial"/>
        </w:rPr>
        <w:tab/>
        <w:t xml:space="preserve">the eligibility of </w:t>
      </w:r>
      <w:proofErr w:type="spellStart"/>
      <w:r w:rsidRPr="00EF455C">
        <w:rPr>
          <w:rFonts w:ascii="Arial" w:hAnsi="Arial" w:cs="Arial"/>
          <w:i/>
          <w:iCs/>
        </w:rPr>
        <w:t>Corokia</w:t>
      </w:r>
      <w:proofErr w:type="spellEnd"/>
      <w:r w:rsidRPr="00EF455C">
        <w:rPr>
          <w:rFonts w:ascii="Arial" w:hAnsi="Arial" w:cs="Arial"/>
          <w:i/>
          <w:iCs/>
        </w:rPr>
        <w:t xml:space="preserve"> </w:t>
      </w:r>
      <w:proofErr w:type="spellStart"/>
      <w:r w:rsidRPr="00EF455C">
        <w:rPr>
          <w:rFonts w:ascii="Arial" w:hAnsi="Arial" w:cs="Arial"/>
          <w:i/>
          <w:iCs/>
        </w:rPr>
        <w:t>whiteana</w:t>
      </w:r>
      <w:proofErr w:type="spellEnd"/>
      <w:r>
        <w:rPr>
          <w:rFonts w:ascii="Arial" w:hAnsi="Arial" w:cs="Arial"/>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Endangered category</w:t>
      </w:r>
      <w:r w:rsidRPr="00BC75A0">
        <w:rPr>
          <w:rFonts w:ascii="Arial" w:hAnsi="Arial" w:cs="Arial"/>
        </w:rPr>
        <w:t xml:space="preserve">; and </w:t>
      </w:r>
    </w:p>
    <w:p w14:paraId="1AC003F9" w14:textId="77777777" w:rsidR="00F46DF5" w:rsidRPr="00FE6C07" w:rsidRDefault="00F46DF5" w:rsidP="00F46DF5">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536525B9" w14:textId="77777777" w:rsidR="00F46DF5" w:rsidRDefault="00F46DF5" w:rsidP="00F46DF5">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6A6501DF" w14:textId="77777777" w:rsidR="00F46DF5" w:rsidRPr="00FE6C07" w:rsidRDefault="00F46DF5" w:rsidP="00F46DF5">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4005B5C8" w14:textId="77777777" w:rsidR="00F46DF5" w:rsidRPr="00FE6C07" w:rsidRDefault="00F46DF5" w:rsidP="00F46DF5">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361B9778" w14:textId="77777777" w:rsidR="00F46DF5" w:rsidRPr="00FE6C07" w:rsidRDefault="00F46DF5" w:rsidP="00F46DF5">
      <w:pPr>
        <w:spacing w:after="0" w:line="240" w:lineRule="auto"/>
        <w:rPr>
          <w:rFonts w:ascii="Arial" w:eastAsia="Times New Roman" w:hAnsi="Arial" w:cs="Arial"/>
        </w:rPr>
      </w:pPr>
    </w:p>
    <w:p w14:paraId="5B8E99F4" w14:textId="3B038D5E" w:rsidR="00F46DF5" w:rsidRDefault="00F46DF5" w:rsidP="00F46DF5">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sidR="00F67C02">
          <w:rPr>
            <w:rFonts w:ascii="Arial" w:eastAsia="Times New Roman" w:hAnsi="Arial" w:cs="Arial"/>
            <w:color w:val="0000FF"/>
            <w:u w:val="single"/>
          </w:rPr>
          <w:t>species.consultation@awe.gov.au</w:t>
        </w:r>
      </w:hyperlink>
    </w:p>
    <w:p w14:paraId="08B50ACC" w14:textId="77777777" w:rsidR="00F46DF5" w:rsidRDefault="00F46DF5" w:rsidP="00F46DF5">
      <w:pPr>
        <w:spacing w:after="0" w:line="240" w:lineRule="auto"/>
        <w:rPr>
          <w:rFonts w:ascii="Arial" w:eastAsia="Times New Roman" w:hAnsi="Arial" w:cs="Arial"/>
        </w:rPr>
      </w:pPr>
    </w:p>
    <w:p w14:paraId="246BEFD4" w14:textId="77777777" w:rsidR="00F46DF5" w:rsidRPr="00FE6C07" w:rsidRDefault="00F46DF5" w:rsidP="00F46DF5">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5BDC68F0" w14:textId="77777777" w:rsidR="00F46DF5" w:rsidRPr="00FE6C07" w:rsidRDefault="00F46DF5" w:rsidP="00F46DF5">
      <w:pPr>
        <w:spacing w:after="0" w:line="240" w:lineRule="auto"/>
        <w:rPr>
          <w:rFonts w:ascii="Arial" w:eastAsia="Times New Roman" w:hAnsi="Arial" w:cs="Arial"/>
        </w:rPr>
      </w:pPr>
    </w:p>
    <w:p w14:paraId="31B29F9F" w14:textId="77777777" w:rsidR="00F46DF5" w:rsidRPr="00FE6C07" w:rsidRDefault="00F46DF5" w:rsidP="00F46DF5">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2CA267D6" w14:textId="77777777" w:rsidR="00F46DF5" w:rsidRPr="00FE6C07" w:rsidRDefault="00F46DF5" w:rsidP="00F46DF5">
      <w:pPr>
        <w:spacing w:after="0" w:line="240" w:lineRule="auto"/>
        <w:rPr>
          <w:rFonts w:ascii="Arial" w:eastAsia="Times New Roman" w:hAnsi="Arial" w:cs="Arial"/>
          <w:color w:val="000000"/>
        </w:rPr>
      </w:pPr>
    </w:p>
    <w:p w14:paraId="6D7644BF" w14:textId="77777777" w:rsidR="00F46DF5" w:rsidRPr="00FE6C07" w:rsidRDefault="00F46DF5" w:rsidP="00F46DF5">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6D384294" w14:textId="77777777" w:rsidR="00F46DF5" w:rsidRPr="00E7625B" w:rsidRDefault="00F46DF5" w:rsidP="00F46DF5">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225F16E3" w14:textId="77777777" w:rsidR="00F46DF5" w:rsidRPr="00FE6C07" w:rsidRDefault="00F46DF5" w:rsidP="00F46DF5">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34FDC454" w14:textId="77777777" w:rsidR="00F46DF5" w:rsidRDefault="00F46DF5" w:rsidP="00F46DF5">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06619765" w14:textId="77777777" w:rsidR="00F46DF5" w:rsidRPr="00FE6C07" w:rsidRDefault="00F46DF5" w:rsidP="00F46DF5">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68F9BF1A" w14:textId="77777777" w:rsidR="00F46DF5" w:rsidRPr="00FE6C07" w:rsidRDefault="00F46DF5" w:rsidP="00F46DF5">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5025383D" w14:textId="77777777" w:rsidR="00F46DF5" w:rsidRPr="00FE6C07" w:rsidRDefault="00F46DF5" w:rsidP="00F46DF5">
      <w:pPr>
        <w:spacing w:after="0" w:line="240" w:lineRule="auto"/>
        <w:rPr>
          <w:rFonts w:ascii="Arial" w:eastAsia="Times New Roman" w:hAnsi="Arial" w:cs="Arial"/>
          <w:color w:val="000000"/>
        </w:rPr>
      </w:pPr>
    </w:p>
    <w:p w14:paraId="3EEB564D" w14:textId="77777777" w:rsidR="00F46DF5" w:rsidRPr="00FE6C07" w:rsidRDefault="00F46DF5" w:rsidP="00F46DF5">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5 January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F46DF5" w:rsidRPr="00771DB7" w14:paraId="5B272A69" w14:textId="77777777" w:rsidTr="00672446">
        <w:tc>
          <w:tcPr>
            <w:tcW w:w="9039" w:type="dxa"/>
            <w:tcBorders>
              <w:top w:val="single" w:sz="4" w:space="0" w:color="auto"/>
              <w:left w:val="single" w:sz="4" w:space="0" w:color="auto"/>
              <w:bottom w:val="single" w:sz="4" w:space="0" w:color="auto"/>
              <w:right w:val="single" w:sz="4" w:space="0" w:color="auto"/>
            </w:tcBorders>
            <w:shd w:val="pct15" w:color="auto" w:fill="auto"/>
          </w:tcPr>
          <w:p w14:paraId="655A8F27" w14:textId="77777777" w:rsidR="00F46DF5" w:rsidRPr="00771DB7" w:rsidRDefault="00F46DF5" w:rsidP="00672446">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5E32BA6F" w14:textId="77777777" w:rsidR="00F46DF5" w:rsidRPr="00771DB7" w:rsidRDefault="00F46DF5" w:rsidP="00672446">
            <w:pPr>
              <w:spacing w:after="0" w:line="240" w:lineRule="auto"/>
              <w:rPr>
                <w:rFonts w:ascii="Arial" w:eastAsia="Times New Roman" w:hAnsi="Arial" w:cs="Arial"/>
                <w:b/>
                <w:bCs/>
              </w:rPr>
            </w:pPr>
            <w:r w:rsidRPr="00771DB7">
              <w:rPr>
                <w:rFonts w:ascii="Arial" w:eastAsia="Times New Roman" w:hAnsi="Arial" w:cs="Arial"/>
                <w:b/>
                <w:bCs/>
              </w:rPr>
              <w:t>Page</w:t>
            </w:r>
          </w:p>
        </w:tc>
      </w:tr>
      <w:tr w:rsidR="00F46DF5" w:rsidRPr="00771DB7" w14:paraId="21016EDE" w14:textId="77777777" w:rsidTr="00672446">
        <w:tc>
          <w:tcPr>
            <w:tcW w:w="9039" w:type="dxa"/>
            <w:tcBorders>
              <w:top w:val="single" w:sz="4" w:space="0" w:color="auto"/>
              <w:left w:val="single" w:sz="4" w:space="0" w:color="auto"/>
              <w:bottom w:val="single" w:sz="4" w:space="0" w:color="auto"/>
              <w:right w:val="single" w:sz="4" w:space="0" w:color="auto"/>
            </w:tcBorders>
          </w:tcPr>
          <w:p w14:paraId="0892E22D" w14:textId="77777777" w:rsidR="00F46DF5" w:rsidRPr="00771DB7" w:rsidRDefault="00F46DF5" w:rsidP="00672446">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05FB9EA2" w14:textId="22545BE9" w:rsidR="00F46DF5" w:rsidRPr="00F46DF5" w:rsidRDefault="00F46DF5" w:rsidP="00672446">
            <w:pPr>
              <w:spacing w:after="0" w:line="240" w:lineRule="auto"/>
              <w:jc w:val="center"/>
              <w:rPr>
                <w:rFonts w:ascii="Arial" w:eastAsia="Times New Roman" w:hAnsi="Arial" w:cs="Arial"/>
              </w:rPr>
            </w:pPr>
            <w:r w:rsidRPr="00F46DF5">
              <w:rPr>
                <w:rFonts w:ascii="Arial" w:hAnsi="Arial" w:cs="Arial"/>
              </w:rPr>
              <w:t>2</w:t>
            </w:r>
          </w:p>
        </w:tc>
      </w:tr>
      <w:tr w:rsidR="00F46DF5" w:rsidRPr="00771DB7" w14:paraId="63868493" w14:textId="77777777" w:rsidTr="00672446">
        <w:tc>
          <w:tcPr>
            <w:tcW w:w="9039" w:type="dxa"/>
            <w:tcBorders>
              <w:top w:val="single" w:sz="4" w:space="0" w:color="auto"/>
              <w:left w:val="single" w:sz="4" w:space="0" w:color="auto"/>
              <w:bottom w:val="single" w:sz="4" w:space="0" w:color="auto"/>
              <w:right w:val="single" w:sz="4" w:space="0" w:color="auto"/>
            </w:tcBorders>
          </w:tcPr>
          <w:p w14:paraId="4F06EF19" w14:textId="77777777" w:rsidR="00F46DF5" w:rsidRPr="00771DB7" w:rsidRDefault="00F46DF5" w:rsidP="00672446">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580F719D" w14:textId="3224776B" w:rsidR="00F46DF5" w:rsidRPr="00F46DF5" w:rsidRDefault="00F46DF5" w:rsidP="00672446">
            <w:pPr>
              <w:spacing w:after="0" w:line="240" w:lineRule="auto"/>
              <w:jc w:val="center"/>
              <w:rPr>
                <w:rFonts w:ascii="Arial" w:eastAsia="Times New Roman" w:hAnsi="Arial" w:cs="Arial"/>
              </w:rPr>
            </w:pPr>
            <w:r w:rsidRPr="00F46DF5">
              <w:rPr>
                <w:rFonts w:ascii="Arial" w:hAnsi="Arial" w:cs="Arial"/>
              </w:rPr>
              <w:t>3</w:t>
            </w:r>
          </w:p>
        </w:tc>
      </w:tr>
      <w:tr w:rsidR="00F46DF5" w:rsidRPr="00771DB7" w14:paraId="44974E6A" w14:textId="77777777" w:rsidTr="00672446">
        <w:tc>
          <w:tcPr>
            <w:tcW w:w="9039" w:type="dxa"/>
            <w:tcBorders>
              <w:top w:val="single" w:sz="4" w:space="0" w:color="auto"/>
              <w:left w:val="single" w:sz="4" w:space="0" w:color="auto"/>
              <w:bottom w:val="single" w:sz="4" w:space="0" w:color="auto"/>
              <w:right w:val="single" w:sz="4" w:space="0" w:color="auto"/>
            </w:tcBorders>
          </w:tcPr>
          <w:p w14:paraId="3A98F4DD" w14:textId="77777777" w:rsidR="00F46DF5" w:rsidRPr="00771DB7" w:rsidRDefault="00F46DF5" w:rsidP="00672446">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18F6869F" w14:textId="5BE42284" w:rsidR="00F46DF5" w:rsidRPr="00F46DF5" w:rsidRDefault="00846BD0" w:rsidP="00672446">
            <w:pPr>
              <w:spacing w:after="0" w:line="240" w:lineRule="auto"/>
              <w:jc w:val="center"/>
              <w:rPr>
                <w:rFonts w:ascii="Arial" w:eastAsia="Times New Roman" w:hAnsi="Arial" w:cs="Arial"/>
              </w:rPr>
            </w:pPr>
            <w:r>
              <w:rPr>
                <w:rFonts w:ascii="Arial" w:hAnsi="Arial" w:cs="Arial"/>
              </w:rPr>
              <w:t>4</w:t>
            </w:r>
          </w:p>
        </w:tc>
      </w:tr>
      <w:tr w:rsidR="00F46DF5" w:rsidRPr="00771DB7" w14:paraId="602931FF" w14:textId="77777777" w:rsidTr="00672446">
        <w:tc>
          <w:tcPr>
            <w:tcW w:w="9039" w:type="dxa"/>
            <w:tcBorders>
              <w:top w:val="single" w:sz="4" w:space="0" w:color="auto"/>
              <w:left w:val="single" w:sz="4" w:space="0" w:color="auto"/>
              <w:bottom w:val="single" w:sz="4" w:space="0" w:color="auto"/>
              <w:right w:val="single" w:sz="4" w:space="0" w:color="auto"/>
            </w:tcBorders>
          </w:tcPr>
          <w:p w14:paraId="7BA80B60" w14:textId="77777777" w:rsidR="00F46DF5" w:rsidRPr="00771DB7" w:rsidRDefault="00F46DF5" w:rsidP="00672446">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78C95E07" w14:textId="29D8331F" w:rsidR="00F46DF5" w:rsidRPr="00F46DF5" w:rsidRDefault="00846BD0" w:rsidP="00672446">
            <w:pPr>
              <w:spacing w:after="0" w:line="240" w:lineRule="auto"/>
              <w:jc w:val="center"/>
              <w:rPr>
                <w:rFonts w:ascii="Arial" w:eastAsia="Times New Roman" w:hAnsi="Arial" w:cs="Arial"/>
              </w:rPr>
            </w:pPr>
            <w:r>
              <w:rPr>
                <w:rFonts w:ascii="Arial" w:hAnsi="Arial" w:cs="Arial"/>
              </w:rPr>
              <w:t>12</w:t>
            </w:r>
          </w:p>
        </w:tc>
      </w:tr>
      <w:tr w:rsidR="00F46DF5" w:rsidRPr="00771DB7" w14:paraId="7B58B931" w14:textId="77777777" w:rsidTr="00672446">
        <w:tc>
          <w:tcPr>
            <w:tcW w:w="9039" w:type="dxa"/>
            <w:tcBorders>
              <w:top w:val="single" w:sz="4" w:space="0" w:color="auto"/>
              <w:left w:val="single" w:sz="4" w:space="0" w:color="auto"/>
              <w:bottom w:val="single" w:sz="4" w:space="0" w:color="auto"/>
              <w:right w:val="single" w:sz="4" w:space="0" w:color="auto"/>
            </w:tcBorders>
          </w:tcPr>
          <w:p w14:paraId="276FDC6E" w14:textId="77777777" w:rsidR="00F46DF5" w:rsidRPr="00771DB7" w:rsidRDefault="00F46DF5" w:rsidP="00672446">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096824CE" w14:textId="3245B472" w:rsidR="00F46DF5" w:rsidRPr="00F46DF5" w:rsidRDefault="00846BD0" w:rsidP="00672446">
            <w:pPr>
              <w:spacing w:after="0" w:line="240" w:lineRule="auto"/>
              <w:jc w:val="center"/>
              <w:rPr>
                <w:rFonts w:ascii="Arial" w:eastAsia="Times New Roman" w:hAnsi="Arial" w:cs="Arial"/>
              </w:rPr>
            </w:pPr>
            <w:r>
              <w:rPr>
                <w:rFonts w:ascii="Arial" w:hAnsi="Arial" w:cs="Arial"/>
              </w:rPr>
              <w:t>22</w:t>
            </w:r>
          </w:p>
        </w:tc>
      </w:tr>
      <w:tr w:rsidR="00F46DF5" w:rsidRPr="00771DB7" w14:paraId="13EBAE01" w14:textId="77777777" w:rsidTr="00672446">
        <w:tc>
          <w:tcPr>
            <w:tcW w:w="9039" w:type="dxa"/>
            <w:tcBorders>
              <w:top w:val="single" w:sz="4" w:space="0" w:color="auto"/>
              <w:left w:val="single" w:sz="4" w:space="0" w:color="auto"/>
              <w:bottom w:val="single" w:sz="4" w:space="0" w:color="auto"/>
              <w:right w:val="single" w:sz="4" w:space="0" w:color="auto"/>
            </w:tcBorders>
          </w:tcPr>
          <w:p w14:paraId="15C57C26" w14:textId="77777777" w:rsidR="00F46DF5" w:rsidRPr="00771DB7" w:rsidRDefault="00F46DF5" w:rsidP="00672446">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54386E48" w14:textId="3524C2B7" w:rsidR="00F46DF5" w:rsidRPr="00F46DF5" w:rsidRDefault="00846BD0" w:rsidP="00672446">
            <w:pPr>
              <w:spacing w:after="0" w:line="240" w:lineRule="auto"/>
              <w:jc w:val="center"/>
              <w:rPr>
                <w:rFonts w:ascii="Arial" w:hAnsi="Arial" w:cs="Arial"/>
              </w:rPr>
            </w:pPr>
            <w:r>
              <w:rPr>
                <w:rFonts w:ascii="Arial" w:hAnsi="Arial" w:cs="Arial"/>
              </w:rPr>
              <w:t>24</w:t>
            </w:r>
          </w:p>
        </w:tc>
      </w:tr>
      <w:tr w:rsidR="00F46DF5" w:rsidRPr="00771DB7" w14:paraId="1BDB1BB9" w14:textId="77777777" w:rsidTr="00672446">
        <w:tc>
          <w:tcPr>
            <w:tcW w:w="9039" w:type="dxa"/>
            <w:tcBorders>
              <w:top w:val="single" w:sz="4" w:space="0" w:color="auto"/>
              <w:left w:val="single" w:sz="4" w:space="0" w:color="auto"/>
              <w:bottom w:val="single" w:sz="4" w:space="0" w:color="auto"/>
              <w:right w:val="single" w:sz="4" w:space="0" w:color="auto"/>
            </w:tcBorders>
          </w:tcPr>
          <w:p w14:paraId="537F1AC7" w14:textId="77777777" w:rsidR="00F46DF5" w:rsidRPr="00771DB7" w:rsidRDefault="00F46DF5" w:rsidP="00672446">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4E3329E5" w14:textId="7D4DD045" w:rsidR="00F46DF5" w:rsidRPr="00F46DF5" w:rsidRDefault="00846BD0" w:rsidP="00672446">
            <w:pPr>
              <w:spacing w:after="0" w:line="240" w:lineRule="auto"/>
              <w:jc w:val="center"/>
              <w:rPr>
                <w:rFonts w:ascii="Arial" w:eastAsia="Times New Roman" w:hAnsi="Arial" w:cs="Arial"/>
              </w:rPr>
            </w:pPr>
            <w:r>
              <w:rPr>
                <w:rFonts w:ascii="Arial" w:hAnsi="Arial" w:cs="Arial"/>
              </w:rPr>
              <w:t>28</w:t>
            </w:r>
          </w:p>
        </w:tc>
      </w:tr>
    </w:tbl>
    <w:p w14:paraId="3FC34067" w14:textId="77777777" w:rsidR="00F46DF5" w:rsidRDefault="00F46DF5" w:rsidP="00F46DF5">
      <w:pPr>
        <w:spacing w:line="240" w:lineRule="auto"/>
        <w:rPr>
          <w:rFonts w:ascii="Arial" w:eastAsia="Times New Roman" w:hAnsi="Arial" w:cs="Arial"/>
          <w:b/>
        </w:rPr>
      </w:pPr>
    </w:p>
    <w:p w14:paraId="408A9219" w14:textId="77777777" w:rsidR="00F46DF5" w:rsidRDefault="00F46DF5" w:rsidP="00F46DF5">
      <w:pPr>
        <w:spacing w:line="240" w:lineRule="auto"/>
        <w:rPr>
          <w:rFonts w:ascii="Arial" w:eastAsia="Times New Roman" w:hAnsi="Arial" w:cs="Arial"/>
          <w:b/>
        </w:rPr>
      </w:pPr>
    </w:p>
    <w:p w14:paraId="1F13AB64" w14:textId="77777777" w:rsidR="00F46DF5" w:rsidRPr="00FE6C07" w:rsidRDefault="00F46DF5" w:rsidP="00F46DF5">
      <w:pPr>
        <w:spacing w:line="240" w:lineRule="auto"/>
        <w:rPr>
          <w:rFonts w:ascii="Arial" w:eastAsia="Times New Roman" w:hAnsi="Arial" w:cs="Arial"/>
          <w:b/>
        </w:rPr>
      </w:pPr>
      <w:bookmarkStart w:id="0" w:name="Background"/>
      <w:r w:rsidRPr="00FE6C07">
        <w:rPr>
          <w:rFonts w:ascii="Arial" w:eastAsia="Times New Roman" w:hAnsi="Arial" w:cs="Arial"/>
          <w:b/>
        </w:rPr>
        <w:t>General background information about listing threatened species</w:t>
      </w:r>
    </w:p>
    <w:bookmarkEnd w:id="0"/>
    <w:p w14:paraId="50A2DACB" w14:textId="77777777" w:rsidR="00F46DF5" w:rsidRPr="00FE6C07" w:rsidRDefault="00F46DF5" w:rsidP="00F46DF5">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12B071D2" w14:textId="20F01720" w:rsidR="00F46DF5" w:rsidRPr="00FE6C07" w:rsidRDefault="007E5824" w:rsidP="00F46DF5">
      <w:pPr>
        <w:spacing w:line="240" w:lineRule="auto"/>
        <w:rPr>
          <w:rFonts w:ascii="Arial" w:eastAsia="Times New Roman" w:hAnsi="Arial" w:cs="Arial"/>
        </w:rPr>
      </w:pPr>
      <w:hyperlink r:id="rId14" w:history="1">
        <w:r w:rsidR="00396A3E">
          <w:rPr>
            <w:rFonts w:ascii="Arial" w:eastAsia="Times New Roman" w:hAnsi="Arial" w:cs="Arial"/>
            <w:color w:val="0000FF"/>
            <w:u w:val="single"/>
          </w:rPr>
          <w:t>https://www.awe.gov.au/environment/biodiversity/threatened/recovery-plans</w:t>
        </w:r>
      </w:hyperlink>
      <w:r w:rsidR="00F46DF5" w:rsidRPr="00FE6C07">
        <w:rPr>
          <w:rFonts w:ascii="Arial" w:eastAsia="Times New Roman" w:hAnsi="Arial" w:cs="Arial"/>
        </w:rPr>
        <w:t>.</w:t>
      </w:r>
    </w:p>
    <w:p w14:paraId="160B3120" w14:textId="77777777" w:rsidR="00F46DF5" w:rsidRPr="00FE6C07" w:rsidRDefault="00F46DF5" w:rsidP="00F46DF5">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46685611" w14:textId="01760E47" w:rsidR="00F46DF5" w:rsidRPr="00FE6C07" w:rsidRDefault="007E5824" w:rsidP="00F46DF5">
      <w:pPr>
        <w:spacing w:after="0" w:line="240" w:lineRule="auto"/>
        <w:rPr>
          <w:rFonts w:ascii="Times New Roman" w:eastAsia="Times New Roman" w:hAnsi="Times New Roman" w:cs="Times New Roman"/>
          <w:color w:val="1F497D"/>
          <w:szCs w:val="24"/>
        </w:rPr>
      </w:pPr>
      <w:hyperlink r:id="rId15" w:history="1">
        <w:r w:rsidR="00FA250D">
          <w:rPr>
            <w:rFonts w:ascii="Arial" w:eastAsia="Times New Roman" w:hAnsi="Arial" w:cs="Arial"/>
            <w:color w:val="0000FF"/>
            <w:szCs w:val="24"/>
            <w:u w:val="single"/>
          </w:rPr>
          <w:t>https://www.awe.gov.au/sites/default/files/env/pages/d72dfd1a-f0d8-4699-8d43-5d95bbb02428/files/tssc-guidelines-assessing-species-2021.pdf</w:t>
        </w:r>
      </w:hyperlink>
      <w:r w:rsidR="00F46DF5" w:rsidRPr="00FE6C07">
        <w:rPr>
          <w:rFonts w:ascii="Times New Roman" w:eastAsia="Times New Roman" w:hAnsi="Times New Roman" w:cs="Times New Roman"/>
          <w:color w:val="1F497D"/>
          <w:szCs w:val="24"/>
        </w:rPr>
        <w:t>.</w:t>
      </w:r>
    </w:p>
    <w:p w14:paraId="2BBAA1EB" w14:textId="77777777" w:rsidR="00F46DF5" w:rsidRPr="00FE6C07" w:rsidRDefault="00F46DF5" w:rsidP="00F46DF5">
      <w:pPr>
        <w:spacing w:line="240" w:lineRule="auto"/>
        <w:rPr>
          <w:rFonts w:ascii="Arial" w:eastAsia="Times New Roman" w:hAnsi="Arial" w:cs="Arial"/>
        </w:rPr>
      </w:pPr>
    </w:p>
    <w:p w14:paraId="31E282BF" w14:textId="6D358F64" w:rsidR="00F46DF5" w:rsidRPr="00FE6C07" w:rsidRDefault="00F46DF5" w:rsidP="00F46DF5">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sidR="005B0F33">
          <w:rPr>
            <w:rFonts w:ascii="Arial" w:eastAsia="Times New Roman" w:hAnsi="Arial" w:cs="Arial"/>
            <w:color w:val="0000FF"/>
            <w:u w:val="single"/>
          </w:rPr>
          <w:t>https://www.awe.gov.au/environment/biodiversity/threatened/nominations</w:t>
        </w:r>
      </w:hyperlink>
      <w:r w:rsidRPr="00FE6C07">
        <w:rPr>
          <w:rFonts w:ascii="Arial" w:eastAsia="Times New Roman" w:hAnsi="Arial" w:cs="Arial"/>
        </w:rPr>
        <w:t>.</w:t>
      </w:r>
    </w:p>
    <w:p w14:paraId="59BEB313" w14:textId="51131A0B" w:rsidR="00F46DF5" w:rsidRPr="00FE6C07" w:rsidRDefault="00F46DF5" w:rsidP="00F46DF5">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sidR="000D4BBD">
          <w:rPr>
            <w:rFonts w:ascii="Arial" w:eastAsia="Times New Roman" w:hAnsi="Arial" w:cs="Arial"/>
            <w:color w:val="0000FF"/>
            <w:u w:val="single"/>
          </w:rPr>
          <w:t>https://www.awe.gov.au/environment/biodiversity/threatened/recovery-plans</w:t>
        </w:r>
      </w:hyperlink>
      <w:r w:rsidRPr="00FE6C07">
        <w:rPr>
          <w:rFonts w:ascii="Arial" w:eastAsia="Times New Roman" w:hAnsi="Arial" w:cs="Arial"/>
        </w:rPr>
        <w:t>.</w:t>
      </w:r>
    </w:p>
    <w:p w14:paraId="03E8CA01" w14:textId="77777777" w:rsidR="00F46DF5" w:rsidRPr="00FE6C07" w:rsidRDefault="00F46DF5" w:rsidP="00F46DF5">
      <w:pPr>
        <w:spacing w:line="240" w:lineRule="auto"/>
        <w:rPr>
          <w:rFonts w:ascii="Arial" w:eastAsia="Times New Roman" w:hAnsi="Arial" w:cs="Arial"/>
          <w:b/>
        </w:rPr>
      </w:pPr>
      <w:r w:rsidRPr="00FE6C07">
        <w:rPr>
          <w:rFonts w:ascii="Arial" w:eastAsia="Times New Roman" w:hAnsi="Arial" w:cs="Arial"/>
          <w:b/>
        </w:rPr>
        <w:t>Privacy notice</w:t>
      </w:r>
    </w:p>
    <w:p w14:paraId="149A43A2" w14:textId="77777777" w:rsidR="00F46DF5" w:rsidRPr="00FE6C07" w:rsidRDefault="00F46DF5" w:rsidP="00F46DF5">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and the Department’s Privacy Policy.</w:t>
      </w:r>
    </w:p>
    <w:p w14:paraId="7D216B53" w14:textId="77777777" w:rsidR="00F46DF5" w:rsidRPr="00FE6C07" w:rsidRDefault="00F46DF5" w:rsidP="00F46DF5">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61F4851" w14:textId="636D0A8F" w:rsidR="00F46DF5" w:rsidRPr="00FE6C07" w:rsidRDefault="00F46DF5" w:rsidP="00F46DF5">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8"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7925F3F5" w14:textId="77777777" w:rsidR="00F46DF5" w:rsidRPr="00FE6C07" w:rsidRDefault="00F46DF5" w:rsidP="00F46DF5">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400D0879" w14:textId="77777777" w:rsidR="00F46DF5" w:rsidRPr="00FE6C07" w:rsidRDefault="00F46DF5" w:rsidP="00F46DF5">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4F0AD735" w14:textId="77777777" w:rsidR="00F46DF5" w:rsidRPr="00FE6C07" w:rsidRDefault="00F46DF5" w:rsidP="00F46DF5">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6DEEF081" w14:textId="77777777" w:rsidR="00F46DF5" w:rsidRPr="00FE6C07" w:rsidRDefault="00F46DF5" w:rsidP="00F46DF5">
      <w:pPr>
        <w:spacing w:line="240" w:lineRule="auto"/>
        <w:rPr>
          <w:rFonts w:ascii="Arial" w:eastAsia="Times New Roman" w:hAnsi="Arial" w:cs="Arial"/>
        </w:rPr>
      </w:pPr>
      <w:r w:rsidRPr="00FE6C07">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028D866B" w14:textId="0BE429E3" w:rsidR="00F46DF5" w:rsidRDefault="00F46DF5" w:rsidP="00F46DF5">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4B27A46F" w14:textId="4ADC0E4A" w:rsidR="00846BD0" w:rsidRDefault="00846BD0" w:rsidP="00F46DF5">
      <w:pPr>
        <w:spacing w:line="240" w:lineRule="auto"/>
        <w:rPr>
          <w:rFonts w:ascii="Arial" w:eastAsia="Times New Roman" w:hAnsi="Arial" w:cs="Arial"/>
        </w:rPr>
      </w:pPr>
    </w:p>
    <w:p w14:paraId="771D1029" w14:textId="3101E896" w:rsidR="00846BD0" w:rsidRDefault="00846BD0" w:rsidP="00F46DF5">
      <w:pPr>
        <w:spacing w:line="240" w:lineRule="auto"/>
        <w:rPr>
          <w:rFonts w:ascii="Arial" w:eastAsia="Times New Roman" w:hAnsi="Arial" w:cs="Arial"/>
        </w:rPr>
      </w:pPr>
    </w:p>
    <w:p w14:paraId="3144875A" w14:textId="2D095EC3" w:rsidR="00846BD0" w:rsidRDefault="00846BD0" w:rsidP="00F46DF5">
      <w:pPr>
        <w:spacing w:line="240" w:lineRule="auto"/>
        <w:rPr>
          <w:rFonts w:ascii="Arial" w:eastAsia="Times New Roman" w:hAnsi="Arial" w:cs="Arial"/>
        </w:rPr>
      </w:pPr>
    </w:p>
    <w:p w14:paraId="5B853B3A" w14:textId="213DF87D" w:rsidR="00846BD0" w:rsidRDefault="00846BD0" w:rsidP="00F46DF5">
      <w:pPr>
        <w:spacing w:line="240" w:lineRule="auto"/>
        <w:rPr>
          <w:rFonts w:ascii="Arial" w:eastAsia="Times New Roman" w:hAnsi="Arial" w:cs="Arial"/>
        </w:rPr>
      </w:pPr>
    </w:p>
    <w:p w14:paraId="617293C6" w14:textId="039BEDE6" w:rsidR="00846BD0" w:rsidRDefault="00846BD0" w:rsidP="00F46DF5">
      <w:pPr>
        <w:spacing w:line="240" w:lineRule="auto"/>
        <w:rPr>
          <w:rFonts w:ascii="Arial" w:eastAsia="Times New Roman" w:hAnsi="Arial" w:cs="Arial"/>
        </w:rPr>
      </w:pPr>
    </w:p>
    <w:p w14:paraId="1002314D" w14:textId="3F2A18E9" w:rsidR="00846BD0" w:rsidRDefault="00846BD0" w:rsidP="00F46DF5">
      <w:pPr>
        <w:spacing w:line="240" w:lineRule="auto"/>
        <w:rPr>
          <w:rFonts w:ascii="Arial" w:eastAsia="Times New Roman" w:hAnsi="Arial" w:cs="Arial"/>
        </w:rPr>
      </w:pPr>
    </w:p>
    <w:p w14:paraId="4D0A767D" w14:textId="25707D11" w:rsidR="00846BD0" w:rsidRDefault="00846BD0" w:rsidP="00F46DF5">
      <w:pPr>
        <w:spacing w:line="240" w:lineRule="auto"/>
        <w:rPr>
          <w:rFonts w:ascii="Arial" w:eastAsia="Times New Roman" w:hAnsi="Arial" w:cs="Arial"/>
        </w:rPr>
      </w:pPr>
    </w:p>
    <w:p w14:paraId="677ABEFA" w14:textId="6AFD79CC" w:rsidR="00846BD0" w:rsidRDefault="00846BD0" w:rsidP="00F46DF5">
      <w:pPr>
        <w:spacing w:line="240" w:lineRule="auto"/>
        <w:rPr>
          <w:rFonts w:ascii="Arial" w:eastAsia="Times New Roman" w:hAnsi="Arial" w:cs="Arial"/>
        </w:rPr>
      </w:pPr>
    </w:p>
    <w:p w14:paraId="1936866A" w14:textId="5BCF5B5C" w:rsidR="00846BD0" w:rsidRDefault="00846BD0" w:rsidP="00F46DF5">
      <w:pPr>
        <w:spacing w:line="240" w:lineRule="auto"/>
        <w:rPr>
          <w:rFonts w:ascii="Arial" w:eastAsia="Times New Roman" w:hAnsi="Arial" w:cs="Arial"/>
        </w:rPr>
      </w:pPr>
    </w:p>
    <w:p w14:paraId="3CF0C3DF" w14:textId="7B97079E" w:rsidR="00846BD0" w:rsidRDefault="00846BD0" w:rsidP="00F46DF5">
      <w:pPr>
        <w:spacing w:line="240" w:lineRule="auto"/>
        <w:rPr>
          <w:rFonts w:ascii="Arial" w:eastAsia="Times New Roman" w:hAnsi="Arial" w:cs="Arial"/>
        </w:rPr>
      </w:pPr>
    </w:p>
    <w:p w14:paraId="6C0C2EC8" w14:textId="2A6BAE8F" w:rsidR="00846BD0" w:rsidRDefault="00846BD0" w:rsidP="00F46DF5">
      <w:pPr>
        <w:spacing w:line="240" w:lineRule="auto"/>
        <w:rPr>
          <w:rFonts w:ascii="Arial" w:eastAsia="Times New Roman" w:hAnsi="Arial" w:cs="Arial"/>
        </w:rPr>
      </w:pPr>
    </w:p>
    <w:p w14:paraId="00148031" w14:textId="2D867BEB" w:rsidR="00846BD0" w:rsidRDefault="00846BD0" w:rsidP="00F46DF5">
      <w:pPr>
        <w:spacing w:line="240" w:lineRule="auto"/>
        <w:rPr>
          <w:rFonts w:ascii="Arial" w:eastAsia="Times New Roman" w:hAnsi="Arial" w:cs="Arial"/>
        </w:rPr>
      </w:pPr>
    </w:p>
    <w:p w14:paraId="1B4CAEFB" w14:textId="67E194AB" w:rsidR="00846BD0" w:rsidRDefault="00846BD0" w:rsidP="00F46DF5">
      <w:pPr>
        <w:spacing w:line="240" w:lineRule="auto"/>
        <w:rPr>
          <w:rFonts w:ascii="Arial" w:eastAsia="Times New Roman" w:hAnsi="Arial" w:cs="Arial"/>
        </w:rPr>
      </w:pPr>
    </w:p>
    <w:p w14:paraId="54115AE2" w14:textId="38D8661F" w:rsidR="00846BD0" w:rsidRDefault="00846BD0" w:rsidP="00F46DF5">
      <w:pPr>
        <w:spacing w:line="240" w:lineRule="auto"/>
        <w:rPr>
          <w:rFonts w:ascii="Arial" w:eastAsia="Times New Roman" w:hAnsi="Arial" w:cs="Arial"/>
        </w:rPr>
      </w:pPr>
    </w:p>
    <w:p w14:paraId="60D27AD1" w14:textId="05BE8FAD" w:rsidR="00846BD0" w:rsidRDefault="00846BD0" w:rsidP="00F46DF5">
      <w:pPr>
        <w:spacing w:line="240" w:lineRule="auto"/>
        <w:rPr>
          <w:rFonts w:ascii="Arial" w:eastAsia="Times New Roman" w:hAnsi="Arial" w:cs="Arial"/>
        </w:rPr>
      </w:pPr>
    </w:p>
    <w:p w14:paraId="7A9A9AF6" w14:textId="1837DBA3" w:rsidR="00846BD0" w:rsidRDefault="00846BD0" w:rsidP="00F46DF5">
      <w:pPr>
        <w:spacing w:line="240" w:lineRule="auto"/>
        <w:rPr>
          <w:rFonts w:ascii="Arial" w:eastAsia="Times New Roman" w:hAnsi="Arial" w:cs="Arial"/>
        </w:rPr>
      </w:pPr>
    </w:p>
    <w:p w14:paraId="69C2CA18" w14:textId="77777777" w:rsidR="00846BD0" w:rsidRDefault="00846BD0" w:rsidP="00F46DF5">
      <w:pPr>
        <w:spacing w:line="240" w:lineRule="auto"/>
        <w:rPr>
          <w:rFonts w:ascii="Arial" w:eastAsia="Times New Roman" w:hAnsi="Arial" w:cs="Arial"/>
        </w:rPr>
      </w:pPr>
    </w:p>
    <w:p w14:paraId="53EC0C2C" w14:textId="77777777" w:rsidR="00F46DF5" w:rsidRPr="009F43F9" w:rsidRDefault="00F46DF5" w:rsidP="00F46DF5">
      <w:pPr>
        <w:pStyle w:val="TSSC"/>
        <w:numPr>
          <w:ilvl w:val="0"/>
          <w:numId w:val="0"/>
        </w:numPr>
        <w:tabs>
          <w:tab w:val="clear" w:pos="567"/>
          <w:tab w:val="left" w:pos="720"/>
        </w:tabs>
        <w:rPr>
          <w:rFonts w:ascii="Arial" w:hAnsi="Arial" w:cs="Arial"/>
          <w:b/>
          <w:szCs w:val="24"/>
          <w:u w:val="single"/>
        </w:rPr>
      </w:pPr>
      <w:r w:rsidRPr="009F43F9">
        <w:rPr>
          <w:rFonts w:ascii="Arial" w:hAnsi="Arial" w:cs="Arial"/>
          <w:b/>
          <w:szCs w:val="24"/>
          <w:u w:val="single"/>
        </w:rPr>
        <w:lastRenderedPageBreak/>
        <w:t xml:space="preserve">CONSULTATION QUESTIONS </w:t>
      </w:r>
      <w:r>
        <w:rPr>
          <w:rFonts w:ascii="Arial" w:hAnsi="Arial" w:cs="Arial"/>
          <w:b/>
          <w:szCs w:val="24"/>
          <w:u w:val="single"/>
        </w:rPr>
        <w:t>for</w:t>
      </w:r>
      <w:r w:rsidRPr="009F43F9">
        <w:rPr>
          <w:rFonts w:ascii="Arial" w:hAnsi="Arial" w:cs="Arial"/>
          <w:b/>
          <w:szCs w:val="24"/>
          <w:u w:val="single"/>
        </w:rPr>
        <w:t xml:space="preserve"> </w:t>
      </w:r>
      <w:proofErr w:type="spellStart"/>
      <w:r w:rsidRPr="00846BD0">
        <w:rPr>
          <w:rFonts w:ascii="Arial" w:hAnsi="Arial" w:cs="Arial"/>
          <w:b/>
          <w:i/>
          <w:iCs/>
          <w:szCs w:val="24"/>
          <w:u w:val="single"/>
        </w:rPr>
        <w:t>Corokia</w:t>
      </w:r>
      <w:proofErr w:type="spellEnd"/>
      <w:r w:rsidRPr="00846BD0">
        <w:rPr>
          <w:rFonts w:ascii="Arial" w:hAnsi="Arial" w:cs="Arial"/>
          <w:b/>
          <w:i/>
          <w:iCs/>
          <w:szCs w:val="24"/>
          <w:u w:val="single"/>
        </w:rPr>
        <w:t xml:space="preserve"> </w:t>
      </w:r>
      <w:proofErr w:type="spellStart"/>
      <w:r w:rsidRPr="00846BD0">
        <w:rPr>
          <w:rFonts w:ascii="Arial" w:hAnsi="Arial" w:cs="Arial"/>
          <w:b/>
          <w:i/>
          <w:iCs/>
          <w:szCs w:val="24"/>
          <w:u w:val="single"/>
        </w:rPr>
        <w:t>whiteana</w:t>
      </w:r>
      <w:proofErr w:type="spellEnd"/>
      <w:r>
        <w:rPr>
          <w:rFonts w:ascii="Arial" w:hAnsi="Arial" w:cs="Arial"/>
          <w:b/>
          <w:i/>
          <w:iCs/>
          <w:szCs w:val="24"/>
          <w:u w:val="single"/>
        </w:rPr>
        <w:t xml:space="preserve"> </w:t>
      </w:r>
      <w:r>
        <w:rPr>
          <w:rFonts w:ascii="Arial" w:hAnsi="Arial" w:cs="Arial"/>
          <w:b/>
          <w:szCs w:val="24"/>
          <w:u w:val="single"/>
        </w:rPr>
        <w:t>(</w:t>
      </w:r>
      <w:proofErr w:type="spellStart"/>
      <w:r>
        <w:rPr>
          <w:rFonts w:ascii="Arial" w:hAnsi="Arial" w:cs="Arial"/>
          <w:b/>
          <w:szCs w:val="24"/>
          <w:u w:val="single"/>
        </w:rPr>
        <w:t>Corokia</w:t>
      </w:r>
      <w:proofErr w:type="spellEnd"/>
      <w:r>
        <w:rPr>
          <w:rFonts w:ascii="Arial" w:hAnsi="Arial" w:cs="Arial"/>
          <w:b/>
          <w:szCs w:val="24"/>
          <w:u w:val="single"/>
        </w:rPr>
        <w:t>)</w:t>
      </w:r>
    </w:p>
    <w:p w14:paraId="219BD28C" w14:textId="77777777" w:rsidR="00F46DF5" w:rsidRPr="009F43F9" w:rsidRDefault="00F46DF5" w:rsidP="00F46DF5">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71E9012D"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 robust? Have all the underlying assumptions been made explicit? Please provide justification for your response.</w:t>
      </w:r>
    </w:p>
    <w:p w14:paraId="12DEFDA8" w14:textId="77777777" w:rsidR="00F46DF5" w:rsidRDefault="00F46DF5" w:rsidP="00F46DF5">
      <w:pPr>
        <w:pStyle w:val="ListParagraph"/>
        <w:autoSpaceDE w:val="0"/>
        <w:autoSpaceDN w:val="0"/>
        <w:adjustRightInd w:val="0"/>
        <w:ind w:left="360"/>
        <w:rPr>
          <w:rFonts w:ascii="Arial" w:hAnsi="Arial" w:cs="Arial"/>
        </w:rPr>
      </w:pPr>
    </w:p>
    <w:p w14:paraId="0FB5D580"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4DCC3D35" w14:textId="77777777" w:rsidR="00F46DF5" w:rsidRDefault="00F46DF5" w:rsidP="00F46DF5">
      <w:pPr>
        <w:pStyle w:val="ListParagraph"/>
        <w:autoSpaceDE w:val="0"/>
        <w:autoSpaceDN w:val="0"/>
        <w:adjustRightInd w:val="0"/>
        <w:ind w:left="360"/>
        <w:rPr>
          <w:rFonts w:ascii="Arial" w:hAnsi="Arial" w:cs="Arial"/>
        </w:rPr>
      </w:pPr>
    </w:p>
    <w:p w14:paraId="67FFDB94" w14:textId="553ADDD1" w:rsidR="00F46DF5" w:rsidRP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 If so, in what capacity?</w:t>
      </w:r>
    </w:p>
    <w:p w14:paraId="5D97BADE" w14:textId="77777777" w:rsidR="00F46DF5" w:rsidRDefault="00F46DF5" w:rsidP="00F46DF5">
      <w:pPr>
        <w:shd w:val="clear" w:color="auto" w:fill="D9D9D9" w:themeFill="background1" w:themeFillShade="D9"/>
        <w:autoSpaceDE w:val="0"/>
        <w:autoSpaceDN w:val="0"/>
        <w:adjustRightInd w:val="0"/>
        <w:jc w:val="center"/>
        <w:rPr>
          <w:rFonts w:ascii="Arial" w:hAnsi="Arial" w:cs="Arial"/>
          <w:b/>
        </w:rPr>
      </w:pPr>
    </w:p>
    <w:p w14:paraId="20E8CB64" w14:textId="77777777" w:rsidR="00F46DF5" w:rsidRDefault="00F46DF5" w:rsidP="00F46DF5">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39D4E6C4" w14:textId="77777777" w:rsidR="00F46DF5" w:rsidRDefault="00F46DF5" w:rsidP="00F46DF5">
      <w:pPr>
        <w:autoSpaceDE w:val="0"/>
        <w:autoSpaceDN w:val="0"/>
        <w:adjustRightInd w:val="0"/>
        <w:rPr>
          <w:rFonts w:ascii="Arial" w:hAnsi="Arial" w:cs="Arial"/>
        </w:rPr>
      </w:pPr>
    </w:p>
    <w:p w14:paraId="6EFCB537" w14:textId="213E67C5" w:rsidR="00F46DF5" w:rsidRDefault="00F46DF5" w:rsidP="00F46DF5">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58FC4BFA" w14:textId="65F7776A" w:rsidR="00F46DF5" w:rsidRDefault="00F46DF5" w:rsidP="00F46DF5">
      <w:pPr>
        <w:autoSpaceDE w:val="0"/>
        <w:autoSpaceDN w:val="0"/>
        <w:adjustRightInd w:val="0"/>
        <w:rPr>
          <w:rFonts w:ascii="Arial" w:hAnsi="Arial" w:cs="Arial"/>
          <w:b/>
          <w:bCs/>
        </w:rPr>
      </w:pPr>
      <w:r>
        <w:rPr>
          <w:rFonts w:ascii="Arial" w:hAnsi="Arial" w:cs="Arial"/>
          <w:b/>
          <w:bCs/>
        </w:rPr>
        <w:t>Biological information</w:t>
      </w:r>
    </w:p>
    <w:p w14:paraId="61FB99FF"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0C4FC639" w14:textId="77777777" w:rsidR="00F46DF5" w:rsidRDefault="00F46DF5" w:rsidP="00F46DF5">
      <w:pPr>
        <w:pStyle w:val="ListParagraph"/>
        <w:autoSpaceDE w:val="0"/>
        <w:autoSpaceDN w:val="0"/>
        <w:adjustRightInd w:val="0"/>
        <w:ind w:left="360"/>
        <w:rPr>
          <w:rFonts w:ascii="Arial" w:hAnsi="Arial" w:cs="Arial"/>
        </w:rPr>
      </w:pPr>
    </w:p>
    <w:p w14:paraId="6B743279"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Do you have any additional information on the ecology or biology of the species not in the current advice? </w:t>
      </w:r>
    </w:p>
    <w:p w14:paraId="63C14DE1" w14:textId="77777777" w:rsidR="00F46DF5" w:rsidRPr="00DC0360" w:rsidRDefault="00F46DF5" w:rsidP="00F46DF5">
      <w:pPr>
        <w:pStyle w:val="ListParagraph"/>
        <w:ind w:left="369"/>
        <w:rPr>
          <w:rFonts w:ascii="Arial" w:hAnsi="Arial" w:cs="Arial"/>
        </w:rPr>
      </w:pPr>
    </w:p>
    <w:p w14:paraId="09D5AFBF" w14:textId="77777777" w:rsidR="00F46DF5" w:rsidRPr="00DC0360" w:rsidRDefault="00F46DF5" w:rsidP="00F46DF5">
      <w:pPr>
        <w:autoSpaceDE w:val="0"/>
        <w:autoSpaceDN w:val="0"/>
        <w:adjustRightInd w:val="0"/>
        <w:contextualSpacing/>
        <w:rPr>
          <w:rFonts w:ascii="Arial" w:hAnsi="Arial" w:cs="Arial"/>
          <w:b/>
          <w:bCs/>
        </w:rPr>
      </w:pPr>
      <w:r w:rsidRPr="00DC0360">
        <w:rPr>
          <w:rFonts w:ascii="Arial" w:hAnsi="Arial" w:cs="Arial"/>
          <w:b/>
          <w:bCs/>
        </w:rPr>
        <w:t>Ecological information</w:t>
      </w:r>
    </w:p>
    <w:p w14:paraId="65C3E14A" w14:textId="77777777" w:rsidR="00F46DF5" w:rsidRPr="00422F1A"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provide any additional or alternate references, information or estimates on pollination ecology, pollinator biology, or </w:t>
      </w:r>
      <w:proofErr w:type="gramStart"/>
      <w:r>
        <w:rPr>
          <w:rFonts w:ascii="Arial" w:hAnsi="Arial" w:cs="Arial"/>
        </w:rPr>
        <w:t>dispersal.</w:t>
      </w:r>
      <w:proofErr w:type="gramEnd"/>
      <w:r>
        <w:rPr>
          <w:rFonts w:ascii="Arial" w:hAnsi="Arial" w:cs="Arial"/>
        </w:rPr>
        <w:t xml:space="preserve"> </w:t>
      </w:r>
    </w:p>
    <w:p w14:paraId="26A6C8D9" w14:textId="77777777" w:rsidR="00F46DF5" w:rsidRDefault="00F46DF5" w:rsidP="00F46DF5">
      <w:pPr>
        <w:autoSpaceDE w:val="0"/>
        <w:autoSpaceDN w:val="0"/>
        <w:adjustRightInd w:val="0"/>
        <w:rPr>
          <w:rFonts w:ascii="Arial" w:hAnsi="Arial" w:cs="Arial"/>
        </w:rPr>
      </w:pPr>
    </w:p>
    <w:p w14:paraId="668D448C" w14:textId="427ACBAE" w:rsidR="00F46DF5" w:rsidRPr="00F46DF5" w:rsidRDefault="00F46DF5" w:rsidP="00F46DF5">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095E1D50" w14:textId="00C7FFCA" w:rsidR="00F46DF5" w:rsidRDefault="00F46DF5" w:rsidP="00F46DF5">
      <w:pPr>
        <w:autoSpaceDE w:val="0"/>
        <w:autoSpaceDN w:val="0"/>
        <w:adjustRightInd w:val="0"/>
        <w:rPr>
          <w:rFonts w:ascii="Arial,Bold" w:hAnsi="Arial,Bold" w:cs="Arial,Bold"/>
          <w:b/>
          <w:bCs/>
        </w:rPr>
      </w:pPr>
      <w:r>
        <w:rPr>
          <w:rFonts w:ascii="Arial,Bold" w:hAnsi="Arial,Bold" w:cs="Arial,Bold"/>
          <w:b/>
          <w:bCs/>
        </w:rPr>
        <w:t>Population size (N.B. there is no total population size estimate for this species in the Conservation advice)</w:t>
      </w:r>
    </w:p>
    <w:p w14:paraId="7A974167" w14:textId="355D4255"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To your knowledge have there been estimates of adult population </w:t>
      </w:r>
      <w:proofErr w:type="gramStart"/>
      <w:r>
        <w:rPr>
          <w:rFonts w:ascii="Arial" w:hAnsi="Arial" w:cs="Arial"/>
        </w:rPr>
        <w:t>size?</w:t>
      </w:r>
      <w:proofErr w:type="gramEnd"/>
      <w:r>
        <w:rPr>
          <w:rFonts w:ascii="Arial" w:hAnsi="Arial" w:cs="Arial"/>
        </w:rPr>
        <w:t xml:space="preserve"> </w:t>
      </w:r>
    </w:p>
    <w:p w14:paraId="55C69656" w14:textId="77777777" w:rsidR="002F7749" w:rsidRDefault="002F7749" w:rsidP="002F7749">
      <w:pPr>
        <w:pStyle w:val="ListParagraph"/>
        <w:autoSpaceDE w:val="0"/>
        <w:autoSpaceDN w:val="0"/>
        <w:adjustRightInd w:val="0"/>
        <w:spacing w:after="0" w:line="240" w:lineRule="auto"/>
        <w:ind w:left="360"/>
        <w:rPr>
          <w:rFonts w:ascii="Arial" w:hAnsi="Arial" w:cs="Arial"/>
        </w:rPr>
      </w:pPr>
    </w:p>
    <w:p w14:paraId="17B5073A"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recent data on the species or an estimate of the current population size of mature adults of the species (national extent)? Please provide supporting justification or other information.</w:t>
      </w:r>
    </w:p>
    <w:p w14:paraId="16E30AD3" w14:textId="77777777" w:rsidR="00F46DF5" w:rsidRDefault="00F46DF5" w:rsidP="00F46DF5">
      <w:pPr>
        <w:pStyle w:val="ListParagraph"/>
        <w:autoSpaceDE w:val="0"/>
        <w:autoSpaceDN w:val="0"/>
        <w:adjustRightInd w:val="0"/>
        <w:ind w:left="360"/>
        <w:rPr>
          <w:rFonts w:ascii="Arial" w:hAnsi="Arial" w:cs="Arial"/>
        </w:rPr>
      </w:pPr>
    </w:p>
    <w:p w14:paraId="1F22F075"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1A6F8E00" w14:textId="77777777" w:rsidR="00F46DF5" w:rsidRDefault="00F46DF5" w:rsidP="00F46DF5">
      <w:pPr>
        <w:autoSpaceDE w:val="0"/>
        <w:autoSpaceDN w:val="0"/>
        <w:adjustRightInd w:val="0"/>
        <w:rPr>
          <w:rFonts w:ascii="Arial" w:hAnsi="Arial" w:cs="Arial"/>
          <w:b/>
        </w:rPr>
      </w:pPr>
    </w:p>
    <w:p w14:paraId="44A75324"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rPr>
        <w:lastRenderedPageBreak/>
        <w:t>Number of mature individuals is estimated to be in the range of:</w:t>
      </w:r>
    </w:p>
    <w:p w14:paraId="622D6E4F"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&lt;500 </w:t>
      </w:r>
      <w:r>
        <w:rPr>
          <w:rFonts w:ascii="Arial" w:hAnsi="Arial" w:cs="Arial"/>
          <w:sz w:val="44"/>
          <w:szCs w:val="44"/>
        </w:rPr>
        <w:t>□</w:t>
      </w:r>
      <w:r>
        <w:rPr>
          <w:rFonts w:ascii="Arial" w:hAnsi="Arial" w:cs="Arial"/>
        </w:rPr>
        <w:t xml:space="preserve"> 500-1000 </w:t>
      </w:r>
      <w:r>
        <w:rPr>
          <w:rFonts w:ascii="Arial" w:hAnsi="Arial" w:cs="Arial"/>
          <w:sz w:val="44"/>
          <w:szCs w:val="44"/>
        </w:rPr>
        <w:t>□</w:t>
      </w:r>
      <w:r>
        <w:rPr>
          <w:rFonts w:ascii="Arial" w:hAnsi="Arial" w:cs="Arial"/>
        </w:rPr>
        <w:t xml:space="preserve"> 1000–10 000 </w:t>
      </w:r>
      <w:r>
        <w:rPr>
          <w:rFonts w:ascii="Arial" w:hAnsi="Arial" w:cs="Arial"/>
          <w:sz w:val="44"/>
          <w:szCs w:val="44"/>
        </w:rPr>
        <w:t>□</w:t>
      </w:r>
      <w:r>
        <w:rPr>
          <w:rFonts w:ascii="Arial" w:hAnsi="Arial" w:cs="Arial"/>
        </w:rPr>
        <w:t xml:space="preserve"> 10 000 – 20 000 </w:t>
      </w:r>
      <w:r>
        <w:rPr>
          <w:rFonts w:ascii="Arial" w:hAnsi="Arial" w:cs="Arial"/>
          <w:sz w:val="44"/>
          <w:szCs w:val="44"/>
        </w:rPr>
        <w:t>□</w:t>
      </w:r>
      <w:r>
        <w:rPr>
          <w:rFonts w:ascii="Arial" w:hAnsi="Arial" w:cs="Arial"/>
        </w:rPr>
        <w:t xml:space="preserve"> &gt;20 000 </w:t>
      </w:r>
    </w:p>
    <w:p w14:paraId="4FDB6524"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2EC3E7E7"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2CA449E2"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5B32916"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353BFD7F"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5978B612"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06EDAE94" w14:textId="77777777" w:rsidR="00F46DF5" w:rsidRDefault="00F46DF5" w:rsidP="00F46DF5">
      <w:pPr>
        <w:autoSpaceDE w:val="0"/>
        <w:autoSpaceDN w:val="0"/>
        <w:adjustRightInd w:val="0"/>
        <w:rPr>
          <w:rFonts w:ascii="Arial" w:hAnsi="Arial" w:cs="Arial"/>
        </w:rPr>
      </w:pPr>
    </w:p>
    <w:p w14:paraId="5FFF19E9" w14:textId="6A79E85D" w:rsidR="00F46DF5" w:rsidRDefault="00F46DF5" w:rsidP="00F46DF5">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5891E2D9" w14:textId="3E824AD1"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Does the current and predicted rate of decline (3%) estimated from the 2019-2020 bushfires used in the assessment seem accurate?</w:t>
      </w:r>
    </w:p>
    <w:p w14:paraId="277D0B25" w14:textId="77777777" w:rsidR="002F7749" w:rsidRDefault="002F7749" w:rsidP="002F7749">
      <w:pPr>
        <w:pStyle w:val="ListParagraph"/>
        <w:autoSpaceDE w:val="0"/>
        <w:autoSpaceDN w:val="0"/>
        <w:adjustRightInd w:val="0"/>
        <w:spacing w:after="0" w:line="240" w:lineRule="auto"/>
        <w:ind w:left="360"/>
        <w:rPr>
          <w:rFonts w:ascii="Arial" w:hAnsi="Arial" w:cs="Arial"/>
        </w:rPr>
      </w:pPr>
    </w:p>
    <w:p w14:paraId="6FB88B8D" w14:textId="03214E68"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consider that the way this estimate has been derived is appropriate? If not, please provide justification of your response.</w:t>
      </w:r>
    </w:p>
    <w:p w14:paraId="2FC99598" w14:textId="77777777" w:rsidR="002F7749" w:rsidRDefault="002F7749" w:rsidP="002F7749">
      <w:pPr>
        <w:pStyle w:val="ListParagraph"/>
        <w:autoSpaceDE w:val="0"/>
        <w:autoSpaceDN w:val="0"/>
        <w:adjustRightInd w:val="0"/>
        <w:spacing w:after="0" w:line="240" w:lineRule="auto"/>
        <w:ind w:left="360"/>
        <w:rPr>
          <w:rFonts w:ascii="Arial" w:hAnsi="Arial" w:cs="Arial"/>
        </w:rPr>
      </w:pPr>
    </w:p>
    <w:p w14:paraId="15CE8F92"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Is there knowledge of a historical decline due to land use changes in the northern NSW area?</w:t>
      </w:r>
    </w:p>
    <w:p w14:paraId="30668485" w14:textId="637CA955"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Is the estimate of total population size (&lt;1000 individuals) used in the assessment reasonable?</w:t>
      </w:r>
    </w:p>
    <w:p w14:paraId="40790CCD" w14:textId="77777777" w:rsidR="002F7749" w:rsidRDefault="002F7749" w:rsidP="002F7749">
      <w:pPr>
        <w:pStyle w:val="ListParagraph"/>
        <w:autoSpaceDE w:val="0"/>
        <w:autoSpaceDN w:val="0"/>
        <w:adjustRightInd w:val="0"/>
        <w:spacing w:after="0" w:line="240" w:lineRule="auto"/>
        <w:ind w:left="360"/>
        <w:rPr>
          <w:rFonts w:ascii="Arial" w:hAnsi="Arial" w:cs="Arial"/>
        </w:rPr>
      </w:pPr>
    </w:p>
    <w:p w14:paraId="67F6A9CC" w14:textId="77777777" w:rsidR="00F46DF5" w:rsidRPr="006818CA"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Do you have unpublished sightings and abundance records of </w:t>
      </w:r>
      <w:proofErr w:type="spellStart"/>
      <w:r>
        <w:rPr>
          <w:rFonts w:ascii="Arial" w:hAnsi="Arial" w:cs="Arial"/>
        </w:rPr>
        <w:t>Corokia</w:t>
      </w:r>
      <w:proofErr w:type="spellEnd"/>
      <w:r>
        <w:rPr>
          <w:rFonts w:ascii="Arial" w:hAnsi="Arial" w:cs="Arial"/>
        </w:rPr>
        <w:t xml:space="preserve"> </w:t>
      </w:r>
      <w:proofErr w:type="spellStart"/>
      <w:r>
        <w:rPr>
          <w:rFonts w:ascii="Arial" w:hAnsi="Arial" w:cs="Arial"/>
        </w:rPr>
        <w:t>whiteana</w:t>
      </w:r>
      <w:proofErr w:type="spellEnd"/>
      <w:r>
        <w:rPr>
          <w:rFonts w:ascii="Arial" w:hAnsi="Arial" w:cs="Arial"/>
        </w:rPr>
        <w:t>?</w:t>
      </w:r>
    </w:p>
    <w:p w14:paraId="7CDCDBE2" w14:textId="77777777" w:rsidR="00F46DF5" w:rsidRDefault="00F46DF5" w:rsidP="00F46DF5">
      <w:pPr>
        <w:pStyle w:val="ListParagraph"/>
        <w:autoSpaceDE w:val="0"/>
        <w:autoSpaceDN w:val="0"/>
        <w:adjustRightInd w:val="0"/>
        <w:ind w:left="360"/>
        <w:rPr>
          <w:rFonts w:ascii="Arial" w:hAnsi="Arial" w:cs="Arial"/>
        </w:rPr>
      </w:pPr>
    </w:p>
    <w:p w14:paraId="6DED66B3" w14:textId="05B4948F" w:rsidR="00F46DF5" w:rsidRDefault="00F46DF5" w:rsidP="00F46DF5">
      <w:pPr>
        <w:autoSpaceDE w:val="0"/>
        <w:autoSpaceDN w:val="0"/>
        <w:adjustRightInd w:val="0"/>
        <w:rPr>
          <w:rFonts w:ascii="Arial" w:hAnsi="Arial" w:cs="Arial"/>
        </w:rPr>
      </w:pPr>
      <w:r>
        <w:rPr>
          <w:rFonts w:ascii="Arial,Bold" w:hAnsi="Arial,Bold" w:cs="Arial,Bold"/>
          <w:b/>
          <w:bCs/>
        </w:rPr>
        <w:t>Evidence of total population size change</w:t>
      </w:r>
    </w:p>
    <w:p w14:paraId="7BB3E5F2" w14:textId="77777777" w:rsidR="00F46DF5" w:rsidRPr="00F46DF5" w:rsidRDefault="00F46DF5" w:rsidP="00F46DF5">
      <w:pPr>
        <w:autoSpaceDE w:val="0"/>
        <w:autoSpaceDN w:val="0"/>
        <w:adjustRightInd w:val="0"/>
        <w:rPr>
          <w:rFonts w:ascii="Arial" w:hAnsi="Arial" w:cs="Arial"/>
        </w:rPr>
      </w:pPr>
    </w:p>
    <w:p w14:paraId="4789E5F3" w14:textId="77777777" w:rsidR="00F46DF5" w:rsidRDefault="00F46DF5" w:rsidP="00F46DF5">
      <w:pPr>
        <w:pStyle w:val="ListParagraph"/>
        <w:numPr>
          <w:ilvl w:val="0"/>
          <w:numId w:val="13"/>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in 2010 </w:t>
      </w:r>
      <w:r>
        <w:rPr>
          <w:rFonts w:ascii="Arial,Italic" w:hAnsi="Arial,Italic" w:cs="Arial,Italic"/>
          <w:i/>
          <w:iCs/>
        </w:rPr>
        <w:t xml:space="preserve">(at or soon after the start of the most recent </w:t>
      </w:r>
      <w:proofErr w:type="gramStart"/>
      <w:r>
        <w:rPr>
          <w:rFonts w:ascii="Arial,Italic" w:hAnsi="Arial,Italic" w:cs="Arial,Italic"/>
          <w:i/>
          <w:iCs/>
        </w:rPr>
        <w:t>10 year</w:t>
      </w:r>
      <w:proofErr w:type="gramEnd"/>
      <w:r>
        <w:rPr>
          <w:rFonts w:ascii="Arial,Italic" w:hAnsi="Arial,Italic" w:cs="Arial,Italic"/>
          <w:i/>
          <w:iCs/>
        </w:rPr>
        <w:t xml:space="preserve"> period)</w:t>
      </w:r>
      <w:r>
        <w:rPr>
          <w:rFonts w:ascii="Arial" w:hAnsi="Arial" w:cs="Arial"/>
        </w:rPr>
        <w:t>? Please provide justification for your response.</w:t>
      </w:r>
    </w:p>
    <w:p w14:paraId="10477E1C" w14:textId="77777777" w:rsidR="00F46DF5" w:rsidRDefault="00F46DF5" w:rsidP="00F46DF5">
      <w:pPr>
        <w:pStyle w:val="ListParagraph"/>
        <w:autoSpaceDE w:val="0"/>
        <w:autoSpaceDN w:val="0"/>
        <w:adjustRightInd w:val="0"/>
        <w:ind w:left="360"/>
        <w:rPr>
          <w:rFonts w:ascii="Arial,Italic" w:hAnsi="Arial,Italic" w:cs="Arial,Italic"/>
          <w:i/>
          <w:iCs/>
        </w:rPr>
      </w:pPr>
    </w:p>
    <w:p w14:paraId="21BDC20E"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07CA4A50" w14:textId="77777777" w:rsidR="00F46DF5" w:rsidRDefault="00F46DF5" w:rsidP="00F46DF5">
      <w:pPr>
        <w:pStyle w:val="ListParagraph"/>
        <w:autoSpaceDE w:val="0"/>
        <w:autoSpaceDN w:val="0"/>
        <w:adjustRightInd w:val="0"/>
        <w:ind w:left="360"/>
        <w:rPr>
          <w:rFonts w:ascii="Arial" w:hAnsi="Arial" w:cs="Arial"/>
        </w:rPr>
      </w:pPr>
    </w:p>
    <w:p w14:paraId="76918D84"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48EEF278"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&lt;500 </w:t>
      </w:r>
      <w:r>
        <w:rPr>
          <w:rFonts w:ascii="Arial" w:hAnsi="Arial" w:cs="Arial"/>
          <w:sz w:val="44"/>
          <w:szCs w:val="44"/>
        </w:rPr>
        <w:t>□</w:t>
      </w:r>
      <w:r>
        <w:rPr>
          <w:rFonts w:ascii="Arial" w:hAnsi="Arial" w:cs="Arial"/>
        </w:rPr>
        <w:t xml:space="preserve"> 500-1000 </w:t>
      </w:r>
      <w:r>
        <w:rPr>
          <w:rFonts w:ascii="Arial" w:hAnsi="Arial" w:cs="Arial"/>
          <w:sz w:val="44"/>
          <w:szCs w:val="44"/>
        </w:rPr>
        <w:t>□</w:t>
      </w:r>
      <w:r>
        <w:rPr>
          <w:rFonts w:ascii="Arial" w:hAnsi="Arial" w:cs="Arial"/>
        </w:rPr>
        <w:t xml:space="preserve"> 1000–10 000 </w:t>
      </w:r>
      <w:r>
        <w:rPr>
          <w:rFonts w:ascii="Arial" w:hAnsi="Arial" w:cs="Arial"/>
          <w:sz w:val="44"/>
          <w:szCs w:val="44"/>
        </w:rPr>
        <w:t>□</w:t>
      </w:r>
      <w:r>
        <w:rPr>
          <w:rFonts w:ascii="Arial" w:hAnsi="Arial" w:cs="Arial"/>
        </w:rPr>
        <w:t xml:space="preserve"> 10 000 – 20 000 </w:t>
      </w:r>
      <w:r>
        <w:rPr>
          <w:rFonts w:ascii="Arial" w:hAnsi="Arial" w:cs="Arial"/>
          <w:sz w:val="44"/>
          <w:szCs w:val="44"/>
        </w:rPr>
        <w:t>□</w:t>
      </w:r>
      <w:r>
        <w:rPr>
          <w:rFonts w:ascii="Arial" w:hAnsi="Arial" w:cs="Arial"/>
        </w:rPr>
        <w:t xml:space="preserve"> &gt;20 000 </w:t>
      </w:r>
    </w:p>
    <w:p w14:paraId="11D8C6A1" w14:textId="77777777" w:rsidR="00F46DF5" w:rsidRDefault="00F46DF5" w:rsidP="00F46DF5">
      <w:pPr>
        <w:pStyle w:val="ListParagraph"/>
        <w:autoSpaceDE w:val="0"/>
        <w:autoSpaceDN w:val="0"/>
        <w:adjustRightInd w:val="0"/>
        <w:ind w:left="360"/>
        <w:rPr>
          <w:rFonts w:ascii="Arial" w:hAnsi="Arial" w:cs="Arial"/>
        </w:rPr>
      </w:pPr>
    </w:p>
    <w:p w14:paraId="4448CA95"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37908388"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0–30% - low level of certainty/ a bit of a guess/ not much information to go on</w:t>
      </w:r>
    </w:p>
    <w:p w14:paraId="3E12C43C"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0FF04BD"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0265C9CA"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15FAF911"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5831BADF" w14:textId="77777777" w:rsidR="00F46DF5" w:rsidRDefault="00F46DF5" w:rsidP="00F46DF5">
      <w:pPr>
        <w:autoSpaceDE w:val="0"/>
        <w:autoSpaceDN w:val="0"/>
        <w:adjustRightInd w:val="0"/>
        <w:rPr>
          <w:rFonts w:ascii="Arial,Italic" w:hAnsi="Arial,Italic" w:cs="Arial,Italic"/>
          <w:i/>
          <w:iCs/>
        </w:rPr>
      </w:pPr>
    </w:p>
    <w:p w14:paraId="06DAE89D"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 total population size over the last approximately 10 years</w:t>
      </w:r>
      <w:r w:rsidRPr="00830F92">
        <w:rPr>
          <w:rFonts w:ascii="Arial" w:hAnsi="Arial" w:cs="Arial"/>
        </w:rPr>
        <w:t>? P</w:t>
      </w:r>
      <w:r>
        <w:rPr>
          <w:rFonts w:ascii="Arial" w:hAnsi="Arial" w:cs="Arial"/>
        </w:rPr>
        <w:t>lease provide justification for your response.</w:t>
      </w:r>
    </w:p>
    <w:p w14:paraId="171A7C38" w14:textId="77777777" w:rsidR="00F46DF5" w:rsidRPr="00C77247" w:rsidRDefault="00F46DF5" w:rsidP="00F46DF5">
      <w:pPr>
        <w:autoSpaceDE w:val="0"/>
        <w:autoSpaceDN w:val="0"/>
        <w:adjustRightInd w:val="0"/>
        <w:rPr>
          <w:rFonts w:ascii="Arial" w:hAnsi="Arial" w:cs="Arial"/>
        </w:rPr>
      </w:pPr>
    </w:p>
    <w:p w14:paraId="6E1C381F" w14:textId="77777777" w:rsidR="00F46DF5" w:rsidRDefault="00F46DF5" w:rsidP="00F46DF5">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BA1FDEA" w14:textId="77777777" w:rsidR="00F46DF5" w:rsidRDefault="00F46DF5" w:rsidP="00F46DF5">
      <w:pPr>
        <w:autoSpaceDE w:val="0"/>
        <w:autoSpaceDN w:val="0"/>
        <w:adjustRightInd w:val="0"/>
        <w:ind w:left="360"/>
        <w:rPr>
          <w:rFonts w:ascii="Arial" w:hAnsi="Arial" w:cs="Arial"/>
        </w:rPr>
      </w:pPr>
    </w:p>
    <w:p w14:paraId="2096CF34" w14:textId="77777777" w:rsidR="00F46DF5" w:rsidRDefault="00F46DF5" w:rsidP="00F46DF5">
      <w:pPr>
        <w:autoSpaceDE w:val="0"/>
        <w:autoSpaceDN w:val="0"/>
        <w:adjustRightInd w:val="0"/>
        <w:ind w:left="360"/>
        <w:rPr>
          <w:rFonts w:ascii="Arial" w:hAnsi="Arial" w:cs="Arial"/>
        </w:rPr>
      </w:pPr>
      <w:r>
        <w:rPr>
          <w:rFonts w:ascii="Arial" w:hAnsi="Arial" w:cs="Arial"/>
        </w:rPr>
        <w:t>Decline estimated to be in the range of:</w:t>
      </w:r>
    </w:p>
    <w:p w14:paraId="5497C585"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5D817208" w14:textId="3F89775D" w:rsidR="00F46DF5" w:rsidRDefault="00F46DF5" w:rsidP="00F46DF5">
      <w:pPr>
        <w:autoSpaceDE w:val="0"/>
        <w:autoSpaceDN w:val="0"/>
        <w:adjustRightInd w:val="0"/>
        <w:ind w:left="360"/>
        <w:rPr>
          <w:rFonts w:ascii="Arial" w:hAnsi="Arial" w:cs="Arial"/>
        </w:rPr>
      </w:pPr>
    </w:p>
    <w:p w14:paraId="4A007A44" w14:textId="77777777" w:rsidR="00F46DF5" w:rsidRDefault="00F46DF5" w:rsidP="00F46DF5">
      <w:pPr>
        <w:autoSpaceDE w:val="0"/>
        <w:autoSpaceDN w:val="0"/>
        <w:adjustRightInd w:val="0"/>
        <w:ind w:left="360"/>
        <w:rPr>
          <w:rFonts w:ascii="Arial" w:hAnsi="Arial" w:cs="Arial"/>
        </w:rPr>
      </w:pPr>
      <w:r>
        <w:rPr>
          <w:rFonts w:ascii="Arial" w:hAnsi="Arial" w:cs="Arial"/>
        </w:rPr>
        <w:t>Level of your confidence in this estimated decline:</w:t>
      </w:r>
    </w:p>
    <w:p w14:paraId="0F5F68FC"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A4B3CB3"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3647EDD"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1163A3FA"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3696706F"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44641828" w14:textId="77777777" w:rsidR="00F46DF5" w:rsidRDefault="00F46DF5" w:rsidP="00F46DF5">
      <w:pPr>
        <w:autoSpaceDE w:val="0"/>
        <w:autoSpaceDN w:val="0"/>
        <w:adjustRightInd w:val="0"/>
        <w:rPr>
          <w:rFonts w:ascii="Arial" w:hAnsi="Arial" w:cs="Arial"/>
        </w:rPr>
      </w:pPr>
    </w:p>
    <w:p w14:paraId="4EFF9B76"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3EFBCB0B" w14:textId="77777777" w:rsidR="00F46DF5" w:rsidRDefault="00F46DF5" w:rsidP="00F46DF5">
      <w:pPr>
        <w:autoSpaceDE w:val="0"/>
        <w:autoSpaceDN w:val="0"/>
        <w:adjustRightInd w:val="0"/>
        <w:rPr>
          <w:rFonts w:ascii="Arial" w:hAnsi="Arial" w:cs="Arial"/>
        </w:rPr>
      </w:pPr>
    </w:p>
    <w:p w14:paraId="6460A377" w14:textId="04D29FB8" w:rsidR="00F46DF5" w:rsidRDefault="00F46DF5" w:rsidP="00F46DF5">
      <w:pPr>
        <w:autoSpaceDE w:val="0"/>
        <w:autoSpaceDN w:val="0"/>
        <w:adjustRightInd w:val="0"/>
        <w:ind w:left="1560" w:hanging="1560"/>
        <w:rPr>
          <w:rFonts w:ascii="Arial" w:hAnsi="Arial" w:cs="Arial"/>
          <w:b/>
        </w:rPr>
      </w:pPr>
      <w:r w:rsidRPr="009F43F9">
        <w:rPr>
          <w:rFonts w:ascii="Arial" w:hAnsi="Arial" w:cs="Arial"/>
          <w:b/>
          <w:u w:val="single"/>
        </w:rPr>
        <w:lastRenderedPageBreak/>
        <w:t>SECTION E</w:t>
      </w:r>
      <w:r>
        <w:rPr>
          <w:rFonts w:ascii="Arial" w:hAnsi="Arial" w:cs="Arial"/>
          <w:b/>
        </w:rPr>
        <w:tab/>
        <w:t>ARE YOU AWARE OF INFORMATION ON THE TOTAL RANGE OF THE SPECIES? (If no, skip to section F)</w:t>
      </w:r>
    </w:p>
    <w:p w14:paraId="6A6BE7DE" w14:textId="77777777" w:rsidR="00F46DF5" w:rsidRDefault="00F46DF5" w:rsidP="00F46DF5">
      <w:pPr>
        <w:autoSpaceDE w:val="0"/>
        <w:autoSpaceDN w:val="0"/>
        <w:adjustRightInd w:val="0"/>
        <w:rPr>
          <w:rFonts w:ascii="Arial,Bold" w:hAnsi="Arial,Bold" w:cs="Arial,Bold"/>
          <w:b/>
          <w:bCs/>
        </w:rPr>
      </w:pPr>
      <w:r w:rsidRPr="00EC2274">
        <w:rPr>
          <w:rFonts w:ascii="Arial,Bold" w:hAnsi="Arial,Bold" w:cs="Arial,Bold"/>
          <w:b/>
          <w:bCs/>
          <w:u w:val="single"/>
        </w:rPr>
        <w:t>Current</w:t>
      </w:r>
      <w:r>
        <w:rPr>
          <w:rFonts w:ascii="Arial,Bold" w:hAnsi="Arial,Bold" w:cs="Arial,Bold"/>
          <w:b/>
          <w:bCs/>
        </w:rPr>
        <w:t xml:space="preserve"> Distribution/range/extent of occurrence, area of occupancy</w:t>
      </w:r>
    </w:p>
    <w:p w14:paraId="48AB0F1B" w14:textId="77777777" w:rsidR="00F46DF5" w:rsidRDefault="00F46DF5" w:rsidP="00F46DF5">
      <w:pPr>
        <w:autoSpaceDE w:val="0"/>
        <w:autoSpaceDN w:val="0"/>
        <w:adjustRightInd w:val="0"/>
        <w:rPr>
          <w:rFonts w:ascii="Arial,Bold" w:hAnsi="Arial,Bold" w:cs="Arial,Bold"/>
          <w:b/>
          <w:bCs/>
        </w:rPr>
      </w:pPr>
    </w:p>
    <w:p w14:paraId="656F6861"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identify and list separate subpopulations for the species using IUCN definition of subpopulation </w:t>
      </w:r>
      <w:proofErr w:type="gramStart"/>
      <w:r>
        <w:rPr>
          <w:rFonts w:ascii="Arial" w:hAnsi="Arial" w:cs="Arial"/>
        </w:rPr>
        <w:t>–‘</w:t>
      </w:r>
      <w:proofErr w:type="gramEnd"/>
      <w:r>
        <w:rPr>
          <w:rFonts w:ascii="Arial" w:hAnsi="Arial" w:cs="Arial"/>
        </w:rPr>
        <w:t>geographically or genetically distinct groups with little demographic or genetic exchange of less than one migrant per year’</w:t>
      </w:r>
    </w:p>
    <w:p w14:paraId="7E044ED1" w14:textId="77777777" w:rsidR="00F46DF5" w:rsidRPr="008C2524" w:rsidRDefault="00F46DF5" w:rsidP="00F46DF5">
      <w:pPr>
        <w:autoSpaceDE w:val="0"/>
        <w:autoSpaceDN w:val="0"/>
        <w:adjustRightInd w:val="0"/>
        <w:contextualSpacing/>
        <w:rPr>
          <w:rFonts w:ascii="Arial" w:hAnsi="Arial" w:cs="Arial"/>
        </w:rPr>
      </w:pPr>
    </w:p>
    <w:p w14:paraId="06509241" w14:textId="77777777" w:rsidR="00F46DF5" w:rsidRPr="00EC2274"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provide presence/absence or abundance </w:t>
      </w:r>
      <w:r w:rsidRPr="00EC2274">
        <w:rPr>
          <w:rFonts w:ascii="Arial" w:hAnsi="Arial" w:cs="Arial"/>
        </w:rPr>
        <w:t xml:space="preserve">data for any of the subpopulations of this species?  </w:t>
      </w:r>
    </w:p>
    <w:p w14:paraId="5C07717F" w14:textId="77777777" w:rsidR="00F46DF5" w:rsidRDefault="00F46DF5" w:rsidP="00F46DF5">
      <w:pPr>
        <w:pStyle w:val="ListParagraph"/>
        <w:autoSpaceDE w:val="0"/>
        <w:autoSpaceDN w:val="0"/>
        <w:adjustRightInd w:val="0"/>
        <w:ind w:left="360"/>
        <w:rPr>
          <w:rFonts w:ascii="Arial" w:hAnsi="Arial" w:cs="Arial"/>
        </w:rPr>
      </w:pPr>
    </w:p>
    <w:p w14:paraId="249A0395" w14:textId="77777777" w:rsidR="00F46DF5" w:rsidRPr="00422F1A"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 Or is the current geographic extent smaller than that presented? Please provide justification for your response.</w:t>
      </w:r>
    </w:p>
    <w:p w14:paraId="43883AED" w14:textId="77777777" w:rsidR="00F46DF5" w:rsidRDefault="00F46DF5" w:rsidP="00F46DF5">
      <w:pPr>
        <w:pStyle w:val="ListParagraph"/>
        <w:autoSpaceDE w:val="0"/>
        <w:autoSpaceDN w:val="0"/>
        <w:adjustRightInd w:val="0"/>
        <w:ind w:left="360"/>
        <w:rPr>
          <w:rFonts w:ascii="Arial" w:hAnsi="Arial" w:cs="Arial"/>
        </w:rPr>
      </w:pPr>
    </w:p>
    <w:p w14:paraId="5C498118"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Has the survey effort for this species been adequate to determine its national distribution? If not, please provide justification for your response.</w:t>
      </w:r>
    </w:p>
    <w:p w14:paraId="0AEA5E3F" w14:textId="77777777" w:rsidR="00F46DF5" w:rsidRDefault="00F46DF5" w:rsidP="00F46DF5">
      <w:pPr>
        <w:pStyle w:val="ListParagraph"/>
        <w:autoSpaceDE w:val="0"/>
        <w:autoSpaceDN w:val="0"/>
        <w:adjustRightInd w:val="0"/>
        <w:ind w:left="360"/>
        <w:rPr>
          <w:rFonts w:ascii="Arial" w:hAnsi="Arial" w:cs="Arial"/>
        </w:rPr>
      </w:pPr>
    </w:p>
    <w:p w14:paraId="5C2E5946"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7923A9B8" w14:textId="77777777" w:rsidR="00F46DF5" w:rsidRPr="00422F1A" w:rsidRDefault="00F46DF5" w:rsidP="00F46DF5">
      <w:pPr>
        <w:pStyle w:val="ListParagraph"/>
        <w:ind w:left="369"/>
        <w:rPr>
          <w:rFonts w:ascii="Arial" w:hAnsi="Arial" w:cs="Arial"/>
        </w:rPr>
      </w:pPr>
    </w:p>
    <w:p w14:paraId="6832E922" w14:textId="77777777" w:rsidR="00F46DF5" w:rsidRPr="008C2524"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Are you aware of any subpopulations that are no longer extant (particularly the smaller subpopulations at Upper </w:t>
      </w:r>
      <w:proofErr w:type="spellStart"/>
      <w:r>
        <w:rPr>
          <w:rFonts w:ascii="Arial" w:hAnsi="Arial" w:cs="Arial"/>
        </w:rPr>
        <w:t>Duroby</w:t>
      </w:r>
      <w:proofErr w:type="spellEnd"/>
      <w:r>
        <w:rPr>
          <w:rFonts w:ascii="Arial" w:hAnsi="Arial" w:cs="Arial"/>
        </w:rPr>
        <w:t xml:space="preserve">, Yelgun, Brunswick Heads and The </w:t>
      </w:r>
      <w:proofErr w:type="gramStart"/>
      <w:r>
        <w:rPr>
          <w:rFonts w:ascii="Arial" w:hAnsi="Arial" w:cs="Arial"/>
        </w:rPr>
        <w:t>Channon).</w:t>
      </w:r>
      <w:proofErr w:type="gramEnd"/>
    </w:p>
    <w:p w14:paraId="0426AFC5" w14:textId="77777777" w:rsidR="00F46DF5" w:rsidRDefault="00F46DF5" w:rsidP="00F46DF5">
      <w:pPr>
        <w:pStyle w:val="ListParagraph"/>
        <w:autoSpaceDE w:val="0"/>
        <w:autoSpaceDN w:val="0"/>
        <w:adjustRightInd w:val="0"/>
        <w:ind w:left="360"/>
        <w:rPr>
          <w:rFonts w:ascii="Arial" w:hAnsi="Arial" w:cs="Arial"/>
        </w:rPr>
      </w:pPr>
    </w:p>
    <w:p w14:paraId="5B31DA0D"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22871B7C" w14:textId="77777777" w:rsidR="00F46DF5" w:rsidRPr="00E2449A" w:rsidRDefault="00F46DF5" w:rsidP="00F46DF5">
      <w:pPr>
        <w:pStyle w:val="ListParagraph"/>
        <w:ind w:left="369"/>
        <w:rPr>
          <w:rFonts w:ascii="Arial" w:hAnsi="Arial" w:cs="Arial"/>
        </w:rPr>
      </w:pPr>
    </w:p>
    <w:p w14:paraId="34363A11"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1F5E65BC" w14:textId="77777777" w:rsidR="00F46DF5" w:rsidRDefault="00F46DF5" w:rsidP="00F46DF5">
      <w:pPr>
        <w:pStyle w:val="ListParagraph"/>
        <w:autoSpaceDE w:val="0"/>
        <w:autoSpaceDN w:val="0"/>
        <w:adjustRightInd w:val="0"/>
        <w:ind w:left="360"/>
        <w:rPr>
          <w:rFonts w:ascii="Arial" w:hAnsi="Arial" w:cs="Arial"/>
        </w:rPr>
      </w:pPr>
    </w:p>
    <w:p w14:paraId="4FF09FEE" w14:textId="6EAC9C5F" w:rsidR="00F46DF5" w:rsidRPr="00F46DF5" w:rsidRDefault="00F46DF5" w:rsidP="00F46DF5">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D343B89" w14:textId="77777777" w:rsidR="00F46DF5" w:rsidRDefault="00F46DF5" w:rsidP="00F46DF5">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37DCDAF3"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2EC87080" w14:textId="77777777" w:rsidR="00F46DF5" w:rsidRDefault="00F46DF5" w:rsidP="00F46DF5">
      <w:pPr>
        <w:autoSpaceDE w:val="0"/>
        <w:autoSpaceDN w:val="0"/>
        <w:adjustRightInd w:val="0"/>
        <w:rPr>
          <w:rFonts w:ascii="Arial" w:hAnsi="Arial" w:cs="Arial"/>
        </w:rPr>
      </w:pPr>
    </w:p>
    <w:p w14:paraId="5A909845" w14:textId="77777777" w:rsidR="00F46DF5" w:rsidRDefault="00F46DF5" w:rsidP="00F46DF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782E6AA0"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27BD7AFB"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B23B698"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51–95% - reasonably certain, data suggests this range of decline</w:t>
      </w:r>
    </w:p>
    <w:p w14:paraId="14209CAB"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6F89C6D6" w14:textId="70804683" w:rsidR="00F46DF5" w:rsidRDefault="00F46DF5" w:rsidP="00F46DF5">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2AED2CA7" w14:textId="44B11405" w:rsidR="00F46DF5" w:rsidRDefault="00F46DF5" w:rsidP="00F46DF5">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67D6C3B4" w14:textId="77777777" w:rsidR="00F46DF5" w:rsidRDefault="00F46DF5" w:rsidP="00F46DF5">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351EC3B5"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7846BF22" w14:textId="77777777" w:rsidR="00F46DF5" w:rsidRDefault="00F46DF5" w:rsidP="00F46DF5">
      <w:pPr>
        <w:autoSpaceDE w:val="0"/>
        <w:autoSpaceDN w:val="0"/>
        <w:adjustRightInd w:val="0"/>
        <w:ind w:left="360"/>
        <w:rPr>
          <w:rFonts w:ascii="Arial" w:hAnsi="Arial" w:cs="Arial"/>
        </w:rPr>
      </w:pPr>
    </w:p>
    <w:p w14:paraId="4D1F6706" w14:textId="77777777" w:rsidR="00F46DF5" w:rsidRDefault="00F46DF5" w:rsidP="00F46DF5">
      <w:pPr>
        <w:autoSpaceDE w:val="0"/>
        <w:autoSpaceDN w:val="0"/>
        <w:adjustRightInd w:val="0"/>
        <w:ind w:left="360"/>
        <w:rPr>
          <w:rFonts w:ascii="Arial" w:hAnsi="Arial" w:cs="Arial"/>
        </w:rPr>
      </w:pPr>
      <w:r>
        <w:rPr>
          <w:rFonts w:ascii="Arial" w:hAnsi="Arial" w:cs="Arial"/>
        </w:rPr>
        <w:t>Level of your confidence in this estimated extent of occurrence:</w:t>
      </w:r>
    </w:p>
    <w:p w14:paraId="48C02BC5"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F5BEF33"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4F427B5"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5A41CBA"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3EEDA78" w14:textId="77777777" w:rsidR="00F46DF5" w:rsidRDefault="00F46DF5" w:rsidP="00F46DF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D4011B3" w14:textId="77777777" w:rsidR="00F46DF5" w:rsidRDefault="00F46DF5" w:rsidP="00F46DF5">
      <w:pPr>
        <w:autoSpaceDE w:val="0"/>
        <w:autoSpaceDN w:val="0"/>
        <w:adjustRightInd w:val="0"/>
        <w:ind w:left="1920" w:hanging="1560"/>
        <w:rPr>
          <w:rFonts w:ascii="Arial" w:hAnsi="Arial" w:cs="Arial"/>
          <w:b/>
        </w:rPr>
      </w:pPr>
    </w:p>
    <w:p w14:paraId="5D17010C" w14:textId="658BE0BE" w:rsidR="00F46DF5" w:rsidRDefault="00F46DF5" w:rsidP="00F46DF5">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5690048C" w14:textId="77777777" w:rsidR="00F46DF5" w:rsidRDefault="00F46DF5" w:rsidP="00F46DF5">
      <w:pPr>
        <w:autoSpaceDE w:val="0"/>
        <w:autoSpaceDN w:val="0"/>
        <w:adjustRightInd w:val="0"/>
        <w:rPr>
          <w:rFonts w:ascii="Arial,Bold" w:hAnsi="Arial,Bold" w:cs="Arial,Bold"/>
          <w:b/>
          <w:bCs/>
        </w:rPr>
      </w:pPr>
      <w:r w:rsidRPr="00EC2274">
        <w:rPr>
          <w:rFonts w:ascii="Arial,Bold" w:hAnsi="Arial,Bold" w:cs="Arial,Bold"/>
          <w:b/>
          <w:bCs/>
          <w:u w:val="single"/>
        </w:rPr>
        <w:t>Past</w:t>
      </w:r>
      <w:r>
        <w:rPr>
          <w:rFonts w:ascii="Arial,Bold" w:hAnsi="Arial,Bold" w:cs="Arial,Bold"/>
          <w:b/>
          <w:bCs/>
        </w:rPr>
        <w:t xml:space="preserve"> Distribution/range/extent of occurrence, area of occupancy</w:t>
      </w:r>
    </w:p>
    <w:p w14:paraId="6E0B4ADE" w14:textId="77777777" w:rsidR="00F46DF5" w:rsidRDefault="00F46DF5" w:rsidP="00F46DF5">
      <w:pPr>
        <w:autoSpaceDE w:val="0"/>
        <w:autoSpaceDN w:val="0"/>
        <w:adjustRightInd w:val="0"/>
        <w:rPr>
          <w:rFonts w:ascii="Arial" w:hAnsi="Arial" w:cs="Arial"/>
        </w:rPr>
      </w:pPr>
    </w:p>
    <w:p w14:paraId="424428F3"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4BE3C752" w14:textId="77777777" w:rsidR="00F46DF5" w:rsidRPr="00E2449A" w:rsidRDefault="00F46DF5" w:rsidP="00F46DF5">
      <w:pPr>
        <w:pStyle w:val="ListParagraph"/>
        <w:autoSpaceDE w:val="0"/>
        <w:autoSpaceDN w:val="0"/>
        <w:adjustRightInd w:val="0"/>
        <w:ind w:left="360"/>
        <w:rPr>
          <w:rFonts w:ascii="Arial" w:hAnsi="Arial" w:cs="Arial"/>
        </w:rPr>
      </w:pPr>
    </w:p>
    <w:p w14:paraId="7C6274D8"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68297D6D" w14:textId="77777777" w:rsidR="00F46DF5" w:rsidRDefault="00F46DF5" w:rsidP="00F46DF5">
      <w:pPr>
        <w:pStyle w:val="ListParagraph"/>
        <w:autoSpaceDE w:val="0"/>
        <w:autoSpaceDN w:val="0"/>
        <w:adjustRightInd w:val="0"/>
        <w:ind w:left="360"/>
        <w:rPr>
          <w:rFonts w:ascii="Arial" w:hAnsi="Arial" w:cs="Arial"/>
        </w:rPr>
      </w:pPr>
    </w:p>
    <w:p w14:paraId="1ABD9B49" w14:textId="77777777" w:rsidR="00F46DF5" w:rsidRDefault="00F46DF5" w:rsidP="00F46DF5">
      <w:pPr>
        <w:pStyle w:val="ListParagraph"/>
        <w:autoSpaceDE w:val="0"/>
        <w:autoSpaceDN w:val="0"/>
        <w:adjustRightInd w:val="0"/>
        <w:ind w:left="360"/>
        <w:rPr>
          <w:rFonts w:ascii="Arial" w:hAnsi="Arial" w:cs="Arial"/>
        </w:rPr>
      </w:pPr>
      <w:r>
        <w:rPr>
          <w:rFonts w:ascii="Arial" w:hAnsi="Arial" w:cs="Arial"/>
        </w:rPr>
        <w:lastRenderedPageBreak/>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6FB0D71" w14:textId="77777777" w:rsidR="00F46DF5" w:rsidRDefault="00F46DF5" w:rsidP="00F46DF5">
      <w:pPr>
        <w:autoSpaceDE w:val="0"/>
        <w:autoSpaceDN w:val="0"/>
        <w:adjustRightInd w:val="0"/>
        <w:rPr>
          <w:rFonts w:ascii="Arial,Bold" w:hAnsi="Arial,Bold" w:cs="Arial,Bold"/>
          <w:b/>
          <w:bCs/>
        </w:rPr>
      </w:pPr>
    </w:p>
    <w:p w14:paraId="183FA4A9" w14:textId="77777777" w:rsidR="00F46DF5" w:rsidRDefault="00F46DF5" w:rsidP="00F46DF5">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5C9C9D91"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F55AA06" w14:textId="77777777" w:rsidR="00F46DF5" w:rsidRDefault="00F46DF5" w:rsidP="00F46DF5">
      <w:pPr>
        <w:autoSpaceDE w:val="0"/>
        <w:autoSpaceDN w:val="0"/>
        <w:adjustRightInd w:val="0"/>
        <w:ind w:firstLine="360"/>
        <w:rPr>
          <w:rFonts w:ascii="Arial" w:hAnsi="Arial" w:cs="Arial"/>
        </w:rPr>
      </w:pPr>
    </w:p>
    <w:p w14:paraId="1468AD08" w14:textId="77777777" w:rsidR="00F46DF5" w:rsidRDefault="00F46DF5" w:rsidP="00F46DF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EC2C155"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07FA0E9"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B4CEBFB"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105ADC9"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01E8DB4E"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5E5FBCB4" w14:textId="77777777" w:rsidR="00F46DF5" w:rsidRDefault="00F46DF5" w:rsidP="00F46DF5">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9D72F58" w14:textId="77777777" w:rsidR="00F46DF5" w:rsidRDefault="00F46DF5" w:rsidP="00F46DF5">
      <w:pPr>
        <w:autoSpaceDE w:val="0"/>
        <w:autoSpaceDN w:val="0"/>
        <w:adjustRightInd w:val="0"/>
        <w:rPr>
          <w:rFonts w:ascii="Arial,Bold" w:hAnsi="Arial,Bold" w:cs="Arial,Bold"/>
          <w:b/>
          <w:bCs/>
        </w:rPr>
      </w:pPr>
    </w:p>
    <w:p w14:paraId="6F3FF04C" w14:textId="77777777" w:rsidR="00F46DF5" w:rsidRDefault="00F46DF5" w:rsidP="00F46DF5">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02F28FB2"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2E7F4B59" w14:textId="77777777" w:rsidR="00F46DF5" w:rsidRDefault="00F46DF5" w:rsidP="00F46DF5">
      <w:pPr>
        <w:autoSpaceDE w:val="0"/>
        <w:autoSpaceDN w:val="0"/>
        <w:adjustRightInd w:val="0"/>
        <w:ind w:firstLine="360"/>
        <w:rPr>
          <w:rFonts w:ascii="Arial" w:hAnsi="Arial" w:cs="Arial"/>
        </w:rPr>
      </w:pPr>
    </w:p>
    <w:p w14:paraId="647A6B33" w14:textId="77777777" w:rsidR="00F46DF5" w:rsidRDefault="00F46DF5" w:rsidP="00F46DF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476F7A83"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1ABBDE84"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4542926"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51–95% - reasonably certain, data suggests this range of decline</w:t>
      </w:r>
    </w:p>
    <w:p w14:paraId="1BBB5D51" w14:textId="77777777" w:rsidR="00F46DF5" w:rsidRDefault="00F46DF5" w:rsidP="00F46DF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7DF79CFA" w14:textId="77777777" w:rsidR="00F46DF5" w:rsidRPr="00C3701C" w:rsidRDefault="00F46DF5" w:rsidP="00F46DF5">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1F4E17A3" w14:textId="77777777" w:rsidR="00F46DF5" w:rsidRDefault="00F46DF5" w:rsidP="00F46DF5">
      <w:pPr>
        <w:rPr>
          <w:rFonts w:ascii="Arial" w:hAnsi="Arial" w:cs="Arial"/>
          <w:b/>
        </w:rPr>
      </w:pPr>
    </w:p>
    <w:p w14:paraId="11ED8296" w14:textId="77777777" w:rsidR="00F46DF5" w:rsidRPr="009F43F9" w:rsidRDefault="00F46DF5" w:rsidP="00F46DF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5FB77B13" w14:textId="77777777" w:rsidR="00F46DF5" w:rsidRDefault="00F46DF5" w:rsidP="00F46DF5">
      <w:pPr>
        <w:shd w:val="clear" w:color="auto" w:fill="D9D9D9" w:themeFill="background1" w:themeFillShade="D9"/>
        <w:autoSpaceDE w:val="0"/>
        <w:autoSpaceDN w:val="0"/>
        <w:adjustRightInd w:val="0"/>
        <w:jc w:val="center"/>
        <w:rPr>
          <w:rFonts w:ascii="Arial" w:hAnsi="Arial" w:cs="Arial"/>
          <w:b/>
        </w:rPr>
      </w:pPr>
    </w:p>
    <w:p w14:paraId="1CF965CA" w14:textId="77777777" w:rsidR="00F46DF5" w:rsidRDefault="00F46DF5" w:rsidP="00F46DF5">
      <w:pPr>
        <w:autoSpaceDE w:val="0"/>
        <w:autoSpaceDN w:val="0"/>
        <w:adjustRightInd w:val="0"/>
        <w:rPr>
          <w:rFonts w:ascii="Arial" w:hAnsi="Arial" w:cs="Arial"/>
        </w:rPr>
      </w:pPr>
    </w:p>
    <w:p w14:paraId="1867E727" w14:textId="5E8B5181" w:rsidR="00F46DF5" w:rsidRPr="00F46DF5" w:rsidRDefault="00F46DF5" w:rsidP="00F46DF5">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651B7F42"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6AEDFABD"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Are you aware of any specific weeds or invasive herbivores which may be known or suspected to impact </w:t>
      </w:r>
      <w:proofErr w:type="spellStart"/>
      <w:r>
        <w:rPr>
          <w:rFonts w:ascii="Arial" w:hAnsi="Arial" w:cs="Arial"/>
        </w:rPr>
        <w:t>Corokia</w:t>
      </w:r>
      <w:proofErr w:type="spellEnd"/>
      <w:r>
        <w:rPr>
          <w:rFonts w:ascii="Arial" w:hAnsi="Arial" w:cs="Arial"/>
        </w:rPr>
        <w:t>?</w:t>
      </w:r>
    </w:p>
    <w:p w14:paraId="46B916DA" w14:textId="77777777" w:rsidR="00F46DF5" w:rsidRDefault="00F46DF5" w:rsidP="00F46DF5">
      <w:pPr>
        <w:pStyle w:val="ListParagraph"/>
        <w:autoSpaceDE w:val="0"/>
        <w:autoSpaceDN w:val="0"/>
        <w:adjustRightInd w:val="0"/>
        <w:ind w:left="360"/>
        <w:rPr>
          <w:rFonts w:ascii="Arial" w:hAnsi="Arial" w:cs="Arial"/>
        </w:rPr>
      </w:pPr>
    </w:p>
    <w:p w14:paraId="45AE7C24"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 in the future?</w:t>
      </w:r>
    </w:p>
    <w:p w14:paraId="51DD4DD7" w14:textId="77777777" w:rsidR="00F46DF5" w:rsidRDefault="00F46DF5" w:rsidP="00F46DF5">
      <w:pPr>
        <w:pStyle w:val="ListParagraph"/>
        <w:autoSpaceDE w:val="0"/>
        <w:autoSpaceDN w:val="0"/>
        <w:adjustRightInd w:val="0"/>
        <w:ind w:left="360"/>
        <w:rPr>
          <w:rFonts w:ascii="Arial" w:hAnsi="Arial" w:cs="Arial"/>
        </w:rPr>
      </w:pPr>
    </w:p>
    <w:p w14:paraId="32000600"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subpopulations?</w:t>
      </w:r>
    </w:p>
    <w:p w14:paraId="45F3001F" w14:textId="77777777" w:rsidR="00F46DF5" w:rsidRDefault="00F46DF5" w:rsidP="00F46DF5">
      <w:pPr>
        <w:pStyle w:val="ListParagraph"/>
        <w:autoSpaceDE w:val="0"/>
        <w:autoSpaceDN w:val="0"/>
        <w:adjustRightInd w:val="0"/>
        <w:ind w:left="360"/>
        <w:rPr>
          <w:rFonts w:ascii="Arial" w:hAnsi="Arial" w:cs="Arial"/>
        </w:rPr>
      </w:pPr>
    </w:p>
    <w:p w14:paraId="1658821A" w14:textId="77777777" w:rsidR="00F46DF5" w:rsidRPr="00DD613F"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provide additional or alternative information on past, </w:t>
      </w:r>
      <w:proofErr w:type="gramStart"/>
      <w:r>
        <w:rPr>
          <w:rFonts w:ascii="Arial" w:hAnsi="Arial" w:cs="Arial"/>
        </w:rPr>
        <w:t>current</w:t>
      </w:r>
      <w:proofErr w:type="gramEnd"/>
      <w:r>
        <w:rPr>
          <w:rFonts w:ascii="Arial" w:hAnsi="Arial" w:cs="Arial"/>
        </w:rPr>
        <w:t xml:space="preserve"> or potential threats that may adversely affect the species at any stage of its life cycle?</w:t>
      </w:r>
    </w:p>
    <w:p w14:paraId="5C83D4F1" w14:textId="77777777" w:rsidR="00F46DF5" w:rsidRPr="00981F47" w:rsidRDefault="00F46DF5" w:rsidP="00F46DF5">
      <w:pPr>
        <w:pStyle w:val="ListParagraph"/>
        <w:ind w:left="369"/>
        <w:rPr>
          <w:rFonts w:ascii="Arial" w:hAnsi="Arial" w:cs="Arial"/>
        </w:rPr>
      </w:pPr>
    </w:p>
    <w:p w14:paraId="488D15EA"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additional information on the historical loss of suitable habitat and the causes (</w:t>
      </w:r>
      <w:proofErr w:type="gramStart"/>
      <w:r>
        <w:rPr>
          <w:rFonts w:ascii="Arial" w:hAnsi="Arial" w:cs="Arial"/>
        </w:rPr>
        <w:t>e.g.</w:t>
      </w:r>
      <w:proofErr w:type="gramEnd"/>
      <w:r>
        <w:rPr>
          <w:rFonts w:ascii="Arial" w:hAnsi="Arial" w:cs="Arial"/>
        </w:rPr>
        <w:t xml:space="preserve"> land use change)?</w:t>
      </w:r>
    </w:p>
    <w:p w14:paraId="678E8F37" w14:textId="77777777" w:rsidR="00F46DF5" w:rsidRDefault="00F46DF5" w:rsidP="00F46DF5">
      <w:pPr>
        <w:pStyle w:val="ListParagraph"/>
        <w:autoSpaceDE w:val="0"/>
        <w:autoSpaceDN w:val="0"/>
        <w:adjustRightInd w:val="0"/>
        <w:ind w:left="360"/>
        <w:rPr>
          <w:rFonts w:ascii="Arial" w:hAnsi="Arial" w:cs="Arial"/>
        </w:rPr>
      </w:pPr>
    </w:p>
    <w:p w14:paraId="63192FAF"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58472C55" w14:textId="77777777" w:rsidR="00F46DF5" w:rsidRDefault="00F46DF5" w:rsidP="00F46DF5">
      <w:pPr>
        <w:autoSpaceDE w:val="0"/>
        <w:autoSpaceDN w:val="0"/>
        <w:adjustRightInd w:val="0"/>
        <w:ind w:left="1560" w:hanging="1560"/>
        <w:rPr>
          <w:rFonts w:ascii="Arial,Bold" w:hAnsi="Arial,Bold" w:cs="Arial,Bold"/>
          <w:b/>
          <w:bCs/>
        </w:rPr>
      </w:pPr>
    </w:p>
    <w:p w14:paraId="6FDEA576" w14:textId="1A4D50A0" w:rsidR="00F46DF5" w:rsidRPr="00F46DF5" w:rsidRDefault="00F46DF5" w:rsidP="00F46DF5">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4B7E8BB0"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 To what extent have they been effective?</w:t>
      </w:r>
    </w:p>
    <w:p w14:paraId="50C1C776" w14:textId="77777777" w:rsidR="00F46DF5" w:rsidRDefault="00F46DF5" w:rsidP="00F46DF5">
      <w:pPr>
        <w:pStyle w:val="ListParagraph"/>
        <w:autoSpaceDE w:val="0"/>
        <w:autoSpaceDN w:val="0"/>
        <w:adjustRightInd w:val="0"/>
        <w:ind w:left="360"/>
        <w:rPr>
          <w:rFonts w:ascii="Arial" w:hAnsi="Arial" w:cs="Arial"/>
        </w:rPr>
      </w:pPr>
    </w:p>
    <w:p w14:paraId="350DE29E" w14:textId="77777777" w:rsidR="00F46DF5" w:rsidRPr="00DD613F"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provide any information on cultivated </w:t>
      </w:r>
      <w:proofErr w:type="spellStart"/>
      <w:r>
        <w:rPr>
          <w:rFonts w:ascii="Arial" w:hAnsi="Arial" w:cs="Arial"/>
        </w:rPr>
        <w:t>Corokia</w:t>
      </w:r>
      <w:proofErr w:type="spellEnd"/>
      <w:r>
        <w:rPr>
          <w:rFonts w:ascii="Arial" w:hAnsi="Arial" w:cs="Arial"/>
        </w:rPr>
        <w:t xml:space="preserve"> in Australia? </w:t>
      </w:r>
      <w:proofErr w:type="gramStart"/>
      <w:r>
        <w:rPr>
          <w:rFonts w:ascii="Arial" w:hAnsi="Arial" w:cs="Arial"/>
        </w:rPr>
        <w:t>Specifically</w:t>
      </w:r>
      <w:proofErr w:type="gramEnd"/>
      <w:r>
        <w:rPr>
          <w:rFonts w:ascii="Arial" w:hAnsi="Arial" w:cs="Arial"/>
        </w:rPr>
        <w:t xml:space="preserve"> numbers of living mature individuals, and also growth and reproductive information which may be relevant to the Conservation Advice and Listing Assessment. </w:t>
      </w:r>
    </w:p>
    <w:p w14:paraId="70BB9EB0" w14:textId="77777777" w:rsidR="00F46DF5" w:rsidRDefault="00F46DF5" w:rsidP="00F46DF5">
      <w:pPr>
        <w:pStyle w:val="ListParagraph"/>
        <w:autoSpaceDE w:val="0"/>
        <w:autoSpaceDN w:val="0"/>
        <w:adjustRightInd w:val="0"/>
        <w:ind w:left="360"/>
        <w:rPr>
          <w:rFonts w:ascii="Arial" w:hAnsi="Arial" w:cs="Arial"/>
        </w:rPr>
      </w:pPr>
    </w:p>
    <w:p w14:paraId="68C3B73A"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w:t>
      </w:r>
    </w:p>
    <w:p w14:paraId="37591E7D" w14:textId="77777777" w:rsidR="00F46DF5" w:rsidRDefault="00F46DF5" w:rsidP="00F46DF5">
      <w:pPr>
        <w:pStyle w:val="ListParagraph"/>
        <w:autoSpaceDE w:val="0"/>
        <w:autoSpaceDN w:val="0"/>
        <w:adjustRightInd w:val="0"/>
        <w:ind w:left="360"/>
        <w:rPr>
          <w:rFonts w:ascii="Arial" w:hAnsi="Arial" w:cs="Arial"/>
        </w:rPr>
      </w:pPr>
    </w:p>
    <w:p w14:paraId="70F362E5"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w:t>
      </w:r>
    </w:p>
    <w:p w14:paraId="4425E1F4" w14:textId="77777777" w:rsidR="00F46DF5" w:rsidRDefault="00F46DF5" w:rsidP="00F46DF5">
      <w:pPr>
        <w:autoSpaceDE w:val="0"/>
        <w:autoSpaceDN w:val="0"/>
        <w:adjustRightInd w:val="0"/>
        <w:rPr>
          <w:rFonts w:ascii="Arial" w:hAnsi="Arial" w:cs="Arial"/>
        </w:rPr>
      </w:pPr>
    </w:p>
    <w:p w14:paraId="2919B1D3" w14:textId="6404E4DC" w:rsidR="00F46DF5" w:rsidRDefault="00F46DF5" w:rsidP="00F46DF5">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59C7ACEA"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5C416EDD" w14:textId="77777777" w:rsidR="00F46DF5" w:rsidRDefault="00F46DF5" w:rsidP="00F46DF5">
      <w:pPr>
        <w:pStyle w:val="ListParagraph"/>
        <w:autoSpaceDE w:val="0"/>
        <w:autoSpaceDN w:val="0"/>
        <w:adjustRightInd w:val="0"/>
        <w:ind w:left="360"/>
        <w:rPr>
          <w:rFonts w:ascii="Arial" w:hAnsi="Arial" w:cs="Arial"/>
          <w:color w:val="000000"/>
        </w:rPr>
      </w:pPr>
    </w:p>
    <w:p w14:paraId="5546F6AA"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 has?</w:t>
      </w:r>
    </w:p>
    <w:p w14:paraId="1E71C48E" w14:textId="77777777" w:rsidR="00F46DF5" w:rsidRPr="00981F47" w:rsidRDefault="00F46DF5" w:rsidP="00F46DF5">
      <w:pPr>
        <w:pStyle w:val="ListParagraph"/>
        <w:ind w:left="369"/>
        <w:rPr>
          <w:rFonts w:ascii="Arial" w:hAnsi="Arial" w:cs="Arial"/>
          <w:color w:val="000000"/>
        </w:rPr>
      </w:pPr>
    </w:p>
    <w:p w14:paraId="0D8E4B8A"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 xml:space="preserve">Are there any sub-populations of species that are co-managed by First Nations Peoples which are not currently recognised in the Cultural and Community Significance section of the Draft Conservation Advice. </w:t>
      </w:r>
    </w:p>
    <w:p w14:paraId="26F49958" w14:textId="77777777" w:rsidR="00F46DF5" w:rsidRPr="006A2D48" w:rsidRDefault="00F46DF5" w:rsidP="00F46DF5">
      <w:pPr>
        <w:pStyle w:val="ListParagraph"/>
        <w:ind w:left="369"/>
        <w:rPr>
          <w:rFonts w:ascii="Arial" w:hAnsi="Arial" w:cs="Arial"/>
          <w:color w:val="000000"/>
        </w:rPr>
      </w:pPr>
    </w:p>
    <w:p w14:paraId="10AB7EE4"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 xml:space="preserve">Can you provide information on the tenure, land use and threats specific to the most southerly subpopulation near-by The </w:t>
      </w:r>
      <w:proofErr w:type="gramStart"/>
      <w:r>
        <w:rPr>
          <w:rFonts w:ascii="Arial" w:hAnsi="Arial" w:cs="Arial"/>
          <w:color w:val="000000"/>
        </w:rPr>
        <w:t>Channon.</w:t>
      </w:r>
      <w:proofErr w:type="gramEnd"/>
      <w:r>
        <w:rPr>
          <w:rFonts w:ascii="Arial" w:hAnsi="Arial" w:cs="Arial"/>
          <w:color w:val="000000"/>
        </w:rPr>
        <w:t xml:space="preserve"> </w:t>
      </w:r>
    </w:p>
    <w:p w14:paraId="1E2FB3F7" w14:textId="77777777" w:rsidR="00F46DF5" w:rsidRDefault="00F46DF5" w:rsidP="00F46DF5">
      <w:pPr>
        <w:pStyle w:val="ListParagraph"/>
        <w:autoSpaceDE w:val="0"/>
        <w:autoSpaceDN w:val="0"/>
        <w:adjustRightInd w:val="0"/>
        <w:ind w:left="360"/>
        <w:rPr>
          <w:rFonts w:ascii="Arial" w:hAnsi="Arial" w:cs="Arial"/>
          <w:color w:val="000000"/>
        </w:rPr>
      </w:pPr>
    </w:p>
    <w:p w14:paraId="2717DAFB"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w:t>
      </w:r>
    </w:p>
    <w:p w14:paraId="59389743" w14:textId="77777777" w:rsidR="00F46DF5" w:rsidRDefault="00F46DF5" w:rsidP="00F46DF5">
      <w:pPr>
        <w:pStyle w:val="ListParagraph"/>
        <w:autoSpaceDE w:val="0"/>
        <w:autoSpaceDN w:val="0"/>
        <w:adjustRightInd w:val="0"/>
        <w:ind w:left="360"/>
        <w:rPr>
          <w:rFonts w:ascii="Arial" w:hAnsi="Arial" w:cs="Arial"/>
          <w:color w:val="000000"/>
        </w:rPr>
      </w:pPr>
    </w:p>
    <w:p w14:paraId="6B0FDB80"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 are land managers where the species is found? </w:t>
      </w:r>
    </w:p>
    <w:p w14:paraId="5A64A87F" w14:textId="77777777" w:rsidR="00F46DF5" w:rsidRDefault="00F46DF5" w:rsidP="00F46DF5">
      <w:pPr>
        <w:rPr>
          <w:rFonts w:ascii="Arial" w:hAnsi="Arial" w:cs="Arial"/>
        </w:rPr>
      </w:pPr>
    </w:p>
    <w:p w14:paraId="62A0F8A9"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w:t>
      </w:r>
    </w:p>
    <w:p w14:paraId="54705425" w14:textId="77777777" w:rsidR="00F46DF5" w:rsidRDefault="00F46DF5" w:rsidP="00F46DF5">
      <w:pPr>
        <w:pStyle w:val="ListParagraph"/>
        <w:autoSpaceDE w:val="0"/>
        <w:autoSpaceDN w:val="0"/>
        <w:adjustRightInd w:val="0"/>
        <w:ind w:left="360"/>
        <w:rPr>
          <w:rFonts w:ascii="Arial" w:hAnsi="Arial" w:cs="Arial"/>
          <w:color w:val="000000"/>
        </w:rPr>
      </w:pPr>
    </w:p>
    <w:p w14:paraId="7458E6BB" w14:textId="77777777" w:rsidR="00F46DF5" w:rsidRDefault="00F46DF5" w:rsidP="00F46DF5">
      <w:pPr>
        <w:pStyle w:val="ListParagraph"/>
        <w:numPr>
          <w:ilvl w:val="1"/>
          <w:numId w:val="13"/>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1198853A" w14:textId="77777777" w:rsidR="00F46DF5" w:rsidRDefault="00F46DF5" w:rsidP="00F46DF5">
      <w:pPr>
        <w:pStyle w:val="ListParagraph"/>
        <w:autoSpaceDE w:val="0"/>
        <w:autoSpaceDN w:val="0"/>
        <w:adjustRightInd w:val="0"/>
        <w:ind w:left="1080"/>
        <w:rPr>
          <w:rFonts w:ascii="Arial" w:hAnsi="Arial" w:cs="Arial"/>
          <w:color w:val="000000"/>
        </w:rPr>
      </w:pPr>
    </w:p>
    <w:p w14:paraId="233BCE20" w14:textId="77777777" w:rsidR="00F46DF5" w:rsidRDefault="00F46DF5" w:rsidP="00F46DF5">
      <w:pPr>
        <w:pStyle w:val="ListParagraph"/>
        <w:numPr>
          <w:ilvl w:val="1"/>
          <w:numId w:val="13"/>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485F631D" w14:textId="77777777" w:rsidR="00F46DF5" w:rsidRDefault="00F46DF5" w:rsidP="00F46DF5">
      <w:pPr>
        <w:autoSpaceDE w:val="0"/>
        <w:autoSpaceDN w:val="0"/>
        <w:adjustRightInd w:val="0"/>
      </w:pPr>
    </w:p>
    <w:p w14:paraId="0E6A1FF0" w14:textId="77777777" w:rsidR="00F46DF5" w:rsidRDefault="00F46DF5" w:rsidP="00F46DF5">
      <w:pPr>
        <w:shd w:val="clear" w:color="auto" w:fill="D9D9D9" w:themeFill="background1" w:themeFillShade="D9"/>
        <w:autoSpaceDE w:val="0"/>
        <w:autoSpaceDN w:val="0"/>
        <w:adjustRightInd w:val="0"/>
        <w:jc w:val="center"/>
        <w:rPr>
          <w:rFonts w:ascii="Arial" w:hAnsi="Arial" w:cs="Arial"/>
          <w:b/>
        </w:rPr>
      </w:pPr>
    </w:p>
    <w:p w14:paraId="1857E9D8" w14:textId="77777777" w:rsidR="00F46DF5" w:rsidRPr="009F43F9" w:rsidRDefault="00F46DF5" w:rsidP="00F46DF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7FB2CB06" w14:textId="77777777" w:rsidR="00F46DF5" w:rsidRDefault="00F46DF5" w:rsidP="00F46DF5">
      <w:pPr>
        <w:shd w:val="clear" w:color="auto" w:fill="D9D9D9" w:themeFill="background1" w:themeFillShade="D9"/>
        <w:autoSpaceDE w:val="0"/>
        <w:autoSpaceDN w:val="0"/>
        <w:adjustRightInd w:val="0"/>
        <w:jc w:val="center"/>
        <w:rPr>
          <w:rFonts w:ascii="Arial" w:hAnsi="Arial" w:cs="Arial"/>
          <w:b/>
        </w:rPr>
      </w:pPr>
    </w:p>
    <w:p w14:paraId="092390EE" w14:textId="77777777" w:rsidR="00F46DF5" w:rsidRDefault="00F46DF5" w:rsidP="00F46DF5">
      <w:pPr>
        <w:autoSpaceDE w:val="0"/>
        <w:autoSpaceDN w:val="0"/>
        <w:adjustRightInd w:val="0"/>
        <w:rPr>
          <w:rFonts w:ascii="Arial" w:hAnsi="Arial" w:cs="Arial"/>
        </w:rPr>
      </w:pPr>
    </w:p>
    <w:p w14:paraId="347BB5BB" w14:textId="77777777" w:rsidR="00F46DF5" w:rsidRDefault="00F46DF5" w:rsidP="00F46DF5">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w:t>
      </w:r>
    </w:p>
    <w:p w14:paraId="08F7946A" w14:textId="77777777" w:rsidR="00F46DF5" w:rsidRPr="00EF53FF" w:rsidRDefault="00F46DF5" w:rsidP="00F46DF5"/>
    <w:p w14:paraId="1D0552F1" w14:textId="77777777" w:rsidR="00F46DF5" w:rsidRPr="009779CB" w:rsidRDefault="00F46DF5" w:rsidP="00F46DF5"/>
    <w:p w14:paraId="0A6A6C99" w14:textId="77777777" w:rsidR="00F46DF5" w:rsidRDefault="00F46DF5" w:rsidP="00F46DF5"/>
    <w:p w14:paraId="5A7B7533" w14:textId="671559BE" w:rsidR="00F46DF5" w:rsidRDefault="00F46DF5">
      <w:pPr>
        <w:spacing w:after="0" w:line="240" w:lineRule="auto"/>
        <w:rPr>
          <w:rFonts w:ascii="Calibri" w:hAnsi="Calibri"/>
          <w:b/>
          <w:sz w:val="36"/>
          <w:szCs w:val="36"/>
        </w:rPr>
      </w:pPr>
      <w:r>
        <w:br w:type="page"/>
      </w:r>
    </w:p>
    <w:p w14:paraId="377C4E94" w14:textId="108F09E6" w:rsidR="009D41D2" w:rsidRDefault="00460C44" w:rsidP="009D41D2">
      <w:pPr>
        <w:pStyle w:val="DisseminationLimitingMarker"/>
      </w:pPr>
      <w:r>
        <w:lastRenderedPageBreak/>
        <w:t xml:space="preserve">Conservation </w:t>
      </w:r>
      <w:r w:rsidR="002319AB">
        <w:t>A</w:t>
      </w:r>
      <w:r>
        <w:t>dvic</w:t>
      </w:r>
      <w:r w:rsidR="007C5B94">
        <w:t>e</w:t>
      </w:r>
      <w:r>
        <w:t xml:space="preserve"> for </w:t>
      </w:r>
      <w:r w:rsidR="00B16806">
        <w:br/>
      </w:r>
      <w:proofErr w:type="spellStart"/>
      <w:r w:rsidR="00D03483">
        <w:rPr>
          <w:rStyle w:val="Emphasis"/>
        </w:rPr>
        <w:t>Corokia</w:t>
      </w:r>
      <w:proofErr w:type="spellEnd"/>
      <w:r w:rsidR="00D03483">
        <w:rPr>
          <w:rStyle w:val="Emphasis"/>
        </w:rPr>
        <w:t xml:space="preserve"> </w:t>
      </w:r>
      <w:proofErr w:type="spellStart"/>
      <w:r w:rsidR="00D03483">
        <w:rPr>
          <w:rStyle w:val="Emphasis"/>
        </w:rPr>
        <w:t>whiteana</w:t>
      </w:r>
      <w:proofErr w:type="spellEnd"/>
      <w:r w:rsidR="002B01EE">
        <w:t xml:space="preserve"> </w:t>
      </w:r>
    </w:p>
    <w:p w14:paraId="36DF4E05" w14:textId="77777777" w:rsidR="005B3D88" w:rsidRPr="005B3D88" w:rsidRDefault="005B3D88" w:rsidP="005B3D88">
      <w:pPr>
        <w:pStyle w:val="Header"/>
      </w:pPr>
    </w:p>
    <w:p w14:paraId="17BF7151" w14:textId="77777777" w:rsidR="00A7798C" w:rsidRPr="00A7798C" w:rsidRDefault="00F22A63" w:rsidP="00B038DF">
      <w:r>
        <w:rPr>
          <w:noProof/>
        </w:rPr>
        <mc:AlternateContent>
          <mc:Choice Requires="wps">
            <w:drawing>
              <wp:anchor distT="45720" distB="45720" distL="114300" distR="114300" simplePos="0" relativeHeight="251660288" behindDoc="0" locked="0" layoutInCell="1" allowOverlap="1" wp14:anchorId="30E3DC02" wp14:editId="307C071A">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495023" w14:textId="77777777" w:rsidR="00E322AE" w:rsidRDefault="00E322AE"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4F940CC1" w14:textId="77777777" w:rsidR="00E322AE" w:rsidRPr="00683895" w:rsidRDefault="00E322AE" w:rsidP="00683895"/>
                          <w:p w14:paraId="7DBA313C" w14:textId="2D5D227F" w:rsidR="00E322AE" w:rsidRDefault="00E322AE"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w:t>
                            </w:r>
                            <w:r>
                              <w:t xml:space="preserve"> </w:t>
                            </w:r>
                            <w:r w:rsidRPr="004A3350">
                              <w:t>responses to this consultation process.</w:t>
                            </w:r>
                          </w:p>
                          <w:p w14:paraId="6AFFC4ED" w14:textId="6BC36164" w:rsidR="00E322AE" w:rsidRPr="00B038DF" w:rsidRDefault="00E322AE"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132BB4B" w14:textId="77777777" w:rsidR="00E322AE" w:rsidRDefault="00E322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3DC02"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" fillcolor="white [3201]" strokecolor="black [3200]" strokeweight="2pt">
                <v:textbox>
                  <w:txbxContent>
                    <w:p w14:paraId="18495023" w14:textId="77777777" w:rsidR="00E322AE" w:rsidRDefault="00E322AE"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4F940CC1" w14:textId="77777777" w:rsidR="00E322AE" w:rsidRPr="00683895" w:rsidRDefault="00E322AE" w:rsidP="00683895"/>
                    <w:p w14:paraId="7DBA313C" w14:textId="2D5D227F" w:rsidR="00E322AE" w:rsidRDefault="00E322AE"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w:t>
                      </w:r>
                      <w:r>
                        <w:t xml:space="preserve"> </w:t>
                      </w:r>
                      <w:r w:rsidRPr="004A3350">
                        <w:t>responses to this consultation process.</w:t>
                      </w:r>
                    </w:p>
                    <w:p w14:paraId="6AFFC4ED" w14:textId="6BC36164" w:rsidR="00E322AE" w:rsidRPr="00B038DF" w:rsidRDefault="00E322AE"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132BB4B" w14:textId="77777777" w:rsidR="00E322AE" w:rsidRDefault="00E322AE"/>
                  </w:txbxContent>
                </v:textbox>
                <w10:wrap type="square"/>
              </v:shape>
            </w:pict>
          </mc:Fallback>
        </mc:AlternateContent>
      </w:r>
    </w:p>
    <w:p w14:paraId="266AFD74" w14:textId="77777777" w:rsidR="00A7798C" w:rsidRDefault="00A7798C" w:rsidP="00A7798C"/>
    <w:p w14:paraId="718A1A7D" w14:textId="77777777" w:rsidR="00A7798C" w:rsidRDefault="00A7798C" w:rsidP="00A7798C"/>
    <w:p w14:paraId="5A2714F6" w14:textId="77777777" w:rsidR="00A7798C" w:rsidRDefault="00A7798C" w:rsidP="00A7798C"/>
    <w:p w14:paraId="285BFC68" w14:textId="77777777" w:rsidR="00A7798C" w:rsidRPr="00A7798C" w:rsidRDefault="00A7798C" w:rsidP="00B038DF"/>
    <w:p w14:paraId="6BEEEFDB" w14:textId="77777777" w:rsidR="00A14BC6" w:rsidRDefault="00A14BC6" w:rsidP="00E707AE">
      <w:pPr>
        <w:pStyle w:val="Author"/>
      </w:pPr>
    </w:p>
    <w:p w14:paraId="487488BD" w14:textId="77777777" w:rsidR="00A14BC6" w:rsidRDefault="00A14BC6" w:rsidP="00E707AE">
      <w:pPr>
        <w:pStyle w:val="Author"/>
      </w:pPr>
    </w:p>
    <w:p w14:paraId="39AE8EF5" w14:textId="77777777" w:rsidR="00A14BC6" w:rsidRDefault="00A14BC6" w:rsidP="00E707AE">
      <w:pPr>
        <w:pStyle w:val="Author"/>
      </w:pPr>
    </w:p>
    <w:p w14:paraId="78AF0DBD" w14:textId="77777777" w:rsidR="004B38BC" w:rsidRDefault="004B38BC" w:rsidP="00E707AE">
      <w:pPr>
        <w:pStyle w:val="Author"/>
      </w:pPr>
    </w:p>
    <w:p w14:paraId="6EAF0976" w14:textId="77777777" w:rsidR="004B38BC" w:rsidRDefault="004B38BC" w:rsidP="00E707AE">
      <w:pPr>
        <w:pStyle w:val="Author"/>
      </w:pPr>
    </w:p>
    <w:p w14:paraId="2A9AB769" w14:textId="5698BBD6" w:rsidR="0016081E" w:rsidRDefault="0016081E" w:rsidP="001C7420">
      <w:r w:rsidRPr="0016081E">
        <w:t xml:space="preserve">This document combines the </w:t>
      </w:r>
      <w:r w:rsidRPr="009D41D2">
        <w:t xml:space="preserve">approved conservation </w:t>
      </w:r>
      <w:r w:rsidRPr="00565F5A">
        <w:t>advice</w:t>
      </w:r>
      <w:r w:rsidRPr="0016081E">
        <w:t xml:space="preserve"> and listing assessment for the </w:t>
      </w:r>
      <w:r w:rsidRPr="00292620">
        <w:t>species. It provides</w:t>
      </w:r>
      <w:r w:rsidRPr="009D41D2">
        <w:t xml:space="preserve"> a foundation for conservation action and further planning.</w:t>
      </w:r>
    </w:p>
    <w:p w14:paraId="6481DBA4" w14:textId="77777777" w:rsidR="00292620" w:rsidRDefault="00292620" w:rsidP="00292620">
      <w:pPr>
        <w:pStyle w:val="FigureTableNoteSource"/>
      </w:pPr>
      <w:r>
        <w:rPr>
          <w:noProof/>
        </w:rPr>
        <w:drawing>
          <wp:inline distT="0" distB="0" distL="0" distR="0" wp14:anchorId="64D3FCA4" wp14:editId="33900628">
            <wp:extent cx="3380975" cy="253573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3415503" cy="2561627"/>
                    </a:xfrm>
                    <a:prstGeom prst="rect">
                      <a:avLst/>
                    </a:prstGeom>
                  </pic:spPr>
                </pic:pic>
              </a:graphicData>
            </a:graphic>
          </wp:inline>
        </w:drawing>
      </w:r>
      <w:r>
        <w:rPr>
          <w:noProof/>
        </w:rPr>
        <w:drawing>
          <wp:inline distT="0" distB="0" distL="0" distR="0" wp14:anchorId="3748F98F" wp14:editId="059AB24D">
            <wp:extent cx="1953895" cy="254008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1963921" cy="2553119"/>
                    </a:xfrm>
                    <a:prstGeom prst="rect">
                      <a:avLst/>
                    </a:prstGeom>
                  </pic:spPr>
                </pic:pic>
              </a:graphicData>
            </a:graphic>
          </wp:inline>
        </w:drawing>
      </w:r>
    </w:p>
    <w:p w14:paraId="2DD45B18" w14:textId="10DDE03A" w:rsidR="000A6133" w:rsidRPr="000A6133" w:rsidRDefault="00292620" w:rsidP="00E84D66">
      <w:pPr>
        <w:pStyle w:val="FigureTableNoteSource"/>
      </w:pPr>
      <w:bookmarkStart w:id="2" w:name="_Hlk46319602"/>
      <w:proofErr w:type="spellStart"/>
      <w:r w:rsidRPr="00A060E9">
        <w:rPr>
          <w:i/>
        </w:rPr>
        <w:t>Corokia</w:t>
      </w:r>
      <w:proofErr w:type="spellEnd"/>
      <w:r w:rsidRPr="00A060E9">
        <w:rPr>
          <w:i/>
        </w:rPr>
        <w:t xml:space="preserve"> </w:t>
      </w:r>
      <w:proofErr w:type="spellStart"/>
      <w:r w:rsidRPr="00A060E9">
        <w:rPr>
          <w:i/>
        </w:rPr>
        <w:t>whiteana</w:t>
      </w:r>
      <w:proofErr w:type="spellEnd"/>
      <w:r w:rsidRPr="00A060E9">
        <w:rPr>
          <w:i/>
        </w:rPr>
        <w:t xml:space="preserve"> </w:t>
      </w:r>
      <w:r>
        <w:t>flower (left) and fruit (right)</w:t>
      </w:r>
      <w:r w:rsidR="00344617" w:rsidRPr="00292620">
        <w:t xml:space="preserve"> </w:t>
      </w:r>
      <w:r w:rsidR="00A81027" w:rsidRPr="00292620">
        <w:t>©</w:t>
      </w:r>
      <w:r w:rsidR="000A6133" w:rsidRPr="00292620">
        <w:t xml:space="preserve"> Copyright, </w:t>
      </w:r>
      <w:r>
        <w:t xml:space="preserve">M. </w:t>
      </w:r>
      <w:proofErr w:type="spellStart"/>
      <w:r>
        <w:t>Fagg</w:t>
      </w:r>
      <w:proofErr w:type="spellEnd"/>
      <w:r w:rsidR="000A6133" w:rsidRPr="00292620">
        <w:t xml:space="preserve"> (from </w:t>
      </w:r>
      <w:r>
        <w:t>Australian Plant Image Index, Australian National Botanic Gardens</w:t>
      </w:r>
      <w:r w:rsidR="000A6133" w:rsidRPr="00292620">
        <w:t>)</w:t>
      </w:r>
      <w:r>
        <w:t>.</w:t>
      </w:r>
      <w:r w:rsidR="000A6133">
        <w:t xml:space="preserve"> </w:t>
      </w:r>
    </w:p>
    <w:bookmarkEnd w:id="2"/>
    <w:p w14:paraId="46B7818F" w14:textId="77777777" w:rsidR="006D3581" w:rsidRPr="00AC3A2A" w:rsidRDefault="006D3581" w:rsidP="006D3581">
      <w:pPr>
        <w:pStyle w:val="Heading2"/>
        <w:ind w:left="720" w:hanging="720"/>
      </w:pPr>
      <w:r>
        <w:t>Conservation status</w:t>
      </w:r>
    </w:p>
    <w:p w14:paraId="4B40D927" w14:textId="05C72676" w:rsidR="00E61E77" w:rsidRPr="00846BD0" w:rsidRDefault="00292620" w:rsidP="00B86BDB">
      <w:pPr>
        <w:pStyle w:val="Consultationtext"/>
        <w:rPr>
          <w:color w:val="auto"/>
        </w:rPr>
      </w:pPr>
      <w:proofErr w:type="spellStart"/>
      <w:r w:rsidRPr="00846BD0">
        <w:rPr>
          <w:rStyle w:val="Emphasis"/>
          <w:color w:val="auto"/>
        </w:rPr>
        <w:t>Corokia</w:t>
      </w:r>
      <w:proofErr w:type="spellEnd"/>
      <w:r w:rsidRPr="00846BD0">
        <w:rPr>
          <w:rStyle w:val="Emphasis"/>
          <w:color w:val="auto"/>
        </w:rPr>
        <w:t xml:space="preserve"> </w:t>
      </w:r>
      <w:proofErr w:type="spellStart"/>
      <w:r w:rsidRPr="00846BD0">
        <w:rPr>
          <w:rStyle w:val="Emphasis"/>
          <w:color w:val="auto"/>
        </w:rPr>
        <w:t>whiteana</w:t>
      </w:r>
      <w:proofErr w:type="spellEnd"/>
      <w:r w:rsidR="008B1DB2" w:rsidRPr="00846BD0">
        <w:rPr>
          <w:color w:val="auto"/>
        </w:rPr>
        <w:t xml:space="preserve"> </w:t>
      </w:r>
      <w:r w:rsidR="00E61E77" w:rsidRPr="00846BD0">
        <w:rPr>
          <w:color w:val="auto"/>
        </w:rPr>
        <w:t xml:space="preserve">is proposed to be </w:t>
      </w:r>
      <w:r w:rsidR="002A0B5E" w:rsidRPr="00846BD0">
        <w:rPr>
          <w:color w:val="auto"/>
        </w:rPr>
        <w:t xml:space="preserve">transferred </w:t>
      </w:r>
      <w:r w:rsidR="00E61E77" w:rsidRPr="00846BD0">
        <w:rPr>
          <w:color w:val="auto"/>
        </w:rPr>
        <w:t>from th</w:t>
      </w:r>
      <w:bookmarkStart w:id="3" w:name="_Hlk57798064"/>
      <w:r w:rsidR="00251F5A" w:rsidRPr="00846BD0">
        <w:rPr>
          <w:color w:val="auto"/>
        </w:rPr>
        <w:t>e</w:t>
      </w:r>
      <w:r w:rsidR="00E83AA3" w:rsidRPr="00846BD0">
        <w:rPr>
          <w:color w:val="auto"/>
        </w:rPr>
        <w:t xml:space="preserve"> </w:t>
      </w:r>
      <w:sdt>
        <w:sdtPr>
          <w:rPr>
            <w:color w:val="auto"/>
          </w:rPr>
          <w:id w:val="-720434868"/>
          <w:placeholder>
            <w:docPart w:val="DA073CB6497D0C4EB3F21BAD62170471"/>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4E09C6" w:rsidRPr="00846BD0">
            <w:rPr>
              <w:color w:val="auto"/>
            </w:rPr>
            <w:t>Vulnerable</w:t>
          </w:r>
        </w:sdtContent>
      </w:sdt>
      <w:bookmarkEnd w:id="3"/>
      <w:r w:rsidR="00E83AA3" w:rsidRPr="00846BD0">
        <w:rPr>
          <w:color w:val="auto"/>
        </w:rPr>
        <w:t xml:space="preserve"> </w:t>
      </w:r>
      <w:r w:rsidR="00E61E77" w:rsidRPr="00846BD0">
        <w:rPr>
          <w:color w:val="auto"/>
        </w:rPr>
        <w:t xml:space="preserve">category </w:t>
      </w:r>
      <w:r w:rsidR="00A876F6" w:rsidRPr="00846BD0">
        <w:rPr>
          <w:color w:val="auto"/>
        </w:rPr>
        <w:t xml:space="preserve">to the </w:t>
      </w:r>
      <w:sdt>
        <w:sdtPr>
          <w:rPr>
            <w:color w:val="auto"/>
          </w:rPr>
          <w:id w:val="454379346"/>
          <w:placeholder>
            <w:docPart w:val="4541BB77E21D114DB7F6362E3C7481B1"/>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4E09C6" w:rsidRPr="00846BD0">
            <w:rPr>
              <w:color w:val="auto"/>
            </w:rPr>
            <w:t>Endangered</w:t>
          </w:r>
        </w:sdtContent>
      </w:sdt>
      <w:r w:rsidR="00A876F6" w:rsidRPr="00846BD0">
        <w:rPr>
          <w:color w:val="auto"/>
        </w:rPr>
        <w:t xml:space="preserve"> category </w:t>
      </w:r>
      <w:r w:rsidR="00E61E77" w:rsidRPr="00846BD0">
        <w:rPr>
          <w:color w:val="auto"/>
        </w:rPr>
        <w:t xml:space="preserve">of the threatened species list under the </w:t>
      </w:r>
      <w:r w:rsidR="00E61E77" w:rsidRPr="00846BD0">
        <w:rPr>
          <w:rStyle w:val="Emphasis"/>
          <w:color w:val="auto"/>
        </w:rPr>
        <w:t>Environment Protection and Biodiversity Conservation Act 1999.</w:t>
      </w:r>
    </w:p>
    <w:p w14:paraId="704DDF35" w14:textId="7EBCEE62" w:rsidR="004D2790" w:rsidRDefault="00292620" w:rsidP="004D2790">
      <w:proofErr w:type="spellStart"/>
      <w:r w:rsidRPr="00324EB5">
        <w:rPr>
          <w:rStyle w:val="Emphasis"/>
        </w:rPr>
        <w:t>Corokia</w:t>
      </w:r>
      <w:proofErr w:type="spellEnd"/>
      <w:r w:rsidRPr="00324EB5">
        <w:rPr>
          <w:rStyle w:val="Emphasis"/>
        </w:rPr>
        <w:t xml:space="preserve"> </w:t>
      </w:r>
      <w:proofErr w:type="spellStart"/>
      <w:r w:rsidRPr="00324EB5">
        <w:rPr>
          <w:rStyle w:val="Emphasis"/>
        </w:rPr>
        <w:t>whiteana</w:t>
      </w:r>
      <w:proofErr w:type="spellEnd"/>
      <w:r w:rsidR="004D2790" w:rsidRPr="00324EB5">
        <w:t xml:space="preserve"> was assessed by the Threatened Species Scientific Committee</w:t>
      </w:r>
      <w:r w:rsidR="005306BA" w:rsidRPr="00324EB5">
        <w:t xml:space="preserve"> to </w:t>
      </w:r>
      <w:r w:rsidR="0096495B">
        <w:t xml:space="preserve">be </w:t>
      </w:r>
      <w:r w:rsidR="00FA0C5B" w:rsidRPr="00324EB5">
        <w:t>eligible</w:t>
      </w:r>
      <w:r w:rsidRPr="00324EB5">
        <w:t xml:space="preserve"> </w:t>
      </w:r>
      <w:r w:rsidR="005306BA" w:rsidRPr="00324EB5">
        <w:t>for listing</w:t>
      </w:r>
      <w:r w:rsidR="001573B8" w:rsidRPr="00324EB5">
        <w:t xml:space="preserve"> </w:t>
      </w:r>
      <w:r w:rsidR="005306BA" w:rsidRPr="00324EB5">
        <w:t xml:space="preserve">as </w:t>
      </w:r>
      <w:sdt>
        <w:sdtPr>
          <w:id w:val="257643898"/>
          <w:placeholder>
            <w:docPart w:val="6B2DF2B8A4DBB44BAB4CF14CA3F5D3BE"/>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4E09C6">
            <w:t>Endangered</w:t>
          </w:r>
        </w:sdtContent>
      </w:sdt>
      <w:r w:rsidR="005306BA" w:rsidRPr="00324EB5">
        <w:t xml:space="preserve"> </w:t>
      </w:r>
      <w:r w:rsidR="004D2790" w:rsidRPr="00324EB5">
        <w:t>under criteri</w:t>
      </w:r>
      <w:r w:rsidR="00F00EF6">
        <w:t>on</w:t>
      </w:r>
      <w:r w:rsidR="00324EB5" w:rsidRPr="00324EB5">
        <w:t xml:space="preserve"> </w:t>
      </w:r>
      <w:r w:rsidR="00324EB5">
        <w:t>2</w:t>
      </w:r>
      <w:r w:rsidR="004D2790" w:rsidRPr="00324EB5">
        <w:t>. The Committee’s assessment</w:t>
      </w:r>
      <w:r w:rsidR="004D2790">
        <w:t xml:space="preserve"> is at Attachment A</w:t>
      </w:r>
      <w:r w:rsidR="00972E40">
        <w:t xml:space="preserve">. </w:t>
      </w:r>
      <w:r w:rsidR="004D2790">
        <w:t>The Committee</w:t>
      </w:r>
      <w:r w:rsidR="003B2A51">
        <w:t>’s</w:t>
      </w:r>
      <w:r w:rsidR="004D2790">
        <w:t xml:space="preserve"> </w:t>
      </w:r>
      <w:r w:rsidR="004D2790" w:rsidRPr="009638AE">
        <w:t>assessment</w:t>
      </w:r>
      <w:r w:rsidR="004D2790">
        <w:t xml:space="preserve"> of the species</w:t>
      </w:r>
      <w:r w:rsidR="009468FD">
        <w:t>’</w:t>
      </w:r>
      <w:r w:rsidR="004D2790">
        <w:t xml:space="preserve"> eligibility against each of the listing criteria is:</w:t>
      </w:r>
    </w:p>
    <w:p w14:paraId="187DC74E" w14:textId="53075032" w:rsidR="004D2790" w:rsidRDefault="004D2790" w:rsidP="004D2790">
      <w:pPr>
        <w:pStyle w:val="ListBullet"/>
      </w:pPr>
      <w:r>
        <w:lastRenderedPageBreak/>
        <w:t xml:space="preserve">Criterion 1: </w:t>
      </w:r>
      <w:sdt>
        <w:sdtPr>
          <w:id w:val="77107183"/>
          <w:placeholder>
            <w:docPart w:val="6DC063205B898943AAB25A93BECB4B0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4E09C6">
            <w:t>Insufficient data</w:t>
          </w:r>
        </w:sdtContent>
      </w:sdt>
    </w:p>
    <w:p w14:paraId="2C53C956" w14:textId="2EFFC218" w:rsidR="004D2790" w:rsidRDefault="004D2790" w:rsidP="004D2790">
      <w:pPr>
        <w:pStyle w:val="ListBullet"/>
      </w:pPr>
      <w:r>
        <w:t xml:space="preserve">Criterion 2: </w:t>
      </w:r>
      <w:r w:rsidRPr="00324EB5">
        <w:t>B1</w:t>
      </w:r>
      <w:r w:rsidR="00903833" w:rsidRPr="00324EB5">
        <w:t>ab(</w:t>
      </w:r>
      <w:proofErr w:type="spellStart"/>
      <w:proofErr w:type="gramStart"/>
      <w:r w:rsidR="00903833" w:rsidRPr="00324EB5">
        <w:t>i,ii</w:t>
      </w:r>
      <w:proofErr w:type="gramEnd"/>
      <w:r w:rsidR="00903833" w:rsidRPr="00324EB5">
        <w:t>,iii,iv,v</w:t>
      </w:r>
      <w:proofErr w:type="spellEnd"/>
      <w:r w:rsidR="00903833" w:rsidRPr="00324EB5">
        <w:t>)</w:t>
      </w:r>
      <w:r w:rsidR="002C0D0D" w:rsidRPr="00324EB5">
        <w:t xml:space="preserve"> </w:t>
      </w:r>
      <w:r w:rsidR="00903833" w:rsidRPr="00324EB5">
        <w:t>+</w:t>
      </w:r>
      <w:r w:rsidRPr="00324EB5">
        <w:t>2</w:t>
      </w:r>
      <w:r w:rsidR="006D6C77" w:rsidRPr="00324EB5">
        <w:t>a</w:t>
      </w:r>
      <w:r w:rsidRPr="00324EB5">
        <w:t>b(</w:t>
      </w:r>
      <w:proofErr w:type="spellStart"/>
      <w:r w:rsidR="00903833" w:rsidRPr="00324EB5">
        <w:t>i</w:t>
      </w:r>
      <w:r w:rsidR="006D6C77" w:rsidRPr="00324EB5">
        <w:t>,ii,iii,iv,v</w:t>
      </w:r>
      <w:proofErr w:type="spellEnd"/>
      <w:r w:rsidRPr="00196365">
        <w:t>)</w:t>
      </w:r>
      <w:r w:rsidR="00D17C18" w:rsidRPr="00196365">
        <w:t>:</w:t>
      </w:r>
      <w:r w:rsidR="00A85421" w:rsidRPr="00196365">
        <w:t xml:space="preserve"> </w:t>
      </w:r>
      <w:sdt>
        <w:sdtPr>
          <w:id w:val="-1042367401"/>
          <w:placeholder>
            <w:docPart w:val="BC126BA3C3BABC4C87E79D4574038FC5"/>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4E09C6">
            <w:t>Endangered</w:t>
          </w:r>
        </w:sdtContent>
      </w:sdt>
    </w:p>
    <w:p w14:paraId="255FC574" w14:textId="55E43A20" w:rsidR="004D2790" w:rsidRDefault="004D2790" w:rsidP="004D2790">
      <w:pPr>
        <w:pStyle w:val="ListBullet"/>
      </w:pPr>
      <w:r>
        <w:t>Criterion 3:</w:t>
      </w:r>
      <w:r w:rsidR="008B00FB" w:rsidRPr="008B00FB">
        <w:t xml:space="preserve"> </w:t>
      </w:r>
      <w:sdt>
        <w:sdtPr>
          <w:id w:val="-151294044"/>
          <w:placeholder>
            <w:docPart w:val="02CDD49AD7EE91419E04D29919F2674F"/>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4E09C6">
            <w:t>Insufficient data</w:t>
          </w:r>
        </w:sdtContent>
      </w:sdt>
    </w:p>
    <w:p w14:paraId="6626CB7B" w14:textId="023D2317" w:rsidR="002E32CA" w:rsidRDefault="004D2790" w:rsidP="004D2790">
      <w:pPr>
        <w:pStyle w:val="ListBullet"/>
      </w:pPr>
      <w:r>
        <w:t xml:space="preserve">Criterion 4: </w:t>
      </w:r>
      <w:sdt>
        <w:sdtPr>
          <w:id w:val="-2084978900"/>
          <w:placeholder>
            <w:docPart w:val="7F27D96A1F95044C98B638F9CF9F982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4E09C6">
            <w:t>Vulnerable</w:t>
          </w:r>
        </w:sdtContent>
      </w:sdt>
    </w:p>
    <w:p w14:paraId="68658722" w14:textId="76859512" w:rsidR="005306BA" w:rsidRDefault="004D2790" w:rsidP="003A06CA">
      <w:pPr>
        <w:pStyle w:val="ListBullet"/>
      </w:pPr>
      <w:r>
        <w:t xml:space="preserve">Criterion 5: </w:t>
      </w:r>
      <w:sdt>
        <w:sdtPr>
          <w:id w:val="1205373663"/>
          <w:placeholder>
            <w:docPart w:val="17F6C0BAC5B4F94ABA3B6511240F2526"/>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E09C6">
            <w:t>Insufficient data</w:t>
          </w:r>
        </w:sdtContent>
      </w:sdt>
    </w:p>
    <w:p w14:paraId="19FE1086" w14:textId="1C2B67C5" w:rsidR="00C116F9" w:rsidRDefault="004D2790" w:rsidP="005306BA">
      <w:r>
        <w:t xml:space="preserve">The main factors that make the species </w:t>
      </w:r>
      <w:r w:rsidRPr="00324EB5">
        <w:t>eligible for listing</w:t>
      </w:r>
      <w:r>
        <w:t xml:space="preserve"> in the </w:t>
      </w:r>
      <w:sdt>
        <w:sdtPr>
          <w:id w:val="-775248640"/>
          <w:placeholder>
            <w:docPart w:val="8815C20C6369AA47BA96AEE28EE4F2E9"/>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4E09C6">
            <w:t>Endangered</w:t>
          </w:r>
        </w:sdtContent>
      </w:sdt>
      <w:r w:rsidR="00624A10">
        <w:t xml:space="preserve"> </w:t>
      </w:r>
      <w:r>
        <w:t xml:space="preserve">category </w:t>
      </w:r>
      <w:proofErr w:type="gramStart"/>
      <w:r>
        <w:t>are</w:t>
      </w:r>
      <w:proofErr w:type="gramEnd"/>
      <w:r w:rsidR="00324EB5">
        <w:t xml:space="preserve"> the restricted geographic distribution in both extent of occurrence</w:t>
      </w:r>
      <w:r w:rsidR="00324EB5" w:rsidRPr="00324EB5">
        <w:t xml:space="preserve"> </w:t>
      </w:r>
      <w:r w:rsidR="00324EB5">
        <w:t xml:space="preserve">(EOO) and area of occupancy (AOO), </w:t>
      </w:r>
      <w:r w:rsidR="006E4B81">
        <w:t xml:space="preserve">a </w:t>
      </w:r>
      <w:r w:rsidR="00324EB5">
        <w:t>severely fragmented population and projected future decline in EOO, AOO, quality of habitat, number of s</w:t>
      </w:r>
      <w:r w:rsidR="00020F55">
        <w:t>ubpopulations</w:t>
      </w:r>
      <w:r w:rsidR="0096495B">
        <w:t xml:space="preserve"> </w:t>
      </w:r>
      <w:r w:rsidR="00324EB5">
        <w:t xml:space="preserve">and number of mature individuals. </w:t>
      </w:r>
    </w:p>
    <w:p w14:paraId="41B33D23"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2" w:history="1">
        <w:r w:rsidR="00624A10" w:rsidRPr="00624A10">
          <w:rPr>
            <w:rStyle w:val="Hyperlink"/>
          </w:rPr>
          <w:t>Species Profile and Threat Database</w:t>
        </w:r>
      </w:hyperlink>
      <w:r w:rsidR="00624A10">
        <w:t>.</w:t>
      </w:r>
    </w:p>
    <w:p w14:paraId="143D49E0" w14:textId="77777777" w:rsidR="006D3581" w:rsidRDefault="006D3581" w:rsidP="006D3581">
      <w:pPr>
        <w:pStyle w:val="Heading2"/>
        <w:ind w:left="720" w:hanging="720"/>
      </w:pPr>
      <w:r>
        <w:t>Species information</w:t>
      </w:r>
    </w:p>
    <w:p w14:paraId="0E47C7E8" w14:textId="77777777" w:rsidR="006D3581" w:rsidRDefault="006D3581" w:rsidP="00476948">
      <w:pPr>
        <w:pStyle w:val="Heading3"/>
      </w:pPr>
      <w:r>
        <w:t>Taxonomy</w:t>
      </w:r>
    </w:p>
    <w:p w14:paraId="2CFA8325" w14:textId="030CCBFC" w:rsidR="00292620" w:rsidRPr="009D7E68" w:rsidRDefault="00292620" w:rsidP="00292620">
      <w:bookmarkStart w:id="4" w:name="_Hlk46319676"/>
      <w:bookmarkStart w:id="5" w:name="_Ref445985062"/>
      <w:bookmarkStart w:id="6" w:name="_Toc409769199"/>
      <w:bookmarkStart w:id="7" w:name="_Toc454439316"/>
      <w:r w:rsidRPr="009D7E68">
        <w:t xml:space="preserve">Conventionally accepted as </w:t>
      </w:r>
      <w:proofErr w:type="spellStart"/>
      <w:r>
        <w:rPr>
          <w:rStyle w:val="Emphasis"/>
        </w:rPr>
        <w:t>Corokia</w:t>
      </w:r>
      <w:proofErr w:type="spellEnd"/>
      <w:r>
        <w:rPr>
          <w:rStyle w:val="Emphasis"/>
        </w:rPr>
        <w:t xml:space="preserve"> </w:t>
      </w:r>
      <w:proofErr w:type="spellStart"/>
      <w:r>
        <w:rPr>
          <w:rStyle w:val="Emphasis"/>
        </w:rPr>
        <w:t>whiteana</w:t>
      </w:r>
      <w:proofErr w:type="spellEnd"/>
      <w:r w:rsidRPr="009D7E68">
        <w:t xml:space="preserve"> </w:t>
      </w:r>
      <w:proofErr w:type="spellStart"/>
      <w:r>
        <w:t>L.S.S</w:t>
      </w:r>
      <w:r w:rsidR="27A749FF">
        <w:t>m</w:t>
      </w:r>
      <w:r w:rsidR="00CC6BE6">
        <w:t>ith</w:t>
      </w:r>
      <w:proofErr w:type="spellEnd"/>
      <w:r w:rsidRPr="009D7E68">
        <w:t xml:space="preserve"> </w:t>
      </w:r>
      <w:r>
        <w:fldChar w:fldCharType="begin" w:fldLock="1"/>
      </w:r>
      <w:r>
        <w:instrText>ADDIN CSL_CITATION {"citationItems":[{"id":"ITEM-1","itemData":{"abstract":"NEW SOUTH WALES.– Whian Whian, N. of Lismore, ... L.S. Smith &amp; L.J. Webb 5125 (Dec. 1953-fl. &amp; young fr.-TYPE)","author":[{"dropping-particle":"","family":"Smith","given":"L S","non-dropping-particle":"","parse-names":false,"suffix":""}],"container-title":"Proceedings of the Royal Society of Queensland","id":"ITEM-1","issued":{"date-parts":[["1958"]]},"page":"53","title":"Corokia A. Cunn. An addition to the Australian genera of Saxifragaceae.","type":"article-journal","volume":"69"},"suppress-author":1,"uris":["http://www.mendeley.com/documents/?uuid=5a7f19c6-f250-4cae-a353-02fe37bb636a"]}],"mendeley":{"formattedCitation":"(1958)","plainTextFormattedCitation":"(1958)","previouslyFormattedCitation":"(1958)"},"properties":{"noteIndex":0},"schema":"https://github.com/citation-style-language/schema/raw/master/csl-citation.json"}</w:instrText>
      </w:r>
      <w:r>
        <w:fldChar w:fldCharType="separate"/>
      </w:r>
      <w:r w:rsidRPr="00F02F61">
        <w:rPr>
          <w:noProof/>
        </w:rPr>
        <w:t>(1958)</w:t>
      </w:r>
      <w:r>
        <w:fldChar w:fldCharType="end"/>
      </w:r>
      <w:r>
        <w:t xml:space="preserve"> and belongs to the family </w:t>
      </w:r>
      <w:proofErr w:type="spellStart"/>
      <w:r>
        <w:t>Argophyllaceae</w:t>
      </w:r>
      <w:proofErr w:type="spellEnd"/>
      <w:r>
        <w:t xml:space="preserve">. </w:t>
      </w:r>
    </w:p>
    <w:bookmarkEnd w:id="4"/>
    <w:p w14:paraId="743457A8" w14:textId="77777777" w:rsidR="008064B3" w:rsidRPr="008064B3" w:rsidRDefault="008064B3" w:rsidP="008064B3">
      <w:pPr>
        <w:pStyle w:val="Heading3"/>
      </w:pPr>
      <w:r w:rsidRPr="008064B3">
        <w:t>Description</w:t>
      </w:r>
    </w:p>
    <w:p w14:paraId="6C99B27A" w14:textId="46C97FDE" w:rsidR="00292620" w:rsidRDefault="00292620" w:rsidP="00292620">
      <w:proofErr w:type="spellStart"/>
      <w:r w:rsidRPr="00A060E9">
        <w:rPr>
          <w:i/>
          <w:u w:val="single"/>
        </w:rPr>
        <w:t>Corokia</w:t>
      </w:r>
      <w:proofErr w:type="spellEnd"/>
      <w:r w:rsidRPr="00A060E9">
        <w:rPr>
          <w:i/>
          <w:u w:val="single"/>
        </w:rPr>
        <w:t xml:space="preserve"> </w:t>
      </w:r>
      <w:proofErr w:type="spellStart"/>
      <w:r w:rsidR="62B48DCA" w:rsidRPr="00A060E9">
        <w:rPr>
          <w:i/>
          <w:iCs/>
          <w:u w:val="single"/>
        </w:rPr>
        <w:t>whiteana</w:t>
      </w:r>
      <w:proofErr w:type="spellEnd"/>
      <w:r w:rsidR="62B48DCA">
        <w:t xml:space="preserve"> </w:t>
      </w:r>
      <w:r>
        <w:t xml:space="preserve">is a </w:t>
      </w:r>
      <w:r w:rsidR="004E09C6">
        <w:t xml:space="preserve">sparse </w:t>
      </w:r>
      <w:r>
        <w:t>shrub</w:t>
      </w:r>
      <w:r w:rsidR="007A0ECA">
        <w:t>,</w:t>
      </w:r>
      <w:r>
        <w:t xml:space="preserve"> recorded to </w:t>
      </w:r>
      <w:r w:rsidR="004E09C6">
        <w:t xml:space="preserve">four meters </w:t>
      </w:r>
      <w:r>
        <w:t>high (</w:t>
      </w:r>
      <w:proofErr w:type="spellStart"/>
      <w:r>
        <w:t>PlantNET</w:t>
      </w:r>
      <w:proofErr w:type="spellEnd"/>
      <w:r>
        <w:t xml:space="preserve"> 1992), </w:t>
      </w:r>
      <w:r w:rsidR="0EA635F2">
        <w:t>al</w:t>
      </w:r>
      <w:r>
        <w:t xml:space="preserve">though more often is between 2–3 m high (Robert </w:t>
      </w:r>
      <w:proofErr w:type="spellStart"/>
      <w:r>
        <w:t>Kooyman</w:t>
      </w:r>
      <w:proofErr w:type="spellEnd"/>
      <w:r>
        <w:t xml:space="preserve"> &amp; Andrew </w:t>
      </w:r>
      <w:proofErr w:type="spellStart"/>
      <w:r>
        <w:t>Benwell</w:t>
      </w:r>
      <w:proofErr w:type="spellEnd"/>
      <w:r>
        <w:t xml:space="preserve"> </w:t>
      </w:r>
      <w:r w:rsidR="00971C10">
        <w:t>2021. pers</w:t>
      </w:r>
      <w:r>
        <w:t xml:space="preserve"> comm. 28 July). New growth is scattered with T-shaped hairs, which </w:t>
      </w:r>
      <w:r w:rsidR="007A0ECA">
        <w:t>are</w:t>
      </w:r>
      <w:r>
        <w:t xml:space="preserve"> lost with age. Leaves are </w:t>
      </w:r>
      <w:r w:rsidR="00020F55">
        <w:t>shiny</w:t>
      </w:r>
      <w:r>
        <w:t xml:space="preserve"> on the upper surface and oblong-lanceolate in shape. Leaves are 2–7 cm long and 6–20 mm wide. The margins of the leaves are entire, but some may have 1–3 coarse teeth. The cream-coloured flowers appear in spring and summer; they are scented, usually </w:t>
      </w:r>
      <w:r w:rsidR="007A0ECA">
        <w:t xml:space="preserve">have </w:t>
      </w:r>
      <w:r>
        <w:t xml:space="preserve">four petals each 5 mm long. The fleshy red fruit are ovoid in shape, 8–12 mm long and 3–5 mm in diameter. Each fruit has a single spindle-shaped seed </w:t>
      </w:r>
      <w:r>
        <w:fldChar w:fldCharType="begin" w:fldLock="1"/>
      </w:r>
      <w:r>
        <w:instrText>ADDIN CSL_CITATION {"citationItems":[{"id":"ITEM-1","itemData":{"URL":"https://plantnet.rbgsyd.nsw.gov.au/cgi-bin/NSWfl.pl?page=nswfl&amp;lvl=sp&amp;name=Corokia~whiteana","accessed":{"date-parts":[["2021","7","7"]]},"author":[{"dropping-particle":"","family":"PlantNET","given":"","non-dropping-particle":"","parse-names":false,"suffix":""}],"id":"ITEM-1","issued":{"date-parts":[["1992"]]},"title":"New South Wales Flora Online. Corokia whiteana L.S.Sm.","type":"webpage"},"uris":["http://www.mendeley.com/documents/?uuid=f5235141-d224-4123-a8da-213f16ed30c4"]}],"mendeley":{"formattedCitation":"(PlantNET 1992)","plainTextFormattedCitation":"(PlantNET 1992)","previouslyFormattedCitation":"(PlantNET 1992)"},"properties":{"noteIndex":0},"schema":"https://github.com/citation-style-language/schema/raw/master/csl-citation.json"}</w:instrText>
      </w:r>
      <w:r>
        <w:fldChar w:fldCharType="separate"/>
      </w:r>
      <w:r w:rsidRPr="00B9610F">
        <w:rPr>
          <w:noProof/>
        </w:rPr>
        <w:t>(PlantNET 1992)</w:t>
      </w:r>
      <w:r>
        <w:fldChar w:fldCharType="end"/>
      </w:r>
      <w:r>
        <w:t xml:space="preserve">. </w:t>
      </w:r>
    </w:p>
    <w:p w14:paraId="33A9D059" w14:textId="37EBBF12" w:rsidR="00E13A6A" w:rsidRDefault="00E13A6A" w:rsidP="00292620">
      <w:r>
        <w:t xml:space="preserve">Six divergent </w:t>
      </w:r>
      <w:proofErr w:type="spellStart"/>
      <w:r w:rsidRPr="00343720">
        <w:rPr>
          <w:i/>
          <w:iCs/>
        </w:rPr>
        <w:t>Corokia</w:t>
      </w:r>
      <w:proofErr w:type="spellEnd"/>
      <w:r>
        <w:t xml:space="preserve"> species occur on several isolated South Pacific Islands </w:t>
      </w:r>
      <w:r>
        <w:fldChar w:fldCharType="begin" w:fldLock="1"/>
      </w:r>
      <w:r>
        <w:instrText>ADDIN CSL_CITATION {"citationItems":[{"id":"ITEM-1","itemData":{"DOI":"10.1080/0028825X.1994.10410481","ISSN":"11758643","abstract":"Corokia cotoneaster (Escalloniaceae) is an evergreen, divaricating shrub endemic to New Zealand. Although it has small, simple, open flowers and is neither dichogamous nor markedly herko-gamous, the pollination system exhibits some specialised features. C. cotoneaster is visited by a wide range of insects, but a single species of native bee appears to be the effective pollinator. In addition, C. cotoneaster is self-incompatible, an unusual condition in the New Zealand flora. It is suggested that the divaricating habit may impose particular constraints on the reproductive biology of this and other species. © 1994 Taylor &amp; Francis Group, LLC.","author":[{"dropping-particle":"","family":"Webb","given":"C. J.","non-dropping-particle":"","parse-names":false,"suffix":""}],"container-title":"New Zealand Journal of Botany","id":"ITEM-1","issue":"3","issued":{"date-parts":[["1994"]]},"page":"385-392","title":"Pollination, self-incompatibility, and fruit production in corokia cotoneaster (escalloniaceae)","type":"article-journal","volume":"32"},"uris":["http://www.mendeley.com/documents/?uuid=9274ef18-2db5-4103-b215-550451a8b5ab"]}],"mendeley":{"formattedCitation":"(Webb 1994)","plainTextFormattedCitation":"(Webb 1994)","previouslyFormattedCitation":"(Webb 1994)"},"properties":{"noteIndex":0},"schema":"https://github.com/citation-style-language/schema/raw/master/csl-citation.json"}</w:instrText>
      </w:r>
      <w:r>
        <w:fldChar w:fldCharType="separate"/>
      </w:r>
      <w:r w:rsidRPr="00075867">
        <w:rPr>
          <w:noProof/>
        </w:rPr>
        <w:t>(Webb 1994)</w:t>
      </w:r>
      <w:r>
        <w:fldChar w:fldCharType="end"/>
      </w:r>
      <w:r>
        <w:t xml:space="preserve">. For this reason, dispersal mechanisms, evolutionary divergence, and taxonomic placement of the </w:t>
      </w:r>
      <w:proofErr w:type="spellStart"/>
      <w:r w:rsidRPr="00343720">
        <w:rPr>
          <w:i/>
          <w:iCs/>
        </w:rPr>
        <w:t>Corokia</w:t>
      </w:r>
      <w:proofErr w:type="spellEnd"/>
      <w:r>
        <w:t xml:space="preserve"> species are of scientific interest. </w:t>
      </w:r>
    </w:p>
    <w:p w14:paraId="6E1D8A4C" w14:textId="77777777" w:rsidR="008064B3" w:rsidRPr="008064B3" w:rsidRDefault="008064B3" w:rsidP="008064B3">
      <w:pPr>
        <w:pStyle w:val="Heading3"/>
      </w:pPr>
      <w:r w:rsidRPr="008064B3">
        <w:t>Distribution</w:t>
      </w:r>
    </w:p>
    <w:p w14:paraId="4849A9CF" w14:textId="37D8660B" w:rsidR="00D16408" w:rsidRPr="00D16408" w:rsidRDefault="00D16408" w:rsidP="00D16408">
      <w:proofErr w:type="spellStart"/>
      <w:r w:rsidRPr="00A060E9">
        <w:rPr>
          <w:i/>
        </w:rPr>
        <w:t>Corokia</w:t>
      </w:r>
      <w:proofErr w:type="spellEnd"/>
      <w:r w:rsidRPr="00A060E9">
        <w:rPr>
          <w:i/>
        </w:rPr>
        <w:t xml:space="preserve"> </w:t>
      </w:r>
      <w:proofErr w:type="spellStart"/>
      <w:r w:rsidRPr="00A060E9">
        <w:rPr>
          <w:i/>
          <w:iCs/>
        </w:rPr>
        <w:t>whiteana</w:t>
      </w:r>
      <w:proofErr w:type="spellEnd"/>
      <w:r>
        <w:t xml:space="preserve"> is restricted to north-east NSW between Upper </w:t>
      </w:r>
      <w:proofErr w:type="spellStart"/>
      <w:r>
        <w:t>Duroby</w:t>
      </w:r>
      <w:proofErr w:type="spellEnd"/>
      <w:r>
        <w:t xml:space="preserve"> in the north to nearby The Channon in the south (see Table 1, Figure 1). </w:t>
      </w:r>
      <w:r w:rsidRPr="006E4B81">
        <w:t xml:space="preserve"> </w:t>
      </w:r>
      <w:proofErr w:type="spellStart"/>
      <w:r w:rsidRPr="00D16408">
        <w:rPr>
          <w:i/>
          <w:iCs/>
        </w:rPr>
        <w:t>Corokia</w:t>
      </w:r>
      <w:proofErr w:type="spellEnd"/>
      <w:r w:rsidRPr="00D16408">
        <w:rPr>
          <w:i/>
          <w:iCs/>
        </w:rPr>
        <w:t xml:space="preserve"> </w:t>
      </w:r>
      <w:proofErr w:type="spellStart"/>
      <w:r w:rsidRPr="00D16408">
        <w:rPr>
          <w:i/>
          <w:iCs/>
        </w:rPr>
        <w:t>whiteana</w:t>
      </w:r>
      <w:proofErr w:type="spellEnd"/>
      <w:r w:rsidRPr="00D16408">
        <w:t xml:space="preserve"> does not occur in stands and individuals are sparsely distributed (Justin Mallee 2021. pers comm. 27 July) and are in low abundance </w:t>
      </w:r>
      <w:r w:rsidRPr="00D16408">
        <w:fldChar w:fldCharType="begin" w:fldLock="1"/>
      </w:r>
      <w:r w:rsidRPr="00D16408">
        <w:instrText>ADDIN CSL_CITATION {"citationItems":[{"id":"ITEM-1","itemData":{"author":[{"dropping-particle":"","family":"Quinn","given":"F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…","id":"ITEM-1","issued":{"date-parts":[["1995"]]},"publisher-place":"Armidale","title":"Report on rare and threatened plants of north-eastern New South Wales","type":"report"},"uris":["http://www.mendeley.com/documents/?uuid=901a8ae7-005e-4e02-a45f-8221872b0c0c"]}],"mendeley":{"formattedCitation":"(Quinn et al. 1995)","manualFormatting":"((&lt;12, Quinn et al. 1995)","plainTextFormattedCitation":"(Quinn et al. 1995)","previouslyFormattedCitation":"(Quinn et al. 1995)"},"properties":{"noteIndex":0},"schema":"https://github.com/citation-style-language/schema/raw/master/csl-citation.json"}</w:instrText>
      </w:r>
      <w:r w:rsidRPr="00D16408">
        <w:fldChar w:fldCharType="separate"/>
      </w:r>
      <w:r w:rsidRPr="00D16408">
        <w:rPr>
          <w:noProof/>
        </w:rPr>
        <w:t>(</w:t>
      </w:r>
      <w:r>
        <w:rPr>
          <w:noProof/>
        </w:rPr>
        <w:t>see Table 1</w:t>
      </w:r>
      <w:r w:rsidRPr="00D16408">
        <w:rPr>
          <w:noProof/>
        </w:rPr>
        <w:t>)</w:t>
      </w:r>
      <w:r w:rsidRPr="00D16408">
        <w:fldChar w:fldCharType="end"/>
      </w:r>
      <w:r w:rsidRPr="00D16408">
        <w:t xml:space="preserve">. </w:t>
      </w:r>
      <w:proofErr w:type="spellStart"/>
      <w:r w:rsidRPr="00D16408">
        <w:rPr>
          <w:i/>
          <w:iCs/>
        </w:rPr>
        <w:t>Corokia</w:t>
      </w:r>
      <w:proofErr w:type="spellEnd"/>
      <w:r w:rsidRPr="00D16408">
        <w:rPr>
          <w:i/>
          <w:iCs/>
        </w:rPr>
        <w:t xml:space="preserve"> </w:t>
      </w:r>
      <w:proofErr w:type="spellStart"/>
      <w:r w:rsidRPr="00D16408">
        <w:rPr>
          <w:i/>
          <w:iCs/>
        </w:rPr>
        <w:t>whiteana</w:t>
      </w:r>
      <w:proofErr w:type="spellEnd"/>
      <w:r w:rsidRPr="00D16408" w:rsidDel="00D84499">
        <w:t xml:space="preserve"> </w:t>
      </w:r>
      <w:r w:rsidRPr="00D16408">
        <w:t xml:space="preserve">subpopulations are isolated by distance, and often separated by unsuitable landscapes (valleys and rivers or agriculture and urban environments). </w:t>
      </w:r>
      <w:r>
        <w:t xml:space="preserve"> </w:t>
      </w:r>
      <w:r w:rsidRPr="00D16408">
        <w:t xml:space="preserve">Small, fragmented subpopulations of </w:t>
      </w:r>
      <w:proofErr w:type="spellStart"/>
      <w:r w:rsidRPr="00D16408">
        <w:rPr>
          <w:i/>
          <w:iCs/>
        </w:rPr>
        <w:t>Corokia</w:t>
      </w:r>
      <w:proofErr w:type="spellEnd"/>
      <w:r w:rsidRPr="00D16408">
        <w:rPr>
          <w:i/>
          <w:iCs/>
        </w:rPr>
        <w:t xml:space="preserve"> </w:t>
      </w:r>
      <w:proofErr w:type="spellStart"/>
      <w:r w:rsidRPr="00D16408">
        <w:rPr>
          <w:i/>
          <w:iCs/>
        </w:rPr>
        <w:t>whiteana</w:t>
      </w:r>
      <w:proofErr w:type="spellEnd"/>
      <w:r w:rsidRPr="00D16408">
        <w:t xml:space="preserve"> are less likely to recover or recruit post-disturbance, as fecundity is very low (few </w:t>
      </w:r>
      <w:r w:rsidR="008A0BD4" w:rsidRPr="00D16408">
        <w:t>fruits</w:t>
      </w:r>
      <w:r w:rsidRPr="00D16408">
        <w:t xml:space="preserve"> with seeds available) and germination conditions are very specific (Graeme Errington 2021. pers comm 2 Aug). For example, coastal </w:t>
      </w:r>
      <w:r>
        <w:t>occurrences a</w:t>
      </w:r>
      <w:r w:rsidRPr="00D16408">
        <w:t>re geographically isolated</w:t>
      </w:r>
      <w:r>
        <w:t xml:space="preserve"> from most of the population</w:t>
      </w:r>
      <w:r w:rsidRPr="00D16408">
        <w:t xml:space="preserve"> and </w:t>
      </w:r>
      <w:r>
        <w:t xml:space="preserve">are </w:t>
      </w:r>
      <w:r w:rsidRPr="00D16408">
        <w:t xml:space="preserve">considered atypical </w:t>
      </w:r>
      <w:r w:rsidRPr="00D16408">
        <w:lastRenderedPageBreak/>
        <w:t xml:space="preserve">subpopulations. The connectivity between these and higher altitude populations is probably very low or non-existent. </w:t>
      </w:r>
    </w:p>
    <w:p w14:paraId="5EEEBDCF" w14:textId="0C6A1538" w:rsidR="00D16408" w:rsidRDefault="006E4B81" w:rsidP="00292620">
      <w:r>
        <w:t xml:space="preserve">Sighting records of </w:t>
      </w:r>
      <w:proofErr w:type="spellStart"/>
      <w:r w:rsidR="15107856" w:rsidRPr="3857C1C5">
        <w:rPr>
          <w:i/>
          <w:iCs/>
        </w:rPr>
        <w:t>Corokia</w:t>
      </w:r>
      <w:proofErr w:type="spellEnd"/>
      <w:r w:rsidR="15107856" w:rsidRPr="3857C1C5">
        <w:rPr>
          <w:i/>
          <w:iCs/>
        </w:rPr>
        <w:t xml:space="preserve"> </w:t>
      </w:r>
      <w:proofErr w:type="spellStart"/>
      <w:r w:rsidR="15107856" w:rsidRPr="3857C1C5">
        <w:rPr>
          <w:i/>
          <w:iCs/>
        </w:rPr>
        <w:t>whiteana</w:t>
      </w:r>
      <w:proofErr w:type="spellEnd"/>
      <w:r w:rsidR="15107856">
        <w:t xml:space="preserve"> </w:t>
      </w:r>
      <w:r>
        <w:t xml:space="preserve">available via the Global Biodiversity Information Facility </w:t>
      </w:r>
      <w:r>
        <w:fldChar w:fldCharType="begin" w:fldLock="1"/>
      </w:r>
      <w:r>
        <w:instrText>ADDIN CSL_CITATION {"citationItems":[{"id":"ITEM-1","itemData":{"author":[{"dropping-particle":"","family":"Bachman","given":"S","non-dropping-particle":"","parse-names":false,"suffix":""},{"dropping-particle":"","family":"Moat","given":"J","non-dropping-particle":"","parse-names":false,"suffix":""},{"dropping-particle":"","family":"Hill","given":"A W","non-dropping-particle":"","parse-names":false,"suffix":""},{"dropping-particle":"","family":"la Torre","given":"J","non-dropping-particle":"de","parse-names":false,"suffix":""},{"dropping-particle":"","family":"Scott","given":"B","non-dropping-particle":"","parse-names":false,"suffix":""}],"id":"ITEM-1","issued":{"date-parts":[["2011"]]},"number":"Beta","title":"Supporting Red List threat assessments with GeoCAT: geospatial conservation assessment tool. Data from Global Biodiversity Information Facility (GBIF)","type":"article"},"uris":["http://www.mendeley.com/documents/?uuid=31eda015-4e87-4b0a-b817-fdec7d605e7f"]}],"mendeley":{"formattedCitation":"(Bachman et al. 2011)","plainTextFormattedCitation":"(Bachman et al. 2011)","previouslyFormattedCitation":"(Bachman et al. 2011)"},"properties":{"noteIndex":0},"schema":"https://github.com/citation-style-language/schema/raw/master/csl-citation.json"}</w:instrText>
      </w:r>
      <w:r>
        <w:fldChar w:fldCharType="separate"/>
      </w:r>
      <w:r w:rsidRPr="00437321">
        <w:rPr>
          <w:noProof/>
        </w:rPr>
        <w:t>(Bachman et al. 2011)</w:t>
      </w:r>
      <w:r>
        <w:fldChar w:fldCharType="end"/>
      </w:r>
      <w:r>
        <w:t xml:space="preserve"> </w:t>
      </w:r>
      <w:r w:rsidR="00D74F06">
        <w:t>suggest that some locations have not been confirmed since 2010 (sites near</w:t>
      </w:r>
      <w:r>
        <w:t xml:space="preserve"> The Channon</w:t>
      </w:r>
      <w:r w:rsidR="00D74F06">
        <w:t>) and 1994 (</w:t>
      </w:r>
      <w:r>
        <w:t xml:space="preserve">Upper </w:t>
      </w:r>
      <w:proofErr w:type="spellStart"/>
      <w:r>
        <w:t>Duroby</w:t>
      </w:r>
      <w:proofErr w:type="spellEnd"/>
      <w:r w:rsidR="00D74F06">
        <w:t xml:space="preserve"> </w:t>
      </w:r>
      <w:r>
        <w:t>and Yelgun</w:t>
      </w:r>
      <w:r w:rsidR="00D74F06">
        <w:t xml:space="preserve">), while others (particularly Nightcap Range) are sampled more frequently, and recently (2019). </w:t>
      </w:r>
    </w:p>
    <w:p w14:paraId="5B402A91" w14:textId="3608E35D" w:rsidR="00292620" w:rsidRPr="0044236D" w:rsidRDefault="00292620" w:rsidP="00324EB5">
      <w:pPr>
        <w:pStyle w:val="Caption"/>
      </w:pPr>
      <w:r w:rsidRPr="0044236D">
        <w:t xml:space="preserve">Table </w:t>
      </w:r>
      <w:fldSimple w:instr=" SEQ Table \* ARABIC ">
        <w:r w:rsidR="00400D37">
          <w:rPr>
            <w:noProof/>
          </w:rPr>
          <w:t>1</w:t>
        </w:r>
      </w:fldSimple>
      <w:r w:rsidRPr="0044236D">
        <w:t xml:space="preserve">. Original </w:t>
      </w:r>
      <w:proofErr w:type="spellStart"/>
      <w:r w:rsidR="6A813FD2" w:rsidRPr="3857C1C5">
        <w:rPr>
          <w:i/>
          <w:iCs/>
        </w:rPr>
        <w:t>Corokia</w:t>
      </w:r>
      <w:proofErr w:type="spellEnd"/>
      <w:r w:rsidR="6A813FD2" w:rsidRPr="3857C1C5">
        <w:rPr>
          <w:i/>
          <w:iCs/>
        </w:rPr>
        <w:t xml:space="preserve"> </w:t>
      </w:r>
      <w:proofErr w:type="spellStart"/>
      <w:r w:rsidR="6A813FD2" w:rsidRPr="3857C1C5">
        <w:rPr>
          <w:i/>
          <w:iCs/>
        </w:rPr>
        <w:t>whiteana</w:t>
      </w:r>
      <w:proofErr w:type="spellEnd"/>
      <w:r w:rsidR="6A813FD2">
        <w:t xml:space="preserve"> </w:t>
      </w:r>
      <w:r w:rsidRPr="0044236D">
        <w:t>sightings, tenure, number of plants and survey year (Quinn et al. 1995).</w:t>
      </w:r>
    </w:p>
    <w:tbl>
      <w:tblPr>
        <w:tblW w:w="5000" w:type="pct"/>
        <w:tblLayout w:type="fixed"/>
        <w:tblLook w:val="04A0" w:firstRow="1" w:lastRow="0" w:firstColumn="1" w:lastColumn="0" w:noHBand="0" w:noVBand="1"/>
      </w:tblPr>
      <w:tblGrid>
        <w:gridCol w:w="2726"/>
        <w:gridCol w:w="1101"/>
        <w:gridCol w:w="1134"/>
        <w:gridCol w:w="1613"/>
        <w:gridCol w:w="1437"/>
        <w:gridCol w:w="1059"/>
      </w:tblGrid>
      <w:tr w:rsidR="00292620" w:rsidRPr="001F239E" w14:paraId="5E7580D6" w14:textId="77777777" w:rsidTr="00A060E9">
        <w:trPr>
          <w:trHeight w:val="320"/>
        </w:trPr>
        <w:tc>
          <w:tcPr>
            <w:tcW w:w="1503" w:type="pct"/>
            <w:tcBorders>
              <w:top w:val="single" w:sz="4" w:space="0" w:color="auto"/>
              <w:left w:val="nil"/>
              <w:bottom w:val="single" w:sz="4" w:space="0" w:color="auto"/>
              <w:right w:val="nil"/>
            </w:tcBorders>
            <w:shd w:val="clear" w:color="auto" w:fill="auto"/>
            <w:noWrap/>
            <w:vAlign w:val="bottom"/>
            <w:hideMark/>
          </w:tcPr>
          <w:p w14:paraId="47ADD16B" w14:textId="77777777" w:rsidR="00292620" w:rsidRPr="001F239E" w:rsidRDefault="00292620" w:rsidP="00324EB5">
            <w:pPr>
              <w:pStyle w:val="TableHeading"/>
              <w:rPr>
                <w:lang w:eastAsia="en-GB"/>
              </w:rPr>
            </w:pPr>
            <w:r w:rsidRPr="001F239E">
              <w:rPr>
                <w:lang w:eastAsia="en-GB"/>
              </w:rPr>
              <w:t>Location</w:t>
            </w:r>
          </w:p>
        </w:tc>
        <w:tc>
          <w:tcPr>
            <w:tcW w:w="607" w:type="pct"/>
            <w:tcBorders>
              <w:top w:val="single" w:sz="4" w:space="0" w:color="auto"/>
              <w:left w:val="nil"/>
              <w:bottom w:val="single" w:sz="4" w:space="0" w:color="auto"/>
              <w:right w:val="nil"/>
            </w:tcBorders>
            <w:shd w:val="clear" w:color="auto" w:fill="auto"/>
            <w:noWrap/>
            <w:vAlign w:val="bottom"/>
            <w:hideMark/>
          </w:tcPr>
          <w:p w14:paraId="7247E06B" w14:textId="3FFA3FF0" w:rsidR="00292620" w:rsidRPr="001F239E" w:rsidRDefault="00292620" w:rsidP="00324EB5">
            <w:pPr>
              <w:pStyle w:val="TableHeading"/>
              <w:rPr>
                <w:lang w:eastAsia="en-GB"/>
              </w:rPr>
            </w:pPr>
            <w:r w:rsidRPr="001F239E">
              <w:rPr>
                <w:lang w:eastAsia="en-GB"/>
              </w:rPr>
              <w:t xml:space="preserve">Latitude </w:t>
            </w:r>
          </w:p>
        </w:tc>
        <w:tc>
          <w:tcPr>
            <w:tcW w:w="625" w:type="pct"/>
            <w:tcBorders>
              <w:top w:val="single" w:sz="4" w:space="0" w:color="auto"/>
              <w:left w:val="nil"/>
              <w:bottom w:val="single" w:sz="4" w:space="0" w:color="auto"/>
              <w:right w:val="nil"/>
            </w:tcBorders>
            <w:shd w:val="clear" w:color="auto" w:fill="auto"/>
            <w:noWrap/>
            <w:vAlign w:val="bottom"/>
            <w:hideMark/>
          </w:tcPr>
          <w:p w14:paraId="4A794DF3" w14:textId="5A1CF6B1" w:rsidR="004E09C6" w:rsidRPr="001F239E" w:rsidRDefault="00292620" w:rsidP="00324EB5">
            <w:pPr>
              <w:pStyle w:val="TableHeading"/>
              <w:rPr>
                <w:lang w:eastAsia="en-GB"/>
              </w:rPr>
            </w:pPr>
            <w:r w:rsidRPr="001F239E">
              <w:rPr>
                <w:lang w:eastAsia="en-GB"/>
              </w:rPr>
              <w:t xml:space="preserve">Longitude </w:t>
            </w:r>
          </w:p>
        </w:tc>
        <w:tc>
          <w:tcPr>
            <w:tcW w:w="889" w:type="pct"/>
            <w:tcBorders>
              <w:top w:val="single" w:sz="4" w:space="0" w:color="auto"/>
              <w:left w:val="nil"/>
              <w:bottom w:val="single" w:sz="4" w:space="0" w:color="auto"/>
              <w:right w:val="nil"/>
            </w:tcBorders>
            <w:shd w:val="clear" w:color="auto" w:fill="auto"/>
            <w:noWrap/>
            <w:vAlign w:val="bottom"/>
            <w:hideMark/>
          </w:tcPr>
          <w:p w14:paraId="2AB03E77" w14:textId="77777777" w:rsidR="00292620" w:rsidRPr="001F239E" w:rsidRDefault="00292620" w:rsidP="00324EB5">
            <w:pPr>
              <w:pStyle w:val="TableHeading"/>
              <w:rPr>
                <w:lang w:eastAsia="en-GB"/>
              </w:rPr>
            </w:pPr>
            <w:r w:rsidRPr="001F239E">
              <w:rPr>
                <w:lang w:eastAsia="en-GB"/>
              </w:rPr>
              <w:t>Tenure</w:t>
            </w:r>
          </w:p>
        </w:tc>
        <w:tc>
          <w:tcPr>
            <w:tcW w:w="792" w:type="pct"/>
            <w:tcBorders>
              <w:top w:val="single" w:sz="4" w:space="0" w:color="auto"/>
              <w:left w:val="nil"/>
              <w:bottom w:val="single" w:sz="4" w:space="0" w:color="auto"/>
              <w:right w:val="nil"/>
            </w:tcBorders>
            <w:shd w:val="clear" w:color="auto" w:fill="auto"/>
            <w:noWrap/>
            <w:vAlign w:val="bottom"/>
            <w:hideMark/>
          </w:tcPr>
          <w:p w14:paraId="4659373E" w14:textId="77777777" w:rsidR="00292620" w:rsidRPr="001F239E" w:rsidRDefault="00292620" w:rsidP="00324EB5">
            <w:pPr>
              <w:pStyle w:val="TableHeading"/>
              <w:rPr>
                <w:lang w:eastAsia="en-GB"/>
              </w:rPr>
            </w:pPr>
            <w:r w:rsidRPr="001F239E">
              <w:rPr>
                <w:lang w:eastAsia="en-GB"/>
              </w:rPr>
              <w:t>Number of plants</w:t>
            </w:r>
          </w:p>
        </w:tc>
        <w:tc>
          <w:tcPr>
            <w:tcW w:w="584" w:type="pct"/>
            <w:tcBorders>
              <w:top w:val="single" w:sz="4" w:space="0" w:color="auto"/>
              <w:left w:val="nil"/>
              <w:bottom w:val="single" w:sz="4" w:space="0" w:color="auto"/>
              <w:right w:val="nil"/>
            </w:tcBorders>
            <w:shd w:val="clear" w:color="auto" w:fill="auto"/>
            <w:noWrap/>
            <w:vAlign w:val="bottom"/>
            <w:hideMark/>
          </w:tcPr>
          <w:p w14:paraId="67A92175" w14:textId="77777777" w:rsidR="00292620" w:rsidRPr="001F239E" w:rsidRDefault="00292620" w:rsidP="00324EB5">
            <w:pPr>
              <w:pStyle w:val="TableHeading"/>
              <w:rPr>
                <w:lang w:eastAsia="en-GB"/>
              </w:rPr>
            </w:pPr>
            <w:r w:rsidRPr="001F239E">
              <w:rPr>
                <w:lang w:eastAsia="en-GB"/>
              </w:rPr>
              <w:t>Survey Year</w:t>
            </w:r>
          </w:p>
        </w:tc>
      </w:tr>
      <w:tr w:rsidR="00292620" w:rsidRPr="001F239E" w14:paraId="265C1841" w14:textId="77777777" w:rsidTr="00A060E9">
        <w:trPr>
          <w:trHeight w:val="320"/>
        </w:trPr>
        <w:tc>
          <w:tcPr>
            <w:tcW w:w="1503" w:type="pct"/>
            <w:tcBorders>
              <w:top w:val="single" w:sz="4" w:space="0" w:color="auto"/>
              <w:left w:val="nil"/>
              <w:bottom w:val="nil"/>
              <w:right w:val="nil"/>
            </w:tcBorders>
            <w:shd w:val="clear" w:color="auto" w:fill="auto"/>
            <w:noWrap/>
            <w:vAlign w:val="bottom"/>
            <w:hideMark/>
          </w:tcPr>
          <w:p w14:paraId="5CDC6AD5" w14:textId="0C9C59FD" w:rsidR="00292620" w:rsidRPr="001F239E" w:rsidRDefault="00292620" w:rsidP="00324EB5">
            <w:pPr>
              <w:pStyle w:val="TableText"/>
              <w:keepNext/>
              <w:rPr>
                <w:lang w:eastAsia="en-GB"/>
              </w:rPr>
            </w:pPr>
            <w:r w:rsidRPr="001F239E">
              <w:rPr>
                <w:lang w:eastAsia="en-GB"/>
              </w:rPr>
              <w:t>Hogan</w:t>
            </w:r>
            <w:r w:rsidR="008A0BD4">
              <w:rPr>
                <w:lang w:eastAsia="en-GB"/>
              </w:rPr>
              <w:t>’</w:t>
            </w:r>
            <w:r w:rsidRPr="001F239E">
              <w:rPr>
                <w:lang w:eastAsia="en-GB"/>
              </w:rPr>
              <w:t>s Scrub</w:t>
            </w:r>
            <w:r w:rsidR="000E6E1B">
              <w:rPr>
                <w:lang w:eastAsia="en-GB"/>
              </w:rPr>
              <w:t xml:space="preserve"> (Upper </w:t>
            </w:r>
            <w:proofErr w:type="spellStart"/>
            <w:r w:rsidR="000E6E1B">
              <w:rPr>
                <w:lang w:eastAsia="en-GB"/>
              </w:rPr>
              <w:t>Duroby</w:t>
            </w:r>
            <w:proofErr w:type="spellEnd"/>
            <w:r w:rsidR="000E6E1B">
              <w:rPr>
                <w:lang w:eastAsia="en-GB"/>
              </w:rPr>
              <w:t>)</w:t>
            </w:r>
          </w:p>
        </w:tc>
        <w:tc>
          <w:tcPr>
            <w:tcW w:w="607" w:type="pct"/>
            <w:tcBorders>
              <w:top w:val="single" w:sz="4" w:space="0" w:color="auto"/>
              <w:left w:val="nil"/>
              <w:bottom w:val="nil"/>
              <w:right w:val="nil"/>
            </w:tcBorders>
            <w:shd w:val="clear" w:color="auto" w:fill="auto"/>
            <w:noWrap/>
            <w:vAlign w:val="bottom"/>
            <w:hideMark/>
          </w:tcPr>
          <w:p w14:paraId="0EFB4619" w14:textId="6280D8E7" w:rsidR="00292620" w:rsidRPr="001F239E" w:rsidRDefault="004E09C6" w:rsidP="00324EB5">
            <w:pPr>
              <w:pStyle w:val="TableText"/>
              <w:keepNext/>
              <w:rPr>
                <w:lang w:eastAsia="en-GB"/>
              </w:rPr>
            </w:pPr>
            <w:r>
              <w:rPr>
                <w:lang w:eastAsia="en-GB"/>
              </w:rPr>
              <w:t>-</w:t>
            </w:r>
            <w:r w:rsidR="00292620" w:rsidRPr="001F239E">
              <w:rPr>
                <w:lang w:eastAsia="en-GB"/>
              </w:rPr>
              <w:t>28</w:t>
            </w:r>
            <w:r w:rsidR="69550FF9" w:rsidRPr="3857C1C5">
              <w:rPr>
                <w:lang w:eastAsia="en-GB"/>
              </w:rPr>
              <w:t>°</w:t>
            </w:r>
            <w:r w:rsidR="00292620" w:rsidRPr="001F239E">
              <w:rPr>
                <w:lang w:eastAsia="en-GB"/>
              </w:rPr>
              <w:t>15</w:t>
            </w:r>
            <w:r w:rsidR="0004459D">
              <w:rPr>
                <w:lang w:eastAsia="en-GB"/>
              </w:rPr>
              <w:t>’</w:t>
            </w:r>
            <w:r w:rsidR="00292620" w:rsidRPr="3857C1C5">
              <w:rPr>
                <w:lang w:eastAsia="en-GB"/>
              </w:rPr>
              <w:t>19</w:t>
            </w:r>
            <w:r w:rsidR="7C401C8C" w:rsidRPr="3857C1C5">
              <w:rPr>
                <w:lang w:eastAsia="en-GB"/>
              </w:rPr>
              <w:t>’</w:t>
            </w:r>
            <w:r w:rsidR="0004459D">
              <w:rPr>
                <w:lang w:eastAsia="en-GB"/>
              </w:rPr>
              <w:t>’</w:t>
            </w:r>
          </w:p>
        </w:tc>
        <w:tc>
          <w:tcPr>
            <w:tcW w:w="625" w:type="pct"/>
            <w:tcBorders>
              <w:top w:val="single" w:sz="4" w:space="0" w:color="auto"/>
              <w:left w:val="nil"/>
              <w:bottom w:val="nil"/>
              <w:right w:val="nil"/>
            </w:tcBorders>
            <w:shd w:val="clear" w:color="auto" w:fill="auto"/>
            <w:noWrap/>
            <w:vAlign w:val="bottom"/>
            <w:hideMark/>
          </w:tcPr>
          <w:p w14:paraId="58BCE2F4" w14:textId="6EEB2FD9" w:rsidR="00292620" w:rsidRPr="001F239E" w:rsidRDefault="00292620" w:rsidP="00324EB5">
            <w:pPr>
              <w:pStyle w:val="TableText"/>
              <w:keepNext/>
              <w:rPr>
                <w:lang w:eastAsia="en-GB"/>
              </w:rPr>
            </w:pPr>
            <w:r w:rsidRPr="001F239E">
              <w:rPr>
                <w:lang w:eastAsia="en-GB"/>
              </w:rPr>
              <w:t>153</w:t>
            </w:r>
            <w:r w:rsidR="732DC40C" w:rsidRPr="3857C1C5">
              <w:rPr>
                <w:lang w:eastAsia="en-GB"/>
              </w:rPr>
              <w:t>°</w:t>
            </w:r>
            <w:r w:rsidRPr="001F239E">
              <w:rPr>
                <w:lang w:eastAsia="en-GB"/>
              </w:rPr>
              <w:t>26</w:t>
            </w:r>
            <w:r w:rsidR="0004459D">
              <w:rPr>
                <w:lang w:eastAsia="en-GB"/>
              </w:rPr>
              <w:t>’</w:t>
            </w:r>
            <w:r w:rsidRPr="3857C1C5">
              <w:rPr>
                <w:lang w:eastAsia="en-GB"/>
              </w:rPr>
              <w:t>25</w:t>
            </w:r>
            <w:r w:rsidR="0004459D">
              <w:rPr>
                <w:lang w:eastAsia="en-GB"/>
              </w:rPr>
              <w:t>’</w:t>
            </w:r>
            <w:r w:rsidR="08964AA1" w:rsidRPr="3857C1C5">
              <w:rPr>
                <w:lang w:eastAsia="en-GB"/>
              </w:rPr>
              <w:t>’</w:t>
            </w:r>
          </w:p>
        </w:tc>
        <w:tc>
          <w:tcPr>
            <w:tcW w:w="889" w:type="pct"/>
            <w:tcBorders>
              <w:top w:val="single" w:sz="4" w:space="0" w:color="auto"/>
              <w:left w:val="nil"/>
              <w:bottom w:val="nil"/>
              <w:right w:val="nil"/>
            </w:tcBorders>
            <w:shd w:val="clear" w:color="auto" w:fill="auto"/>
            <w:noWrap/>
            <w:vAlign w:val="bottom"/>
            <w:hideMark/>
          </w:tcPr>
          <w:p w14:paraId="615B9B7B" w14:textId="77777777" w:rsidR="00292620" w:rsidRPr="001F239E" w:rsidRDefault="00292620" w:rsidP="00324EB5">
            <w:pPr>
              <w:pStyle w:val="TableText"/>
              <w:keepNext/>
              <w:rPr>
                <w:lang w:eastAsia="en-GB"/>
              </w:rPr>
            </w:pPr>
            <w:r w:rsidRPr="001F239E">
              <w:rPr>
                <w:lang w:eastAsia="en-GB"/>
              </w:rPr>
              <w:t>Private Property</w:t>
            </w:r>
          </w:p>
        </w:tc>
        <w:tc>
          <w:tcPr>
            <w:tcW w:w="792" w:type="pct"/>
            <w:tcBorders>
              <w:top w:val="single" w:sz="4" w:space="0" w:color="auto"/>
              <w:left w:val="nil"/>
              <w:bottom w:val="nil"/>
              <w:right w:val="nil"/>
            </w:tcBorders>
            <w:shd w:val="clear" w:color="auto" w:fill="auto"/>
            <w:noWrap/>
            <w:vAlign w:val="bottom"/>
            <w:hideMark/>
          </w:tcPr>
          <w:p w14:paraId="1268ACA8" w14:textId="77777777" w:rsidR="00292620" w:rsidRPr="001F239E" w:rsidRDefault="00292620" w:rsidP="00324EB5">
            <w:pPr>
              <w:pStyle w:val="TableText"/>
              <w:keepNext/>
              <w:rPr>
                <w:lang w:eastAsia="en-GB"/>
              </w:rPr>
            </w:pPr>
            <w:r w:rsidRPr="001F239E">
              <w:rPr>
                <w:lang w:eastAsia="en-GB"/>
              </w:rPr>
              <w:t>6</w:t>
            </w:r>
          </w:p>
        </w:tc>
        <w:tc>
          <w:tcPr>
            <w:tcW w:w="584" w:type="pct"/>
            <w:tcBorders>
              <w:top w:val="single" w:sz="4" w:space="0" w:color="auto"/>
              <w:left w:val="nil"/>
              <w:bottom w:val="nil"/>
              <w:right w:val="nil"/>
            </w:tcBorders>
            <w:shd w:val="clear" w:color="auto" w:fill="auto"/>
            <w:noWrap/>
            <w:vAlign w:val="bottom"/>
            <w:hideMark/>
          </w:tcPr>
          <w:p w14:paraId="54B45CE1" w14:textId="77777777" w:rsidR="00292620" w:rsidRPr="001F239E" w:rsidRDefault="00292620" w:rsidP="00324EB5">
            <w:pPr>
              <w:pStyle w:val="TableText"/>
              <w:keepNext/>
              <w:rPr>
                <w:lang w:eastAsia="en-GB"/>
              </w:rPr>
            </w:pPr>
            <w:r w:rsidRPr="001F239E">
              <w:rPr>
                <w:lang w:eastAsia="en-GB"/>
              </w:rPr>
              <w:t>1985</w:t>
            </w:r>
          </w:p>
        </w:tc>
      </w:tr>
      <w:tr w:rsidR="00292620" w:rsidRPr="001F239E" w14:paraId="30CF8910" w14:textId="77777777" w:rsidTr="00A060E9">
        <w:trPr>
          <w:trHeight w:val="320"/>
        </w:trPr>
        <w:tc>
          <w:tcPr>
            <w:tcW w:w="1503" w:type="pct"/>
            <w:tcBorders>
              <w:top w:val="nil"/>
              <w:left w:val="nil"/>
              <w:bottom w:val="nil"/>
              <w:right w:val="nil"/>
            </w:tcBorders>
            <w:shd w:val="clear" w:color="auto" w:fill="auto"/>
            <w:noWrap/>
            <w:vAlign w:val="bottom"/>
            <w:hideMark/>
          </w:tcPr>
          <w:p w14:paraId="361B3A66" w14:textId="1B132991" w:rsidR="00292620" w:rsidRPr="001F239E" w:rsidRDefault="00292620" w:rsidP="00324EB5">
            <w:pPr>
              <w:pStyle w:val="TableText"/>
              <w:keepNext/>
              <w:rPr>
                <w:lang w:eastAsia="en-GB"/>
              </w:rPr>
            </w:pPr>
            <w:r w:rsidRPr="001F239E">
              <w:rPr>
                <w:lang w:eastAsia="en-GB"/>
              </w:rPr>
              <w:t>Tumbulgum</w:t>
            </w:r>
            <w:r w:rsidR="000E6E1B">
              <w:rPr>
                <w:lang w:eastAsia="en-GB"/>
              </w:rPr>
              <w:t xml:space="preserve"> (Upper </w:t>
            </w:r>
            <w:proofErr w:type="spellStart"/>
            <w:r w:rsidR="000E6E1B">
              <w:rPr>
                <w:lang w:eastAsia="en-GB"/>
              </w:rPr>
              <w:t>Duroby</w:t>
            </w:r>
            <w:proofErr w:type="spellEnd"/>
            <w:r w:rsidR="000E6E1B">
              <w:rPr>
                <w:lang w:eastAsia="en-GB"/>
              </w:rPr>
              <w:t>)</w:t>
            </w:r>
          </w:p>
        </w:tc>
        <w:tc>
          <w:tcPr>
            <w:tcW w:w="607" w:type="pct"/>
            <w:tcBorders>
              <w:top w:val="nil"/>
              <w:left w:val="nil"/>
              <w:bottom w:val="nil"/>
              <w:right w:val="nil"/>
            </w:tcBorders>
            <w:shd w:val="clear" w:color="auto" w:fill="auto"/>
            <w:noWrap/>
            <w:vAlign w:val="bottom"/>
            <w:hideMark/>
          </w:tcPr>
          <w:p w14:paraId="4D9C2B27" w14:textId="2EC2A3DC"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27</w:t>
            </w:r>
            <w:r w:rsidR="0004459D">
              <w:rPr>
                <w:lang w:eastAsia="en-GB"/>
              </w:rPr>
              <w:t>’</w:t>
            </w:r>
          </w:p>
        </w:tc>
        <w:tc>
          <w:tcPr>
            <w:tcW w:w="625" w:type="pct"/>
            <w:tcBorders>
              <w:top w:val="nil"/>
              <w:left w:val="nil"/>
              <w:bottom w:val="nil"/>
              <w:right w:val="nil"/>
            </w:tcBorders>
            <w:shd w:val="clear" w:color="auto" w:fill="auto"/>
            <w:noWrap/>
            <w:vAlign w:val="bottom"/>
            <w:hideMark/>
          </w:tcPr>
          <w:p w14:paraId="7B3057AC" w14:textId="24779931"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46</w:t>
            </w:r>
            <w:r w:rsidR="0004459D">
              <w:rPr>
                <w:lang w:eastAsia="en-GB"/>
              </w:rPr>
              <w:t>’</w:t>
            </w:r>
          </w:p>
        </w:tc>
        <w:tc>
          <w:tcPr>
            <w:tcW w:w="889" w:type="pct"/>
            <w:tcBorders>
              <w:top w:val="nil"/>
              <w:left w:val="nil"/>
              <w:bottom w:val="nil"/>
              <w:right w:val="nil"/>
            </w:tcBorders>
            <w:shd w:val="clear" w:color="auto" w:fill="auto"/>
            <w:noWrap/>
            <w:vAlign w:val="bottom"/>
            <w:hideMark/>
          </w:tcPr>
          <w:p w14:paraId="08A05FE4" w14:textId="77777777" w:rsidR="00292620" w:rsidRPr="001F239E" w:rsidRDefault="00292620" w:rsidP="00324EB5">
            <w:pPr>
              <w:pStyle w:val="TableText"/>
              <w:keepNext/>
              <w:rPr>
                <w:lang w:eastAsia="en-GB"/>
              </w:rPr>
            </w:pPr>
            <w:r w:rsidRPr="001F239E">
              <w:rPr>
                <w:lang w:eastAsia="en-GB"/>
              </w:rPr>
              <w:t>~</w:t>
            </w:r>
          </w:p>
        </w:tc>
        <w:tc>
          <w:tcPr>
            <w:tcW w:w="792" w:type="pct"/>
            <w:tcBorders>
              <w:top w:val="nil"/>
              <w:left w:val="nil"/>
              <w:bottom w:val="nil"/>
              <w:right w:val="nil"/>
            </w:tcBorders>
            <w:shd w:val="clear" w:color="auto" w:fill="auto"/>
            <w:noWrap/>
            <w:vAlign w:val="bottom"/>
            <w:hideMark/>
          </w:tcPr>
          <w:p w14:paraId="0B8B71CB" w14:textId="77777777" w:rsidR="00292620" w:rsidRPr="001F239E" w:rsidRDefault="00292620" w:rsidP="00324EB5">
            <w:pPr>
              <w:pStyle w:val="TableText"/>
              <w:keepNext/>
              <w:rPr>
                <w:lang w:eastAsia="en-GB"/>
              </w:rPr>
            </w:pPr>
            <w:r w:rsidRPr="001F239E">
              <w:rPr>
                <w:lang w:eastAsia="en-GB"/>
              </w:rPr>
              <w:t>Voucher</w:t>
            </w:r>
          </w:p>
        </w:tc>
        <w:tc>
          <w:tcPr>
            <w:tcW w:w="584" w:type="pct"/>
            <w:tcBorders>
              <w:top w:val="nil"/>
              <w:left w:val="nil"/>
              <w:bottom w:val="nil"/>
              <w:right w:val="nil"/>
            </w:tcBorders>
            <w:shd w:val="clear" w:color="auto" w:fill="auto"/>
            <w:noWrap/>
            <w:vAlign w:val="bottom"/>
            <w:hideMark/>
          </w:tcPr>
          <w:p w14:paraId="7F99228D" w14:textId="77777777" w:rsidR="00292620" w:rsidRPr="001F239E" w:rsidRDefault="00292620" w:rsidP="00324EB5">
            <w:pPr>
              <w:pStyle w:val="TableText"/>
              <w:keepNext/>
              <w:rPr>
                <w:lang w:eastAsia="en-GB"/>
              </w:rPr>
            </w:pPr>
            <w:r w:rsidRPr="001F239E">
              <w:rPr>
                <w:lang w:eastAsia="en-GB"/>
              </w:rPr>
              <w:t>1894</w:t>
            </w:r>
          </w:p>
        </w:tc>
      </w:tr>
      <w:tr w:rsidR="00292620" w:rsidRPr="001F239E" w14:paraId="6B1DD145" w14:textId="77777777" w:rsidTr="00A060E9">
        <w:trPr>
          <w:trHeight w:val="320"/>
        </w:trPr>
        <w:tc>
          <w:tcPr>
            <w:tcW w:w="1503" w:type="pct"/>
            <w:tcBorders>
              <w:top w:val="nil"/>
              <w:left w:val="nil"/>
              <w:bottom w:val="nil"/>
              <w:right w:val="nil"/>
            </w:tcBorders>
            <w:shd w:val="clear" w:color="auto" w:fill="auto"/>
            <w:noWrap/>
            <w:vAlign w:val="bottom"/>
            <w:hideMark/>
          </w:tcPr>
          <w:p w14:paraId="24C9FECF" w14:textId="77777777" w:rsidR="00292620" w:rsidRPr="001F239E" w:rsidRDefault="00292620" w:rsidP="00324EB5">
            <w:pPr>
              <w:pStyle w:val="TableText"/>
              <w:keepNext/>
              <w:rPr>
                <w:lang w:eastAsia="en-GB"/>
              </w:rPr>
            </w:pPr>
            <w:r w:rsidRPr="001F239E">
              <w:rPr>
                <w:lang w:eastAsia="en-GB"/>
              </w:rPr>
              <w:t>Yelgun</w:t>
            </w:r>
          </w:p>
        </w:tc>
        <w:tc>
          <w:tcPr>
            <w:tcW w:w="607" w:type="pct"/>
            <w:tcBorders>
              <w:top w:val="nil"/>
              <w:left w:val="nil"/>
              <w:bottom w:val="nil"/>
              <w:right w:val="nil"/>
            </w:tcBorders>
            <w:shd w:val="clear" w:color="auto" w:fill="auto"/>
            <w:noWrap/>
            <w:vAlign w:val="bottom"/>
            <w:hideMark/>
          </w:tcPr>
          <w:p w14:paraId="7441166D" w14:textId="6ABE077B"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28</w:t>
            </w:r>
            <w:r w:rsidR="0004459D">
              <w:rPr>
                <w:lang w:eastAsia="en-GB"/>
              </w:rPr>
              <w:t>’</w:t>
            </w:r>
            <w:r w:rsidR="00292620" w:rsidRPr="001F239E">
              <w:rPr>
                <w:lang w:eastAsia="en-GB"/>
              </w:rPr>
              <w:t>51</w:t>
            </w:r>
            <w:r w:rsidR="0004459D">
              <w:rPr>
                <w:lang w:eastAsia="en-GB"/>
              </w:rPr>
              <w:t>’’</w:t>
            </w:r>
          </w:p>
        </w:tc>
        <w:tc>
          <w:tcPr>
            <w:tcW w:w="625" w:type="pct"/>
            <w:tcBorders>
              <w:top w:val="nil"/>
              <w:left w:val="nil"/>
              <w:bottom w:val="nil"/>
              <w:right w:val="nil"/>
            </w:tcBorders>
            <w:shd w:val="clear" w:color="auto" w:fill="auto"/>
            <w:noWrap/>
            <w:vAlign w:val="bottom"/>
            <w:hideMark/>
          </w:tcPr>
          <w:p w14:paraId="00063B87" w14:textId="3309D7FF"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32</w:t>
            </w:r>
            <w:r w:rsidR="0004459D">
              <w:rPr>
                <w:lang w:eastAsia="en-GB"/>
              </w:rPr>
              <w:t>’</w:t>
            </w:r>
            <w:r w:rsidRPr="001F239E">
              <w:rPr>
                <w:lang w:eastAsia="en-GB"/>
              </w:rPr>
              <w:t>26</w:t>
            </w:r>
            <w:r w:rsidR="0004459D">
              <w:rPr>
                <w:lang w:eastAsia="en-GB"/>
              </w:rPr>
              <w:t>’’</w:t>
            </w:r>
          </w:p>
        </w:tc>
        <w:tc>
          <w:tcPr>
            <w:tcW w:w="889" w:type="pct"/>
            <w:tcBorders>
              <w:top w:val="nil"/>
              <w:left w:val="nil"/>
              <w:bottom w:val="nil"/>
              <w:right w:val="nil"/>
            </w:tcBorders>
            <w:shd w:val="clear" w:color="auto" w:fill="auto"/>
            <w:noWrap/>
            <w:vAlign w:val="bottom"/>
            <w:hideMark/>
          </w:tcPr>
          <w:p w14:paraId="0A265B20" w14:textId="77777777" w:rsidR="00292620" w:rsidRPr="001F239E" w:rsidRDefault="00292620" w:rsidP="00324EB5">
            <w:pPr>
              <w:pStyle w:val="TableText"/>
              <w:keepNext/>
              <w:rPr>
                <w:lang w:eastAsia="en-GB"/>
              </w:rPr>
            </w:pPr>
            <w:r w:rsidRPr="001F239E">
              <w:rPr>
                <w:lang w:eastAsia="en-GB"/>
              </w:rPr>
              <w:t>~</w:t>
            </w:r>
          </w:p>
        </w:tc>
        <w:tc>
          <w:tcPr>
            <w:tcW w:w="792" w:type="pct"/>
            <w:tcBorders>
              <w:top w:val="nil"/>
              <w:left w:val="nil"/>
              <w:bottom w:val="nil"/>
              <w:right w:val="nil"/>
            </w:tcBorders>
            <w:shd w:val="clear" w:color="auto" w:fill="auto"/>
            <w:noWrap/>
            <w:vAlign w:val="bottom"/>
            <w:hideMark/>
          </w:tcPr>
          <w:p w14:paraId="7C828D20" w14:textId="77777777" w:rsidR="00292620" w:rsidRPr="001F239E" w:rsidRDefault="00292620" w:rsidP="00324EB5">
            <w:pPr>
              <w:pStyle w:val="TableText"/>
              <w:keepNext/>
              <w:rPr>
                <w:lang w:eastAsia="en-GB"/>
              </w:rPr>
            </w:pPr>
            <w:r w:rsidRPr="001F239E">
              <w:rPr>
                <w:lang w:eastAsia="en-GB"/>
              </w:rPr>
              <w:t>6</w:t>
            </w:r>
          </w:p>
        </w:tc>
        <w:tc>
          <w:tcPr>
            <w:tcW w:w="584" w:type="pct"/>
            <w:tcBorders>
              <w:top w:val="nil"/>
              <w:left w:val="nil"/>
              <w:bottom w:val="nil"/>
              <w:right w:val="nil"/>
            </w:tcBorders>
            <w:shd w:val="clear" w:color="auto" w:fill="auto"/>
            <w:noWrap/>
            <w:vAlign w:val="bottom"/>
            <w:hideMark/>
          </w:tcPr>
          <w:p w14:paraId="376CFC74" w14:textId="77777777" w:rsidR="00292620" w:rsidRPr="001F239E" w:rsidRDefault="00292620" w:rsidP="00324EB5">
            <w:pPr>
              <w:pStyle w:val="TableText"/>
              <w:keepNext/>
              <w:rPr>
                <w:lang w:eastAsia="en-GB"/>
              </w:rPr>
            </w:pPr>
            <w:r w:rsidRPr="001F239E">
              <w:rPr>
                <w:lang w:eastAsia="en-GB"/>
              </w:rPr>
              <w:t>1994</w:t>
            </w:r>
          </w:p>
        </w:tc>
      </w:tr>
      <w:tr w:rsidR="00292620" w:rsidRPr="001F239E" w14:paraId="7AE979D8" w14:textId="77777777" w:rsidTr="00A060E9">
        <w:trPr>
          <w:trHeight w:val="320"/>
        </w:trPr>
        <w:tc>
          <w:tcPr>
            <w:tcW w:w="1503" w:type="pct"/>
            <w:tcBorders>
              <w:top w:val="nil"/>
              <w:left w:val="nil"/>
              <w:bottom w:val="nil"/>
              <w:right w:val="nil"/>
            </w:tcBorders>
            <w:shd w:val="clear" w:color="auto" w:fill="auto"/>
            <w:noWrap/>
            <w:vAlign w:val="bottom"/>
            <w:hideMark/>
          </w:tcPr>
          <w:p w14:paraId="71F229D1" w14:textId="77777777" w:rsidR="00292620" w:rsidRPr="001F239E" w:rsidRDefault="00292620" w:rsidP="00324EB5">
            <w:pPr>
              <w:pStyle w:val="TableText"/>
              <w:keepNext/>
              <w:rPr>
                <w:lang w:eastAsia="en-GB"/>
              </w:rPr>
            </w:pPr>
            <w:r w:rsidRPr="001F239E">
              <w:rPr>
                <w:lang w:eastAsia="en-GB"/>
              </w:rPr>
              <w:t>Mt Jerusalem</w:t>
            </w:r>
          </w:p>
        </w:tc>
        <w:tc>
          <w:tcPr>
            <w:tcW w:w="607" w:type="pct"/>
            <w:tcBorders>
              <w:top w:val="nil"/>
              <w:left w:val="nil"/>
              <w:bottom w:val="nil"/>
              <w:right w:val="nil"/>
            </w:tcBorders>
            <w:shd w:val="clear" w:color="auto" w:fill="auto"/>
            <w:noWrap/>
            <w:vAlign w:val="bottom"/>
            <w:hideMark/>
          </w:tcPr>
          <w:p w14:paraId="723B2A8A" w14:textId="51C522DA"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31</w:t>
            </w:r>
            <w:r w:rsidR="0004459D">
              <w:rPr>
                <w:lang w:eastAsia="en-GB"/>
              </w:rPr>
              <w:t>’</w:t>
            </w:r>
          </w:p>
        </w:tc>
        <w:tc>
          <w:tcPr>
            <w:tcW w:w="625" w:type="pct"/>
            <w:tcBorders>
              <w:top w:val="nil"/>
              <w:left w:val="nil"/>
              <w:bottom w:val="nil"/>
              <w:right w:val="nil"/>
            </w:tcBorders>
            <w:shd w:val="clear" w:color="auto" w:fill="auto"/>
            <w:noWrap/>
            <w:vAlign w:val="bottom"/>
            <w:hideMark/>
          </w:tcPr>
          <w:p w14:paraId="62DBD476" w14:textId="2EDBDDA8"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22</w:t>
            </w:r>
            <w:r w:rsidR="0004459D">
              <w:rPr>
                <w:lang w:eastAsia="en-GB"/>
              </w:rPr>
              <w:t>’</w:t>
            </w:r>
          </w:p>
        </w:tc>
        <w:tc>
          <w:tcPr>
            <w:tcW w:w="889" w:type="pct"/>
            <w:tcBorders>
              <w:top w:val="nil"/>
              <w:left w:val="nil"/>
              <w:bottom w:val="nil"/>
              <w:right w:val="nil"/>
            </w:tcBorders>
            <w:shd w:val="clear" w:color="auto" w:fill="auto"/>
            <w:noWrap/>
            <w:vAlign w:val="bottom"/>
            <w:hideMark/>
          </w:tcPr>
          <w:p w14:paraId="2672951A"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14CEBEF2"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5A7FFBBD" w14:textId="77777777" w:rsidR="00292620" w:rsidRPr="001F239E" w:rsidRDefault="00292620" w:rsidP="00324EB5">
            <w:pPr>
              <w:pStyle w:val="TableText"/>
              <w:keepNext/>
              <w:rPr>
                <w:lang w:eastAsia="en-GB"/>
              </w:rPr>
            </w:pPr>
            <w:r w:rsidRPr="001F239E">
              <w:rPr>
                <w:lang w:eastAsia="en-GB"/>
              </w:rPr>
              <w:t>1990</w:t>
            </w:r>
          </w:p>
        </w:tc>
      </w:tr>
      <w:tr w:rsidR="00292620" w:rsidRPr="001F239E" w14:paraId="3A8403AB" w14:textId="77777777" w:rsidTr="00A060E9">
        <w:trPr>
          <w:trHeight w:val="320"/>
        </w:trPr>
        <w:tc>
          <w:tcPr>
            <w:tcW w:w="1503" w:type="pct"/>
            <w:tcBorders>
              <w:top w:val="nil"/>
              <w:left w:val="nil"/>
              <w:bottom w:val="nil"/>
              <w:right w:val="nil"/>
            </w:tcBorders>
            <w:shd w:val="clear" w:color="auto" w:fill="auto"/>
            <w:noWrap/>
            <w:vAlign w:val="bottom"/>
            <w:hideMark/>
          </w:tcPr>
          <w:p w14:paraId="69F43ACB" w14:textId="0D2758BD" w:rsidR="00292620" w:rsidRPr="001F239E" w:rsidRDefault="00292620" w:rsidP="00324EB5">
            <w:pPr>
              <w:pStyle w:val="TableText"/>
              <w:keepNext/>
              <w:rPr>
                <w:lang w:eastAsia="en-GB"/>
              </w:rPr>
            </w:pPr>
            <w:r w:rsidRPr="001F239E">
              <w:rPr>
                <w:lang w:eastAsia="en-GB"/>
              </w:rPr>
              <w:t xml:space="preserve">Blackbutt Plateau, </w:t>
            </w:r>
            <w:proofErr w:type="spellStart"/>
            <w:r w:rsidR="000E6E1B">
              <w:rPr>
                <w:lang w:eastAsia="en-GB"/>
              </w:rPr>
              <w:t>N</w:t>
            </w:r>
            <w:r w:rsidRPr="001F239E">
              <w:rPr>
                <w:lang w:eastAsia="en-GB"/>
              </w:rPr>
              <w:t>ullum</w:t>
            </w:r>
            <w:proofErr w:type="spellEnd"/>
          </w:p>
        </w:tc>
        <w:tc>
          <w:tcPr>
            <w:tcW w:w="607" w:type="pct"/>
            <w:tcBorders>
              <w:top w:val="nil"/>
              <w:left w:val="nil"/>
              <w:bottom w:val="nil"/>
              <w:right w:val="nil"/>
            </w:tcBorders>
            <w:shd w:val="clear" w:color="auto" w:fill="auto"/>
            <w:noWrap/>
            <w:vAlign w:val="bottom"/>
            <w:hideMark/>
          </w:tcPr>
          <w:p w14:paraId="59806A2B" w14:textId="4FEF02D3"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31</w:t>
            </w:r>
            <w:r w:rsidR="0004459D">
              <w:rPr>
                <w:lang w:eastAsia="en-GB"/>
              </w:rPr>
              <w:t>’</w:t>
            </w:r>
            <w:r w:rsidR="00292620" w:rsidRPr="001F239E">
              <w:rPr>
                <w:lang w:eastAsia="en-GB"/>
              </w:rPr>
              <w:t>39</w:t>
            </w:r>
            <w:r w:rsidR="0004459D">
              <w:rPr>
                <w:lang w:eastAsia="en-GB"/>
              </w:rPr>
              <w:t>’’</w:t>
            </w:r>
          </w:p>
        </w:tc>
        <w:tc>
          <w:tcPr>
            <w:tcW w:w="625" w:type="pct"/>
            <w:tcBorders>
              <w:top w:val="nil"/>
              <w:left w:val="nil"/>
              <w:bottom w:val="nil"/>
              <w:right w:val="nil"/>
            </w:tcBorders>
            <w:shd w:val="clear" w:color="auto" w:fill="auto"/>
            <w:noWrap/>
            <w:vAlign w:val="bottom"/>
            <w:hideMark/>
          </w:tcPr>
          <w:p w14:paraId="2E75C718" w14:textId="68780A9F"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22</w:t>
            </w:r>
            <w:r w:rsidR="0004459D">
              <w:rPr>
                <w:lang w:eastAsia="en-GB"/>
              </w:rPr>
              <w:t>’</w:t>
            </w:r>
            <w:r w:rsidRPr="001F239E">
              <w:rPr>
                <w:lang w:eastAsia="en-GB"/>
              </w:rPr>
              <w:t>16</w:t>
            </w:r>
            <w:r w:rsidR="0004459D">
              <w:rPr>
                <w:lang w:eastAsia="en-GB"/>
              </w:rPr>
              <w:t>’’</w:t>
            </w:r>
          </w:p>
        </w:tc>
        <w:tc>
          <w:tcPr>
            <w:tcW w:w="889" w:type="pct"/>
            <w:tcBorders>
              <w:top w:val="nil"/>
              <w:left w:val="nil"/>
              <w:bottom w:val="nil"/>
              <w:right w:val="nil"/>
            </w:tcBorders>
            <w:shd w:val="clear" w:color="auto" w:fill="auto"/>
            <w:noWrap/>
            <w:vAlign w:val="bottom"/>
            <w:hideMark/>
          </w:tcPr>
          <w:p w14:paraId="7763A487"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44ABD3D1"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0EE9CDAC" w14:textId="77777777" w:rsidR="00292620" w:rsidRPr="001F239E" w:rsidRDefault="00292620" w:rsidP="00324EB5">
            <w:pPr>
              <w:pStyle w:val="TableText"/>
              <w:keepNext/>
              <w:rPr>
                <w:lang w:eastAsia="en-GB"/>
              </w:rPr>
            </w:pPr>
            <w:r w:rsidRPr="001F239E">
              <w:rPr>
                <w:lang w:eastAsia="en-GB"/>
              </w:rPr>
              <w:t>1991</w:t>
            </w:r>
          </w:p>
        </w:tc>
      </w:tr>
      <w:tr w:rsidR="00292620" w:rsidRPr="001F239E" w14:paraId="2264A771" w14:textId="77777777" w:rsidTr="00A060E9">
        <w:trPr>
          <w:trHeight w:val="320"/>
        </w:trPr>
        <w:tc>
          <w:tcPr>
            <w:tcW w:w="1503" w:type="pct"/>
            <w:tcBorders>
              <w:top w:val="nil"/>
              <w:left w:val="nil"/>
              <w:bottom w:val="nil"/>
              <w:right w:val="nil"/>
            </w:tcBorders>
            <w:shd w:val="clear" w:color="auto" w:fill="auto"/>
            <w:noWrap/>
            <w:vAlign w:val="bottom"/>
            <w:hideMark/>
          </w:tcPr>
          <w:p w14:paraId="758D9C32" w14:textId="77777777" w:rsidR="00292620" w:rsidRPr="001F239E" w:rsidRDefault="00292620" w:rsidP="00324EB5">
            <w:pPr>
              <w:pStyle w:val="TableText"/>
              <w:keepNext/>
              <w:rPr>
                <w:lang w:eastAsia="en-GB"/>
              </w:rPr>
            </w:pPr>
            <w:r w:rsidRPr="001F239E">
              <w:rPr>
                <w:lang w:eastAsia="en-GB"/>
              </w:rPr>
              <w:t>Tyagarah</w:t>
            </w:r>
          </w:p>
        </w:tc>
        <w:tc>
          <w:tcPr>
            <w:tcW w:w="607" w:type="pct"/>
            <w:tcBorders>
              <w:top w:val="nil"/>
              <w:left w:val="nil"/>
              <w:bottom w:val="nil"/>
              <w:right w:val="nil"/>
            </w:tcBorders>
            <w:shd w:val="clear" w:color="auto" w:fill="auto"/>
            <w:noWrap/>
            <w:vAlign w:val="bottom"/>
            <w:hideMark/>
          </w:tcPr>
          <w:p w14:paraId="54AE2BA4" w14:textId="2A64EFA6"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32</w:t>
            </w:r>
            <w:r w:rsidR="0004459D">
              <w:rPr>
                <w:lang w:eastAsia="en-GB"/>
              </w:rPr>
              <w:t>’</w:t>
            </w:r>
          </w:p>
        </w:tc>
        <w:tc>
          <w:tcPr>
            <w:tcW w:w="625" w:type="pct"/>
            <w:tcBorders>
              <w:top w:val="nil"/>
              <w:left w:val="nil"/>
              <w:bottom w:val="nil"/>
              <w:right w:val="nil"/>
            </w:tcBorders>
            <w:shd w:val="clear" w:color="auto" w:fill="auto"/>
            <w:noWrap/>
            <w:vAlign w:val="bottom"/>
            <w:hideMark/>
          </w:tcPr>
          <w:p w14:paraId="38CD079F" w14:textId="261053AD"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32</w:t>
            </w:r>
            <w:r w:rsidR="0004459D">
              <w:rPr>
                <w:lang w:eastAsia="en-GB"/>
              </w:rPr>
              <w:t>’</w:t>
            </w:r>
          </w:p>
        </w:tc>
        <w:tc>
          <w:tcPr>
            <w:tcW w:w="889" w:type="pct"/>
            <w:tcBorders>
              <w:top w:val="nil"/>
              <w:left w:val="nil"/>
              <w:bottom w:val="nil"/>
              <w:right w:val="nil"/>
            </w:tcBorders>
            <w:shd w:val="clear" w:color="auto" w:fill="auto"/>
            <w:noWrap/>
            <w:vAlign w:val="bottom"/>
            <w:hideMark/>
          </w:tcPr>
          <w:p w14:paraId="2CAA3ED2" w14:textId="77777777" w:rsidR="00292620" w:rsidRPr="001F239E" w:rsidRDefault="00292620" w:rsidP="00324EB5">
            <w:pPr>
              <w:pStyle w:val="TableText"/>
              <w:keepNext/>
              <w:rPr>
                <w:lang w:eastAsia="en-GB"/>
              </w:rPr>
            </w:pPr>
            <w:r w:rsidRPr="001F239E">
              <w:rPr>
                <w:lang w:eastAsia="en-GB"/>
              </w:rPr>
              <w:t>Nature Reserve</w:t>
            </w:r>
          </w:p>
        </w:tc>
        <w:tc>
          <w:tcPr>
            <w:tcW w:w="792" w:type="pct"/>
            <w:tcBorders>
              <w:top w:val="nil"/>
              <w:left w:val="nil"/>
              <w:bottom w:val="nil"/>
              <w:right w:val="nil"/>
            </w:tcBorders>
            <w:shd w:val="clear" w:color="auto" w:fill="auto"/>
            <w:noWrap/>
            <w:vAlign w:val="bottom"/>
            <w:hideMark/>
          </w:tcPr>
          <w:p w14:paraId="1A38D2E3" w14:textId="77777777" w:rsidR="00292620" w:rsidRPr="001F239E" w:rsidRDefault="00292620" w:rsidP="00324EB5">
            <w:pPr>
              <w:pStyle w:val="TableText"/>
              <w:keepNext/>
              <w:rPr>
                <w:lang w:eastAsia="en-GB"/>
              </w:rPr>
            </w:pPr>
            <w:r w:rsidRPr="001F239E">
              <w:rPr>
                <w:lang w:eastAsia="en-GB"/>
              </w:rPr>
              <w:t>5 to 10</w:t>
            </w:r>
          </w:p>
        </w:tc>
        <w:tc>
          <w:tcPr>
            <w:tcW w:w="584" w:type="pct"/>
            <w:tcBorders>
              <w:top w:val="nil"/>
              <w:left w:val="nil"/>
              <w:bottom w:val="nil"/>
              <w:right w:val="nil"/>
            </w:tcBorders>
            <w:shd w:val="clear" w:color="auto" w:fill="auto"/>
            <w:noWrap/>
            <w:vAlign w:val="bottom"/>
            <w:hideMark/>
          </w:tcPr>
          <w:p w14:paraId="10FF04B7" w14:textId="77777777" w:rsidR="00292620" w:rsidRPr="001F239E" w:rsidRDefault="00292620" w:rsidP="00324EB5">
            <w:pPr>
              <w:pStyle w:val="TableText"/>
              <w:keepNext/>
              <w:rPr>
                <w:lang w:eastAsia="en-GB"/>
              </w:rPr>
            </w:pPr>
            <w:r w:rsidRPr="001F239E">
              <w:rPr>
                <w:lang w:eastAsia="en-GB"/>
              </w:rPr>
              <w:t>1995</w:t>
            </w:r>
          </w:p>
        </w:tc>
      </w:tr>
      <w:tr w:rsidR="00292620" w:rsidRPr="001F239E" w14:paraId="29448B83" w14:textId="77777777" w:rsidTr="00A060E9">
        <w:trPr>
          <w:trHeight w:val="320"/>
        </w:trPr>
        <w:tc>
          <w:tcPr>
            <w:tcW w:w="1503" w:type="pct"/>
            <w:tcBorders>
              <w:top w:val="nil"/>
              <w:left w:val="nil"/>
              <w:bottom w:val="nil"/>
              <w:right w:val="nil"/>
            </w:tcBorders>
            <w:shd w:val="clear" w:color="auto" w:fill="auto"/>
            <w:noWrap/>
            <w:vAlign w:val="bottom"/>
            <w:hideMark/>
          </w:tcPr>
          <w:p w14:paraId="0A784E0E" w14:textId="516C4386" w:rsidR="00292620" w:rsidRPr="001F239E" w:rsidRDefault="00292620" w:rsidP="00324EB5">
            <w:pPr>
              <w:pStyle w:val="TableText"/>
              <w:keepNext/>
              <w:rPr>
                <w:lang w:eastAsia="en-GB"/>
              </w:rPr>
            </w:pPr>
            <w:r w:rsidRPr="001F239E">
              <w:rPr>
                <w:lang w:eastAsia="en-GB"/>
              </w:rPr>
              <w:t xml:space="preserve">Pholis Walk, </w:t>
            </w:r>
            <w:r w:rsidR="00020F55">
              <w:rPr>
                <w:lang w:eastAsia="en-GB"/>
              </w:rPr>
              <w:t>Nightcap</w:t>
            </w:r>
          </w:p>
        </w:tc>
        <w:tc>
          <w:tcPr>
            <w:tcW w:w="607" w:type="pct"/>
            <w:tcBorders>
              <w:top w:val="nil"/>
              <w:left w:val="nil"/>
              <w:bottom w:val="nil"/>
              <w:right w:val="nil"/>
            </w:tcBorders>
            <w:shd w:val="clear" w:color="auto" w:fill="auto"/>
            <w:noWrap/>
            <w:vAlign w:val="bottom"/>
            <w:hideMark/>
          </w:tcPr>
          <w:p w14:paraId="445724CF" w14:textId="015F79B7"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32</w:t>
            </w:r>
            <w:r w:rsidR="0004459D">
              <w:rPr>
                <w:lang w:eastAsia="en-GB"/>
              </w:rPr>
              <w:t>’</w:t>
            </w:r>
            <w:r w:rsidR="00292620" w:rsidRPr="001F239E">
              <w:rPr>
                <w:lang w:eastAsia="en-GB"/>
              </w:rPr>
              <w:t>22</w:t>
            </w:r>
            <w:r w:rsidR="0004459D">
              <w:rPr>
                <w:lang w:eastAsia="en-GB"/>
              </w:rPr>
              <w:t>’’</w:t>
            </w:r>
          </w:p>
        </w:tc>
        <w:tc>
          <w:tcPr>
            <w:tcW w:w="625" w:type="pct"/>
            <w:tcBorders>
              <w:top w:val="nil"/>
              <w:left w:val="nil"/>
              <w:bottom w:val="nil"/>
              <w:right w:val="nil"/>
            </w:tcBorders>
            <w:shd w:val="clear" w:color="auto" w:fill="auto"/>
            <w:noWrap/>
            <w:vAlign w:val="bottom"/>
            <w:hideMark/>
          </w:tcPr>
          <w:p w14:paraId="5E2BFC1A" w14:textId="6AD7A933"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17</w:t>
            </w:r>
            <w:r w:rsidR="0004459D">
              <w:rPr>
                <w:lang w:eastAsia="en-GB"/>
              </w:rPr>
              <w:t>’</w:t>
            </w:r>
            <w:r w:rsidRPr="001F239E">
              <w:rPr>
                <w:lang w:eastAsia="en-GB"/>
              </w:rPr>
              <w:t>18</w:t>
            </w:r>
            <w:r w:rsidR="0004459D">
              <w:rPr>
                <w:lang w:eastAsia="en-GB"/>
              </w:rPr>
              <w:t>’’</w:t>
            </w:r>
          </w:p>
        </w:tc>
        <w:tc>
          <w:tcPr>
            <w:tcW w:w="889" w:type="pct"/>
            <w:tcBorders>
              <w:top w:val="nil"/>
              <w:left w:val="nil"/>
              <w:bottom w:val="nil"/>
              <w:right w:val="nil"/>
            </w:tcBorders>
            <w:shd w:val="clear" w:color="auto" w:fill="auto"/>
            <w:noWrap/>
            <w:vAlign w:val="bottom"/>
            <w:hideMark/>
          </w:tcPr>
          <w:p w14:paraId="587368A8" w14:textId="77777777" w:rsidR="00292620" w:rsidRPr="001F239E" w:rsidRDefault="00292620" w:rsidP="00324EB5">
            <w:pPr>
              <w:pStyle w:val="TableText"/>
              <w:keepNext/>
              <w:rPr>
                <w:lang w:eastAsia="en-GB"/>
              </w:rPr>
            </w:pPr>
            <w:r w:rsidRPr="001F239E">
              <w:rPr>
                <w:lang w:eastAsia="en-GB"/>
              </w:rPr>
              <w:t>National Park</w:t>
            </w:r>
          </w:p>
        </w:tc>
        <w:tc>
          <w:tcPr>
            <w:tcW w:w="792" w:type="pct"/>
            <w:tcBorders>
              <w:top w:val="nil"/>
              <w:left w:val="nil"/>
              <w:bottom w:val="nil"/>
              <w:right w:val="nil"/>
            </w:tcBorders>
            <w:shd w:val="clear" w:color="auto" w:fill="auto"/>
            <w:noWrap/>
            <w:vAlign w:val="bottom"/>
            <w:hideMark/>
          </w:tcPr>
          <w:p w14:paraId="5E82CE7E"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5B38B354" w14:textId="77777777" w:rsidR="00292620" w:rsidRPr="001F239E" w:rsidRDefault="00292620" w:rsidP="00324EB5">
            <w:pPr>
              <w:pStyle w:val="TableText"/>
              <w:keepNext/>
              <w:rPr>
                <w:lang w:eastAsia="en-GB"/>
              </w:rPr>
            </w:pPr>
            <w:r w:rsidRPr="001F239E">
              <w:rPr>
                <w:lang w:eastAsia="en-GB"/>
              </w:rPr>
              <w:t>1991</w:t>
            </w:r>
          </w:p>
        </w:tc>
      </w:tr>
      <w:tr w:rsidR="00292620" w:rsidRPr="001F239E" w14:paraId="00A81164" w14:textId="77777777" w:rsidTr="00A060E9">
        <w:trPr>
          <w:trHeight w:val="320"/>
        </w:trPr>
        <w:tc>
          <w:tcPr>
            <w:tcW w:w="1503" w:type="pct"/>
            <w:tcBorders>
              <w:top w:val="nil"/>
              <w:left w:val="nil"/>
              <w:bottom w:val="nil"/>
              <w:right w:val="nil"/>
            </w:tcBorders>
            <w:shd w:val="clear" w:color="auto" w:fill="auto"/>
            <w:noWrap/>
            <w:vAlign w:val="bottom"/>
            <w:hideMark/>
          </w:tcPr>
          <w:p w14:paraId="45A8ECF1" w14:textId="77777777" w:rsidR="00292620" w:rsidRPr="001F239E" w:rsidRDefault="00292620" w:rsidP="00324EB5">
            <w:pPr>
              <w:pStyle w:val="TableText"/>
              <w:keepNext/>
              <w:rPr>
                <w:lang w:eastAsia="en-GB"/>
              </w:rPr>
            </w:pPr>
            <w:r w:rsidRPr="001F239E">
              <w:rPr>
                <w:lang w:eastAsia="en-GB"/>
              </w:rPr>
              <w:t xml:space="preserve">Mt </w:t>
            </w:r>
            <w:proofErr w:type="spellStart"/>
            <w:r w:rsidRPr="001F239E">
              <w:rPr>
                <w:lang w:eastAsia="en-GB"/>
              </w:rPr>
              <w:t>Nardi</w:t>
            </w:r>
            <w:proofErr w:type="spellEnd"/>
            <w:r w:rsidRPr="001F239E">
              <w:rPr>
                <w:lang w:eastAsia="en-GB"/>
              </w:rPr>
              <w:t>, Nightcap</w:t>
            </w:r>
          </w:p>
        </w:tc>
        <w:tc>
          <w:tcPr>
            <w:tcW w:w="607" w:type="pct"/>
            <w:tcBorders>
              <w:top w:val="nil"/>
              <w:left w:val="nil"/>
              <w:bottom w:val="nil"/>
              <w:right w:val="nil"/>
            </w:tcBorders>
            <w:shd w:val="clear" w:color="auto" w:fill="auto"/>
            <w:noWrap/>
            <w:vAlign w:val="bottom"/>
            <w:hideMark/>
          </w:tcPr>
          <w:p w14:paraId="7C96B6E8" w14:textId="66B63832"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33</w:t>
            </w:r>
            <w:r w:rsidR="0004459D">
              <w:rPr>
                <w:lang w:eastAsia="en-GB"/>
              </w:rPr>
              <w:t>’</w:t>
            </w:r>
          </w:p>
        </w:tc>
        <w:tc>
          <w:tcPr>
            <w:tcW w:w="625" w:type="pct"/>
            <w:tcBorders>
              <w:top w:val="nil"/>
              <w:left w:val="nil"/>
              <w:bottom w:val="nil"/>
              <w:right w:val="nil"/>
            </w:tcBorders>
            <w:shd w:val="clear" w:color="auto" w:fill="auto"/>
            <w:noWrap/>
            <w:vAlign w:val="bottom"/>
            <w:hideMark/>
          </w:tcPr>
          <w:p w14:paraId="3CF3EEEC" w14:textId="465DE4C0"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19</w:t>
            </w:r>
            <w:r w:rsidR="0004459D">
              <w:rPr>
                <w:lang w:eastAsia="en-GB"/>
              </w:rPr>
              <w:t>’</w:t>
            </w:r>
          </w:p>
        </w:tc>
        <w:tc>
          <w:tcPr>
            <w:tcW w:w="889" w:type="pct"/>
            <w:tcBorders>
              <w:top w:val="nil"/>
              <w:left w:val="nil"/>
              <w:bottom w:val="nil"/>
              <w:right w:val="nil"/>
            </w:tcBorders>
            <w:shd w:val="clear" w:color="auto" w:fill="auto"/>
            <w:noWrap/>
            <w:vAlign w:val="bottom"/>
            <w:hideMark/>
          </w:tcPr>
          <w:p w14:paraId="7521AB53" w14:textId="77777777" w:rsidR="00292620" w:rsidRPr="001F239E" w:rsidRDefault="00292620" w:rsidP="00324EB5">
            <w:pPr>
              <w:pStyle w:val="TableText"/>
              <w:keepNext/>
              <w:rPr>
                <w:lang w:eastAsia="en-GB"/>
              </w:rPr>
            </w:pPr>
            <w:r w:rsidRPr="001F239E">
              <w:rPr>
                <w:lang w:eastAsia="en-GB"/>
              </w:rPr>
              <w:t>National Park</w:t>
            </w:r>
          </w:p>
        </w:tc>
        <w:tc>
          <w:tcPr>
            <w:tcW w:w="792" w:type="pct"/>
            <w:tcBorders>
              <w:top w:val="nil"/>
              <w:left w:val="nil"/>
              <w:bottom w:val="nil"/>
              <w:right w:val="nil"/>
            </w:tcBorders>
            <w:shd w:val="clear" w:color="auto" w:fill="auto"/>
            <w:noWrap/>
            <w:vAlign w:val="bottom"/>
            <w:hideMark/>
          </w:tcPr>
          <w:p w14:paraId="27B675F5" w14:textId="77777777" w:rsidR="00292620" w:rsidRPr="001F239E" w:rsidRDefault="00292620" w:rsidP="00324EB5">
            <w:pPr>
              <w:pStyle w:val="TableText"/>
              <w:keepNext/>
              <w:rPr>
                <w:lang w:eastAsia="en-GB"/>
              </w:rPr>
            </w:pPr>
            <w:r w:rsidRPr="001F239E">
              <w:rPr>
                <w:lang w:eastAsia="en-GB"/>
              </w:rPr>
              <w:t>Voucher</w:t>
            </w:r>
          </w:p>
        </w:tc>
        <w:tc>
          <w:tcPr>
            <w:tcW w:w="584" w:type="pct"/>
            <w:tcBorders>
              <w:top w:val="nil"/>
              <w:left w:val="nil"/>
              <w:bottom w:val="nil"/>
              <w:right w:val="nil"/>
            </w:tcBorders>
            <w:shd w:val="clear" w:color="auto" w:fill="auto"/>
            <w:noWrap/>
            <w:vAlign w:val="bottom"/>
            <w:hideMark/>
          </w:tcPr>
          <w:p w14:paraId="1DD7F393" w14:textId="77777777" w:rsidR="00292620" w:rsidRPr="001F239E" w:rsidRDefault="00292620" w:rsidP="00324EB5">
            <w:pPr>
              <w:pStyle w:val="TableText"/>
              <w:keepNext/>
              <w:rPr>
                <w:lang w:eastAsia="en-GB"/>
              </w:rPr>
            </w:pPr>
            <w:r w:rsidRPr="001F239E">
              <w:rPr>
                <w:lang w:eastAsia="en-GB"/>
              </w:rPr>
              <w:t>1979</w:t>
            </w:r>
          </w:p>
        </w:tc>
      </w:tr>
      <w:tr w:rsidR="00292620" w:rsidRPr="001F239E" w14:paraId="619A4E66" w14:textId="77777777" w:rsidTr="00A060E9">
        <w:trPr>
          <w:trHeight w:val="320"/>
        </w:trPr>
        <w:tc>
          <w:tcPr>
            <w:tcW w:w="1503" w:type="pct"/>
            <w:tcBorders>
              <w:top w:val="nil"/>
              <w:left w:val="nil"/>
              <w:bottom w:val="nil"/>
              <w:right w:val="nil"/>
            </w:tcBorders>
            <w:shd w:val="clear" w:color="auto" w:fill="auto"/>
            <w:noWrap/>
            <w:vAlign w:val="bottom"/>
            <w:hideMark/>
          </w:tcPr>
          <w:p w14:paraId="4AAFEBA4" w14:textId="77777777" w:rsidR="00292620" w:rsidRPr="001F239E" w:rsidRDefault="00292620" w:rsidP="00324EB5">
            <w:pPr>
              <w:pStyle w:val="TableText"/>
              <w:keepNext/>
              <w:rPr>
                <w:lang w:eastAsia="en-GB"/>
              </w:rPr>
            </w:pPr>
            <w:r w:rsidRPr="001F239E">
              <w:rPr>
                <w:lang w:eastAsia="en-GB"/>
              </w:rPr>
              <w:t>Mt Matheson, Nightcap</w:t>
            </w:r>
          </w:p>
        </w:tc>
        <w:tc>
          <w:tcPr>
            <w:tcW w:w="607" w:type="pct"/>
            <w:tcBorders>
              <w:top w:val="nil"/>
              <w:left w:val="nil"/>
              <w:bottom w:val="nil"/>
              <w:right w:val="nil"/>
            </w:tcBorders>
            <w:shd w:val="clear" w:color="auto" w:fill="auto"/>
            <w:noWrap/>
            <w:vAlign w:val="bottom"/>
            <w:hideMark/>
          </w:tcPr>
          <w:p w14:paraId="59EFC2E7" w14:textId="4A651FD3"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33</w:t>
            </w:r>
            <w:r w:rsidR="0004459D">
              <w:rPr>
                <w:lang w:eastAsia="en-GB"/>
              </w:rPr>
              <w:t>’</w:t>
            </w:r>
          </w:p>
        </w:tc>
        <w:tc>
          <w:tcPr>
            <w:tcW w:w="625" w:type="pct"/>
            <w:tcBorders>
              <w:top w:val="nil"/>
              <w:left w:val="nil"/>
              <w:bottom w:val="nil"/>
              <w:right w:val="nil"/>
            </w:tcBorders>
            <w:shd w:val="clear" w:color="auto" w:fill="auto"/>
            <w:noWrap/>
            <w:vAlign w:val="bottom"/>
            <w:hideMark/>
          </w:tcPr>
          <w:p w14:paraId="5E14F26E" w14:textId="0B451E6A"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19</w:t>
            </w:r>
            <w:r w:rsidR="0004459D">
              <w:rPr>
                <w:lang w:eastAsia="en-GB"/>
              </w:rPr>
              <w:t>’</w:t>
            </w:r>
          </w:p>
        </w:tc>
        <w:tc>
          <w:tcPr>
            <w:tcW w:w="889" w:type="pct"/>
            <w:tcBorders>
              <w:top w:val="nil"/>
              <w:left w:val="nil"/>
              <w:bottom w:val="nil"/>
              <w:right w:val="nil"/>
            </w:tcBorders>
            <w:shd w:val="clear" w:color="auto" w:fill="auto"/>
            <w:noWrap/>
            <w:vAlign w:val="bottom"/>
            <w:hideMark/>
          </w:tcPr>
          <w:p w14:paraId="64A54FFC" w14:textId="77777777" w:rsidR="00292620" w:rsidRPr="001F239E" w:rsidRDefault="00292620" w:rsidP="00324EB5">
            <w:pPr>
              <w:pStyle w:val="TableText"/>
              <w:keepNext/>
              <w:rPr>
                <w:lang w:eastAsia="en-GB"/>
              </w:rPr>
            </w:pPr>
            <w:r w:rsidRPr="001F239E">
              <w:rPr>
                <w:lang w:eastAsia="en-GB"/>
              </w:rPr>
              <w:t>National Park</w:t>
            </w:r>
          </w:p>
        </w:tc>
        <w:tc>
          <w:tcPr>
            <w:tcW w:w="792" w:type="pct"/>
            <w:tcBorders>
              <w:top w:val="nil"/>
              <w:left w:val="nil"/>
              <w:bottom w:val="nil"/>
              <w:right w:val="nil"/>
            </w:tcBorders>
            <w:shd w:val="clear" w:color="auto" w:fill="auto"/>
            <w:noWrap/>
            <w:vAlign w:val="bottom"/>
            <w:hideMark/>
          </w:tcPr>
          <w:p w14:paraId="34FA5136" w14:textId="77777777" w:rsidR="00292620" w:rsidRPr="001F239E" w:rsidRDefault="00292620" w:rsidP="00324EB5">
            <w:pPr>
              <w:pStyle w:val="TableText"/>
              <w:keepNext/>
              <w:rPr>
                <w:lang w:eastAsia="en-GB"/>
              </w:rPr>
            </w:pPr>
            <w:r w:rsidRPr="001F239E">
              <w:rPr>
                <w:lang w:eastAsia="en-GB"/>
              </w:rPr>
              <w:t>10</w:t>
            </w:r>
          </w:p>
        </w:tc>
        <w:tc>
          <w:tcPr>
            <w:tcW w:w="584" w:type="pct"/>
            <w:tcBorders>
              <w:top w:val="nil"/>
              <w:left w:val="nil"/>
              <w:bottom w:val="nil"/>
              <w:right w:val="nil"/>
            </w:tcBorders>
            <w:shd w:val="clear" w:color="auto" w:fill="auto"/>
            <w:noWrap/>
            <w:vAlign w:val="bottom"/>
            <w:hideMark/>
          </w:tcPr>
          <w:p w14:paraId="020A5638" w14:textId="77777777" w:rsidR="00292620" w:rsidRPr="001F239E" w:rsidRDefault="00292620" w:rsidP="00324EB5">
            <w:pPr>
              <w:pStyle w:val="TableText"/>
              <w:keepNext/>
              <w:rPr>
                <w:lang w:eastAsia="en-GB"/>
              </w:rPr>
            </w:pPr>
            <w:r w:rsidRPr="001F239E">
              <w:rPr>
                <w:lang w:eastAsia="en-GB"/>
              </w:rPr>
              <w:t>1979</w:t>
            </w:r>
          </w:p>
        </w:tc>
      </w:tr>
      <w:tr w:rsidR="00292620" w:rsidRPr="001F239E" w14:paraId="594839E4" w14:textId="77777777" w:rsidTr="00A060E9">
        <w:trPr>
          <w:trHeight w:val="320"/>
        </w:trPr>
        <w:tc>
          <w:tcPr>
            <w:tcW w:w="1503" w:type="pct"/>
            <w:tcBorders>
              <w:top w:val="nil"/>
              <w:left w:val="nil"/>
              <w:bottom w:val="nil"/>
              <w:right w:val="nil"/>
            </w:tcBorders>
            <w:shd w:val="clear" w:color="auto" w:fill="auto"/>
            <w:noWrap/>
            <w:vAlign w:val="bottom"/>
            <w:hideMark/>
          </w:tcPr>
          <w:p w14:paraId="77BE97C3" w14:textId="77777777" w:rsidR="00292620" w:rsidRPr="001F239E" w:rsidRDefault="00292620" w:rsidP="00324EB5">
            <w:pPr>
              <w:pStyle w:val="TableText"/>
              <w:keepNext/>
              <w:rPr>
                <w:lang w:eastAsia="en-GB"/>
              </w:rPr>
            </w:pPr>
            <w:r w:rsidRPr="001F239E">
              <w:rPr>
                <w:lang w:eastAsia="en-GB"/>
              </w:rPr>
              <w:t>Turntable Creek, Nightcap</w:t>
            </w:r>
          </w:p>
        </w:tc>
        <w:tc>
          <w:tcPr>
            <w:tcW w:w="607" w:type="pct"/>
            <w:tcBorders>
              <w:top w:val="nil"/>
              <w:left w:val="nil"/>
              <w:bottom w:val="nil"/>
              <w:right w:val="nil"/>
            </w:tcBorders>
            <w:shd w:val="clear" w:color="auto" w:fill="auto"/>
            <w:noWrap/>
            <w:vAlign w:val="bottom"/>
            <w:hideMark/>
          </w:tcPr>
          <w:p w14:paraId="65D11C95" w14:textId="4DB7BF70"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33</w:t>
            </w:r>
            <w:r w:rsidR="0004459D">
              <w:rPr>
                <w:lang w:eastAsia="en-GB"/>
              </w:rPr>
              <w:t>’</w:t>
            </w:r>
          </w:p>
        </w:tc>
        <w:tc>
          <w:tcPr>
            <w:tcW w:w="625" w:type="pct"/>
            <w:tcBorders>
              <w:top w:val="nil"/>
              <w:left w:val="nil"/>
              <w:bottom w:val="nil"/>
              <w:right w:val="nil"/>
            </w:tcBorders>
            <w:shd w:val="clear" w:color="auto" w:fill="auto"/>
            <w:noWrap/>
            <w:vAlign w:val="bottom"/>
            <w:hideMark/>
          </w:tcPr>
          <w:p w14:paraId="22426D00" w14:textId="50F79033"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17</w:t>
            </w:r>
            <w:r w:rsidR="0004459D">
              <w:rPr>
                <w:lang w:eastAsia="en-GB"/>
              </w:rPr>
              <w:t>’</w:t>
            </w:r>
            <w:r w:rsidRPr="001F239E">
              <w:rPr>
                <w:lang w:eastAsia="en-GB"/>
              </w:rPr>
              <w:t>21</w:t>
            </w:r>
            <w:r w:rsidR="0004459D">
              <w:rPr>
                <w:lang w:eastAsia="en-GB"/>
              </w:rPr>
              <w:t>’’</w:t>
            </w:r>
          </w:p>
        </w:tc>
        <w:tc>
          <w:tcPr>
            <w:tcW w:w="889" w:type="pct"/>
            <w:tcBorders>
              <w:top w:val="nil"/>
              <w:left w:val="nil"/>
              <w:bottom w:val="nil"/>
              <w:right w:val="nil"/>
            </w:tcBorders>
            <w:shd w:val="clear" w:color="auto" w:fill="auto"/>
            <w:noWrap/>
            <w:vAlign w:val="bottom"/>
            <w:hideMark/>
          </w:tcPr>
          <w:p w14:paraId="695C6FEA" w14:textId="77777777" w:rsidR="00292620" w:rsidRPr="001F239E" w:rsidRDefault="00292620" w:rsidP="00324EB5">
            <w:pPr>
              <w:pStyle w:val="TableText"/>
              <w:keepNext/>
              <w:rPr>
                <w:lang w:eastAsia="en-GB"/>
              </w:rPr>
            </w:pPr>
            <w:r w:rsidRPr="001F239E">
              <w:rPr>
                <w:lang w:eastAsia="en-GB"/>
              </w:rPr>
              <w:t>National Park</w:t>
            </w:r>
          </w:p>
        </w:tc>
        <w:tc>
          <w:tcPr>
            <w:tcW w:w="792" w:type="pct"/>
            <w:tcBorders>
              <w:top w:val="nil"/>
              <w:left w:val="nil"/>
              <w:bottom w:val="nil"/>
              <w:right w:val="nil"/>
            </w:tcBorders>
            <w:shd w:val="clear" w:color="auto" w:fill="auto"/>
            <w:noWrap/>
            <w:vAlign w:val="bottom"/>
            <w:hideMark/>
          </w:tcPr>
          <w:p w14:paraId="1A3E58D3"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64E250F2" w14:textId="77777777" w:rsidR="00292620" w:rsidRPr="001F239E" w:rsidRDefault="00292620" w:rsidP="00324EB5">
            <w:pPr>
              <w:pStyle w:val="TableText"/>
              <w:keepNext/>
              <w:rPr>
                <w:lang w:eastAsia="en-GB"/>
              </w:rPr>
            </w:pPr>
            <w:r w:rsidRPr="001F239E">
              <w:rPr>
                <w:lang w:eastAsia="en-GB"/>
              </w:rPr>
              <w:t>1991</w:t>
            </w:r>
          </w:p>
        </w:tc>
      </w:tr>
      <w:tr w:rsidR="00292620" w:rsidRPr="001F239E" w14:paraId="3C65EADB" w14:textId="77777777" w:rsidTr="00A060E9">
        <w:trPr>
          <w:trHeight w:val="320"/>
        </w:trPr>
        <w:tc>
          <w:tcPr>
            <w:tcW w:w="1503" w:type="pct"/>
            <w:tcBorders>
              <w:top w:val="nil"/>
              <w:left w:val="nil"/>
              <w:bottom w:val="nil"/>
              <w:right w:val="nil"/>
            </w:tcBorders>
            <w:shd w:val="clear" w:color="auto" w:fill="auto"/>
            <w:noWrap/>
            <w:vAlign w:val="bottom"/>
            <w:hideMark/>
          </w:tcPr>
          <w:p w14:paraId="42E1C1D6" w14:textId="77777777" w:rsidR="00292620" w:rsidRPr="001F239E" w:rsidRDefault="00292620" w:rsidP="00324EB5">
            <w:pPr>
              <w:pStyle w:val="TableText"/>
              <w:keepNext/>
              <w:rPr>
                <w:lang w:eastAsia="en-GB"/>
              </w:rPr>
            </w:pPr>
            <w:proofErr w:type="spellStart"/>
            <w:r w:rsidRPr="001F239E">
              <w:rPr>
                <w:lang w:eastAsia="en-GB"/>
              </w:rPr>
              <w:t>Terania</w:t>
            </w:r>
            <w:proofErr w:type="spellEnd"/>
          </w:p>
        </w:tc>
        <w:tc>
          <w:tcPr>
            <w:tcW w:w="607" w:type="pct"/>
            <w:tcBorders>
              <w:top w:val="nil"/>
              <w:left w:val="nil"/>
              <w:bottom w:val="nil"/>
              <w:right w:val="nil"/>
            </w:tcBorders>
            <w:shd w:val="clear" w:color="auto" w:fill="auto"/>
            <w:noWrap/>
            <w:vAlign w:val="bottom"/>
            <w:hideMark/>
          </w:tcPr>
          <w:p w14:paraId="69D5F8B2" w14:textId="3664B2F3"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33</w:t>
            </w:r>
            <w:r w:rsidR="0004459D">
              <w:rPr>
                <w:lang w:eastAsia="en-GB"/>
              </w:rPr>
              <w:t>’</w:t>
            </w:r>
          </w:p>
        </w:tc>
        <w:tc>
          <w:tcPr>
            <w:tcW w:w="625" w:type="pct"/>
            <w:tcBorders>
              <w:top w:val="nil"/>
              <w:left w:val="nil"/>
              <w:bottom w:val="nil"/>
              <w:right w:val="nil"/>
            </w:tcBorders>
            <w:shd w:val="clear" w:color="auto" w:fill="auto"/>
            <w:noWrap/>
            <w:vAlign w:val="bottom"/>
            <w:hideMark/>
          </w:tcPr>
          <w:p w14:paraId="50B2A938" w14:textId="52943E1A"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16</w:t>
            </w:r>
            <w:r w:rsidR="0004459D">
              <w:rPr>
                <w:lang w:eastAsia="en-GB"/>
              </w:rPr>
              <w:t>’</w:t>
            </w:r>
            <w:r w:rsidRPr="001F239E">
              <w:rPr>
                <w:lang w:eastAsia="en-GB"/>
              </w:rPr>
              <w:t>19</w:t>
            </w:r>
            <w:r w:rsidR="0004459D">
              <w:rPr>
                <w:lang w:eastAsia="en-GB"/>
              </w:rPr>
              <w:t>’’</w:t>
            </w:r>
          </w:p>
        </w:tc>
        <w:tc>
          <w:tcPr>
            <w:tcW w:w="889" w:type="pct"/>
            <w:tcBorders>
              <w:top w:val="nil"/>
              <w:left w:val="nil"/>
              <w:bottom w:val="nil"/>
              <w:right w:val="nil"/>
            </w:tcBorders>
            <w:shd w:val="clear" w:color="auto" w:fill="auto"/>
            <w:noWrap/>
            <w:vAlign w:val="bottom"/>
            <w:hideMark/>
          </w:tcPr>
          <w:p w14:paraId="71129A0A" w14:textId="77777777" w:rsidR="00292620" w:rsidRPr="001F239E" w:rsidRDefault="00292620" w:rsidP="00324EB5">
            <w:pPr>
              <w:pStyle w:val="TableText"/>
              <w:keepNext/>
              <w:rPr>
                <w:lang w:eastAsia="en-GB"/>
              </w:rPr>
            </w:pPr>
            <w:r w:rsidRPr="001F239E">
              <w:rPr>
                <w:lang w:eastAsia="en-GB"/>
              </w:rPr>
              <w:t>Private Property</w:t>
            </w:r>
          </w:p>
        </w:tc>
        <w:tc>
          <w:tcPr>
            <w:tcW w:w="792" w:type="pct"/>
            <w:tcBorders>
              <w:top w:val="nil"/>
              <w:left w:val="nil"/>
              <w:bottom w:val="nil"/>
              <w:right w:val="nil"/>
            </w:tcBorders>
            <w:shd w:val="clear" w:color="auto" w:fill="auto"/>
            <w:noWrap/>
            <w:vAlign w:val="bottom"/>
            <w:hideMark/>
          </w:tcPr>
          <w:p w14:paraId="71AC6385"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7D72E91D" w14:textId="77777777" w:rsidR="00292620" w:rsidRPr="001F239E" w:rsidRDefault="00292620" w:rsidP="00324EB5">
            <w:pPr>
              <w:pStyle w:val="TableText"/>
              <w:keepNext/>
              <w:rPr>
                <w:lang w:eastAsia="en-GB"/>
              </w:rPr>
            </w:pPr>
            <w:r w:rsidRPr="001F239E">
              <w:rPr>
                <w:lang w:eastAsia="en-GB"/>
              </w:rPr>
              <w:t>1991</w:t>
            </w:r>
          </w:p>
        </w:tc>
      </w:tr>
      <w:tr w:rsidR="00292620" w:rsidRPr="001F239E" w14:paraId="4132D4E0" w14:textId="77777777" w:rsidTr="00A060E9">
        <w:trPr>
          <w:trHeight w:val="320"/>
        </w:trPr>
        <w:tc>
          <w:tcPr>
            <w:tcW w:w="1503" w:type="pct"/>
            <w:tcBorders>
              <w:top w:val="nil"/>
              <w:left w:val="nil"/>
              <w:bottom w:val="nil"/>
              <w:right w:val="nil"/>
            </w:tcBorders>
            <w:shd w:val="clear" w:color="auto" w:fill="auto"/>
            <w:noWrap/>
            <w:vAlign w:val="bottom"/>
            <w:hideMark/>
          </w:tcPr>
          <w:p w14:paraId="2CEFAE00" w14:textId="77777777" w:rsidR="00292620" w:rsidRPr="001F239E" w:rsidRDefault="00292620" w:rsidP="00324EB5">
            <w:pPr>
              <w:pStyle w:val="TableText"/>
              <w:keepNext/>
              <w:rPr>
                <w:lang w:eastAsia="en-GB"/>
              </w:rPr>
            </w:pPr>
            <w:proofErr w:type="spellStart"/>
            <w:r w:rsidRPr="001F239E">
              <w:rPr>
                <w:lang w:eastAsia="en-GB"/>
              </w:rPr>
              <w:t>Gibbergunyah</w:t>
            </w:r>
            <w:proofErr w:type="spellEnd"/>
            <w:r w:rsidRPr="001F239E">
              <w:rPr>
                <w:lang w:eastAsia="en-GB"/>
              </w:rPr>
              <w:t xml:space="preserve"> Range, </w:t>
            </w: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p>
        </w:tc>
        <w:tc>
          <w:tcPr>
            <w:tcW w:w="607" w:type="pct"/>
            <w:tcBorders>
              <w:top w:val="nil"/>
              <w:left w:val="nil"/>
              <w:bottom w:val="nil"/>
              <w:right w:val="nil"/>
            </w:tcBorders>
            <w:shd w:val="clear" w:color="auto" w:fill="auto"/>
            <w:noWrap/>
            <w:vAlign w:val="bottom"/>
            <w:hideMark/>
          </w:tcPr>
          <w:p w14:paraId="01F2F2B2" w14:textId="37733FC3"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34</w:t>
            </w:r>
            <w:r w:rsidR="0004459D">
              <w:rPr>
                <w:lang w:eastAsia="en-GB"/>
              </w:rPr>
              <w:t>’</w:t>
            </w:r>
          </w:p>
        </w:tc>
        <w:tc>
          <w:tcPr>
            <w:tcW w:w="625" w:type="pct"/>
            <w:tcBorders>
              <w:top w:val="nil"/>
              <w:left w:val="nil"/>
              <w:bottom w:val="nil"/>
              <w:right w:val="nil"/>
            </w:tcBorders>
            <w:shd w:val="clear" w:color="auto" w:fill="auto"/>
            <w:noWrap/>
            <w:vAlign w:val="bottom"/>
            <w:hideMark/>
          </w:tcPr>
          <w:p w14:paraId="60554F15" w14:textId="34E48DC0"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22</w:t>
            </w:r>
            <w:r w:rsidR="0004459D">
              <w:rPr>
                <w:lang w:eastAsia="en-GB"/>
              </w:rPr>
              <w:t>’</w:t>
            </w:r>
          </w:p>
        </w:tc>
        <w:tc>
          <w:tcPr>
            <w:tcW w:w="889" w:type="pct"/>
            <w:tcBorders>
              <w:top w:val="nil"/>
              <w:left w:val="nil"/>
              <w:bottom w:val="nil"/>
              <w:right w:val="nil"/>
            </w:tcBorders>
            <w:shd w:val="clear" w:color="auto" w:fill="auto"/>
            <w:noWrap/>
            <w:vAlign w:val="bottom"/>
            <w:hideMark/>
          </w:tcPr>
          <w:p w14:paraId="43C7D038"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638BBAED" w14:textId="77777777" w:rsidR="00292620" w:rsidRPr="001F239E" w:rsidRDefault="00292620" w:rsidP="00324EB5">
            <w:pPr>
              <w:pStyle w:val="TableText"/>
              <w:keepNext/>
              <w:rPr>
                <w:lang w:eastAsia="en-GB"/>
              </w:rPr>
            </w:pPr>
            <w:r w:rsidRPr="001F239E">
              <w:rPr>
                <w:lang w:eastAsia="en-GB"/>
              </w:rPr>
              <w:t>Voucher</w:t>
            </w:r>
          </w:p>
        </w:tc>
        <w:tc>
          <w:tcPr>
            <w:tcW w:w="584" w:type="pct"/>
            <w:tcBorders>
              <w:top w:val="nil"/>
              <w:left w:val="nil"/>
              <w:bottom w:val="nil"/>
              <w:right w:val="nil"/>
            </w:tcBorders>
            <w:shd w:val="clear" w:color="auto" w:fill="auto"/>
            <w:noWrap/>
            <w:vAlign w:val="bottom"/>
            <w:hideMark/>
          </w:tcPr>
          <w:p w14:paraId="028EF3FD" w14:textId="77777777" w:rsidR="00292620" w:rsidRPr="001F239E" w:rsidRDefault="00292620" w:rsidP="00324EB5">
            <w:pPr>
              <w:pStyle w:val="TableText"/>
              <w:keepNext/>
              <w:rPr>
                <w:lang w:eastAsia="en-GB"/>
              </w:rPr>
            </w:pPr>
            <w:r w:rsidRPr="001F239E">
              <w:rPr>
                <w:lang w:eastAsia="en-GB"/>
              </w:rPr>
              <w:t>1923</w:t>
            </w:r>
          </w:p>
        </w:tc>
      </w:tr>
      <w:tr w:rsidR="00292620" w:rsidRPr="001F239E" w14:paraId="150CDFBA" w14:textId="77777777" w:rsidTr="00A060E9">
        <w:trPr>
          <w:trHeight w:val="320"/>
        </w:trPr>
        <w:tc>
          <w:tcPr>
            <w:tcW w:w="1503" w:type="pct"/>
            <w:tcBorders>
              <w:top w:val="nil"/>
              <w:left w:val="nil"/>
              <w:bottom w:val="nil"/>
              <w:right w:val="nil"/>
            </w:tcBorders>
            <w:shd w:val="clear" w:color="auto" w:fill="auto"/>
            <w:noWrap/>
            <w:vAlign w:val="bottom"/>
            <w:hideMark/>
          </w:tcPr>
          <w:p w14:paraId="561D7669" w14:textId="77777777" w:rsidR="00292620" w:rsidRPr="001F239E" w:rsidRDefault="00292620" w:rsidP="00324EB5">
            <w:pPr>
              <w:pStyle w:val="TableText"/>
              <w:keepNext/>
              <w:rPr>
                <w:lang w:eastAsia="en-GB"/>
              </w:rPr>
            </w:pPr>
            <w:r w:rsidRPr="001F239E">
              <w:rPr>
                <w:lang w:eastAsia="en-GB"/>
              </w:rPr>
              <w:t xml:space="preserve">Rocky Creek, </w:t>
            </w: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p>
        </w:tc>
        <w:tc>
          <w:tcPr>
            <w:tcW w:w="607" w:type="pct"/>
            <w:tcBorders>
              <w:top w:val="nil"/>
              <w:left w:val="nil"/>
              <w:bottom w:val="nil"/>
              <w:right w:val="nil"/>
            </w:tcBorders>
            <w:shd w:val="clear" w:color="auto" w:fill="auto"/>
            <w:noWrap/>
            <w:vAlign w:val="bottom"/>
            <w:hideMark/>
          </w:tcPr>
          <w:p w14:paraId="43546D3D" w14:textId="08FA182C"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35</w:t>
            </w:r>
            <w:r w:rsidR="0004459D">
              <w:rPr>
                <w:lang w:eastAsia="en-GB"/>
              </w:rPr>
              <w:t>’</w:t>
            </w:r>
          </w:p>
        </w:tc>
        <w:tc>
          <w:tcPr>
            <w:tcW w:w="625" w:type="pct"/>
            <w:tcBorders>
              <w:top w:val="nil"/>
              <w:left w:val="nil"/>
              <w:bottom w:val="nil"/>
              <w:right w:val="nil"/>
            </w:tcBorders>
            <w:shd w:val="clear" w:color="auto" w:fill="auto"/>
            <w:noWrap/>
            <w:vAlign w:val="bottom"/>
            <w:hideMark/>
          </w:tcPr>
          <w:p w14:paraId="18EFA7DC" w14:textId="7C9179D8"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20</w:t>
            </w:r>
            <w:r w:rsidR="0004459D">
              <w:rPr>
                <w:lang w:eastAsia="en-GB"/>
              </w:rPr>
              <w:t>’</w:t>
            </w:r>
            <w:r w:rsidRPr="001F239E">
              <w:rPr>
                <w:lang w:eastAsia="en-GB"/>
              </w:rPr>
              <w:t>33</w:t>
            </w:r>
            <w:r w:rsidR="0004459D">
              <w:rPr>
                <w:lang w:eastAsia="en-GB"/>
              </w:rPr>
              <w:t>’’</w:t>
            </w:r>
          </w:p>
        </w:tc>
        <w:tc>
          <w:tcPr>
            <w:tcW w:w="889" w:type="pct"/>
            <w:tcBorders>
              <w:top w:val="nil"/>
              <w:left w:val="nil"/>
              <w:bottom w:val="nil"/>
              <w:right w:val="nil"/>
            </w:tcBorders>
            <w:shd w:val="clear" w:color="auto" w:fill="auto"/>
            <w:noWrap/>
            <w:vAlign w:val="bottom"/>
            <w:hideMark/>
          </w:tcPr>
          <w:p w14:paraId="3D076F93"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61502D45"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5BE5AC39" w14:textId="77777777" w:rsidR="00292620" w:rsidRPr="001F239E" w:rsidRDefault="00292620" w:rsidP="00324EB5">
            <w:pPr>
              <w:pStyle w:val="TableText"/>
              <w:keepNext/>
              <w:rPr>
                <w:lang w:eastAsia="en-GB"/>
              </w:rPr>
            </w:pPr>
            <w:r w:rsidRPr="001F239E">
              <w:rPr>
                <w:lang w:eastAsia="en-GB"/>
              </w:rPr>
              <w:t>1994</w:t>
            </w:r>
          </w:p>
        </w:tc>
      </w:tr>
      <w:tr w:rsidR="00292620" w:rsidRPr="001F239E" w14:paraId="059D5EBD" w14:textId="77777777" w:rsidTr="00A060E9">
        <w:trPr>
          <w:trHeight w:val="320"/>
        </w:trPr>
        <w:tc>
          <w:tcPr>
            <w:tcW w:w="1503" w:type="pct"/>
            <w:tcBorders>
              <w:top w:val="nil"/>
              <w:left w:val="nil"/>
              <w:bottom w:val="nil"/>
              <w:right w:val="nil"/>
            </w:tcBorders>
            <w:shd w:val="clear" w:color="auto" w:fill="auto"/>
            <w:noWrap/>
            <w:vAlign w:val="bottom"/>
            <w:hideMark/>
          </w:tcPr>
          <w:p w14:paraId="29EF8DF5" w14:textId="77777777" w:rsidR="00292620" w:rsidRPr="001F239E" w:rsidRDefault="00292620" w:rsidP="00324EB5">
            <w:pPr>
              <w:pStyle w:val="TableText"/>
              <w:keepNext/>
              <w:rPr>
                <w:lang w:eastAsia="en-GB"/>
              </w:rPr>
            </w:pPr>
            <w:r w:rsidRPr="001F239E">
              <w:rPr>
                <w:lang w:eastAsia="en-GB"/>
              </w:rPr>
              <w:t xml:space="preserve">Blue Fig Road, </w:t>
            </w: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p>
        </w:tc>
        <w:tc>
          <w:tcPr>
            <w:tcW w:w="607" w:type="pct"/>
            <w:tcBorders>
              <w:top w:val="nil"/>
              <w:left w:val="nil"/>
              <w:bottom w:val="nil"/>
              <w:right w:val="nil"/>
            </w:tcBorders>
            <w:shd w:val="clear" w:color="auto" w:fill="auto"/>
            <w:noWrap/>
            <w:vAlign w:val="bottom"/>
            <w:hideMark/>
          </w:tcPr>
          <w:p w14:paraId="6625A9FF" w14:textId="39BB90AD"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34</w:t>
            </w:r>
            <w:r w:rsidR="0004459D">
              <w:rPr>
                <w:lang w:eastAsia="en-GB"/>
              </w:rPr>
              <w:t>’</w:t>
            </w:r>
            <w:r w:rsidR="00292620" w:rsidRPr="001F239E">
              <w:rPr>
                <w:lang w:eastAsia="en-GB"/>
              </w:rPr>
              <w:t>44</w:t>
            </w:r>
            <w:r w:rsidR="0004459D">
              <w:rPr>
                <w:lang w:eastAsia="en-GB"/>
              </w:rPr>
              <w:t>’’</w:t>
            </w:r>
          </w:p>
        </w:tc>
        <w:tc>
          <w:tcPr>
            <w:tcW w:w="625" w:type="pct"/>
            <w:tcBorders>
              <w:top w:val="nil"/>
              <w:left w:val="nil"/>
              <w:bottom w:val="nil"/>
              <w:right w:val="nil"/>
            </w:tcBorders>
            <w:shd w:val="clear" w:color="auto" w:fill="auto"/>
            <w:noWrap/>
            <w:vAlign w:val="bottom"/>
            <w:hideMark/>
          </w:tcPr>
          <w:p w14:paraId="4DF78C1B" w14:textId="4DA68C4F"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20</w:t>
            </w:r>
            <w:r w:rsidR="0004459D">
              <w:rPr>
                <w:lang w:eastAsia="en-GB"/>
              </w:rPr>
              <w:t>’</w:t>
            </w:r>
            <w:r w:rsidRPr="001F239E">
              <w:rPr>
                <w:lang w:eastAsia="en-GB"/>
              </w:rPr>
              <w:t>55</w:t>
            </w:r>
            <w:r w:rsidR="0004459D">
              <w:rPr>
                <w:lang w:eastAsia="en-GB"/>
              </w:rPr>
              <w:t>’’</w:t>
            </w:r>
          </w:p>
        </w:tc>
        <w:tc>
          <w:tcPr>
            <w:tcW w:w="889" w:type="pct"/>
            <w:tcBorders>
              <w:top w:val="nil"/>
              <w:left w:val="nil"/>
              <w:bottom w:val="nil"/>
              <w:right w:val="nil"/>
            </w:tcBorders>
            <w:shd w:val="clear" w:color="auto" w:fill="auto"/>
            <w:noWrap/>
            <w:vAlign w:val="bottom"/>
            <w:hideMark/>
          </w:tcPr>
          <w:p w14:paraId="2CC6B3F0"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5DF1C6A4"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1F5E7439" w14:textId="77777777" w:rsidR="00292620" w:rsidRPr="001F239E" w:rsidRDefault="00292620" w:rsidP="00324EB5">
            <w:pPr>
              <w:pStyle w:val="TableText"/>
              <w:keepNext/>
              <w:rPr>
                <w:lang w:eastAsia="en-GB"/>
              </w:rPr>
            </w:pPr>
            <w:r w:rsidRPr="001F239E">
              <w:rPr>
                <w:lang w:eastAsia="en-GB"/>
              </w:rPr>
              <w:t>1991</w:t>
            </w:r>
          </w:p>
        </w:tc>
      </w:tr>
      <w:tr w:rsidR="00292620" w:rsidRPr="001F239E" w14:paraId="57FD6C9A" w14:textId="77777777" w:rsidTr="00A060E9">
        <w:trPr>
          <w:trHeight w:val="320"/>
        </w:trPr>
        <w:tc>
          <w:tcPr>
            <w:tcW w:w="1503" w:type="pct"/>
            <w:tcBorders>
              <w:top w:val="nil"/>
              <w:left w:val="nil"/>
              <w:bottom w:val="nil"/>
              <w:right w:val="nil"/>
            </w:tcBorders>
            <w:shd w:val="clear" w:color="auto" w:fill="auto"/>
            <w:noWrap/>
            <w:vAlign w:val="bottom"/>
            <w:hideMark/>
          </w:tcPr>
          <w:p w14:paraId="01483CB3" w14:textId="77777777" w:rsidR="00292620" w:rsidRPr="001F239E" w:rsidRDefault="00292620" w:rsidP="00324EB5">
            <w:pPr>
              <w:pStyle w:val="TableText"/>
              <w:keepNext/>
              <w:rPr>
                <w:lang w:eastAsia="en-GB"/>
              </w:rPr>
            </w:pPr>
            <w:proofErr w:type="spellStart"/>
            <w:r w:rsidRPr="001F239E">
              <w:rPr>
                <w:lang w:eastAsia="en-GB"/>
              </w:rPr>
              <w:t>Gibbergunyah</w:t>
            </w:r>
            <w:proofErr w:type="spellEnd"/>
            <w:r w:rsidRPr="001F239E">
              <w:rPr>
                <w:lang w:eastAsia="en-GB"/>
              </w:rPr>
              <w:t xml:space="preserve"> Range, </w:t>
            </w: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p>
        </w:tc>
        <w:tc>
          <w:tcPr>
            <w:tcW w:w="607" w:type="pct"/>
            <w:tcBorders>
              <w:top w:val="nil"/>
              <w:left w:val="nil"/>
              <w:bottom w:val="nil"/>
              <w:right w:val="nil"/>
            </w:tcBorders>
            <w:shd w:val="clear" w:color="auto" w:fill="auto"/>
            <w:noWrap/>
            <w:vAlign w:val="bottom"/>
            <w:hideMark/>
          </w:tcPr>
          <w:p w14:paraId="4B4D4FCE" w14:textId="12081AB2"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35</w:t>
            </w:r>
            <w:r w:rsidR="0004459D">
              <w:rPr>
                <w:lang w:eastAsia="en-GB"/>
              </w:rPr>
              <w:t>’</w:t>
            </w:r>
          </w:p>
        </w:tc>
        <w:tc>
          <w:tcPr>
            <w:tcW w:w="625" w:type="pct"/>
            <w:tcBorders>
              <w:top w:val="nil"/>
              <w:left w:val="nil"/>
              <w:bottom w:val="nil"/>
              <w:right w:val="nil"/>
            </w:tcBorders>
            <w:shd w:val="clear" w:color="auto" w:fill="auto"/>
            <w:noWrap/>
            <w:vAlign w:val="bottom"/>
            <w:hideMark/>
          </w:tcPr>
          <w:p w14:paraId="6FFB7530" w14:textId="1E01EFFD"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w:t>
            </w:r>
            <w:r w:rsidR="0004459D">
              <w:rPr>
                <w:lang w:eastAsia="en-GB"/>
              </w:rPr>
              <w:t>’</w:t>
            </w:r>
          </w:p>
        </w:tc>
        <w:tc>
          <w:tcPr>
            <w:tcW w:w="889" w:type="pct"/>
            <w:tcBorders>
              <w:top w:val="nil"/>
              <w:left w:val="nil"/>
              <w:bottom w:val="nil"/>
              <w:right w:val="nil"/>
            </w:tcBorders>
            <w:shd w:val="clear" w:color="auto" w:fill="auto"/>
            <w:noWrap/>
            <w:vAlign w:val="bottom"/>
            <w:hideMark/>
          </w:tcPr>
          <w:p w14:paraId="1CCBB890"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4E74252F"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58C350BE" w14:textId="77777777" w:rsidR="00292620" w:rsidRPr="001F239E" w:rsidRDefault="00292620" w:rsidP="00324EB5">
            <w:pPr>
              <w:pStyle w:val="TableText"/>
              <w:keepNext/>
              <w:rPr>
                <w:lang w:eastAsia="en-GB"/>
              </w:rPr>
            </w:pPr>
            <w:r w:rsidRPr="001F239E">
              <w:rPr>
                <w:lang w:eastAsia="en-GB"/>
              </w:rPr>
              <w:t>1994</w:t>
            </w:r>
          </w:p>
        </w:tc>
      </w:tr>
      <w:tr w:rsidR="00292620" w:rsidRPr="001F239E" w14:paraId="34B14C9D" w14:textId="77777777" w:rsidTr="00A060E9">
        <w:trPr>
          <w:trHeight w:val="320"/>
        </w:trPr>
        <w:tc>
          <w:tcPr>
            <w:tcW w:w="1503" w:type="pct"/>
            <w:tcBorders>
              <w:top w:val="nil"/>
              <w:left w:val="nil"/>
              <w:bottom w:val="nil"/>
              <w:right w:val="nil"/>
            </w:tcBorders>
            <w:shd w:val="clear" w:color="auto" w:fill="auto"/>
            <w:noWrap/>
            <w:vAlign w:val="bottom"/>
            <w:hideMark/>
          </w:tcPr>
          <w:p w14:paraId="303C3925" w14:textId="77777777" w:rsidR="00292620" w:rsidRPr="001F239E" w:rsidRDefault="00292620" w:rsidP="00324EB5">
            <w:pPr>
              <w:pStyle w:val="TableText"/>
              <w:keepNext/>
              <w:rPr>
                <w:lang w:eastAsia="en-GB"/>
              </w:rPr>
            </w:pP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r w:rsidRPr="001F239E">
              <w:rPr>
                <w:lang w:eastAsia="en-GB"/>
              </w:rPr>
              <w:t xml:space="preserve"> State Forest</w:t>
            </w:r>
          </w:p>
        </w:tc>
        <w:tc>
          <w:tcPr>
            <w:tcW w:w="607" w:type="pct"/>
            <w:tcBorders>
              <w:top w:val="nil"/>
              <w:left w:val="nil"/>
              <w:bottom w:val="nil"/>
              <w:right w:val="nil"/>
            </w:tcBorders>
            <w:shd w:val="clear" w:color="auto" w:fill="auto"/>
            <w:noWrap/>
            <w:vAlign w:val="bottom"/>
            <w:hideMark/>
          </w:tcPr>
          <w:p w14:paraId="11691B2F" w14:textId="0458E753"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35</w:t>
            </w:r>
            <w:r w:rsidR="0004459D">
              <w:rPr>
                <w:lang w:eastAsia="en-GB"/>
              </w:rPr>
              <w:t>’</w:t>
            </w:r>
          </w:p>
        </w:tc>
        <w:tc>
          <w:tcPr>
            <w:tcW w:w="625" w:type="pct"/>
            <w:tcBorders>
              <w:top w:val="nil"/>
              <w:left w:val="nil"/>
              <w:bottom w:val="nil"/>
              <w:right w:val="nil"/>
            </w:tcBorders>
            <w:shd w:val="clear" w:color="auto" w:fill="auto"/>
            <w:noWrap/>
            <w:vAlign w:val="bottom"/>
            <w:hideMark/>
          </w:tcPr>
          <w:p w14:paraId="08448C48" w14:textId="6E4BF42C"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22</w:t>
            </w:r>
            <w:r w:rsidR="0004459D">
              <w:rPr>
                <w:lang w:eastAsia="en-GB"/>
              </w:rPr>
              <w:t>’</w:t>
            </w:r>
          </w:p>
        </w:tc>
        <w:tc>
          <w:tcPr>
            <w:tcW w:w="889" w:type="pct"/>
            <w:tcBorders>
              <w:top w:val="nil"/>
              <w:left w:val="nil"/>
              <w:bottom w:val="nil"/>
              <w:right w:val="nil"/>
            </w:tcBorders>
            <w:shd w:val="clear" w:color="auto" w:fill="auto"/>
            <w:noWrap/>
            <w:vAlign w:val="bottom"/>
            <w:hideMark/>
          </w:tcPr>
          <w:p w14:paraId="48C64E18"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7AAEC170" w14:textId="77777777" w:rsidR="00292620" w:rsidRPr="001F239E" w:rsidRDefault="00292620" w:rsidP="00324EB5">
            <w:pPr>
              <w:pStyle w:val="TableText"/>
              <w:keepNext/>
              <w:rPr>
                <w:lang w:eastAsia="en-GB"/>
              </w:rPr>
            </w:pPr>
            <w:r w:rsidRPr="001F239E">
              <w:rPr>
                <w:lang w:eastAsia="en-GB"/>
              </w:rPr>
              <w:t>Voucher</w:t>
            </w:r>
          </w:p>
        </w:tc>
        <w:tc>
          <w:tcPr>
            <w:tcW w:w="584" w:type="pct"/>
            <w:tcBorders>
              <w:top w:val="nil"/>
              <w:left w:val="nil"/>
              <w:bottom w:val="nil"/>
              <w:right w:val="nil"/>
            </w:tcBorders>
            <w:shd w:val="clear" w:color="auto" w:fill="auto"/>
            <w:noWrap/>
            <w:vAlign w:val="bottom"/>
            <w:hideMark/>
          </w:tcPr>
          <w:p w14:paraId="1D3FD3E9" w14:textId="77777777" w:rsidR="00292620" w:rsidRPr="001F239E" w:rsidRDefault="00292620" w:rsidP="00324EB5">
            <w:pPr>
              <w:pStyle w:val="TableText"/>
              <w:keepNext/>
              <w:rPr>
                <w:lang w:eastAsia="en-GB"/>
              </w:rPr>
            </w:pPr>
            <w:r w:rsidRPr="001F239E">
              <w:rPr>
                <w:lang w:eastAsia="en-GB"/>
              </w:rPr>
              <w:t>1957</w:t>
            </w:r>
          </w:p>
        </w:tc>
      </w:tr>
      <w:tr w:rsidR="00292620" w:rsidRPr="001F239E" w14:paraId="396EF656" w14:textId="77777777" w:rsidTr="00A060E9">
        <w:trPr>
          <w:trHeight w:val="320"/>
        </w:trPr>
        <w:tc>
          <w:tcPr>
            <w:tcW w:w="1503" w:type="pct"/>
            <w:tcBorders>
              <w:top w:val="nil"/>
              <w:left w:val="nil"/>
              <w:bottom w:val="nil"/>
              <w:right w:val="nil"/>
            </w:tcBorders>
            <w:shd w:val="clear" w:color="auto" w:fill="auto"/>
            <w:noWrap/>
            <w:vAlign w:val="bottom"/>
            <w:hideMark/>
          </w:tcPr>
          <w:p w14:paraId="10D4FB01" w14:textId="77777777" w:rsidR="00292620" w:rsidRPr="001F239E" w:rsidRDefault="00292620" w:rsidP="00324EB5">
            <w:pPr>
              <w:pStyle w:val="TableText"/>
              <w:keepNext/>
              <w:rPr>
                <w:lang w:eastAsia="en-GB"/>
              </w:rPr>
            </w:pPr>
            <w:r w:rsidRPr="001F239E">
              <w:rPr>
                <w:lang w:eastAsia="en-GB"/>
              </w:rPr>
              <w:t>Nightcap National Park</w:t>
            </w:r>
          </w:p>
        </w:tc>
        <w:tc>
          <w:tcPr>
            <w:tcW w:w="607" w:type="pct"/>
            <w:tcBorders>
              <w:top w:val="nil"/>
              <w:left w:val="nil"/>
              <w:bottom w:val="nil"/>
              <w:right w:val="nil"/>
            </w:tcBorders>
            <w:shd w:val="clear" w:color="auto" w:fill="auto"/>
            <w:noWrap/>
            <w:vAlign w:val="bottom"/>
            <w:hideMark/>
          </w:tcPr>
          <w:p w14:paraId="55AE1247" w14:textId="66AE422D"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35</w:t>
            </w:r>
            <w:r w:rsidR="0004459D">
              <w:rPr>
                <w:lang w:eastAsia="en-GB"/>
              </w:rPr>
              <w:t>’</w:t>
            </w:r>
          </w:p>
        </w:tc>
        <w:tc>
          <w:tcPr>
            <w:tcW w:w="625" w:type="pct"/>
            <w:tcBorders>
              <w:top w:val="nil"/>
              <w:left w:val="nil"/>
              <w:bottom w:val="nil"/>
              <w:right w:val="nil"/>
            </w:tcBorders>
            <w:shd w:val="clear" w:color="auto" w:fill="auto"/>
            <w:noWrap/>
            <w:vAlign w:val="bottom"/>
            <w:hideMark/>
          </w:tcPr>
          <w:p w14:paraId="1200217C" w14:textId="6CC1EE64"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3</w:t>
            </w:r>
            <w:r w:rsidR="0004459D">
              <w:rPr>
                <w:lang w:eastAsia="en-GB"/>
              </w:rPr>
              <w:t>’</w:t>
            </w:r>
          </w:p>
        </w:tc>
        <w:tc>
          <w:tcPr>
            <w:tcW w:w="889" w:type="pct"/>
            <w:tcBorders>
              <w:top w:val="nil"/>
              <w:left w:val="nil"/>
              <w:bottom w:val="nil"/>
              <w:right w:val="nil"/>
            </w:tcBorders>
            <w:shd w:val="clear" w:color="auto" w:fill="auto"/>
            <w:noWrap/>
            <w:vAlign w:val="bottom"/>
            <w:hideMark/>
          </w:tcPr>
          <w:p w14:paraId="2A1156E8" w14:textId="77777777" w:rsidR="00292620" w:rsidRPr="001F239E" w:rsidRDefault="00292620" w:rsidP="00324EB5">
            <w:pPr>
              <w:pStyle w:val="TableText"/>
              <w:keepNext/>
              <w:rPr>
                <w:lang w:eastAsia="en-GB"/>
              </w:rPr>
            </w:pPr>
            <w:r w:rsidRPr="001F239E">
              <w:rPr>
                <w:lang w:eastAsia="en-GB"/>
              </w:rPr>
              <w:t>National Park</w:t>
            </w:r>
          </w:p>
        </w:tc>
        <w:tc>
          <w:tcPr>
            <w:tcW w:w="792" w:type="pct"/>
            <w:tcBorders>
              <w:top w:val="nil"/>
              <w:left w:val="nil"/>
              <w:bottom w:val="nil"/>
              <w:right w:val="nil"/>
            </w:tcBorders>
            <w:shd w:val="clear" w:color="auto" w:fill="auto"/>
            <w:noWrap/>
            <w:vAlign w:val="bottom"/>
            <w:hideMark/>
          </w:tcPr>
          <w:p w14:paraId="763FD958" w14:textId="77777777" w:rsidR="00292620" w:rsidRPr="001F239E" w:rsidRDefault="00292620" w:rsidP="00324EB5">
            <w:pPr>
              <w:pStyle w:val="TableText"/>
              <w:keepNext/>
              <w:rPr>
                <w:lang w:eastAsia="en-GB"/>
              </w:rPr>
            </w:pPr>
            <w:r w:rsidRPr="001F239E">
              <w:rPr>
                <w:lang w:eastAsia="en-GB"/>
              </w:rPr>
              <w:t>12</w:t>
            </w:r>
          </w:p>
        </w:tc>
        <w:tc>
          <w:tcPr>
            <w:tcW w:w="584" w:type="pct"/>
            <w:tcBorders>
              <w:top w:val="nil"/>
              <w:left w:val="nil"/>
              <w:bottom w:val="nil"/>
              <w:right w:val="nil"/>
            </w:tcBorders>
            <w:shd w:val="clear" w:color="auto" w:fill="auto"/>
            <w:noWrap/>
            <w:vAlign w:val="bottom"/>
            <w:hideMark/>
          </w:tcPr>
          <w:p w14:paraId="0A8207B9" w14:textId="77777777" w:rsidR="00292620" w:rsidRPr="001F239E" w:rsidRDefault="00292620" w:rsidP="00324EB5">
            <w:pPr>
              <w:pStyle w:val="TableText"/>
              <w:keepNext/>
              <w:rPr>
                <w:lang w:eastAsia="en-GB"/>
              </w:rPr>
            </w:pPr>
            <w:r w:rsidRPr="001F239E">
              <w:rPr>
                <w:lang w:eastAsia="en-GB"/>
              </w:rPr>
              <w:t>1983</w:t>
            </w:r>
          </w:p>
        </w:tc>
      </w:tr>
      <w:tr w:rsidR="00292620" w:rsidRPr="001F239E" w14:paraId="6C802E83" w14:textId="77777777" w:rsidTr="00A060E9">
        <w:trPr>
          <w:trHeight w:val="320"/>
        </w:trPr>
        <w:tc>
          <w:tcPr>
            <w:tcW w:w="1503" w:type="pct"/>
            <w:tcBorders>
              <w:top w:val="nil"/>
              <w:left w:val="nil"/>
              <w:bottom w:val="nil"/>
              <w:right w:val="nil"/>
            </w:tcBorders>
            <w:shd w:val="clear" w:color="auto" w:fill="auto"/>
            <w:noWrap/>
            <w:vAlign w:val="bottom"/>
            <w:hideMark/>
          </w:tcPr>
          <w:p w14:paraId="70ED0892" w14:textId="77777777" w:rsidR="00292620" w:rsidRPr="001F239E" w:rsidRDefault="00292620" w:rsidP="00324EB5">
            <w:pPr>
              <w:pStyle w:val="TableText"/>
              <w:keepNext/>
              <w:rPr>
                <w:lang w:eastAsia="en-GB"/>
              </w:rPr>
            </w:pPr>
            <w:proofErr w:type="spellStart"/>
            <w:r w:rsidRPr="001F239E">
              <w:rPr>
                <w:lang w:eastAsia="en-GB"/>
              </w:rPr>
              <w:t>Terania</w:t>
            </w:r>
            <w:proofErr w:type="spellEnd"/>
            <w:r w:rsidRPr="001F239E">
              <w:rPr>
                <w:lang w:eastAsia="en-GB"/>
              </w:rPr>
              <w:t xml:space="preserve"> Creek, NNE of The Channon</w:t>
            </w:r>
          </w:p>
        </w:tc>
        <w:tc>
          <w:tcPr>
            <w:tcW w:w="607" w:type="pct"/>
            <w:tcBorders>
              <w:top w:val="nil"/>
              <w:left w:val="nil"/>
              <w:bottom w:val="nil"/>
              <w:right w:val="nil"/>
            </w:tcBorders>
            <w:shd w:val="clear" w:color="auto" w:fill="auto"/>
            <w:noWrap/>
            <w:vAlign w:val="bottom"/>
            <w:hideMark/>
          </w:tcPr>
          <w:p w14:paraId="506EC63E" w14:textId="292072FD"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35</w:t>
            </w:r>
            <w:r w:rsidR="0004459D">
              <w:rPr>
                <w:lang w:eastAsia="en-GB"/>
              </w:rPr>
              <w:t>’</w:t>
            </w:r>
          </w:p>
        </w:tc>
        <w:tc>
          <w:tcPr>
            <w:tcW w:w="625" w:type="pct"/>
            <w:tcBorders>
              <w:top w:val="nil"/>
              <w:left w:val="nil"/>
              <w:bottom w:val="nil"/>
              <w:right w:val="nil"/>
            </w:tcBorders>
            <w:shd w:val="clear" w:color="auto" w:fill="auto"/>
            <w:noWrap/>
            <w:vAlign w:val="bottom"/>
            <w:hideMark/>
          </w:tcPr>
          <w:p w14:paraId="44B82671" w14:textId="6E61FB01"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18</w:t>
            </w:r>
            <w:r w:rsidR="0004459D">
              <w:rPr>
                <w:lang w:eastAsia="en-GB"/>
              </w:rPr>
              <w:t>’</w:t>
            </w:r>
          </w:p>
        </w:tc>
        <w:tc>
          <w:tcPr>
            <w:tcW w:w="889" w:type="pct"/>
            <w:tcBorders>
              <w:top w:val="nil"/>
              <w:left w:val="nil"/>
              <w:bottom w:val="nil"/>
              <w:right w:val="nil"/>
            </w:tcBorders>
            <w:shd w:val="clear" w:color="auto" w:fill="auto"/>
            <w:noWrap/>
            <w:vAlign w:val="bottom"/>
            <w:hideMark/>
          </w:tcPr>
          <w:p w14:paraId="67A7A8CC" w14:textId="77777777" w:rsidR="00292620" w:rsidRPr="001F239E" w:rsidRDefault="00292620" w:rsidP="00324EB5">
            <w:pPr>
              <w:pStyle w:val="TableText"/>
              <w:keepNext/>
              <w:rPr>
                <w:lang w:eastAsia="en-GB"/>
              </w:rPr>
            </w:pPr>
            <w:r w:rsidRPr="001F239E">
              <w:rPr>
                <w:lang w:eastAsia="en-GB"/>
              </w:rPr>
              <w:t>~</w:t>
            </w:r>
          </w:p>
        </w:tc>
        <w:tc>
          <w:tcPr>
            <w:tcW w:w="792" w:type="pct"/>
            <w:tcBorders>
              <w:top w:val="nil"/>
              <w:left w:val="nil"/>
              <w:bottom w:val="nil"/>
              <w:right w:val="nil"/>
            </w:tcBorders>
            <w:shd w:val="clear" w:color="auto" w:fill="auto"/>
            <w:noWrap/>
            <w:vAlign w:val="bottom"/>
            <w:hideMark/>
          </w:tcPr>
          <w:p w14:paraId="26037B98" w14:textId="77777777" w:rsidR="00292620" w:rsidRPr="001F239E" w:rsidRDefault="00292620" w:rsidP="00324EB5">
            <w:pPr>
              <w:pStyle w:val="TableText"/>
              <w:keepNext/>
              <w:rPr>
                <w:lang w:eastAsia="en-GB"/>
              </w:rPr>
            </w:pPr>
            <w:r w:rsidRPr="001F239E">
              <w:rPr>
                <w:lang w:eastAsia="en-GB"/>
              </w:rPr>
              <w:t>Voucher</w:t>
            </w:r>
          </w:p>
        </w:tc>
        <w:tc>
          <w:tcPr>
            <w:tcW w:w="584" w:type="pct"/>
            <w:tcBorders>
              <w:top w:val="nil"/>
              <w:left w:val="nil"/>
              <w:bottom w:val="nil"/>
              <w:right w:val="nil"/>
            </w:tcBorders>
            <w:shd w:val="clear" w:color="auto" w:fill="auto"/>
            <w:noWrap/>
            <w:vAlign w:val="bottom"/>
            <w:hideMark/>
          </w:tcPr>
          <w:p w14:paraId="6EA935C1" w14:textId="77777777" w:rsidR="00292620" w:rsidRPr="001F239E" w:rsidRDefault="00292620" w:rsidP="00324EB5">
            <w:pPr>
              <w:pStyle w:val="TableText"/>
              <w:keepNext/>
              <w:rPr>
                <w:lang w:eastAsia="en-GB"/>
              </w:rPr>
            </w:pPr>
            <w:r w:rsidRPr="001F239E">
              <w:rPr>
                <w:lang w:eastAsia="en-GB"/>
              </w:rPr>
              <w:t>1980</w:t>
            </w:r>
          </w:p>
        </w:tc>
      </w:tr>
      <w:tr w:rsidR="00292620" w:rsidRPr="001F239E" w14:paraId="6AFE5649" w14:textId="77777777" w:rsidTr="00A060E9">
        <w:trPr>
          <w:trHeight w:val="320"/>
        </w:trPr>
        <w:tc>
          <w:tcPr>
            <w:tcW w:w="1503" w:type="pct"/>
            <w:tcBorders>
              <w:top w:val="nil"/>
              <w:left w:val="nil"/>
              <w:bottom w:val="nil"/>
              <w:right w:val="nil"/>
            </w:tcBorders>
            <w:shd w:val="clear" w:color="auto" w:fill="auto"/>
            <w:noWrap/>
            <w:vAlign w:val="bottom"/>
            <w:hideMark/>
          </w:tcPr>
          <w:p w14:paraId="0C854C1B" w14:textId="77777777" w:rsidR="00292620" w:rsidRPr="001F239E" w:rsidRDefault="00292620" w:rsidP="00324EB5">
            <w:pPr>
              <w:pStyle w:val="TableText"/>
              <w:keepNext/>
              <w:rPr>
                <w:lang w:eastAsia="en-GB"/>
              </w:rPr>
            </w:pP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r w:rsidRPr="001F239E">
              <w:rPr>
                <w:lang w:eastAsia="en-GB"/>
              </w:rPr>
              <w:t xml:space="preserve"> State Forest</w:t>
            </w:r>
          </w:p>
        </w:tc>
        <w:tc>
          <w:tcPr>
            <w:tcW w:w="607" w:type="pct"/>
            <w:tcBorders>
              <w:top w:val="nil"/>
              <w:left w:val="nil"/>
              <w:bottom w:val="nil"/>
              <w:right w:val="nil"/>
            </w:tcBorders>
            <w:shd w:val="clear" w:color="auto" w:fill="auto"/>
            <w:noWrap/>
            <w:vAlign w:val="bottom"/>
            <w:hideMark/>
          </w:tcPr>
          <w:p w14:paraId="70C56CAA" w14:textId="17C6445A"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35</w:t>
            </w:r>
            <w:r w:rsidR="0004459D">
              <w:rPr>
                <w:lang w:eastAsia="en-GB"/>
              </w:rPr>
              <w:t>’</w:t>
            </w:r>
            <w:r w:rsidR="00292620" w:rsidRPr="001F239E">
              <w:rPr>
                <w:lang w:eastAsia="en-GB"/>
              </w:rPr>
              <w:t>23</w:t>
            </w:r>
            <w:r w:rsidR="0004459D">
              <w:rPr>
                <w:lang w:eastAsia="en-GB"/>
              </w:rPr>
              <w:t>’’</w:t>
            </w:r>
          </w:p>
        </w:tc>
        <w:tc>
          <w:tcPr>
            <w:tcW w:w="625" w:type="pct"/>
            <w:tcBorders>
              <w:top w:val="nil"/>
              <w:left w:val="nil"/>
              <w:bottom w:val="nil"/>
              <w:right w:val="nil"/>
            </w:tcBorders>
            <w:shd w:val="clear" w:color="auto" w:fill="auto"/>
            <w:noWrap/>
            <w:vAlign w:val="bottom"/>
            <w:hideMark/>
          </w:tcPr>
          <w:p w14:paraId="60E6B330" w14:textId="3D0A85B8"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19</w:t>
            </w:r>
            <w:r w:rsidR="0004459D">
              <w:rPr>
                <w:lang w:eastAsia="en-GB"/>
              </w:rPr>
              <w:t>’</w:t>
            </w:r>
            <w:r w:rsidRPr="001F239E">
              <w:rPr>
                <w:lang w:eastAsia="en-GB"/>
              </w:rPr>
              <w:t>12</w:t>
            </w:r>
            <w:r w:rsidR="0004459D">
              <w:rPr>
                <w:lang w:eastAsia="en-GB"/>
              </w:rPr>
              <w:t>’’</w:t>
            </w:r>
          </w:p>
        </w:tc>
        <w:tc>
          <w:tcPr>
            <w:tcW w:w="889" w:type="pct"/>
            <w:tcBorders>
              <w:top w:val="nil"/>
              <w:left w:val="nil"/>
              <w:bottom w:val="nil"/>
              <w:right w:val="nil"/>
            </w:tcBorders>
            <w:shd w:val="clear" w:color="auto" w:fill="auto"/>
            <w:noWrap/>
            <w:vAlign w:val="bottom"/>
            <w:hideMark/>
          </w:tcPr>
          <w:p w14:paraId="0D7514FA"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5FB27ACF"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5D1E35AF" w14:textId="77777777" w:rsidR="00292620" w:rsidRPr="001F239E" w:rsidRDefault="00292620" w:rsidP="00324EB5">
            <w:pPr>
              <w:pStyle w:val="TableText"/>
              <w:keepNext/>
              <w:rPr>
                <w:lang w:eastAsia="en-GB"/>
              </w:rPr>
            </w:pPr>
            <w:r w:rsidRPr="001F239E">
              <w:rPr>
                <w:lang w:eastAsia="en-GB"/>
              </w:rPr>
              <w:t>1994</w:t>
            </w:r>
          </w:p>
        </w:tc>
      </w:tr>
      <w:tr w:rsidR="00292620" w:rsidRPr="001F239E" w14:paraId="5DA70061" w14:textId="77777777" w:rsidTr="00A060E9">
        <w:trPr>
          <w:trHeight w:val="320"/>
        </w:trPr>
        <w:tc>
          <w:tcPr>
            <w:tcW w:w="1503" w:type="pct"/>
            <w:tcBorders>
              <w:top w:val="nil"/>
              <w:left w:val="nil"/>
              <w:bottom w:val="nil"/>
              <w:right w:val="nil"/>
            </w:tcBorders>
            <w:shd w:val="clear" w:color="auto" w:fill="auto"/>
            <w:noWrap/>
            <w:vAlign w:val="bottom"/>
            <w:hideMark/>
          </w:tcPr>
          <w:p w14:paraId="3A4114F2" w14:textId="77777777" w:rsidR="00292620" w:rsidRPr="001F239E" w:rsidRDefault="00292620" w:rsidP="00324EB5">
            <w:pPr>
              <w:pStyle w:val="TableText"/>
              <w:keepNext/>
              <w:rPr>
                <w:lang w:eastAsia="en-GB"/>
              </w:rPr>
            </w:pP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r w:rsidRPr="001F239E">
              <w:rPr>
                <w:lang w:eastAsia="en-GB"/>
              </w:rPr>
              <w:t xml:space="preserve"> State Forest</w:t>
            </w:r>
          </w:p>
        </w:tc>
        <w:tc>
          <w:tcPr>
            <w:tcW w:w="607" w:type="pct"/>
            <w:tcBorders>
              <w:top w:val="nil"/>
              <w:left w:val="nil"/>
              <w:bottom w:val="nil"/>
              <w:right w:val="nil"/>
            </w:tcBorders>
            <w:shd w:val="clear" w:color="auto" w:fill="auto"/>
            <w:noWrap/>
            <w:vAlign w:val="bottom"/>
            <w:hideMark/>
          </w:tcPr>
          <w:p w14:paraId="6DCD6D70" w14:textId="2146888E"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36</w:t>
            </w:r>
            <w:r w:rsidR="0004459D">
              <w:rPr>
                <w:lang w:eastAsia="en-GB"/>
              </w:rPr>
              <w:t>’</w:t>
            </w:r>
            <w:r w:rsidR="00292620" w:rsidRPr="001F239E">
              <w:rPr>
                <w:lang w:eastAsia="en-GB"/>
              </w:rPr>
              <w:t>38</w:t>
            </w:r>
            <w:r w:rsidR="0004459D">
              <w:rPr>
                <w:lang w:eastAsia="en-GB"/>
              </w:rPr>
              <w:t>’’</w:t>
            </w:r>
          </w:p>
        </w:tc>
        <w:tc>
          <w:tcPr>
            <w:tcW w:w="625" w:type="pct"/>
            <w:tcBorders>
              <w:top w:val="nil"/>
              <w:left w:val="nil"/>
              <w:bottom w:val="nil"/>
              <w:right w:val="nil"/>
            </w:tcBorders>
            <w:shd w:val="clear" w:color="auto" w:fill="auto"/>
            <w:noWrap/>
            <w:vAlign w:val="bottom"/>
            <w:hideMark/>
          </w:tcPr>
          <w:p w14:paraId="7CEC669B" w14:textId="05FCDE0E"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21</w:t>
            </w:r>
            <w:r w:rsidR="0004459D">
              <w:rPr>
                <w:lang w:eastAsia="en-GB"/>
              </w:rPr>
              <w:t>’</w:t>
            </w:r>
            <w:r w:rsidRPr="001F239E">
              <w:rPr>
                <w:lang w:eastAsia="en-GB"/>
              </w:rPr>
              <w:t>10</w:t>
            </w:r>
            <w:r w:rsidR="0004459D">
              <w:rPr>
                <w:lang w:eastAsia="en-GB"/>
              </w:rPr>
              <w:t>’’</w:t>
            </w:r>
          </w:p>
        </w:tc>
        <w:tc>
          <w:tcPr>
            <w:tcW w:w="889" w:type="pct"/>
            <w:tcBorders>
              <w:top w:val="nil"/>
              <w:left w:val="nil"/>
              <w:bottom w:val="nil"/>
              <w:right w:val="nil"/>
            </w:tcBorders>
            <w:shd w:val="clear" w:color="auto" w:fill="auto"/>
            <w:noWrap/>
            <w:vAlign w:val="bottom"/>
            <w:hideMark/>
          </w:tcPr>
          <w:p w14:paraId="14295181" w14:textId="77777777" w:rsidR="00292620" w:rsidRPr="001F239E" w:rsidRDefault="00292620" w:rsidP="00324EB5">
            <w:pPr>
              <w:pStyle w:val="TableText"/>
              <w:keepNext/>
              <w:rPr>
                <w:lang w:eastAsia="en-GB"/>
              </w:rPr>
            </w:pPr>
            <w:r w:rsidRPr="001F239E">
              <w:rPr>
                <w:lang w:eastAsia="en-GB"/>
              </w:rPr>
              <w:t>State Forest</w:t>
            </w:r>
          </w:p>
        </w:tc>
        <w:tc>
          <w:tcPr>
            <w:tcW w:w="792" w:type="pct"/>
            <w:tcBorders>
              <w:top w:val="nil"/>
              <w:left w:val="nil"/>
              <w:bottom w:val="nil"/>
              <w:right w:val="nil"/>
            </w:tcBorders>
            <w:shd w:val="clear" w:color="auto" w:fill="auto"/>
            <w:noWrap/>
            <w:vAlign w:val="bottom"/>
            <w:hideMark/>
          </w:tcPr>
          <w:p w14:paraId="10288BD2" w14:textId="77777777" w:rsidR="00292620" w:rsidRPr="001F239E" w:rsidRDefault="00292620" w:rsidP="00324EB5">
            <w:pPr>
              <w:pStyle w:val="TableText"/>
              <w:keepNext/>
              <w:rPr>
                <w:lang w:eastAsia="en-GB"/>
              </w:rPr>
            </w:pPr>
          </w:p>
        </w:tc>
        <w:tc>
          <w:tcPr>
            <w:tcW w:w="584" w:type="pct"/>
            <w:tcBorders>
              <w:top w:val="nil"/>
              <w:left w:val="nil"/>
              <w:bottom w:val="nil"/>
              <w:right w:val="nil"/>
            </w:tcBorders>
            <w:shd w:val="clear" w:color="auto" w:fill="auto"/>
            <w:noWrap/>
            <w:vAlign w:val="bottom"/>
            <w:hideMark/>
          </w:tcPr>
          <w:p w14:paraId="7E88B57A" w14:textId="77777777" w:rsidR="00292620" w:rsidRPr="001F239E" w:rsidRDefault="00292620" w:rsidP="00324EB5">
            <w:pPr>
              <w:pStyle w:val="TableText"/>
              <w:keepNext/>
              <w:rPr>
                <w:lang w:eastAsia="en-GB"/>
              </w:rPr>
            </w:pPr>
            <w:r w:rsidRPr="001F239E">
              <w:rPr>
                <w:lang w:eastAsia="en-GB"/>
              </w:rPr>
              <w:t>1991</w:t>
            </w:r>
          </w:p>
        </w:tc>
      </w:tr>
      <w:tr w:rsidR="00292620" w:rsidRPr="001F239E" w14:paraId="0330A6F0" w14:textId="77777777" w:rsidTr="00A060E9">
        <w:trPr>
          <w:trHeight w:val="320"/>
        </w:trPr>
        <w:tc>
          <w:tcPr>
            <w:tcW w:w="1503" w:type="pct"/>
            <w:tcBorders>
              <w:top w:val="nil"/>
              <w:left w:val="nil"/>
              <w:bottom w:val="nil"/>
              <w:right w:val="nil"/>
            </w:tcBorders>
            <w:shd w:val="clear" w:color="auto" w:fill="auto"/>
            <w:noWrap/>
            <w:vAlign w:val="bottom"/>
            <w:hideMark/>
          </w:tcPr>
          <w:p w14:paraId="6AC67B34" w14:textId="77777777" w:rsidR="00292620" w:rsidRPr="001F239E" w:rsidRDefault="00292620" w:rsidP="00324EB5">
            <w:pPr>
              <w:pStyle w:val="TableText"/>
              <w:keepNext/>
              <w:rPr>
                <w:lang w:eastAsia="en-GB"/>
              </w:rPr>
            </w:pP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r w:rsidRPr="001F239E">
              <w:rPr>
                <w:lang w:eastAsia="en-GB"/>
              </w:rPr>
              <w:t xml:space="preserve"> State Forest</w:t>
            </w:r>
          </w:p>
        </w:tc>
        <w:tc>
          <w:tcPr>
            <w:tcW w:w="607" w:type="pct"/>
            <w:tcBorders>
              <w:top w:val="nil"/>
              <w:left w:val="nil"/>
              <w:bottom w:val="nil"/>
              <w:right w:val="nil"/>
            </w:tcBorders>
            <w:shd w:val="clear" w:color="auto" w:fill="auto"/>
            <w:noWrap/>
            <w:vAlign w:val="bottom"/>
            <w:hideMark/>
          </w:tcPr>
          <w:p w14:paraId="5B715E4B" w14:textId="63F352E3"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37</w:t>
            </w:r>
            <w:r w:rsidR="0004459D">
              <w:rPr>
                <w:lang w:eastAsia="en-GB"/>
              </w:rPr>
              <w:t>’</w:t>
            </w:r>
          </w:p>
        </w:tc>
        <w:tc>
          <w:tcPr>
            <w:tcW w:w="625" w:type="pct"/>
            <w:tcBorders>
              <w:top w:val="nil"/>
              <w:left w:val="nil"/>
              <w:bottom w:val="nil"/>
              <w:right w:val="nil"/>
            </w:tcBorders>
            <w:shd w:val="clear" w:color="auto" w:fill="auto"/>
            <w:noWrap/>
            <w:vAlign w:val="bottom"/>
            <w:hideMark/>
          </w:tcPr>
          <w:p w14:paraId="273B4C5F" w14:textId="1E42B784"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23</w:t>
            </w:r>
            <w:r w:rsidR="0004459D">
              <w:rPr>
                <w:lang w:eastAsia="en-GB"/>
              </w:rPr>
              <w:t>’</w:t>
            </w:r>
          </w:p>
        </w:tc>
        <w:tc>
          <w:tcPr>
            <w:tcW w:w="889" w:type="pct"/>
            <w:tcBorders>
              <w:top w:val="nil"/>
              <w:left w:val="nil"/>
              <w:bottom w:val="nil"/>
              <w:right w:val="nil"/>
            </w:tcBorders>
            <w:shd w:val="clear" w:color="auto" w:fill="auto"/>
            <w:noWrap/>
            <w:vAlign w:val="bottom"/>
            <w:hideMark/>
          </w:tcPr>
          <w:p w14:paraId="28EDAC49" w14:textId="77777777" w:rsidR="00292620" w:rsidRPr="001F239E" w:rsidRDefault="00292620" w:rsidP="00324EB5">
            <w:pPr>
              <w:pStyle w:val="TableText"/>
              <w:keepNext/>
              <w:rPr>
                <w:lang w:eastAsia="en-GB"/>
              </w:rPr>
            </w:pPr>
            <w:r w:rsidRPr="001F239E">
              <w:rPr>
                <w:lang w:eastAsia="en-GB"/>
              </w:rPr>
              <w:t>State Forest, Flora Reserve</w:t>
            </w:r>
          </w:p>
        </w:tc>
        <w:tc>
          <w:tcPr>
            <w:tcW w:w="792" w:type="pct"/>
            <w:tcBorders>
              <w:top w:val="nil"/>
              <w:left w:val="nil"/>
              <w:bottom w:val="nil"/>
              <w:right w:val="nil"/>
            </w:tcBorders>
            <w:shd w:val="clear" w:color="auto" w:fill="auto"/>
            <w:noWrap/>
            <w:vAlign w:val="bottom"/>
            <w:hideMark/>
          </w:tcPr>
          <w:p w14:paraId="40F722D8" w14:textId="77777777" w:rsidR="00292620" w:rsidRPr="001F239E" w:rsidRDefault="00292620" w:rsidP="00324EB5">
            <w:pPr>
              <w:pStyle w:val="TableText"/>
              <w:keepNext/>
              <w:rPr>
                <w:lang w:eastAsia="en-GB"/>
              </w:rPr>
            </w:pPr>
            <w:r w:rsidRPr="001F239E">
              <w:rPr>
                <w:lang w:eastAsia="en-GB"/>
              </w:rPr>
              <w:t>Voucher</w:t>
            </w:r>
          </w:p>
        </w:tc>
        <w:tc>
          <w:tcPr>
            <w:tcW w:w="584" w:type="pct"/>
            <w:tcBorders>
              <w:top w:val="nil"/>
              <w:left w:val="nil"/>
              <w:bottom w:val="nil"/>
              <w:right w:val="nil"/>
            </w:tcBorders>
            <w:shd w:val="clear" w:color="auto" w:fill="auto"/>
            <w:noWrap/>
            <w:vAlign w:val="bottom"/>
            <w:hideMark/>
          </w:tcPr>
          <w:p w14:paraId="64008664" w14:textId="77777777" w:rsidR="00292620" w:rsidRPr="001F239E" w:rsidRDefault="00292620" w:rsidP="00324EB5">
            <w:pPr>
              <w:pStyle w:val="TableText"/>
              <w:keepNext/>
              <w:rPr>
                <w:lang w:eastAsia="en-GB"/>
              </w:rPr>
            </w:pPr>
            <w:r w:rsidRPr="001F239E">
              <w:rPr>
                <w:lang w:eastAsia="en-GB"/>
              </w:rPr>
              <w:t>1976</w:t>
            </w:r>
          </w:p>
        </w:tc>
      </w:tr>
      <w:tr w:rsidR="00292620" w:rsidRPr="001F239E" w14:paraId="10CC4CBE" w14:textId="77777777" w:rsidTr="00A060E9">
        <w:trPr>
          <w:trHeight w:val="320"/>
        </w:trPr>
        <w:tc>
          <w:tcPr>
            <w:tcW w:w="1503" w:type="pct"/>
            <w:tcBorders>
              <w:top w:val="nil"/>
              <w:left w:val="nil"/>
              <w:right w:val="nil"/>
            </w:tcBorders>
            <w:shd w:val="clear" w:color="auto" w:fill="auto"/>
            <w:noWrap/>
            <w:vAlign w:val="bottom"/>
            <w:hideMark/>
          </w:tcPr>
          <w:p w14:paraId="7C80FB48" w14:textId="77777777" w:rsidR="00292620" w:rsidRPr="001F239E" w:rsidRDefault="00292620" w:rsidP="00324EB5">
            <w:pPr>
              <w:pStyle w:val="TableText"/>
              <w:keepNext/>
              <w:rPr>
                <w:lang w:eastAsia="en-GB"/>
              </w:rPr>
            </w:pPr>
            <w:proofErr w:type="spellStart"/>
            <w:r w:rsidRPr="001F239E">
              <w:rPr>
                <w:lang w:eastAsia="en-GB"/>
              </w:rPr>
              <w:t>Whian</w:t>
            </w:r>
            <w:proofErr w:type="spellEnd"/>
            <w:r w:rsidRPr="001F239E">
              <w:rPr>
                <w:lang w:eastAsia="en-GB"/>
              </w:rPr>
              <w:t xml:space="preserve"> </w:t>
            </w:r>
            <w:proofErr w:type="spellStart"/>
            <w:r w:rsidRPr="001F239E">
              <w:rPr>
                <w:lang w:eastAsia="en-GB"/>
              </w:rPr>
              <w:t>Whian</w:t>
            </w:r>
            <w:proofErr w:type="spellEnd"/>
            <w:r w:rsidRPr="001F239E">
              <w:rPr>
                <w:lang w:eastAsia="en-GB"/>
              </w:rPr>
              <w:t xml:space="preserve"> State Forest</w:t>
            </w:r>
          </w:p>
        </w:tc>
        <w:tc>
          <w:tcPr>
            <w:tcW w:w="607" w:type="pct"/>
            <w:tcBorders>
              <w:top w:val="nil"/>
              <w:left w:val="nil"/>
              <w:right w:val="nil"/>
            </w:tcBorders>
            <w:shd w:val="clear" w:color="auto" w:fill="auto"/>
            <w:noWrap/>
            <w:vAlign w:val="bottom"/>
            <w:hideMark/>
          </w:tcPr>
          <w:p w14:paraId="7B34FEE7" w14:textId="59EDC21F" w:rsidR="00292620" w:rsidRPr="001F239E" w:rsidRDefault="004E09C6" w:rsidP="00324EB5">
            <w:pPr>
              <w:pStyle w:val="TableText"/>
              <w:keepN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37</w:t>
            </w:r>
            <w:r w:rsidR="0004459D">
              <w:rPr>
                <w:lang w:eastAsia="en-GB"/>
              </w:rPr>
              <w:t>’</w:t>
            </w:r>
            <w:r w:rsidR="00292620" w:rsidRPr="001F239E">
              <w:rPr>
                <w:lang w:eastAsia="en-GB"/>
              </w:rPr>
              <w:t>36</w:t>
            </w:r>
            <w:r w:rsidR="0004459D">
              <w:rPr>
                <w:lang w:eastAsia="en-GB"/>
              </w:rPr>
              <w:t>’’</w:t>
            </w:r>
          </w:p>
        </w:tc>
        <w:tc>
          <w:tcPr>
            <w:tcW w:w="625" w:type="pct"/>
            <w:tcBorders>
              <w:top w:val="nil"/>
              <w:left w:val="nil"/>
              <w:right w:val="nil"/>
            </w:tcBorders>
            <w:shd w:val="clear" w:color="auto" w:fill="auto"/>
            <w:noWrap/>
            <w:vAlign w:val="bottom"/>
            <w:hideMark/>
          </w:tcPr>
          <w:p w14:paraId="3B23DD87" w14:textId="528A4882" w:rsidR="00292620" w:rsidRPr="001F239E" w:rsidRDefault="00292620" w:rsidP="00324EB5">
            <w:pPr>
              <w:pStyle w:val="TableText"/>
              <w:keepNext/>
              <w:rPr>
                <w:lang w:eastAsia="en-GB"/>
              </w:rPr>
            </w:pPr>
            <w:r w:rsidRPr="001F239E">
              <w:rPr>
                <w:lang w:eastAsia="en-GB"/>
              </w:rPr>
              <w:t>153</w:t>
            </w:r>
            <w:r w:rsidR="0004459D" w:rsidRPr="3857C1C5">
              <w:rPr>
                <w:lang w:eastAsia="en-GB"/>
              </w:rPr>
              <w:t>°</w:t>
            </w:r>
            <w:r w:rsidRPr="001F239E">
              <w:rPr>
                <w:lang w:eastAsia="en-GB"/>
              </w:rPr>
              <w:t>23</w:t>
            </w:r>
            <w:r w:rsidR="0004459D">
              <w:rPr>
                <w:lang w:eastAsia="en-GB"/>
              </w:rPr>
              <w:t>’</w:t>
            </w:r>
            <w:r w:rsidRPr="001F239E">
              <w:rPr>
                <w:lang w:eastAsia="en-GB"/>
              </w:rPr>
              <w:t>12</w:t>
            </w:r>
            <w:r w:rsidR="0004459D">
              <w:rPr>
                <w:lang w:eastAsia="en-GB"/>
              </w:rPr>
              <w:t>’’</w:t>
            </w:r>
          </w:p>
        </w:tc>
        <w:tc>
          <w:tcPr>
            <w:tcW w:w="889" w:type="pct"/>
            <w:tcBorders>
              <w:top w:val="nil"/>
              <w:left w:val="nil"/>
              <w:right w:val="nil"/>
            </w:tcBorders>
            <w:shd w:val="clear" w:color="auto" w:fill="auto"/>
            <w:noWrap/>
            <w:vAlign w:val="bottom"/>
            <w:hideMark/>
          </w:tcPr>
          <w:p w14:paraId="69F65663" w14:textId="77777777" w:rsidR="00292620" w:rsidRPr="001F239E" w:rsidRDefault="00292620" w:rsidP="00324EB5">
            <w:pPr>
              <w:pStyle w:val="TableText"/>
              <w:keepNext/>
              <w:rPr>
                <w:lang w:eastAsia="en-GB"/>
              </w:rPr>
            </w:pPr>
            <w:r w:rsidRPr="001F239E">
              <w:rPr>
                <w:lang w:eastAsia="en-GB"/>
              </w:rPr>
              <w:t>State Forest, Flora Reserve</w:t>
            </w:r>
          </w:p>
        </w:tc>
        <w:tc>
          <w:tcPr>
            <w:tcW w:w="792" w:type="pct"/>
            <w:tcBorders>
              <w:top w:val="nil"/>
              <w:left w:val="nil"/>
              <w:right w:val="nil"/>
            </w:tcBorders>
            <w:shd w:val="clear" w:color="auto" w:fill="auto"/>
            <w:noWrap/>
            <w:vAlign w:val="bottom"/>
            <w:hideMark/>
          </w:tcPr>
          <w:p w14:paraId="2A5D05B5" w14:textId="77777777" w:rsidR="00292620" w:rsidRPr="001F239E" w:rsidRDefault="00292620" w:rsidP="00324EB5">
            <w:pPr>
              <w:pStyle w:val="TableText"/>
              <w:keepNext/>
              <w:rPr>
                <w:lang w:eastAsia="en-GB"/>
              </w:rPr>
            </w:pPr>
          </w:p>
        </w:tc>
        <w:tc>
          <w:tcPr>
            <w:tcW w:w="584" w:type="pct"/>
            <w:tcBorders>
              <w:top w:val="nil"/>
              <w:left w:val="nil"/>
              <w:right w:val="nil"/>
            </w:tcBorders>
            <w:shd w:val="clear" w:color="auto" w:fill="auto"/>
            <w:noWrap/>
            <w:vAlign w:val="bottom"/>
            <w:hideMark/>
          </w:tcPr>
          <w:p w14:paraId="4DB0C041" w14:textId="77777777" w:rsidR="00292620" w:rsidRPr="001F239E" w:rsidRDefault="00292620" w:rsidP="00324EB5">
            <w:pPr>
              <w:pStyle w:val="TableText"/>
              <w:keepNext/>
              <w:rPr>
                <w:lang w:eastAsia="en-GB"/>
              </w:rPr>
            </w:pPr>
            <w:r w:rsidRPr="001F239E">
              <w:rPr>
                <w:lang w:eastAsia="en-GB"/>
              </w:rPr>
              <w:t>1986</w:t>
            </w:r>
          </w:p>
        </w:tc>
      </w:tr>
      <w:tr w:rsidR="00292620" w:rsidRPr="001F239E" w14:paraId="29EE8E12" w14:textId="77777777" w:rsidTr="00A060E9">
        <w:trPr>
          <w:trHeight w:val="320"/>
        </w:trPr>
        <w:tc>
          <w:tcPr>
            <w:tcW w:w="1503" w:type="pct"/>
            <w:tcBorders>
              <w:top w:val="nil"/>
              <w:left w:val="nil"/>
              <w:bottom w:val="single" w:sz="4" w:space="0" w:color="auto"/>
              <w:right w:val="nil"/>
            </w:tcBorders>
            <w:shd w:val="clear" w:color="auto" w:fill="auto"/>
            <w:noWrap/>
            <w:vAlign w:val="bottom"/>
            <w:hideMark/>
          </w:tcPr>
          <w:p w14:paraId="08A8C14F" w14:textId="2C6A4F5D" w:rsidR="00292620" w:rsidRPr="001F239E" w:rsidRDefault="00292620" w:rsidP="00F00EF6">
            <w:pPr>
              <w:pStyle w:val="TableText"/>
              <w:rPr>
                <w:lang w:eastAsia="en-GB"/>
              </w:rPr>
            </w:pPr>
            <w:r w:rsidRPr="001F239E">
              <w:rPr>
                <w:lang w:eastAsia="en-GB"/>
              </w:rPr>
              <w:t xml:space="preserve">Big Scrub </w:t>
            </w:r>
            <w:r w:rsidR="0004459D">
              <w:rPr>
                <w:lang w:eastAsia="en-GB"/>
              </w:rPr>
              <w:t xml:space="preserve">(west of </w:t>
            </w:r>
            <w:proofErr w:type="spellStart"/>
            <w:r w:rsidR="0004459D">
              <w:rPr>
                <w:lang w:eastAsia="en-GB"/>
              </w:rPr>
              <w:t>Wollumbin</w:t>
            </w:r>
            <w:proofErr w:type="spellEnd"/>
            <w:r w:rsidR="0004459D">
              <w:rPr>
                <w:lang w:eastAsia="en-GB"/>
              </w:rPr>
              <w:t xml:space="preserve"> National Park)</w:t>
            </w:r>
          </w:p>
        </w:tc>
        <w:tc>
          <w:tcPr>
            <w:tcW w:w="607" w:type="pct"/>
            <w:tcBorders>
              <w:top w:val="nil"/>
              <w:left w:val="nil"/>
              <w:bottom w:val="single" w:sz="4" w:space="0" w:color="auto"/>
              <w:right w:val="nil"/>
            </w:tcBorders>
            <w:shd w:val="clear" w:color="auto" w:fill="auto"/>
            <w:noWrap/>
            <w:vAlign w:val="bottom"/>
            <w:hideMark/>
          </w:tcPr>
          <w:p w14:paraId="4D0CB496" w14:textId="3AB817BC" w:rsidR="00292620" w:rsidRPr="001F239E" w:rsidRDefault="004E09C6" w:rsidP="00F00EF6">
            <w:pPr>
              <w:pStyle w:val="TableText"/>
              <w:rPr>
                <w:lang w:eastAsia="en-GB"/>
              </w:rPr>
            </w:pPr>
            <w:r>
              <w:rPr>
                <w:lang w:eastAsia="en-GB"/>
              </w:rPr>
              <w:t>-</w:t>
            </w:r>
            <w:r w:rsidR="00292620" w:rsidRPr="001F239E">
              <w:rPr>
                <w:lang w:eastAsia="en-GB"/>
              </w:rPr>
              <w:t>28</w:t>
            </w:r>
            <w:r w:rsidR="0004459D" w:rsidRPr="3857C1C5">
              <w:rPr>
                <w:lang w:eastAsia="en-GB"/>
              </w:rPr>
              <w:t>°</w:t>
            </w:r>
            <w:r w:rsidR="00292620" w:rsidRPr="001F239E">
              <w:rPr>
                <w:lang w:eastAsia="en-GB"/>
              </w:rPr>
              <w:t>38</w:t>
            </w:r>
            <w:r w:rsidR="0004459D">
              <w:rPr>
                <w:lang w:eastAsia="en-GB"/>
              </w:rPr>
              <w:t>’</w:t>
            </w:r>
          </w:p>
        </w:tc>
        <w:tc>
          <w:tcPr>
            <w:tcW w:w="625" w:type="pct"/>
            <w:tcBorders>
              <w:top w:val="nil"/>
              <w:left w:val="nil"/>
              <w:bottom w:val="single" w:sz="4" w:space="0" w:color="auto"/>
              <w:right w:val="nil"/>
            </w:tcBorders>
            <w:shd w:val="clear" w:color="auto" w:fill="auto"/>
            <w:noWrap/>
            <w:vAlign w:val="bottom"/>
            <w:hideMark/>
          </w:tcPr>
          <w:p w14:paraId="7B78C3DE" w14:textId="12D8F731" w:rsidR="00292620" w:rsidRPr="001F239E" w:rsidRDefault="00292620" w:rsidP="00F00EF6">
            <w:pPr>
              <w:pStyle w:val="TableText"/>
              <w:rPr>
                <w:lang w:eastAsia="en-GB"/>
              </w:rPr>
            </w:pPr>
            <w:r w:rsidRPr="001F239E">
              <w:rPr>
                <w:lang w:eastAsia="en-GB"/>
              </w:rPr>
              <w:t>15</w:t>
            </w:r>
            <w:r w:rsidR="0004459D">
              <w:rPr>
                <w:lang w:eastAsia="en-GB"/>
              </w:rPr>
              <w:t>3</w:t>
            </w:r>
            <w:r w:rsidR="0004459D" w:rsidRPr="3857C1C5">
              <w:rPr>
                <w:lang w:eastAsia="en-GB"/>
              </w:rPr>
              <w:t>°</w:t>
            </w:r>
            <w:r w:rsidRPr="001F239E">
              <w:rPr>
                <w:lang w:eastAsia="en-GB"/>
              </w:rPr>
              <w:t>19</w:t>
            </w:r>
            <w:r w:rsidR="0004459D">
              <w:rPr>
                <w:lang w:eastAsia="en-GB"/>
              </w:rPr>
              <w:t>’</w:t>
            </w:r>
          </w:p>
        </w:tc>
        <w:tc>
          <w:tcPr>
            <w:tcW w:w="889" w:type="pct"/>
            <w:tcBorders>
              <w:top w:val="nil"/>
              <w:left w:val="nil"/>
              <w:bottom w:val="single" w:sz="4" w:space="0" w:color="auto"/>
              <w:right w:val="nil"/>
            </w:tcBorders>
            <w:shd w:val="clear" w:color="auto" w:fill="auto"/>
            <w:noWrap/>
            <w:vAlign w:val="bottom"/>
            <w:hideMark/>
          </w:tcPr>
          <w:p w14:paraId="62FF12A2" w14:textId="77777777" w:rsidR="00292620" w:rsidRPr="001F239E" w:rsidRDefault="00292620" w:rsidP="00F00EF6">
            <w:pPr>
              <w:pStyle w:val="TableText"/>
              <w:rPr>
                <w:lang w:eastAsia="en-GB"/>
              </w:rPr>
            </w:pPr>
            <w:r w:rsidRPr="001F239E">
              <w:rPr>
                <w:lang w:eastAsia="en-GB"/>
              </w:rPr>
              <w:t>Flora Reserve</w:t>
            </w:r>
          </w:p>
        </w:tc>
        <w:tc>
          <w:tcPr>
            <w:tcW w:w="792" w:type="pct"/>
            <w:tcBorders>
              <w:top w:val="nil"/>
              <w:left w:val="nil"/>
              <w:bottom w:val="single" w:sz="4" w:space="0" w:color="auto"/>
              <w:right w:val="nil"/>
            </w:tcBorders>
            <w:shd w:val="clear" w:color="auto" w:fill="auto"/>
            <w:noWrap/>
            <w:vAlign w:val="bottom"/>
            <w:hideMark/>
          </w:tcPr>
          <w:p w14:paraId="6E7ABBC6" w14:textId="77777777" w:rsidR="00292620" w:rsidRPr="001F239E" w:rsidRDefault="00292620" w:rsidP="00F00EF6">
            <w:pPr>
              <w:pStyle w:val="TableText"/>
              <w:rPr>
                <w:lang w:eastAsia="en-GB"/>
              </w:rPr>
            </w:pPr>
            <w:r w:rsidRPr="001F239E">
              <w:rPr>
                <w:lang w:eastAsia="en-GB"/>
              </w:rPr>
              <w:t>Voucher</w:t>
            </w:r>
          </w:p>
        </w:tc>
        <w:tc>
          <w:tcPr>
            <w:tcW w:w="584" w:type="pct"/>
            <w:tcBorders>
              <w:top w:val="nil"/>
              <w:left w:val="nil"/>
              <w:bottom w:val="single" w:sz="4" w:space="0" w:color="auto"/>
              <w:right w:val="nil"/>
            </w:tcBorders>
            <w:shd w:val="clear" w:color="auto" w:fill="auto"/>
            <w:noWrap/>
            <w:vAlign w:val="bottom"/>
            <w:hideMark/>
          </w:tcPr>
          <w:p w14:paraId="75827C7C" w14:textId="77777777" w:rsidR="00292620" w:rsidRPr="001F239E" w:rsidRDefault="00292620" w:rsidP="00F00EF6">
            <w:pPr>
              <w:pStyle w:val="TableText"/>
              <w:rPr>
                <w:lang w:eastAsia="en-GB"/>
              </w:rPr>
            </w:pPr>
            <w:r w:rsidRPr="001F239E">
              <w:rPr>
                <w:lang w:eastAsia="en-GB"/>
              </w:rPr>
              <w:t>1966</w:t>
            </w:r>
          </w:p>
        </w:tc>
      </w:tr>
    </w:tbl>
    <w:p w14:paraId="3FCD071B" w14:textId="5846C822" w:rsidR="00292620" w:rsidRDefault="00292620" w:rsidP="00292620"/>
    <w:p w14:paraId="2E789AB7" w14:textId="43FEFAE5" w:rsidR="00BD22A1" w:rsidRPr="00D16408" w:rsidRDefault="00BD22A1" w:rsidP="00292620">
      <w:r>
        <w:t xml:space="preserve">Some of the sites mentioned in Table 1 </w:t>
      </w:r>
      <w:r w:rsidR="00B460E7">
        <w:t xml:space="preserve">may have since </w:t>
      </w:r>
      <w:r>
        <w:t>undergone clearing for agricultural or urban</w:t>
      </w:r>
      <w:r w:rsidR="00B460E7">
        <w:t xml:space="preserve"> and peri-urban</w:t>
      </w:r>
      <w:r>
        <w:t xml:space="preserve"> land use</w:t>
      </w:r>
      <w:r w:rsidR="00B460E7">
        <w:t>s</w:t>
      </w:r>
      <w:r>
        <w:t>. Further south of the known distribution is an area known as “Big Scrub”, which was 75</w:t>
      </w:r>
      <w:r w:rsidR="00CC6BE6">
        <w:t>,</w:t>
      </w:r>
      <w:r>
        <w:t>000 hectares of lowland subtropical rainforest prior to European settlement (Big</w:t>
      </w:r>
      <w:r w:rsidR="00A060E9">
        <w:t xml:space="preserve"> S</w:t>
      </w:r>
      <w:r>
        <w:t xml:space="preserve">crub Landcare 2020). </w:t>
      </w:r>
      <w:r w:rsidR="0004459D">
        <w:t xml:space="preserve">Big Scrub was </w:t>
      </w:r>
      <w:r w:rsidR="00DF3D4C">
        <w:t>s</w:t>
      </w:r>
      <w:r>
        <w:t xml:space="preserve">imple and complex </w:t>
      </w:r>
      <w:proofErr w:type="spellStart"/>
      <w:r>
        <w:t>notophyll</w:t>
      </w:r>
      <w:proofErr w:type="spellEnd"/>
      <w:r>
        <w:t xml:space="preserve"> vine forest </w:t>
      </w:r>
      <w:r>
        <w:lastRenderedPageBreak/>
        <w:t>(warm temperate and subtropical rainforest</w:t>
      </w:r>
      <w:r w:rsidR="008B1DB2">
        <w:t>,</w:t>
      </w:r>
      <w:r>
        <w:t xml:space="preserve"> respectively) habitat</w:t>
      </w:r>
      <w:r w:rsidR="00DF3D4C">
        <w:t xml:space="preserve">, </w:t>
      </w:r>
      <w:proofErr w:type="gramStart"/>
      <w:r w:rsidR="00DF3D4C">
        <w:t>similar to</w:t>
      </w:r>
      <w:proofErr w:type="gramEnd"/>
      <w:r w:rsidR="00DF3D4C">
        <w:t xml:space="preserve"> that at Nightcap National Park, </w:t>
      </w:r>
      <w:r>
        <w:t xml:space="preserve">where </w:t>
      </w:r>
      <w:proofErr w:type="spellStart"/>
      <w:r w:rsidRPr="00A060E9">
        <w:rPr>
          <w:i/>
          <w:iCs/>
        </w:rPr>
        <w:t>Corokia</w:t>
      </w:r>
      <w:proofErr w:type="spellEnd"/>
      <w:r w:rsidRPr="00A060E9">
        <w:rPr>
          <w:i/>
          <w:iCs/>
        </w:rPr>
        <w:t xml:space="preserve"> </w:t>
      </w:r>
      <w:proofErr w:type="spellStart"/>
      <w:r w:rsidRPr="00A060E9">
        <w:rPr>
          <w:i/>
          <w:iCs/>
        </w:rPr>
        <w:t>whiteana</w:t>
      </w:r>
      <w:proofErr w:type="spellEnd"/>
      <w:r>
        <w:t xml:space="preserve"> occurs </w:t>
      </w:r>
      <w:r w:rsidRPr="00D16408">
        <w:t>(</w:t>
      </w:r>
      <w:proofErr w:type="spellStart"/>
      <w:r w:rsidRPr="00D16408">
        <w:t>Kooyman</w:t>
      </w:r>
      <w:proofErr w:type="spellEnd"/>
      <w:r w:rsidRPr="00D16408">
        <w:t xml:space="preserve"> &amp; Mallee 2020)</w:t>
      </w:r>
    </w:p>
    <w:p w14:paraId="379663FC" w14:textId="0FF4A02D" w:rsidR="00292620" w:rsidRDefault="00292620" w:rsidP="00292620">
      <w:r>
        <w:t xml:space="preserve">In 1995, 19 specimens of </w:t>
      </w:r>
      <w:proofErr w:type="spellStart"/>
      <w:r w:rsidR="1D527738" w:rsidRPr="3857C1C5">
        <w:rPr>
          <w:i/>
          <w:iCs/>
        </w:rPr>
        <w:t>Corokia</w:t>
      </w:r>
      <w:proofErr w:type="spellEnd"/>
      <w:r w:rsidR="1D527738" w:rsidRPr="3857C1C5">
        <w:rPr>
          <w:i/>
          <w:iCs/>
        </w:rPr>
        <w:t xml:space="preserve"> </w:t>
      </w:r>
      <w:proofErr w:type="spellStart"/>
      <w:r w:rsidR="1D527738" w:rsidRPr="3857C1C5">
        <w:rPr>
          <w:i/>
          <w:iCs/>
        </w:rPr>
        <w:t>whiteana</w:t>
      </w:r>
      <w:proofErr w:type="spellEnd"/>
      <w:r w:rsidR="1D527738">
        <w:t xml:space="preserve"> </w:t>
      </w:r>
      <w:r>
        <w:t>were in cultivation at Australian National Botanic Gardens, Canberra</w:t>
      </w:r>
      <w:r w:rsidR="00AA3FF4">
        <w:t>;</w:t>
      </w:r>
      <w:r>
        <w:t xml:space="preserve"> North Coast Regional Botanic Garden, Coffs Harbour</w:t>
      </w:r>
      <w:r w:rsidR="00AA3FF4">
        <w:t>;</w:t>
      </w:r>
      <w:r>
        <w:t xml:space="preserve"> and Mt Annan Botanic Gardens (L. Meredith, A. Floyd &amp; R. Johnstone pers comm</w:t>
      </w:r>
      <w:r w:rsidR="003004EB">
        <w:t>, in</w:t>
      </w:r>
      <w:r>
        <w:t xml:space="preserve"> Quinn et al. 1995). </w:t>
      </w:r>
      <w:r w:rsidR="00025E12">
        <w:t xml:space="preserve">Five </w:t>
      </w:r>
      <w:proofErr w:type="spellStart"/>
      <w:r w:rsidR="58C5A9E4" w:rsidRPr="3857C1C5">
        <w:rPr>
          <w:i/>
          <w:iCs/>
        </w:rPr>
        <w:t>Corokia</w:t>
      </w:r>
      <w:proofErr w:type="spellEnd"/>
      <w:r w:rsidR="58C5A9E4" w:rsidRPr="3857C1C5">
        <w:rPr>
          <w:i/>
          <w:iCs/>
        </w:rPr>
        <w:t xml:space="preserve"> </w:t>
      </w:r>
      <w:proofErr w:type="spellStart"/>
      <w:r w:rsidR="58C5A9E4" w:rsidRPr="3857C1C5">
        <w:rPr>
          <w:i/>
          <w:iCs/>
        </w:rPr>
        <w:t>whiteana</w:t>
      </w:r>
      <w:proofErr w:type="spellEnd"/>
      <w:r w:rsidR="58C5A9E4">
        <w:t xml:space="preserve"> </w:t>
      </w:r>
      <w:r w:rsidR="44D563AD">
        <w:t xml:space="preserve">are currently planted </w:t>
      </w:r>
      <w:r w:rsidR="00025E12">
        <w:t xml:space="preserve">at the Mt Annan Botanic Gardens </w:t>
      </w:r>
      <w:r w:rsidR="0DC98D5F">
        <w:t xml:space="preserve">in Sydney </w:t>
      </w:r>
      <w:r w:rsidR="00025E12">
        <w:t xml:space="preserve">(Graeme Errington 2021. pers comm 2 Aug). </w:t>
      </w:r>
    </w:p>
    <w:p w14:paraId="2176B24F" w14:textId="402881F5"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400D37">
        <w:rPr>
          <w:noProof/>
        </w:rPr>
        <w:t>1</w:t>
      </w:r>
      <w:r>
        <w:rPr>
          <w:noProof/>
        </w:rPr>
        <w:fldChar w:fldCharType="end"/>
      </w:r>
      <w:bookmarkEnd w:id="5"/>
      <w:r>
        <w:t xml:space="preserve"> </w:t>
      </w:r>
      <w:bookmarkEnd w:id="6"/>
      <w:bookmarkEnd w:id="7"/>
      <w:r w:rsidR="008064B3">
        <w:t xml:space="preserve">Modelled distribution </w:t>
      </w:r>
      <w:r w:rsidR="004C7F78">
        <w:t xml:space="preserve">of </w:t>
      </w:r>
      <w:proofErr w:type="spellStart"/>
      <w:r w:rsidR="00292620" w:rsidRPr="00A060E9">
        <w:rPr>
          <w:i/>
          <w:iCs/>
        </w:rPr>
        <w:t>Corokia</w:t>
      </w:r>
      <w:proofErr w:type="spellEnd"/>
      <w:r w:rsidR="00E13A6A" w:rsidRPr="00A060E9">
        <w:rPr>
          <w:i/>
          <w:iCs/>
        </w:rPr>
        <w:t xml:space="preserve"> </w:t>
      </w:r>
      <w:proofErr w:type="spellStart"/>
      <w:r w:rsidR="00E13A6A" w:rsidRPr="00A060E9">
        <w:rPr>
          <w:i/>
          <w:iCs/>
        </w:rPr>
        <w:t>whiteana</w:t>
      </w:r>
      <w:proofErr w:type="spellEnd"/>
    </w:p>
    <w:p w14:paraId="61A3361F" w14:textId="4B007528" w:rsidR="00E362EF" w:rsidRDefault="00420251" w:rsidP="00420251">
      <w:r>
        <w:rPr>
          <w:noProof/>
        </w:rPr>
        <w:drawing>
          <wp:inline distT="0" distB="0" distL="0" distR="0" wp14:anchorId="6933B335" wp14:editId="00B64164">
            <wp:extent cx="5759450" cy="4062730"/>
            <wp:effectExtent l="0" t="0" r="635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59450" cy="4062730"/>
                    </a:xfrm>
                    <a:prstGeom prst="rect">
                      <a:avLst/>
                    </a:prstGeom>
                  </pic:spPr>
                </pic:pic>
              </a:graphicData>
            </a:graphic>
          </wp:inline>
        </w:drawing>
      </w:r>
    </w:p>
    <w:p w14:paraId="4D6030A8" w14:textId="1B14CCB5" w:rsidR="00E362EF" w:rsidRDefault="007C5B94">
      <w:pPr>
        <w:pStyle w:val="FigureTableNoteSource"/>
      </w:pPr>
      <w:r>
        <w:t xml:space="preserve">Source: </w:t>
      </w:r>
      <w:r w:rsidR="00A12094">
        <w:t xml:space="preserve">Base map </w:t>
      </w:r>
      <w:r w:rsidR="008064B3">
        <w:t xml:space="preserve">Geoscience Australia; </w:t>
      </w:r>
      <w:r w:rsidR="00A12094">
        <w:t xml:space="preserve">species distribution data </w:t>
      </w:r>
      <w:hyperlink r:id="rId24" w:history="1">
        <w:r w:rsidR="008064B3" w:rsidRPr="008064B3">
          <w:rPr>
            <w:rStyle w:val="Hyperlink"/>
          </w:rPr>
          <w:t>Species of National Environmental Significance</w:t>
        </w:r>
      </w:hyperlink>
      <w:r w:rsidR="008064B3">
        <w:t xml:space="preserve"> database.</w:t>
      </w:r>
    </w:p>
    <w:p w14:paraId="12247899" w14:textId="77777777" w:rsidR="00292620" w:rsidRPr="009D7E68" w:rsidRDefault="00292620" w:rsidP="00292620">
      <w:pPr>
        <w:pStyle w:val="figuretablenotesource0"/>
        <w:spacing w:before="0" w:beforeAutospacing="0" w:after="120" w:afterAutospacing="0" w:line="198" w:lineRule="atLeast"/>
        <w:rPr>
          <w:rFonts w:ascii="Calibri" w:hAnsi="Calibri" w:cs="Calibri"/>
          <w:color w:val="000000"/>
          <w:sz w:val="18"/>
          <w:szCs w:val="18"/>
        </w:rPr>
      </w:pPr>
      <w:r w:rsidRPr="009D7E68">
        <w:rPr>
          <w:rFonts w:ascii="Calibri" w:hAnsi="Calibri" w:cs="Calibri"/>
          <w:b/>
          <w:bCs/>
          <w:color w:val="000000"/>
          <w:sz w:val="18"/>
          <w:szCs w:val="18"/>
        </w:rPr>
        <w:t>Caveat</w:t>
      </w:r>
      <w:r w:rsidRPr="009D7E68">
        <w:rPr>
          <w:rFonts w:ascii="Calibri" w:hAnsi="Calibri" w:cs="Calibri"/>
          <w:color w:val="000000"/>
          <w:sz w:val="18"/>
          <w:szCs w:val="18"/>
        </w:rP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rsidRPr="009D7E68">
        <w:rPr>
          <w:rFonts w:ascii="Calibri" w:hAnsi="Calibri" w:cs="Calibri"/>
          <w:color w:val="000000"/>
          <w:sz w:val="18"/>
          <w:szCs w:val="18"/>
        </w:rPr>
        <w:t>as a consequence of</w:t>
      </w:r>
      <w:proofErr w:type="gramEnd"/>
      <w:r w:rsidRPr="009D7E68">
        <w:rPr>
          <w:rFonts w:ascii="Calibri" w:hAnsi="Calibri" w:cs="Calibri"/>
          <w:color w:val="000000"/>
          <w:sz w:val="18"/>
          <w:szCs w:val="18"/>
        </w:rPr>
        <w:t>, anything containing herein.</w:t>
      </w:r>
    </w:p>
    <w:p w14:paraId="3B71A71B" w14:textId="552B5F64" w:rsidR="00292620" w:rsidRPr="00292620" w:rsidRDefault="00292620" w:rsidP="00A060E9">
      <w:pPr>
        <w:pStyle w:val="figuretablenotesource0"/>
        <w:spacing w:before="0" w:beforeAutospacing="0" w:after="200" w:afterAutospacing="0" w:line="198" w:lineRule="atLeast"/>
      </w:pPr>
      <w:r w:rsidRPr="009D7E68">
        <w:rPr>
          <w:rFonts w:ascii="Calibri" w:hAnsi="Calibri" w:cs="Calibri"/>
          <w:b/>
          <w:bCs/>
          <w:color w:val="000000"/>
          <w:sz w:val="18"/>
          <w:szCs w:val="18"/>
        </w:rPr>
        <w:t>Species distribution mapping</w:t>
      </w:r>
      <w:r w:rsidRPr="009D7E68">
        <w:rPr>
          <w:rFonts w:ascii="Calibri" w:hAnsi="Calibri" w:cs="Calibri"/>
          <w:color w:val="000000"/>
          <w:sz w:val="18"/>
          <w:szCs w:val="18"/>
        </w:rPr>
        <w:t xml:space="preserve">: The species distribution mapping categories are indicative only and aim to capture (a) the specific habitat type or geographic feature that represents to recent observed locations of the species (known to occur) or preferred habitat occurring </w:t>
      </w:r>
      <w:proofErr w:type="gramStart"/>
      <w:r w:rsidRPr="009D7E68">
        <w:rPr>
          <w:rFonts w:ascii="Calibri" w:hAnsi="Calibri" w:cs="Calibri"/>
          <w:color w:val="000000"/>
          <w:sz w:val="18"/>
          <w:szCs w:val="18"/>
        </w:rPr>
        <w:t>in close proximity to</w:t>
      </w:r>
      <w:proofErr w:type="gramEnd"/>
      <w:r w:rsidRPr="009D7E68">
        <w:rPr>
          <w:rFonts w:ascii="Calibri" w:hAnsi="Calibri" w:cs="Calibri"/>
          <w:color w:val="000000"/>
          <w:sz w:val="18"/>
          <w:szCs w:val="18"/>
        </w:rP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7E377E5C" w14:textId="77777777" w:rsidR="00C304AA" w:rsidRPr="00711F92" w:rsidRDefault="00C304AA" w:rsidP="00711F92">
      <w:pPr>
        <w:pStyle w:val="Heading3"/>
        <w:ind w:left="964" w:hanging="964"/>
      </w:pPr>
      <w:r w:rsidRPr="00711F92">
        <w:t>Cultural and community significance</w:t>
      </w:r>
    </w:p>
    <w:p w14:paraId="52B326D8" w14:textId="77777777" w:rsidR="00E13A6A" w:rsidRDefault="00E13A6A" w:rsidP="00343720">
      <w:r>
        <w:t xml:space="preserve">This section describes some published examples of this significance but is not intended to be comprehensive, applicable to, or speak for, all Indigenous people. Such knowledge may be only held by Indigenous groups and individuals who are the custodians of this knowledge. </w:t>
      </w:r>
    </w:p>
    <w:p w14:paraId="15F50719" w14:textId="26C31261" w:rsidR="00343720" w:rsidRDefault="72A9A2BA" w:rsidP="00343720">
      <w:proofErr w:type="spellStart"/>
      <w:r w:rsidRPr="3857C1C5">
        <w:rPr>
          <w:i/>
          <w:iCs/>
        </w:rPr>
        <w:lastRenderedPageBreak/>
        <w:t>Corokia</w:t>
      </w:r>
      <w:proofErr w:type="spellEnd"/>
      <w:r w:rsidRPr="3857C1C5">
        <w:rPr>
          <w:i/>
          <w:iCs/>
        </w:rPr>
        <w:t xml:space="preserve"> </w:t>
      </w:r>
      <w:proofErr w:type="spellStart"/>
      <w:r w:rsidRPr="3857C1C5">
        <w:rPr>
          <w:i/>
          <w:iCs/>
        </w:rPr>
        <w:t>whiteana</w:t>
      </w:r>
      <w:proofErr w:type="spellEnd"/>
      <w:r w:rsidR="00343720">
        <w:t xml:space="preserve"> occurs on Bundjalung nation country. The Bundjalung peoples are a large </w:t>
      </w:r>
      <w:r w:rsidR="00180FCB">
        <w:t>First Nation group</w:t>
      </w:r>
      <w:r w:rsidR="00343720">
        <w:t xml:space="preserve"> on the far northern coast of NSW and consist of many language groups. Th</w:t>
      </w:r>
      <w:r w:rsidR="00180FCB">
        <w:t>e language</w:t>
      </w:r>
      <w:r w:rsidR="00343720">
        <w:t xml:space="preserve"> groups closest to the sites where </w:t>
      </w:r>
      <w:proofErr w:type="spellStart"/>
      <w:r w:rsidR="34E3389E" w:rsidRPr="3857C1C5">
        <w:rPr>
          <w:i/>
          <w:iCs/>
        </w:rPr>
        <w:t>Corokia</w:t>
      </w:r>
      <w:proofErr w:type="spellEnd"/>
      <w:r w:rsidR="34E3389E" w:rsidRPr="3857C1C5">
        <w:rPr>
          <w:i/>
          <w:iCs/>
        </w:rPr>
        <w:t xml:space="preserve"> </w:t>
      </w:r>
      <w:proofErr w:type="spellStart"/>
      <w:r w:rsidR="34E3389E" w:rsidRPr="3857C1C5">
        <w:rPr>
          <w:i/>
          <w:iCs/>
        </w:rPr>
        <w:t>whiteana</w:t>
      </w:r>
      <w:proofErr w:type="spellEnd"/>
      <w:r w:rsidR="00343720">
        <w:t xml:space="preserve"> occur are </w:t>
      </w:r>
      <w:proofErr w:type="spellStart"/>
      <w:r w:rsidR="00343720">
        <w:t>Nganduwal</w:t>
      </w:r>
      <w:proofErr w:type="spellEnd"/>
      <w:r w:rsidR="00343720">
        <w:t xml:space="preserve">, </w:t>
      </w:r>
      <w:proofErr w:type="spellStart"/>
      <w:r w:rsidR="00343720" w:rsidRPr="003145D9">
        <w:rPr>
          <w:color w:val="000000" w:themeColor="text1"/>
        </w:rPr>
        <w:t>Minyanbal</w:t>
      </w:r>
      <w:proofErr w:type="spellEnd"/>
      <w:r w:rsidR="00343720" w:rsidRPr="003145D9">
        <w:rPr>
          <w:color w:val="000000" w:themeColor="text1"/>
        </w:rPr>
        <w:t xml:space="preserve"> a</w:t>
      </w:r>
      <w:r w:rsidR="00343720">
        <w:t xml:space="preserve">nd </w:t>
      </w:r>
      <w:proofErr w:type="spellStart"/>
      <w:r w:rsidR="00343720">
        <w:t>Wiyabal</w:t>
      </w:r>
      <w:proofErr w:type="spellEnd"/>
      <w:r w:rsidR="00343720">
        <w:t xml:space="preserve"> </w:t>
      </w:r>
      <w:r w:rsidR="00343720">
        <w:fldChar w:fldCharType="begin" w:fldLock="1"/>
      </w:r>
      <w:r w:rsidR="00343720">
        <w:instrText>ADDIN CSL_CITATION {"citationItems":[{"id":"ITEM-1","itemData":{"URL":"https://www.sl.nsw.gov.au/about-library/services/indigenous-services/rediscovering-indigenous-languages-project","accessed":{"date-parts":[["2020","11","12"]]},"author":[{"dropping-particle":"","family":"State Library NSW","given":"","non-dropping-particle":"","parse-names":false,"suffix":""}],"id":"ITEM-1","issued":{"date-parts":[["2014"]]},"publisher-place":"Sydney","title":"Rediscovering Indigenous Languages","type":"webpage"},"uris":["http://www.mendeley.com/documents/?uuid=e776032b-68c1-49c3-90df-b9abe391bbec"]},{"id":"ITEM-2","itemData":{"URL":"http://arakwal.com.au","accessed":{"date-parts":[["2020","11","12"]]},"author":[{"dropping-particle":"","family":"Bundjalung of Byron Bay Aboriginal Corporation","given":"","non-dropping-particle":"","parse-names":false,"suffix":""}],"id":"ITEM-2","issued":{"date-parts":[["2011"]]},"title":"Arakwal people of Byron Bay","type":"webpage"},"uris":["http://www.mendeley.com/documents/?uuid=bbb72541-6b96-4f06-b877-5883534ded08"]}],"mendeley":{"formattedCitation":"(Bundjalung of Byron Bay Aboriginal Corporation 2011, State Library NSW 2014)","plainTextFormattedCitation":"(Bundjalung of Byron Bay Aboriginal Corporation 2011, State Library NSW 2014)","previouslyFormattedCitation":"(Bundjalung of Byron Bay Aboriginal Corporation 2011, State Library NSW 2014)"},"properties":{"noteIndex":0},"schema":"https://github.com/citation-style-language/schema/raw/master/csl-citation.json"}</w:instrText>
      </w:r>
      <w:r w:rsidR="00343720">
        <w:fldChar w:fldCharType="separate"/>
      </w:r>
      <w:r w:rsidR="00343720" w:rsidRPr="005E1712">
        <w:rPr>
          <w:noProof/>
        </w:rPr>
        <w:t>(Bundjalung of Byron Bay Aboriginal Corporation 2011, State Library NSW 2014)</w:t>
      </w:r>
      <w:r w:rsidR="00343720">
        <w:fldChar w:fldCharType="end"/>
      </w:r>
      <w:r w:rsidR="00343720">
        <w:t xml:space="preserve">. The Bundjalung people have many sacred sites important to their identity, spirituality, connection and resource history in the Nightcap Range and Mount Jerusalem areas. The region is rich with </w:t>
      </w:r>
      <w:r w:rsidR="207EA5DD">
        <w:t>cultural</w:t>
      </w:r>
      <w:r w:rsidR="00343720">
        <w:t xml:space="preserve"> history</w:t>
      </w:r>
      <w:r w:rsidR="00020F55">
        <w:t>,</w:t>
      </w:r>
      <w:r w:rsidR="00343720">
        <w:t xml:space="preserve"> and significant sites are interrelated and bound together by dreaming </w:t>
      </w:r>
      <w:r w:rsidR="00343720">
        <w:fldChar w:fldCharType="begin" w:fldLock="1"/>
      </w:r>
      <w:r w:rsidR="00343720">
        <w:instrText>ADDIN CSL_CITATION {"citationItems":[{"id":"ITEM-1","itemData":{"author":[{"dropping-particle":"","family":"NSW Government","given":"","non-dropping-particle":"","parse-names":false,"suffix":""}],"id":"ITEM-1","issued":{"date-parts":[["2004"]]},"number-of-pages":"115","title":"NSW Government. Parks and Reserves of the Tweed Caldera Plan of Management. Incorporating National Parks: Mt Warning, Border Ranges, Mebbin, Nightcap, Mt Jerusalem, Goonengerry and Nature Reserves: Limpinwood, Numinbah and Snows Gully.","type":"report"},"uris":["http://www.mendeley.com/documents/?uuid=3c905718-738d-4259-bd14-c790bc40c692"]}],"mendeley":{"formattedCitation":"(NSW Government 2004)","plainTextFormattedCitation":"(NSW Government 2004)","previouslyFormattedCitation":"(NSW Government 2004)"},"properties":{"noteIndex":0},"schema":"https://github.com/citation-style-language/schema/raw/master/csl-citation.json"}</w:instrText>
      </w:r>
      <w:r w:rsidR="00343720">
        <w:fldChar w:fldCharType="separate"/>
      </w:r>
      <w:r w:rsidR="00343720" w:rsidRPr="001901DB">
        <w:rPr>
          <w:noProof/>
        </w:rPr>
        <w:t>(NSW Government 2004)</w:t>
      </w:r>
      <w:r w:rsidR="00343720">
        <w:fldChar w:fldCharType="end"/>
      </w:r>
      <w:r w:rsidR="00343720">
        <w:t>. The plants and animals feature prominently in dreaming stories</w:t>
      </w:r>
      <w:r w:rsidR="00020F55">
        <w:t>,</w:t>
      </w:r>
      <w:r w:rsidR="00343720">
        <w:t xml:space="preserve"> and the protection of connected sites </w:t>
      </w:r>
      <w:r w:rsidR="00020F55">
        <w:t>is</w:t>
      </w:r>
      <w:r w:rsidR="00343720">
        <w:t xml:space="preserve"> vital, if one site in the dreaming is damaged, all sites associated with that dreaming are affected </w:t>
      </w:r>
      <w:r w:rsidR="00343720">
        <w:fldChar w:fldCharType="begin" w:fldLock="1"/>
      </w:r>
      <w:r w:rsidR="00343720">
        <w:instrText>ADDIN CSL_CITATION {"citationItems":[{"id":"ITEM-1","itemData":{"author":[{"dropping-particle":"","family":"NSW Government","given":"","non-dropping-particle":"","parse-names":false,"suffix":""}],"id":"ITEM-1","issued":{"date-parts":[["2004"]]},"number-of-pages":"115","title":"NSW Government. Parks and Reserves of the Tweed Caldera Plan of Management. Incorporating National Parks: Mt Warning, Border Ranges, Mebbin, Nightcap, Mt Jerusalem, Goonengerry and Nature Reserves: Limpinwood, Numinbah and Snows Gully.","type":"report"},"uris":["http://www.mendeley.com/documents/?uuid=3c905718-738d-4259-bd14-c790bc40c692"]}],"mendeley":{"formattedCitation":"(NSW Government 2004)","plainTextFormattedCitation":"(NSW Government 2004)","previouslyFormattedCitation":"(NSW Government 2004)"},"properties":{"noteIndex":0},"schema":"https://github.com/citation-style-language/schema/raw/master/csl-citation.json"}</w:instrText>
      </w:r>
      <w:r w:rsidR="00343720">
        <w:fldChar w:fldCharType="separate"/>
      </w:r>
      <w:r w:rsidR="00343720" w:rsidRPr="001901DB">
        <w:rPr>
          <w:noProof/>
        </w:rPr>
        <w:t>(NSW Government 2004)</w:t>
      </w:r>
      <w:r w:rsidR="00343720">
        <w:fldChar w:fldCharType="end"/>
      </w:r>
      <w:r w:rsidR="00343720">
        <w:t>.</w:t>
      </w:r>
    </w:p>
    <w:p w14:paraId="741DF803" w14:textId="5BC84ED0" w:rsidR="00343720" w:rsidRDefault="00343720" w:rsidP="00343720">
      <w:r>
        <w:t xml:space="preserve">In New Zealand, Māori peoples use </w:t>
      </w:r>
      <w:proofErr w:type="spellStart"/>
      <w:r w:rsidRPr="00D82400">
        <w:rPr>
          <w:i/>
          <w:iCs/>
        </w:rPr>
        <w:t>Corokia</w:t>
      </w:r>
      <w:proofErr w:type="spellEnd"/>
      <w:r w:rsidRPr="00D82400">
        <w:rPr>
          <w:i/>
          <w:iCs/>
        </w:rPr>
        <w:t xml:space="preserve"> spp</w:t>
      </w:r>
      <w:r>
        <w:t xml:space="preserve">. to </w:t>
      </w:r>
      <w:r w:rsidR="00020F55">
        <w:t>relieve</w:t>
      </w:r>
      <w:r>
        <w:t xml:space="preserve"> </w:t>
      </w:r>
      <w:proofErr w:type="spellStart"/>
      <w:r w:rsidR="008B1DB2">
        <w:t>stomachache</w:t>
      </w:r>
      <w:proofErr w:type="spellEnd"/>
      <w:r>
        <w:t xml:space="preserve"> </w:t>
      </w:r>
      <w:proofErr w:type="gramStart"/>
      <w:r>
        <w:t xml:space="preserve">and </w:t>
      </w:r>
      <w:r w:rsidR="00180FCB">
        <w:t>also</w:t>
      </w:r>
      <w:proofErr w:type="gramEnd"/>
      <w:r w:rsidR="00180FCB">
        <w:t xml:space="preserve"> </w:t>
      </w:r>
      <w:r>
        <w:t xml:space="preserve">in spiritual ceremonies. The </w:t>
      </w:r>
      <w:r w:rsidR="00020F55">
        <w:t>hardwood</w:t>
      </w:r>
      <w:r>
        <w:t xml:space="preserve"> </w:t>
      </w:r>
      <w:r w:rsidR="00180FCB">
        <w:t xml:space="preserve">of </w:t>
      </w:r>
      <w:proofErr w:type="spellStart"/>
      <w:r w:rsidR="00180FCB" w:rsidRPr="00180FCB">
        <w:rPr>
          <w:i/>
          <w:iCs/>
        </w:rPr>
        <w:t>Corokia</w:t>
      </w:r>
      <w:proofErr w:type="spellEnd"/>
      <w:r w:rsidR="00180FCB" w:rsidRPr="00180FCB">
        <w:rPr>
          <w:i/>
          <w:iCs/>
        </w:rPr>
        <w:t xml:space="preserve"> spp</w:t>
      </w:r>
      <w:r w:rsidR="00180FCB">
        <w:t xml:space="preserve">. </w:t>
      </w:r>
      <w:r>
        <w:t xml:space="preserve">was used to carve hooks and knives </w:t>
      </w:r>
      <w:r>
        <w:fldChar w:fldCharType="begin" w:fldLock="1"/>
      </w:r>
      <w:r>
        <w:instrText>ADDIN CSL_CITATION {"citationItems":[{"id":"ITEM-1","itemData":{"URL":"https://ngaitahu.iwi.nz/our_stories/tk72-he-aitaka-a-tane/","accessed":{"date-parts":[["2021","7","13"]]},"author":[{"dropping-particle":"","family":"Rūnanga o Ngāi Tahu","given":"","non-dropping-particle":"Te","parse-names":false,"suffix":""}],"id":"ITEM-1","issued":{"date-parts":[["2016"]]},"title":"Te Karaka. He Aitaka a Tane Korokio. As tough as wire-netting","type":"webpage"},"uris":["http://www.mendeley.com/documents/?uuid=a58bf2a9-8c46-4f72-b6c7-1499f90a9bd3"]}],"mendeley":{"formattedCitation":"(Te Rūnanga o Ngāi Tahu 2016)","plainTextFormattedCitation":"(Te Rūnanga o Ngāi Tahu 2016)","previouslyFormattedCitation":"(Te Rūnanga o Ngāi Tahu 2016)"},"properties":{"noteIndex":0},"schema":"https://github.com/citation-style-language/schema/raw/master/csl-citation.json"}</w:instrText>
      </w:r>
      <w:r>
        <w:fldChar w:fldCharType="separate"/>
      </w:r>
      <w:r w:rsidRPr="000C2DCE">
        <w:rPr>
          <w:noProof/>
        </w:rPr>
        <w:t>(Te Rūnanga o Ngāi Tahu 2016)</w:t>
      </w:r>
      <w:r>
        <w:fldChar w:fldCharType="end"/>
      </w:r>
      <w:r>
        <w:t xml:space="preserve">. </w:t>
      </w:r>
      <w:r w:rsidR="003004EB">
        <w:t xml:space="preserve">It’s not known if Australian </w:t>
      </w:r>
      <w:proofErr w:type="spellStart"/>
      <w:r w:rsidR="003004EB" w:rsidRPr="00A060E9">
        <w:rPr>
          <w:i/>
        </w:rPr>
        <w:t>Corokia</w:t>
      </w:r>
      <w:proofErr w:type="spellEnd"/>
      <w:r w:rsidR="003004EB" w:rsidRPr="00A060E9">
        <w:rPr>
          <w:i/>
        </w:rPr>
        <w:t xml:space="preserve"> </w:t>
      </w:r>
      <w:r w:rsidR="003004EB">
        <w:t xml:space="preserve">has similar </w:t>
      </w:r>
      <w:r w:rsidR="00044575">
        <w:t xml:space="preserve">traditional uses. </w:t>
      </w:r>
    </w:p>
    <w:p w14:paraId="59C2D9F9" w14:textId="77777777" w:rsidR="00C304AA" w:rsidRDefault="00C304AA" w:rsidP="00C304AA">
      <w:pPr>
        <w:pStyle w:val="Heading3"/>
        <w:ind w:left="964" w:hanging="964"/>
      </w:pPr>
      <w:r>
        <w:t>Relevant biology and ecology</w:t>
      </w:r>
    </w:p>
    <w:p w14:paraId="50A5E31C" w14:textId="77777777" w:rsidR="00343720" w:rsidRPr="005E7D4D" w:rsidRDefault="00343720" w:rsidP="00343720">
      <w:pPr>
        <w:rPr>
          <w:i/>
          <w:iCs/>
        </w:rPr>
      </w:pPr>
      <w:r w:rsidRPr="005E7D4D">
        <w:rPr>
          <w:i/>
          <w:iCs/>
        </w:rPr>
        <w:t>Biology</w:t>
      </w:r>
    </w:p>
    <w:p w14:paraId="07068483" w14:textId="287F3C38" w:rsidR="00343720" w:rsidRDefault="00343720" w:rsidP="00343720">
      <w:r>
        <w:t xml:space="preserve">There are six species in the genus, five of which are endemic to New Zealand, Lord Howe, Rapa </w:t>
      </w:r>
      <w:proofErr w:type="spellStart"/>
      <w:r>
        <w:t>Ita</w:t>
      </w:r>
      <w:proofErr w:type="spellEnd"/>
      <w:r>
        <w:t xml:space="preserve"> and Chatham Islands </w:t>
      </w:r>
      <w:r>
        <w:fldChar w:fldCharType="begin" w:fldLock="1"/>
      </w:r>
      <w:r>
        <w:instrText>ADDIN CSL_CITATION {"citationItems":[{"id":"ITEM-1","itemData":{"DOI":"10.1080/0028825X.1994.10410481","ISSN":"11758643","abstract":"Corokia cotoneaster (Escalloniaceae) is an evergreen, divaricating shrub endemic to New Zealand. Although it has small, simple, open flowers and is neither dichogamous nor markedly herko-gamous, the pollination system exhibits some specialised features. C. cotoneaster is visited by a wide range of insects, but a single species of native bee appears to be the effective pollinator. In addition, C. cotoneaster is self-incompatible, an unusual condition in the New Zealand flora. It is suggested that the divaricating habit may impose particular constraints on the reproductive biology of this and other species. © 1994 Taylor &amp; Francis Group, LLC.","author":[{"dropping-particle":"","family":"Webb","given":"C. J.","non-dropping-particle":"","parse-names":false,"suffix":""}],"container-title":"New Zealand Journal of Botany","id":"ITEM-1","issue":"3","issued":{"date-parts":[["1994"]]},"page":"385-392","title":"Pollination, self-incompatibility, and fruit production in corokia cotoneaster (escalloniaceae)","type":"article-journal","volume":"32"},"uris":["http://www.mendeley.com/documents/?uuid=9274ef18-2db5-4103-b215-550451a8b5ab"]}],"mendeley":{"formattedCitation":"(Webb 1994)","plainTextFormattedCitation":"(Webb 1994)","previouslyFormattedCitation":"(Webb 1994)"},"properties":{"noteIndex":0},"schema":"https://github.com/citation-style-language/schema/raw/master/csl-citation.json"}</w:instrText>
      </w:r>
      <w:r>
        <w:fldChar w:fldCharType="separate"/>
      </w:r>
      <w:r w:rsidRPr="002F3736">
        <w:rPr>
          <w:noProof/>
        </w:rPr>
        <w:t>(Webb 1994)</w:t>
      </w:r>
      <w:r>
        <w:fldChar w:fldCharType="end"/>
      </w:r>
      <w:r>
        <w:t xml:space="preserve">. </w:t>
      </w:r>
      <w:proofErr w:type="spellStart"/>
      <w:r w:rsidR="00AA3FF4" w:rsidRPr="00343720">
        <w:rPr>
          <w:i/>
          <w:iCs/>
        </w:rPr>
        <w:t>Corokia</w:t>
      </w:r>
      <w:proofErr w:type="spellEnd"/>
      <w:r w:rsidRPr="002F3736">
        <w:rPr>
          <w:i/>
          <w:iCs/>
        </w:rPr>
        <w:t xml:space="preserve"> </w:t>
      </w:r>
      <w:proofErr w:type="spellStart"/>
      <w:r w:rsidRPr="002F3736">
        <w:rPr>
          <w:i/>
          <w:iCs/>
        </w:rPr>
        <w:t>whiteana</w:t>
      </w:r>
      <w:proofErr w:type="spellEnd"/>
      <w:r>
        <w:t xml:space="preserve"> is the only member occurring </w:t>
      </w:r>
      <w:r w:rsidR="0A733B5C">
        <w:t>o</w:t>
      </w:r>
      <w:r>
        <w:t>n</w:t>
      </w:r>
      <w:r w:rsidR="41AD31AE">
        <w:t xml:space="preserve"> mainland</w:t>
      </w:r>
      <w:r>
        <w:t xml:space="preserve"> Australia</w:t>
      </w:r>
      <w:r w:rsidR="17065BD0">
        <w:t xml:space="preserve">; </w:t>
      </w:r>
      <w:proofErr w:type="spellStart"/>
      <w:r w:rsidR="17065BD0" w:rsidRPr="00A060E9">
        <w:rPr>
          <w:i/>
          <w:iCs/>
        </w:rPr>
        <w:t>Corokia</w:t>
      </w:r>
      <w:proofErr w:type="spellEnd"/>
      <w:r w:rsidR="17065BD0" w:rsidRPr="3857C1C5">
        <w:rPr>
          <w:i/>
          <w:iCs/>
        </w:rPr>
        <w:t xml:space="preserve"> </w:t>
      </w:r>
      <w:proofErr w:type="spellStart"/>
      <w:r w:rsidR="17065BD0" w:rsidRPr="3857C1C5">
        <w:rPr>
          <w:i/>
          <w:iCs/>
        </w:rPr>
        <w:t>carpodetoides</w:t>
      </w:r>
      <w:proofErr w:type="spellEnd"/>
      <w:r w:rsidR="17065BD0" w:rsidRPr="3857C1C5">
        <w:rPr>
          <w:i/>
          <w:iCs/>
        </w:rPr>
        <w:t xml:space="preserve"> </w:t>
      </w:r>
      <w:r w:rsidR="17065BD0" w:rsidRPr="00A060E9">
        <w:t xml:space="preserve">is endemic to Lord </w:t>
      </w:r>
      <w:r w:rsidR="0B41934C" w:rsidRPr="00A060E9">
        <w:t>H</w:t>
      </w:r>
      <w:r w:rsidR="17065BD0" w:rsidRPr="00A060E9">
        <w:t>owe Island</w:t>
      </w:r>
      <w:r>
        <w:t xml:space="preserve">. </w:t>
      </w:r>
      <w:r w:rsidR="00020F55">
        <w:t>There is v</w:t>
      </w:r>
      <w:r w:rsidR="00180FCB">
        <w:t xml:space="preserve">ery little biological or ecological research </w:t>
      </w:r>
      <w:r w:rsidR="00020F55">
        <w:t>on</w:t>
      </w:r>
      <w:r w:rsidR="00180FCB">
        <w:t xml:space="preserve"> the Australian </w:t>
      </w:r>
      <w:proofErr w:type="spellStart"/>
      <w:r w:rsidR="00180FCB" w:rsidRPr="00A060E9">
        <w:rPr>
          <w:i/>
        </w:rPr>
        <w:t>Corokia</w:t>
      </w:r>
      <w:proofErr w:type="spellEnd"/>
      <w:r w:rsidR="00180FCB">
        <w:t>.</w:t>
      </w:r>
    </w:p>
    <w:p w14:paraId="2016592D" w14:textId="3668131B" w:rsidR="00343720" w:rsidRDefault="00343720" w:rsidP="00343720">
      <w:r>
        <w:t xml:space="preserve">At </w:t>
      </w:r>
      <w:r w:rsidR="005E1B19">
        <w:t xml:space="preserve">a maximum of </w:t>
      </w:r>
      <w:r>
        <w:t>four met</w:t>
      </w:r>
      <w:r w:rsidR="00992DB8">
        <w:t>r</w:t>
      </w:r>
      <w:r>
        <w:t xml:space="preserve">es high, it is </w:t>
      </w:r>
      <w:r w:rsidR="00025E12">
        <w:t xml:space="preserve">typically </w:t>
      </w:r>
      <w:r>
        <w:t xml:space="preserve">a </w:t>
      </w:r>
      <w:r w:rsidRPr="00E13A6A">
        <w:t>small</w:t>
      </w:r>
      <w:r w:rsidR="00025E12" w:rsidRPr="00E13A6A">
        <w:t>er (2</w:t>
      </w:r>
      <w:r w:rsidR="00912DF5" w:rsidRPr="00E13A6A">
        <w:t>–3</w:t>
      </w:r>
      <w:r w:rsidR="00025E12" w:rsidRPr="00E13A6A">
        <w:t xml:space="preserve"> m)</w:t>
      </w:r>
      <w:r w:rsidR="00020F55" w:rsidRPr="00E13A6A">
        <w:t>,</w:t>
      </w:r>
      <w:r w:rsidRPr="00E13A6A">
        <w:t xml:space="preserve"> sparsely</w:t>
      </w:r>
      <w:r>
        <w:t xml:space="preserve"> vegetated </w:t>
      </w:r>
      <w:r w:rsidRPr="00E13A6A">
        <w:t>understor</w:t>
      </w:r>
      <w:r w:rsidR="00E13A6A" w:rsidRPr="00A060E9">
        <w:t>e</w:t>
      </w:r>
      <w:r w:rsidRPr="00E13A6A">
        <w:t>y</w:t>
      </w:r>
      <w:r>
        <w:t xml:space="preserve"> shrub. It has low fecundity, producing a small number of fruit during spring and summer, each with only a single seed </w:t>
      </w:r>
      <w:r>
        <w:fldChar w:fldCharType="begin" w:fldLock="1"/>
      </w:r>
      <w:r>
        <w:instrText>ADDIN CSL_CITATION {"citationItems":[{"id":"ITEM-1","itemData":{"abstract":"In effect under the EPBC from 1 Oct 2008 12582. RP not required (in sprat).","author":[{"dropping-particle":"","family":"DEWHA","given":"","non-dropping-particle":"","parse-names":false,"suffix":""}],"id":"ITEM-1","issued":{"date-parts":[["2008"]]},"publisher-place":"Canberra","title":"Approved conservation advice for Corokia whiteana","type":"report"},"uris":["http://www.mendeley.com/documents/?uuid=40dc4490-dbed-42f8-b2c1-f4043f5435c7"]}],"mendeley":{"formattedCitation":"(DEWHA 2008)","plainTextFormattedCitation":"(DEWHA 2008)","previouslyFormattedCitation":"(DEWHA 2008)"},"properties":{"noteIndex":0},"schema":"https://github.com/citation-style-language/schema/raw/master/csl-citation.json"}</w:instrText>
      </w:r>
      <w:r>
        <w:fldChar w:fldCharType="separate"/>
      </w:r>
      <w:r w:rsidRPr="00BA1D9B">
        <w:rPr>
          <w:noProof/>
        </w:rPr>
        <w:t>(DEWHA 2008)</w:t>
      </w:r>
      <w:r>
        <w:fldChar w:fldCharType="end"/>
      </w:r>
      <w:r>
        <w:t xml:space="preserve">. Observations of more than </w:t>
      </w:r>
      <w:r w:rsidR="4B86CA12">
        <w:t xml:space="preserve">approximately </w:t>
      </w:r>
      <w:r>
        <w:t>ten</w:t>
      </w:r>
      <w:r w:rsidR="008B1DB2">
        <w:t xml:space="preserve"> </w:t>
      </w:r>
      <w:proofErr w:type="gramStart"/>
      <w:r>
        <w:t>fruit</w:t>
      </w:r>
      <w:proofErr w:type="gramEnd"/>
      <w:r>
        <w:t xml:space="preserve"> at a time are rare (Justin Mallee </w:t>
      </w:r>
      <w:r w:rsidR="00971C10">
        <w:t>2021. pers</w:t>
      </w:r>
      <w:r>
        <w:t xml:space="preserve"> comm. 27 July). Individuals in ideal conditions (</w:t>
      </w:r>
      <w:proofErr w:type="gramStart"/>
      <w:r>
        <w:t>e.g.</w:t>
      </w:r>
      <w:proofErr w:type="gramEnd"/>
      <w:r>
        <w:t xml:space="preserve"> on creek line</w:t>
      </w:r>
      <w:r w:rsidR="1C570E2C">
        <w:t>s</w:t>
      </w:r>
      <w:r>
        <w:t xml:space="preserve">) may have larger fruit crops of up to 20 fruits, though this is unusual (Robert </w:t>
      </w:r>
      <w:proofErr w:type="spellStart"/>
      <w:r>
        <w:t>Kooyman</w:t>
      </w:r>
      <w:proofErr w:type="spellEnd"/>
      <w:r>
        <w:t xml:space="preserve"> </w:t>
      </w:r>
      <w:r w:rsidR="00971C10">
        <w:t>2021. pers</w:t>
      </w:r>
      <w:r>
        <w:t xml:space="preserve"> comm. 28 July). There are no records or direct observations which may indicate how </w:t>
      </w:r>
      <w:proofErr w:type="spellStart"/>
      <w:r w:rsidR="6327F88F" w:rsidRPr="3857C1C5">
        <w:rPr>
          <w:i/>
          <w:iCs/>
        </w:rPr>
        <w:t>Corokia</w:t>
      </w:r>
      <w:proofErr w:type="spellEnd"/>
      <w:r w:rsidR="6327F88F" w:rsidRPr="3857C1C5">
        <w:rPr>
          <w:i/>
          <w:iCs/>
        </w:rPr>
        <w:t xml:space="preserve"> </w:t>
      </w:r>
      <w:proofErr w:type="spellStart"/>
      <w:r w:rsidR="6327F88F" w:rsidRPr="3857C1C5">
        <w:rPr>
          <w:i/>
          <w:iCs/>
        </w:rPr>
        <w:t>whiteana</w:t>
      </w:r>
      <w:proofErr w:type="spellEnd"/>
      <w:r w:rsidR="6327F88F">
        <w:t xml:space="preserve"> </w:t>
      </w:r>
      <w:r>
        <w:t>is dispersed</w:t>
      </w:r>
      <w:r w:rsidR="00E970AB">
        <w:t>. However,</w:t>
      </w:r>
      <w:r>
        <w:t xml:space="preserve"> the size and colour of the fleshy fruit </w:t>
      </w:r>
      <w:r w:rsidR="00E970AB">
        <w:t>suggest</w:t>
      </w:r>
      <w:r>
        <w:t xml:space="preserve"> that </w:t>
      </w:r>
      <w:r w:rsidR="00E970AB">
        <w:t>birds may take it</w:t>
      </w:r>
      <w:r>
        <w:t xml:space="preserve">, possibly rainforest Columbidae species (Pigeons and Doves), </w:t>
      </w:r>
      <w:proofErr w:type="spellStart"/>
      <w:r w:rsidRPr="004D59C6">
        <w:rPr>
          <w:i/>
          <w:iCs/>
        </w:rPr>
        <w:t>Sphecotheres</w:t>
      </w:r>
      <w:proofErr w:type="spellEnd"/>
      <w:r w:rsidRPr="004D59C6">
        <w:rPr>
          <w:i/>
          <w:iCs/>
        </w:rPr>
        <w:t xml:space="preserve"> </w:t>
      </w:r>
      <w:proofErr w:type="spellStart"/>
      <w:r w:rsidRPr="004D59C6">
        <w:rPr>
          <w:i/>
          <w:iCs/>
        </w:rPr>
        <w:t>viridis</w:t>
      </w:r>
      <w:proofErr w:type="spellEnd"/>
      <w:r>
        <w:t xml:space="preserve"> (Fig Bird) and </w:t>
      </w:r>
      <w:proofErr w:type="spellStart"/>
      <w:r w:rsidRPr="004D59C6">
        <w:rPr>
          <w:i/>
          <w:iCs/>
        </w:rPr>
        <w:t>Ailuroedus</w:t>
      </w:r>
      <w:proofErr w:type="spellEnd"/>
      <w:r w:rsidRPr="004D59C6">
        <w:rPr>
          <w:i/>
          <w:iCs/>
        </w:rPr>
        <w:t xml:space="preserve"> </w:t>
      </w:r>
      <w:proofErr w:type="spellStart"/>
      <w:r w:rsidRPr="004D59C6">
        <w:rPr>
          <w:i/>
          <w:iCs/>
        </w:rPr>
        <w:t>crassirostris</w:t>
      </w:r>
      <w:proofErr w:type="spellEnd"/>
      <w:r>
        <w:t xml:space="preserve"> (Catbird), or similar sized frugivores which occur in the region. </w:t>
      </w:r>
    </w:p>
    <w:p w14:paraId="1467E70C" w14:textId="77777777" w:rsidR="00343720" w:rsidRPr="00553FCE" w:rsidRDefault="00343720" w:rsidP="00343720">
      <w:pPr>
        <w:rPr>
          <w:i/>
          <w:iCs/>
        </w:rPr>
      </w:pPr>
      <w:r w:rsidRPr="00553FCE">
        <w:rPr>
          <w:i/>
          <w:iCs/>
        </w:rPr>
        <w:t>Pollination</w:t>
      </w:r>
    </w:p>
    <w:p w14:paraId="711766B6" w14:textId="2B0AE4BD" w:rsidR="00343720" w:rsidRPr="00A060E9" w:rsidRDefault="4C0AFC34" w:rsidP="00343720">
      <w:pPr>
        <w:rPr>
          <w:i/>
        </w:rPr>
      </w:pPr>
      <w:proofErr w:type="spellStart"/>
      <w:r w:rsidRPr="3857C1C5">
        <w:rPr>
          <w:i/>
          <w:iCs/>
        </w:rPr>
        <w:t>Corokia</w:t>
      </w:r>
      <w:proofErr w:type="spellEnd"/>
      <w:r w:rsidRPr="3857C1C5">
        <w:rPr>
          <w:i/>
          <w:iCs/>
        </w:rPr>
        <w:t xml:space="preserve"> </w:t>
      </w:r>
      <w:proofErr w:type="spellStart"/>
      <w:r w:rsidRPr="3857C1C5">
        <w:rPr>
          <w:i/>
          <w:iCs/>
        </w:rPr>
        <w:t>whiteana</w:t>
      </w:r>
      <w:proofErr w:type="spellEnd"/>
      <w:r w:rsidR="00343720">
        <w:t xml:space="preserve"> flowers in spring and summer</w:t>
      </w:r>
      <w:r w:rsidR="005E1B19">
        <w:t xml:space="preserve"> and has</w:t>
      </w:r>
      <w:r w:rsidR="00343720">
        <w:t xml:space="preserve"> small, fragrant cream-coloured flowers (Quinn et al. 1995). A related species, </w:t>
      </w:r>
      <w:proofErr w:type="spellStart"/>
      <w:r w:rsidR="00343720" w:rsidRPr="005E7D4D">
        <w:rPr>
          <w:i/>
          <w:iCs/>
        </w:rPr>
        <w:t>Corokia</w:t>
      </w:r>
      <w:proofErr w:type="spellEnd"/>
      <w:r w:rsidR="00343720" w:rsidRPr="005E7D4D">
        <w:rPr>
          <w:i/>
          <w:iCs/>
        </w:rPr>
        <w:t xml:space="preserve"> cotoneaster</w:t>
      </w:r>
      <w:r w:rsidR="00E970AB">
        <w:rPr>
          <w:i/>
          <w:iCs/>
        </w:rPr>
        <w:t>,</w:t>
      </w:r>
      <w:r w:rsidR="00343720">
        <w:t xml:space="preserve"> is endemic to New Zealand, has yellow flowers and is self-compatible and pollinated by a wide range of insects, but only a single species of native bee </w:t>
      </w:r>
      <w:r w:rsidR="00343720">
        <w:fldChar w:fldCharType="begin" w:fldLock="1"/>
      </w:r>
      <w:r w:rsidR="00343720">
        <w:instrText>ADDIN CSL_CITATION {"citationItems":[{"id":"ITEM-1","itemData":{"DOI":"10.1080/0028825X.1994.10410481","ISSN":"11758643","abstract":"Corokia cotoneaster (Escalloniaceae) is an evergreen, divaricating shrub endemic to New Zealand. Although it has small, simple, open flowers and is neither dichogamous nor markedly herko-gamous, the pollination system exhibits some specialised features. C. cotoneaster is visited by a wide range of insects, but a single species of native bee appears to be the effective pollinator. In addition, C. cotoneaster is self-incompatible, an unusual condition in the New Zealand flora. It is suggested that the divaricating habit may impose particular constraints on the reproductive biology of this and other species. © 1994 Taylor &amp; Francis Group, LLC.","author":[{"dropping-particle":"","family":"Webb","given":"C. J.","non-dropping-particle":"","parse-names":false,"suffix":""}],"container-title":"New Zealand Journal of Botany","id":"ITEM-1","issue":"3","issued":{"date-parts":[["1994"]]},"page":"385-392","title":"Pollination, self-incompatibility, and fruit production in corokia cotoneaster (escalloniaceae)","type":"article-journal","volume":"32"},"uris":["http://www.mendeley.com/documents/?uuid=9274ef18-2db5-4103-b215-550451a8b5ab"]}],"mendeley":{"formattedCitation":"(Webb 1994)","plainTextFormattedCitation":"(Webb 1994)","previouslyFormattedCitation":"(Webb 1994)"},"properties":{"noteIndex":0},"schema":"https://github.com/citation-style-language/schema/raw/master/csl-citation.json"}</w:instrText>
      </w:r>
      <w:r w:rsidR="00343720">
        <w:fldChar w:fldCharType="separate"/>
      </w:r>
      <w:r w:rsidR="00343720" w:rsidRPr="002F3736">
        <w:rPr>
          <w:noProof/>
        </w:rPr>
        <w:t>(Webb 1994)</w:t>
      </w:r>
      <w:r w:rsidR="00343720">
        <w:fldChar w:fldCharType="end"/>
      </w:r>
      <w:r w:rsidR="00343720">
        <w:t xml:space="preserve">. The fruit of </w:t>
      </w:r>
      <w:r w:rsidR="00343720" w:rsidRPr="00BA1D9B">
        <w:rPr>
          <w:i/>
          <w:iCs/>
        </w:rPr>
        <w:t>C. cotoneaster</w:t>
      </w:r>
      <w:r w:rsidR="00343720">
        <w:t xml:space="preserve"> matures in late summer or autumn and is taken by birds </w:t>
      </w:r>
      <w:r w:rsidR="00343720">
        <w:fldChar w:fldCharType="begin" w:fldLock="1"/>
      </w:r>
      <w:r w:rsidR="00343720">
        <w:instrText>ADDIN CSL_CITATION {"citationItems":[{"id":"ITEM-1","itemData":{"DOI":"10.1080/0028825X.1994.10410481","ISSN":"11758643","abstract":"Corokia cotoneaster (Escalloniaceae) is an evergreen, divaricating shrub endemic to New Zealand. Although it has small, simple, open flowers and is neither dichogamous nor markedly herko-gamous, the pollination system exhibits some specialised features. C. cotoneaster is visited by a wide range of insects, but a single species of native bee appears to be the effective pollinator. In addition, C. cotoneaster is self-incompatible, an unusual condition in the New Zealand flora. It is suggested that the divaricating habit may impose particular constraints on the reproductive biology of this and other species. © 1994 Taylor &amp; Francis Group, LLC.","author":[{"dropping-particle":"","family":"Webb","given":"C. J.","non-dropping-particle":"","parse-names":false,"suffix":""}],"container-title":"New Zealand Journal of Botany","id":"ITEM-1","issue":"3","issued":{"date-parts":[["1994"]]},"page":"385-392","title":"Pollination, self-incompatibility, and fruit production in corokia cotoneaster (escalloniaceae)","type":"article-journal","volume":"32"},"uris":["http://www.mendeley.com/documents/?uuid=9274ef18-2db5-4103-b215-550451a8b5ab"]}],"mendeley":{"formattedCitation":"(Webb 1994)","plainTextFormattedCitation":"(Webb 1994)","previouslyFormattedCitation":"(Webb 1994)"},"properties":{"noteIndex":0},"schema":"https://github.com/citation-style-language/schema/raw/master/csl-citation.json"}</w:instrText>
      </w:r>
      <w:r w:rsidR="00343720">
        <w:fldChar w:fldCharType="separate"/>
      </w:r>
      <w:r w:rsidR="00343720" w:rsidRPr="002F3736">
        <w:rPr>
          <w:noProof/>
        </w:rPr>
        <w:t>(Webb 1994)</w:t>
      </w:r>
      <w:r w:rsidR="00343720">
        <w:fldChar w:fldCharType="end"/>
      </w:r>
      <w:r w:rsidR="00343720">
        <w:t xml:space="preserve">. No observations of pollination or herbivory have been noted for the species in the field (Robert </w:t>
      </w:r>
      <w:proofErr w:type="spellStart"/>
      <w:r w:rsidR="00343720">
        <w:t>Kooyman</w:t>
      </w:r>
      <w:proofErr w:type="spellEnd"/>
      <w:r w:rsidR="00343720">
        <w:t xml:space="preserve">, Andrew </w:t>
      </w:r>
      <w:proofErr w:type="spellStart"/>
      <w:r w:rsidR="00343720">
        <w:t>Benwell</w:t>
      </w:r>
      <w:proofErr w:type="spellEnd"/>
      <w:r w:rsidR="00343720">
        <w:t xml:space="preserve">, Justin Mallee </w:t>
      </w:r>
      <w:r w:rsidR="00971C10">
        <w:t>2021. pers</w:t>
      </w:r>
      <w:r w:rsidR="00343720">
        <w:t xml:space="preserve"> comm 27-28 July). </w:t>
      </w:r>
    </w:p>
    <w:p w14:paraId="29CC4C87" w14:textId="77777777" w:rsidR="00343720" w:rsidRPr="005D106D" w:rsidRDefault="00343720" w:rsidP="00343720">
      <w:pPr>
        <w:rPr>
          <w:i/>
          <w:iCs/>
        </w:rPr>
      </w:pPr>
      <w:r w:rsidRPr="005D106D">
        <w:rPr>
          <w:i/>
          <w:iCs/>
        </w:rPr>
        <w:t>Habitat</w:t>
      </w:r>
    </w:p>
    <w:p w14:paraId="1DA0ACFD" w14:textId="77DDB009" w:rsidR="00343720" w:rsidRDefault="7E86733F" w:rsidP="00343720">
      <w:proofErr w:type="spellStart"/>
      <w:r w:rsidRPr="3857C1C5">
        <w:rPr>
          <w:i/>
          <w:iCs/>
        </w:rPr>
        <w:t>Corokia</w:t>
      </w:r>
      <w:proofErr w:type="spellEnd"/>
      <w:r w:rsidRPr="3857C1C5">
        <w:rPr>
          <w:i/>
          <w:iCs/>
        </w:rPr>
        <w:t xml:space="preserve"> </w:t>
      </w:r>
      <w:proofErr w:type="spellStart"/>
      <w:r w:rsidRPr="3857C1C5">
        <w:rPr>
          <w:i/>
          <w:iCs/>
        </w:rPr>
        <w:t>whiteana</w:t>
      </w:r>
      <w:proofErr w:type="spellEnd"/>
      <w:r w:rsidR="00343720">
        <w:t xml:space="preserve"> grows in subtropical </w:t>
      </w:r>
      <w:r w:rsidR="00D74F06">
        <w:t>(</w:t>
      </w:r>
      <w:r w:rsidR="00343720">
        <w:t>warm temperate</w:t>
      </w:r>
      <w:r w:rsidR="00D74F06">
        <w:t>)</w:t>
      </w:r>
      <w:r w:rsidR="00343720">
        <w:t xml:space="preserve"> rainforests and wet sclerophyll forests with a rainforest </w:t>
      </w:r>
      <w:r w:rsidR="00E13A6A">
        <w:t>understorey</w:t>
      </w:r>
      <w:r w:rsidR="00343720">
        <w:t xml:space="preserve">. </w:t>
      </w:r>
      <w:proofErr w:type="spellStart"/>
      <w:r w:rsidR="08A6E24D" w:rsidRPr="3857C1C5">
        <w:rPr>
          <w:i/>
          <w:iCs/>
        </w:rPr>
        <w:t>Corokia</w:t>
      </w:r>
      <w:proofErr w:type="spellEnd"/>
      <w:r w:rsidR="08A6E24D" w:rsidRPr="3857C1C5">
        <w:rPr>
          <w:i/>
          <w:iCs/>
        </w:rPr>
        <w:t xml:space="preserve"> </w:t>
      </w:r>
      <w:proofErr w:type="spellStart"/>
      <w:r w:rsidR="08A6E24D" w:rsidRPr="3857C1C5">
        <w:rPr>
          <w:i/>
          <w:iCs/>
        </w:rPr>
        <w:t>whiteana</w:t>
      </w:r>
      <w:proofErr w:type="spellEnd"/>
      <w:r w:rsidR="00343720">
        <w:t xml:space="preserve"> occurs between 10–800 m altitude</w:t>
      </w:r>
      <w:r w:rsidR="00180FCB">
        <w:t>, mostly</w:t>
      </w:r>
      <w:r w:rsidR="00343720">
        <w:t xml:space="preserve"> on soils derived from rhyolite, rarely on basalt and quartzite sands (Andrew </w:t>
      </w:r>
      <w:proofErr w:type="spellStart"/>
      <w:r w:rsidR="00343720">
        <w:t>Benwell</w:t>
      </w:r>
      <w:proofErr w:type="spellEnd"/>
      <w:r w:rsidR="00343720">
        <w:t xml:space="preserve"> 2021, pers </w:t>
      </w:r>
      <w:r w:rsidR="00343720">
        <w:lastRenderedPageBreak/>
        <w:t xml:space="preserve">comm 28 July) </w:t>
      </w:r>
      <w:r w:rsidR="00343720">
        <w:fldChar w:fldCharType="begin" w:fldLock="1"/>
      </w:r>
      <w:r w:rsidR="00343720">
        <w:instrText>ADDIN CSL_CITATION {"citationItems":[{"id":"ITEM-1","itemData":{"abstract":"In effect under the EPBC from 1 Oct 2008 12582. RP not required (in sprat).","author":[{"dropping-particle":"","family":"DEWHA","given":"","non-dropping-particle":"","parse-names":false,"suffix":""}],"id":"ITEM-1","issued":{"date-parts":[["2008"]]},"publisher-place":"Canberra","title":"Approved conservation advice for Corokia whiteana","type":"report"},"uris":["http://www.mendeley.com/documents/?uuid=40dc4490-dbed-42f8-b2c1-f4043f5435c7"]},{"id":"ITEM-2","itemData":{"author":[{"dropping-particle":"","family":"Quinn","given":"F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…","id":"ITEM-2","issued":{"date-parts":[["1995"]]},"publisher-place":"Armidale","title":"Report on rare and threatened plants of north-eastern New South Wales","type":"report"},"uris":["http://www.mendeley.com/documents/?uuid=901a8ae7-005e-4e02-a45f-8221872b0c0c"]},{"id":"ITEM-3","itemData":{"author":[{"dropping-particle":"","family":"NSW Government","given":"","non-dropping-particle":"","parse-names":false,"suffix":""}],"id":"ITEM-3","issued":{"date-parts":[["2004"]]},"number-of-pages":"115","title":"NSW Government. Parks and Reserves of the Tweed Caldera Plan of Management. Incorporating National Parks: Mt Warning, Border Ranges, Mebbin, Nightcap, Mt Jerusalem, Goonengerry and Nature Reserves: Limpinwood, Numinbah and Snows Gully.","type":"report"},"uris":["http://www.mendeley.com/documents/?uuid=3c905718-738d-4259-bd14-c790bc40c692"]}],"mendeley":{"formattedCitation":"(Quinn et al. 1995, NSW Government 2004, DEWHA 2008)","plainTextFormattedCitation":"(Quinn et al. 1995, NSW Government 2004, DEWHA 2008)","previouslyFormattedCitation":"(Quinn et al. 1995, NSW Government 2004, DEWHA 2008)"},"properties":{"noteIndex":0},"schema":"https://github.com/citation-style-language/schema/raw/master/csl-citation.json"}</w:instrText>
      </w:r>
      <w:r w:rsidR="00343720">
        <w:fldChar w:fldCharType="separate"/>
      </w:r>
      <w:r w:rsidR="00343720" w:rsidRPr="001901DB">
        <w:rPr>
          <w:noProof/>
        </w:rPr>
        <w:t>(Quinn et al. 1995, NSW Government 2004, DEWHA 2008)</w:t>
      </w:r>
      <w:r w:rsidR="00343720">
        <w:fldChar w:fldCharType="end"/>
      </w:r>
      <w:r w:rsidR="00343720">
        <w:t xml:space="preserve">. The habitats with the </w:t>
      </w:r>
      <w:r w:rsidR="00180FCB">
        <w:t>greatest</w:t>
      </w:r>
      <w:r w:rsidR="00343720">
        <w:t xml:space="preserve"> abundance of </w:t>
      </w:r>
      <w:proofErr w:type="spellStart"/>
      <w:r w:rsidR="05E7DAFE" w:rsidRPr="3857C1C5">
        <w:rPr>
          <w:i/>
          <w:iCs/>
        </w:rPr>
        <w:t>Corokia</w:t>
      </w:r>
      <w:proofErr w:type="spellEnd"/>
      <w:r w:rsidR="05E7DAFE" w:rsidRPr="3857C1C5">
        <w:rPr>
          <w:i/>
          <w:iCs/>
        </w:rPr>
        <w:t xml:space="preserve"> </w:t>
      </w:r>
      <w:proofErr w:type="spellStart"/>
      <w:r w:rsidR="05E7DAFE" w:rsidRPr="3857C1C5">
        <w:rPr>
          <w:i/>
          <w:iCs/>
        </w:rPr>
        <w:t>whiteana</w:t>
      </w:r>
      <w:proofErr w:type="spellEnd"/>
      <w:r w:rsidR="05E7DAFE">
        <w:t xml:space="preserve"> </w:t>
      </w:r>
      <w:r w:rsidR="00343720">
        <w:t xml:space="preserve">are warm temperate </w:t>
      </w:r>
      <w:r w:rsidR="00E970AB">
        <w:t>rainforests</w:t>
      </w:r>
      <w:r w:rsidR="00343720">
        <w:t xml:space="preserve">, specifically in the Nightcap Range. </w:t>
      </w:r>
      <w:proofErr w:type="spellStart"/>
      <w:r w:rsidR="00343720" w:rsidRPr="00A060E9">
        <w:rPr>
          <w:i/>
        </w:rPr>
        <w:t>Corokia</w:t>
      </w:r>
      <w:proofErr w:type="spellEnd"/>
      <w:r w:rsidR="00343720" w:rsidRPr="00A060E9">
        <w:rPr>
          <w:i/>
          <w:iCs/>
        </w:rPr>
        <w:t xml:space="preserve"> </w:t>
      </w:r>
      <w:proofErr w:type="spellStart"/>
      <w:r w:rsidR="04ED09A4" w:rsidRPr="3857C1C5">
        <w:rPr>
          <w:i/>
          <w:iCs/>
        </w:rPr>
        <w:t>whiteana</w:t>
      </w:r>
      <w:proofErr w:type="spellEnd"/>
      <w:r w:rsidR="00343720" w:rsidRPr="00A060E9">
        <w:rPr>
          <w:i/>
        </w:rPr>
        <w:t xml:space="preserve"> </w:t>
      </w:r>
      <w:r w:rsidR="00343720">
        <w:t xml:space="preserve">may disperse into wet sclerophyll </w:t>
      </w:r>
      <w:r w:rsidR="00E970AB">
        <w:t>forests</w:t>
      </w:r>
      <w:r w:rsidR="00343720">
        <w:t xml:space="preserve"> only to decline </w:t>
      </w:r>
      <w:r w:rsidR="3D2B5871">
        <w:t>when</w:t>
      </w:r>
      <w:r w:rsidR="00343720">
        <w:t xml:space="preserve"> these habitats </w:t>
      </w:r>
      <w:r w:rsidR="0DACA43C">
        <w:t xml:space="preserve">are </w:t>
      </w:r>
      <w:r w:rsidR="00343720">
        <w:t>fire</w:t>
      </w:r>
      <w:r w:rsidR="3D83CF31">
        <w:t>-affected,</w:t>
      </w:r>
      <w:r w:rsidR="00E13A6A">
        <w:t xml:space="preserve"> </w:t>
      </w:r>
      <w:r w:rsidR="00E970AB">
        <w:t>recolonis</w:t>
      </w:r>
      <w:r w:rsidR="4FDAE97B">
        <w:t xml:space="preserve">ing </w:t>
      </w:r>
      <w:r w:rsidR="0E3E18EF">
        <w:t>post-</w:t>
      </w:r>
      <w:proofErr w:type="gramStart"/>
      <w:r w:rsidR="0E3E18EF">
        <w:t>fire</w:t>
      </w:r>
      <w:r w:rsidR="3321416B">
        <w:t>(</w:t>
      </w:r>
      <w:proofErr w:type="gramEnd"/>
      <w:r w:rsidR="00343720" w:rsidRPr="00553FCE">
        <w:t xml:space="preserve">Justin Mallee </w:t>
      </w:r>
      <w:r w:rsidR="00971C10">
        <w:t>2021. pers</w:t>
      </w:r>
      <w:r w:rsidR="00343720" w:rsidRPr="00553FCE">
        <w:t xml:space="preserve"> comm. 27 July).</w:t>
      </w:r>
      <w:r w:rsidR="00343720">
        <w:t xml:space="preserve"> </w:t>
      </w:r>
      <w:proofErr w:type="spellStart"/>
      <w:r w:rsidR="59293933" w:rsidRPr="3857C1C5">
        <w:rPr>
          <w:i/>
          <w:iCs/>
        </w:rPr>
        <w:t>Corokia</w:t>
      </w:r>
      <w:proofErr w:type="spellEnd"/>
      <w:r w:rsidR="59293933" w:rsidRPr="3857C1C5">
        <w:rPr>
          <w:i/>
          <w:iCs/>
        </w:rPr>
        <w:t xml:space="preserve"> </w:t>
      </w:r>
      <w:proofErr w:type="spellStart"/>
      <w:r w:rsidR="59293933" w:rsidRPr="3857C1C5">
        <w:rPr>
          <w:i/>
          <w:iCs/>
        </w:rPr>
        <w:t>whiteana</w:t>
      </w:r>
      <w:proofErr w:type="spellEnd"/>
      <w:r w:rsidR="59293933">
        <w:t xml:space="preserve"> </w:t>
      </w:r>
      <w:r w:rsidR="00343720">
        <w:t xml:space="preserve">will often also occur on the boundary between </w:t>
      </w:r>
      <w:r w:rsidR="02310044">
        <w:t xml:space="preserve">rainforest and sclerophyll forests </w:t>
      </w:r>
      <w:r w:rsidR="00343720">
        <w:t xml:space="preserve">(Robert </w:t>
      </w:r>
      <w:proofErr w:type="spellStart"/>
      <w:r w:rsidR="00343720">
        <w:t>Kooyman</w:t>
      </w:r>
      <w:proofErr w:type="spellEnd"/>
      <w:r w:rsidR="00343720">
        <w:t xml:space="preserve"> </w:t>
      </w:r>
      <w:r w:rsidR="00971C10">
        <w:t>2021. pers</w:t>
      </w:r>
      <w:r w:rsidR="00343720">
        <w:t xml:space="preserve"> comm. 28 July). </w:t>
      </w:r>
      <w:proofErr w:type="spellStart"/>
      <w:r w:rsidR="00343720" w:rsidRPr="00A060E9">
        <w:rPr>
          <w:i/>
          <w:iCs/>
        </w:rPr>
        <w:t>Corokia</w:t>
      </w:r>
      <w:proofErr w:type="spellEnd"/>
      <w:r w:rsidR="00E13A6A">
        <w:rPr>
          <w:i/>
          <w:iCs/>
        </w:rPr>
        <w:t xml:space="preserve"> </w:t>
      </w:r>
      <w:proofErr w:type="spellStart"/>
      <w:r w:rsidR="00E13A6A">
        <w:rPr>
          <w:i/>
          <w:iCs/>
        </w:rPr>
        <w:t>whiteana</w:t>
      </w:r>
      <w:proofErr w:type="spellEnd"/>
      <w:r w:rsidR="00343720" w:rsidRPr="00A060E9">
        <w:rPr>
          <w:i/>
          <w:iCs/>
        </w:rPr>
        <w:t xml:space="preserve"> </w:t>
      </w:r>
      <w:r w:rsidR="00343720">
        <w:t>does not form stands</w:t>
      </w:r>
      <w:r w:rsidR="00E13A6A">
        <w:t xml:space="preserve"> </w:t>
      </w:r>
      <w:r w:rsidR="73B4A587">
        <w:t xml:space="preserve">and </w:t>
      </w:r>
      <w:r w:rsidR="00E970AB">
        <w:t>mainly</w:t>
      </w:r>
      <w:r w:rsidR="00343720">
        <w:t xml:space="preserve"> occurs as a sing</w:t>
      </w:r>
      <w:r w:rsidR="00607696">
        <w:t>le</w:t>
      </w:r>
      <w:r w:rsidR="00343720">
        <w:t xml:space="preserve"> </w:t>
      </w:r>
      <w:r w:rsidR="6ECFD025">
        <w:t>individual</w:t>
      </w:r>
      <w:r w:rsidR="00343720">
        <w:t xml:space="preserve"> or a sparsely arranged cluster of a few individuals at a site </w:t>
      </w:r>
      <w:r w:rsidR="00343720" w:rsidRPr="00553FCE">
        <w:t>(</w:t>
      </w:r>
      <w:r w:rsidR="00D74F06">
        <w:t xml:space="preserve">Quinn et al. 1995; </w:t>
      </w:r>
      <w:r w:rsidR="00343720" w:rsidRPr="00553FCE">
        <w:t xml:space="preserve">Justin Mallee </w:t>
      </w:r>
      <w:r w:rsidR="00971C10">
        <w:t>2021. pers</w:t>
      </w:r>
      <w:r w:rsidR="00343720" w:rsidRPr="00553FCE">
        <w:t xml:space="preserve"> comm. 27 July</w:t>
      </w:r>
      <w:r w:rsidR="00343720">
        <w:t xml:space="preserve">, Sally Cooper </w:t>
      </w:r>
      <w:r w:rsidR="00971C10">
        <w:t>2021. pers</w:t>
      </w:r>
      <w:r w:rsidR="00343720">
        <w:t xml:space="preserve"> comm. 3 Aug;)</w:t>
      </w:r>
      <w:r w:rsidR="1D70C5D6">
        <w:t>.</w:t>
      </w:r>
      <w:r w:rsidR="1D1C8EF1">
        <w:t>T</w:t>
      </w:r>
      <w:r w:rsidR="002B5023">
        <w:t xml:space="preserve">he maximum </w:t>
      </w:r>
      <w:r w:rsidR="52C2FF4D">
        <w:t xml:space="preserve">number of individuals </w:t>
      </w:r>
      <w:r w:rsidR="002B5023">
        <w:t xml:space="preserve">observed </w:t>
      </w:r>
      <w:r w:rsidR="5289D85C">
        <w:t xml:space="preserve">in one cluster was </w:t>
      </w:r>
      <w:r w:rsidR="002B5023">
        <w:t xml:space="preserve">18 (Sally Cooper </w:t>
      </w:r>
      <w:r w:rsidR="00971C10">
        <w:t>2021. pers</w:t>
      </w:r>
      <w:r w:rsidR="002B5023">
        <w:t xml:space="preserve"> comm. 3 Aug). </w:t>
      </w:r>
    </w:p>
    <w:p w14:paraId="38192680" w14:textId="27A4C1B3" w:rsidR="00343720" w:rsidRDefault="00343720" w:rsidP="00343720">
      <w:r>
        <w:t xml:space="preserve">In warm-temperate rainforests, </w:t>
      </w:r>
      <w:proofErr w:type="spellStart"/>
      <w:r w:rsidR="7C9C134F" w:rsidRPr="3857C1C5">
        <w:rPr>
          <w:i/>
          <w:iCs/>
        </w:rPr>
        <w:t>Corokia</w:t>
      </w:r>
      <w:proofErr w:type="spellEnd"/>
      <w:r w:rsidR="7C9C134F" w:rsidRPr="3857C1C5">
        <w:rPr>
          <w:i/>
          <w:iCs/>
        </w:rPr>
        <w:t xml:space="preserve"> </w:t>
      </w:r>
      <w:proofErr w:type="spellStart"/>
      <w:r w:rsidR="7C9C134F" w:rsidRPr="3857C1C5">
        <w:rPr>
          <w:i/>
          <w:iCs/>
        </w:rPr>
        <w:t>whiteana</w:t>
      </w:r>
      <w:proofErr w:type="spellEnd"/>
      <w:r w:rsidR="7C9C134F">
        <w:t xml:space="preserve"> </w:t>
      </w:r>
      <w:r>
        <w:t xml:space="preserve">may co-occur with </w:t>
      </w:r>
      <w:proofErr w:type="spellStart"/>
      <w:r w:rsidRPr="00630ADE">
        <w:rPr>
          <w:i/>
          <w:iCs/>
        </w:rPr>
        <w:t>Doryphora</w:t>
      </w:r>
      <w:proofErr w:type="spellEnd"/>
      <w:r w:rsidRPr="00630ADE">
        <w:rPr>
          <w:i/>
          <w:iCs/>
        </w:rPr>
        <w:t xml:space="preserve"> sassafras</w:t>
      </w:r>
      <w:r>
        <w:t xml:space="preserve"> (</w:t>
      </w:r>
      <w:r w:rsidR="00BD0ED2">
        <w:t>s</w:t>
      </w:r>
      <w:r>
        <w:t xml:space="preserve">assafras), </w:t>
      </w:r>
      <w:proofErr w:type="spellStart"/>
      <w:r w:rsidRPr="003E4033">
        <w:rPr>
          <w:i/>
          <w:iCs/>
        </w:rPr>
        <w:t>Ceratopetalum</w:t>
      </w:r>
      <w:proofErr w:type="spellEnd"/>
      <w:r w:rsidRPr="003E4033">
        <w:rPr>
          <w:i/>
          <w:iCs/>
        </w:rPr>
        <w:t xml:space="preserve"> </w:t>
      </w:r>
      <w:proofErr w:type="spellStart"/>
      <w:r w:rsidRPr="003E4033">
        <w:rPr>
          <w:i/>
          <w:iCs/>
        </w:rPr>
        <w:t>apetalum</w:t>
      </w:r>
      <w:proofErr w:type="spellEnd"/>
      <w:r>
        <w:t xml:space="preserve"> (</w:t>
      </w:r>
      <w:r w:rsidR="00BD0ED2">
        <w:t>c</w:t>
      </w:r>
      <w:r>
        <w:t xml:space="preserve">oachwood) and </w:t>
      </w:r>
      <w:proofErr w:type="spellStart"/>
      <w:r w:rsidRPr="00630ADE">
        <w:rPr>
          <w:i/>
          <w:iCs/>
        </w:rPr>
        <w:t>Schizomeria</w:t>
      </w:r>
      <w:proofErr w:type="spellEnd"/>
      <w:r w:rsidRPr="00630ADE">
        <w:rPr>
          <w:i/>
          <w:iCs/>
        </w:rPr>
        <w:t xml:space="preserve"> ovata</w:t>
      </w:r>
      <w:r>
        <w:t xml:space="preserve"> (</w:t>
      </w:r>
      <w:proofErr w:type="spellStart"/>
      <w:r w:rsidR="00BD0ED2">
        <w:t>c</w:t>
      </w:r>
      <w:r>
        <w:t>rabapple</w:t>
      </w:r>
      <w:proofErr w:type="spellEnd"/>
      <w:r>
        <w:t xml:space="preserve">). In these habitats, it may also co-occur with </w:t>
      </w:r>
      <w:r w:rsidR="7EFC6C47">
        <w:t xml:space="preserve">other </w:t>
      </w:r>
      <w:r>
        <w:t>threatened plant species</w:t>
      </w:r>
      <w:r w:rsidR="4757A4C3">
        <w:t xml:space="preserve"> such as</w:t>
      </w:r>
      <w:r>
        <w:t xml:space="preserve"> </w:t>
      </w:r>
      <w:proofErr w:type="spellStart"/>
      <w:r w:rsidRPr="00630ADE">
        <w:rPr>
          <w:i/>
          <w:iCs/>
        </w:rPr>
        <w:t>Endiandra</w:t>
      </w:r>
      <w:proofErr w:type="spellEnd"/>
      <w:r w:rsidRPr="00630ADE">
        <w:rPr>
          <w:i/>
          <w:iCs/>
        </w:rPr>
        <w:t xml:space="preserve"> </w:t>
      </w:r>
      <w:proofErr w:type="spellStart"/>
      <w:r w:rsidRPr="00630ADE">
        <w:rPr>
          <w:i/>
          <w:iCs/>
        </w:rPr>
        <w:t>hayesii</w:t>
      </w:r>
      <w:proofErr w:type="spellEnd"/>
      <w:r>
        <w:t xml:space="preserve"> (</w:t>
      </w:r>
      <w:r w:rsidR="00BD0ED2">
        <w:t>r</w:t>
      </w:r>
      <w:r>
        <w:t xml:space="preserve">usty </w:t>
      </w:r>
      <w:r w:rsidR="00BD0ED2">
        <w:t>r</w:t>
      </w:r>
      <w:r>
        <w:t xml:space="preserve">ose </w:t>
      </w:r>
      <w:r w:rsidR="00BD0ED2">
        <w:t>w</w:t>
      </w:r>
      <w:r>
        <w:t xml:space="preserve">alnut), </w:t>
      </w:r>
      <w:proofErr w:type="spellStart"/>
      <w:r w:rsidRPr="00630ADE">
        <w:rPr>
          <w:i/>
          <w:iCs/>
        </w:rPr>
        <w:t>Symplocos</w:t>
      </w:r>
      <w:proofErr w:type="spellEnd"/>
      <w:r w:rsidRPr="00630ADE">
        <w:rPr>
          <w:i/>
          <w:iCs/>
        </w:rPr>
        <w:t xml:space="preserve"> </w:t>
      </w:r>
      <w:proofErr w:type="spellStart"/>
      <w:r w:rsidRPr="00630ADE">
        <w:rPr>
          <w:i/>
          <w:iCs/>
        </w:rPr>
        <w:t>baeuerleni</w:t>
      </w:r>
      <w:proofErr w:type="spellEnd"/>
      <w:r>
        <w:t xml:space="preserve"> (</w:t>
      </w:r>
      <w:r w:rsidR="00BD0ED2">
        <w:t>s</w:t>
      </w:r>
      <w:r>
        <w:t xml:space="preserve">mall-leaved </w:t>
      </w:r>
      <w:r w:rsidR="00BD0ED2">
        <w:t>h</w:t>
      </w:r>
      <w:r>
        <w:t xml:space="preserve">azelwood), </w:t>
      </w:r>
      <w:proofErr w:type="spellStart"/>
      <w:r w:rsidRPr="00630ADE">
        <w:rPr>
          <w:i/>
          <w:iCs/>
        </w:rPr>
        <w:t>Uromyrtus</w:t>
      </w:r>
      <w:proofErr w:type="spellEnd"/>
      <w:r w:rsidRPr="00630ADE">
        <w:rPr>
          <w:i/>
          <w:iCs/>
        </w:rPr>
        <w:t xml:space="preserve"> australis</w:t>
      </w:r>
      <w:r>
        <w:t xml:space="preserve"> (</w:t>
      </w:r>
      <w:r w:rsidR="00BD0ED2">
        <w:t>p</w:t>
      </w:r>
      <w:r>
        <w:t xml:space="preserve">each </w:t>
      </w:r>
      <w:r w:rsidR="00BD0ED2">
        <w:t>m</w:t>
      </w:r>
      <w:r>
        <w:t xml:space="preserve">yrtle) as well as </w:t>
      </w:r>
      <w:proofErr w:type="spellStart"/>
      <w:r w:rsidRPr="00630ADE">
        <w:rPr>
          <w:i/>
          <w:iCs/>
        </w:rPr>
        <w:t>Eidothea</w:t>
      </w:r>
      <w:proofErr w:type="spellEnd"/>
      <w:r w:rsidRPr="00630ADE">
        <w:rPr>
          <w:i/>
          <w:iCs/>
        </w:rPr>
        <w:t xml:space="preserve"> </w:t>
      </w:r>
      <w:proofErr w:type="spellStart"/>
      <w:r w:rsidR="00BD0ED2" w:rsidRPr="00A060E9">
        <w:rPr>
          <w:i/>
          <w:iCs/>
        </w:rPr>
        <w:t>hardeniana</w:t>
      </w:r>
      <w:proofErr w:type="spellEnd"/>
      <w:r>
        <w:t xml:space="preserve"> (Nightcap </w:t>
      </w:r>
      <w:r w:rsidR="00BD0ED2">
        <w:t>o</w:t>
      </w:r>
      <w:r>
        <w:t xml:space="preserve">ak) and </w:t>
      </w:r>
      <w:r w:rsidRPr="00630ADE">
        <w:rPr>
          <w:i/>
          <w:iCs/>
        </w:rPr>
        <w:t>El</w:t>
      </w:r>
      <w:r w:rsidR="00BD0ED2">
        <w:rPr>
          <w:i/>
          <w:iCs/>
        </w:rPr>
        <w:t>a</w:t>
      </w:r>
      <w:r w:rsidRPr="00630ADE">
        <w:rPr>
          <w:i/>
          <w:iCs/>
        </w:rPr>
        <w:t xml:space="preserve">eocarpus </w:t>
      </w:r>
      <w:r w:rsidR="00BD0ED2" w:rsidRPr="00A060E9">
        <w:t>species</w:t>
      </w:r>
      <w:r>
        <w:t>(</w:t>
      </w:r>
      <w:proofErr w:type="spellStart"/>
      <w:r w:rsidR="00BD0ED2">
        <w:t>q</w:t>
      </w:r>
      <w:r>
        <w:t>uondong</w:t>
      </w:r>
      <w:proofErr w:type="spellEnd"/>
      <w:r>
        <w:t xml:space="preserve">) in the Nightcap National Park </w:t>
      </w:r>
      <w:r>
        <w:fldChar w:fldCharType="begin" w:fldLock="1"/>
      </w:r>
      <w:r>
        <w:instrText>ADDIN CSL_CITATION {"citationItems":[{"id":"ITEM-1","itemData":{"author":[{"dropping-particle":"","family":"NSW Government","given":"","non-dropping-particle":"","parse-names":false,"suffix":""}],"id":"ITEM-1","issued":{"date-parts":[["2004"]]},"number-of-pages":"115","title":"NSW Government. Parks and Reserves of the Tweed Caldera Plan of Management. Incorporating National Parks: Mt Warning, Border Ranges, Mebbin, Nightcap, Mt Jerusalem, Goonengerry and Nature Reserves: Limpinwood, Numinbah and Snows Gully.","type":"report"},"uris":["http://www.mendeley.com/documents/?uuid=3c905718-738d-4259-bd14-c790bc40c692"]}],"mendeley":{"formattedCitation":"(NSW Government 2004)","plainTextFormattedCitation":"(NSW Government 2004)","previouslyFormattedCitation":"(NSW Government 2004)"},"properties":{"noteIndex":0},"schema":"https://github.com/citation-style-language/schema/raw/master/csl-citation.json"}</w:instrText>
      </w:r>
      <w:r>
        <w:fldChar w:fldCharType="separate"/>
      </w:r>
      <w:r w:rsidRPr="009B48C0">
        <w:rPr>
          <w:noProof/>
        </w:rPr>
        <w:t>(NSW Government 2004)</w:t>
      </w:r>
      <w:r>
        <w:fldChar w:fldCharType="end"/>
      </w:r>
      <w:r>
        <w:t xml:space="preserve">. In open forest with littoral rainforest understories, </w:t>
      </w:r>
      <w:proofErr w:type="spellStart"/>
      <w:r w:rsidR="0ACA8404" w:rsidRPr="3857C1C5">
        <w:rPr>
          <w:i/>
          <w:iCs/>
        </w:rPr>
        <w:t>Corokia</w:t>
      </w:r>
      <w:proofErr w:type="spellEnd"/>
      <w:r w:rsidR="0ACA8404" w:rsidRPr="3857C1C5">
        <w:rPr>
          <w:i/>
          <w:iCs/>
        </w:rPr>
        <w:t xml:space="preserve"> </w:t>
      </w:r>
      <w:proofErr w:type="spellStart"/>
      <w:r w:rsidR="0ACA8404" w:rsidRPr="3857C1C5">
        <w:rPr>
          <w:i/>
          <w:iCs/>
        </w:rPr>
        <w:t>whiteana</w:t>
      </w:r>
      <w:proofErr w:type="spellEnd"/>
      <w:r>
        <w:t xml:space="preserve"> may co-occur with </w:t>
      </w:r>
      <w:proofErr w:type="spellStart"/>
      <w:r w:rsidRPr="003E4033">
        <w:rPr>
          <w:i/>
          <w:iCs/>
        </w:rPr>
        <w:t>Lophostemon</w:t>
      </w:r>
      <w:proofErr w:type="spellEnd"/>
      <w:r w:rsidRPr="003E4033">
        <w:rPr>
          <w:i/>
          <w:iCs/>
        </w:rPr>
        <w:t xml:space="preserve"> </w:t>
      </w:r>
      <w:proofErr w:type="spellStart"/>
      <w:r w:rsidRPr="003E4033">
        <w:rPr>
          <w:i/>
          <w:iCs/>
        </w:rPr>
        <w:t>confertus</w:t>
      </w:r>
      <w:proofErr w:type="spellEnd"/>
      <w:r>
        <w:t xml:space="preserve"> (</w:t>
      </w:r>
      <w:r w:rsidR="00BD0ED2">
        <w:t>b</w:t>
      </w:r>
      <w:r>
        <w:t xml:space="preserve">rush </w:t>
      </w:r>
      <w:r w:rsidR="00BD0ED2">
        <w:t>b</w:t>
      </w:r>
      <w:r>
        <w:t xml:space="preserve">ox), </w:t>
      </w:r>
      <w:proofErr w:type="spellStart"/>
      <w:r w:rsidRPr="00B67813">
        <w:rPr>
          <w:i/>
          <w:iCs/>
        </w:rPr>
        <w:t>Callicoma</w:t>
      </w:r>
      <w:proofErr w:type="spellEnd"/>
      <w:r w:rsidRPr="00B67813">
        <w:rPr>
          <w:i/>
          <w:iCs/>
        </w:rPr>
        <w:t xml:space="preserve"> </w:t>
      </w:r>
      <w:proofErr w:type="spellStart"/>
      <w:r w:rsidRPr="00B67813">
        <w:rPr>
          <w:i/>
          <w:iCs/>
        </w:rPr>
        <w:t>serr</w:t>
      </w:r>
      <w:r>
        <w:t>atifolia</w:t>
      </w:r>
      <w:proofErr w:type="spellEnd"/>
      <w:r>
        <w:t xml:space="preserve"> (</w:t>
      </w:r>
      <w:r w:rsidR="00BD0ED2">
        <w:t>b</w:t>
      </w:r>
      <w:r>
        <w:t xml:space="preserve">lack </w:t>
      </w:r>
      <w:r w:rsidR="00BD0ED2">
        <w:t>w</w:t>
      </w:r>
      <w:r>
        <w:t xml:space="preserve">attle) and </w:t>
      </w:r>
      <w:proofErr w:type="spellStart"/>
      <w:r w:rsidRPr="00B67813">
        <w:rPr>
          <w:i/>
          <w:iCs/>
        </w:rPr>
        <w:t>Tristaniopsis</w:t>
      </w:r>
      <w:proofErr w:type="spellEnd"/>
      <w:r w:rsidRPr="00B67813">
        <w:rPr>
          <w:i/>
          <w:iCs/>
        </w:rPr>
        <w:t xml:space="preserve"> </w:t>
      </w:r>
      <w:proofErr w:type="spellStart"/>
      <w:r w:rsidRPr="00B67813">
        <w:rPr>
          <w:i/>
          <w:iCs/>
        </w:rPr>
        <w:t>collina</w:t>
      </w:r>
      <w:proofErr w:type="spellEnd"/>
      <w:r>
        <w:t xml:space="preserve"> (</w:t>
      </w:r>
      <w:r w:rsidR="00BD0ED2">
        <w:t>m</w:t>
      </w:r>
      <w:r>
        <w:t xml:space="preserve">ountain </w:t>
      </w:r>
      <w:r w:rsidR="00BD0ED2">
        <w:t>w</w:t>
      </w:r>
      <w:r>
        <w:t xml:space="preserve">ater </w:t>
      </w:r>
      <w:r w:rsidR="00BD0ED2">
        <w:t>g</w:t>
      </w:r>
      <w:r>
        <w:t>um)</w:t>
      </w:r>
      <w:r w:rsidRPr="00EF197D">
        <w:t xml:space="preserve"> </w:t>
      </w:r>
      <w:r>
        <w:fldChar w:fldCharType="begin" w:fldLock="1"/>
      </w:r>
      <w:r>
        <w:instrText>ADDIN CSL_CITATION {"citationItems":[{"id":"ITEM-1","itemData":{"abstract":"In effect under the EPBC from 1 Oct 2008 12582. RP not required (in sprat).","author":[{"dropping-particle":"","family":"DEWHA","given":"","non-dropping-particle":"","parse-names":false,"suffix":""}],"id":"ITEM-1","issued":{"date-parts":[["2008"]]},"publisher-place":"Canberra","title":"Approved conservation advice for Corokia whiteana","type":"report"},"uris":["http://www.mendeley.com/documents/?uuid=40dc4490-dbed-42f8-b2c1-f4043f5435c7"]},{"id":"ITEM-2","itemData":{"author":[{"dropping-particle":"","family":"Quinn","given":"F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…","id":"ITEM-2","issued":{"date-parts":[["1995"]]},"publisher-place":"Armidale","title":"Report on rare and threatened plants of north-eastern New South Wales","type":"report"},"uris":["http://www.mendeley.com/documents/?uuid=901a8ae7-005e-4e02-a45f-8221872b0c0c"]},{"id":"ITEM-3","itemData":{"author":[{"dropping-particle":"","family":"NSW Government","given":"","non-dropping-particle":"","parse-names":false,"suffix":""}],"id":"ITEM-3","issued":{"date-parts":[["2004"]]},"number-of-pages":"115","title":"NSW Government. Parks and Reserves of the Tweed Caldera Plan of Management. Incorporating National Parks: Mt Warning, Border Ranges, Mebbin, Nightcap, Mt Jerusalem, Goonengerry and Nature Reserves: Limpinwood, Numinbah and Snows Gully.","type":"report"},"uris":["http://www.mendeley.com/documents/?uuid=3c905718-738d-4259-bd14-c790bc40c692"]}],"mendeley":{"formattedCitation":"(Quinn et al. 1995, NSW Government 2004, DEWHA 2008)","plainTextFormattedCitation":"(Quinn et al. 1995, NSW Government 2004, DEWHA 2008)","previouslyFormattedCitation":"(Quinn et al. 1995, NSW Government 2004, DEWHA 2008)"},"properties":{"noteIndex":0},"schema":"https://github.com/citation-style-language/schema/raw/master/csl-citation.json"}</w:instrText>
      </w:r>
      <w:r>
        <w:fldChar w:fldCharType="separate"/>
      </w:r>
      <w:r w:rsidRPr="001901DB">
        <w:rPr>
          <w:noProof/>
        </w:rPr>
        <w:t>(Quinn et al. 1995, NSW Government 2004, DEWHA 2008)</w:t>
      </w:r>
      <w:r>
        <w:fldChar w:fldCharType="end"/>
      </w:r>
      <w:r>
        <w:t xml:space="preserve">. </w:t>
      </w:r>
    </w:p>
    <w:p w14:paraId="37E6C601" w14:textId="11A85F21" w:rsidR="00343720" w:rsidRDefault="00343720" w:rsidP="00343720">
      <w:r>
        <w:t xml:space="preserve">The most northern </w:t>
      </w:r>
      <w:r w:rsidR="006B0802">
        <w:t xml:space="preserve">current </w:t>
      </w:r>
      <w:r>
        <w:t xml:space="preserve">occurrence </w:t>
      </w:r>
      <w:r w:rsidR="00CB3BC1">
        <w:t>of</w:t>
      </w:r>
      <w:r>
        <w:t xml:space="preserve"> </w:t>
      </w:r>
      <w:proofErr w:type="spellStart"/>
      <w:r w:rsidR="6A1CF69C" w:rsidRPr="3857C1C5">
        <w:rPr>
          <w:i/>
          <w:iCs/>
        </w:rPr>
        <w:t>Corokia</w:t>
      </w:r>
      <w:proofErr w:type="spellEnd"/>
      <w:r w:rsidR="6A1CF69C" w:rsidRPr="3857C1C5">
        <w:rPr>
          <w:i/>
          <w:iCs/>
        </w:rPr>
        <w:t xml:space="preserve"> </w:t>
      </w:r>
      <w:proofErr w:type="spellStart"/>
      <w:r w:rsidR="6A1CF69C" w:rsidRPr="3857C1C5">
        <w:rPr>
          <w:i/>
          <w:iCs/>
        </w:rPr>
        <w:t>whiteana</w:t>
      </w:r>
      <w:proofErr w:type="spellEnd"/>
      <w:r w:rsidR="6A1CF69C">
        <w:t xml:space="preserve"> </w:t>
      </w:r>
      <w:r>
        <w:t xml:space="preserve">is </w:t>
      </w:r>
      <w:r w:rsidR="00AD0E20">
        <w:t xml:space="preserve">in the floristically diverse lowland rainforest known as </w:t>
      </w:r>
      <w:proofErr w:type="spellStart"/>
      <w:r w:rsidR="00AD0E20">
        <w:t>Duroby</w:t>
      </w:r>
      <w:proofErr w:type="spellEnd"/>
      <w:r w:rsidR="00AD0E20">
        <w:t xml:space="preserve"> Nature Reserve (north of </w:t>
      </w:r>
      <w:r>
        <w:t>Tumbulgum</w:t>
      </w:r>
      <w:r w:rsidR="00B153C6">
        <w:t>; NSW Government 2010b</w:t>
      </w:r>
      <w:r w:rsidR="00AD0E20">
        <w:t xml:space="preserve">) with other </w:t>
      </w:r>
      <w:r w:rsidR="11C96AF8">
        <w:t>occurrences recorded</w:t>
      </w:r>
      <w:r w:rsidR="00AD0E20">
        <w:t xml:space="preserve"> at</w:t>
      </w:r>
      <w:r>
        <w:t xml:space="preserve"> </w:t>
      </w:r>
      <w:proofErr w:type="spellStart"/>
      <w:r>
        <w:t>Nullum</w:t>
      </w:r>
      <w:proofErr w:type="spellEnd"/>
      <w:r>
        <w:t xml:space="preserve"> State Forest and Uki (Sheringham &amp; Westaway 1995 cited in </w:t>
      </w:r>
      <w:r>
        <w:fldChar w:fldCharType="begin" w:fldLock="1"/>
      </w:r>
      <w:r>
        <w:instrText>ADDIN CSL_CITATION {"citationItems":[{"id":"ITEM-1","itemData":{"author":[{"dropping-particle":"","family":"Kingston","given":"MB","non-dropping-particle":"","parse-names":false,"suffix":""},{"dropping-particle":"","family":"Turnbull","given":"JW","non-dropping-particle":"","parse-names":false,"suffix":""},{"dropping-particle":"","family":"Hall","given":"PW","non-dropping-particle":"","parse-names":false,"suffix":""}],"id":"ITEM-1","issued":{"date-parts":[["2004"]]},"number-of-pages":"148","publisher-place":"Murwillumbah","title":"Tweed Vegetation Management Strategy","type":"report"},"uris":["http://www.mendeley.com/documents/?uuid=5cf59d2f-a669-4b53-bf64-4f4384f34ccc"]}],"mendeley":{"formattedCitation":"(Kingston et al. 2004)","plainTextFormattedCitation":"(Kingston et al. 2004)","previouslyFormattedCitation":"(Kingston et al. 2004)"},"properties":{"noteIndex":0},"schema":"https://github.com/citation-style-language/schema/raw/master/csl-citation.json"}</w:instrText>
      </w:r>
      <w:r>
        <w:fldChar w:fldCharType="separate"/>
      </w:r>
      <w:r w:rsidRPr="005E1712">
        <w:rPr>
          <w:noProof/>
        </w:rPr>
        <w:t>(Kingston et al. 2004)</w:t>
      </w:r>
      <w:r>
        <w:fldChar w:fldCharType="end"/>
      </w:r>
      <w:r>
        <w:t xml:space="preserve">. </w:t>
      </w:r>
      <w:r w:rsidR="006B0802">
        <w:t>Land use surrounding these areas has been modified for grazing and agriculture (NSW Government 2010b) and so it</w:t>
      </w:r>
      <w:r w:rsidR="00426129">
        <w:t xml:space="preserve"> i</w:t>
      </w:r>
      <w:r w:rsidR="006B0802">
        <w:t xml:space="preserve">s likely that historical records of </w:t>
      </w:r>
      <w:proofErr w:type="spellStart"/>
      <w:r w:rsidR="006B0802" w:rsidRPr="00A060E9">
        <w:rPr>
          <w:i/>
          <w:iCs/>
        </w:rPr>
        <w:t>Corokia</w:t>
      </w:r>
      <w:proofErr w:type="spellEnd"/>
      <w:r w:rsidR="006B0802" w:rsidRPr="00A060E9">
        <w:rPr>
          <w:i/>
          <w:iCs/>
        </w:rPr>
        <w:t xml:space="preserve"> </w:t>
      </w:r>
      <w:proofErr w:type="spellStart"/>
      <w:r w:rsidR="006B0802" w:rsidRPr="00A060E9">
        <w:rPr>
          <w:i/>
          <w:iCs/>
        </w:rPr>
        <w:t>whiteana</w:t>
      </w:r>
      <w:proofErr w:type="spellEnd"/>
      <w:r w:rsidR="006B0802">
        <w:t xml:space="preserve"> in areas surrounding </w:t>
      </w:r>
      <w:proofErr w:type="spellStart"/>
      <w:r w:rsidR="006B0802">
        <w:t>Duroby</w:t>
      </w:r>
      <w:proofErr w:type="spellEnd"/>
      <w:r w:rsidR="006B0802">
        <w:t xml:space="preserve"> reserve (</w:t>
      </w:r>
      <w:r w:rsidR="00E34AF8">
        <w:t>ALA 2021</w:t>
      </w:r>
      <w:r w:rsidR="006B0802">
        <w:t xml:space="preserve">) have been since cleared. </w:t>
      </w:r>
      <w:r>
        <w:t>During 2016</w:t>
      </w:r>
      <w:r w:rsidRPr="005370E1">
        <w:rPr>
          <w:color w:val="FF0000"/>
        </w:rPr>
        <w:t xml:space="preserve"> </w:t>
      </w:r>
      <w:r>
        <w:t>vegetation surveys around Clarrie Hall Dam (</w:t>
      </w:r>
      <w:r w:rsidR="00571C6E">
        <w:t>north-west</w:t>
      </w:r>
      <w:r>
        <w:t xml:space="preserve"> of Mount Jerusalem National Park), clusters of </w:t>
      </w:r>
      <w:proofErr w:type="spellStart"/>
      <w:r w:rsidR="742A2B92" w:rsidRPr="3857C1C5">
        <w:rPr>
          <w:i/>
          <w:iCs/>
        </w:rPr>
        <w:t>Corokia</w:t>
      </w:r>
      <w:proofErr w:type="spellEnd"/>
      <w:r w:rsidR="742A2B92" w:rsidRPr="3857C1C5">
        <w:rPr>
          <w:i/>
          <w:iCs/>
        </w:rPr>
        <w:t xml:space="preserve"> </w:t>
      </w:r>
      <w:proofErr w:type="spellStart"/>
      <w:r w:rsidR="742A2B92" w:rsidRPr="3857C1C5">
        <w:rPr>
          <w:i/>
          <w:iCs/>
        </w:rPr>
        <w:t>whiteana</w:t>
      </w:r>
      <w:proofErr w:type="spellEnd"/>
      <w:r w:rsidR="742A2B92">
        <w:t xml:space="preserve"> </w:t>
      </w:r>
      <w:r w:rsidR="00CB3BC1">
        <w:t>occurred</w:t>
      </w:r>
      <w:r>
        <w:t xml:space="preserve"> in the ecotone between gully rainforest and upslope wet sclerophyll. Here, </w:t>
      </w:r>
      <w:proofErr w:type="spellStart"/>
      <w:r w:rsidR="64D2E2EA" w:rsidRPr="3857C1C5">
        <w:rPr>
          <w:i/>
          <w:iCs/>
        </w:rPr>
        <w:t>Corokia</w:t>
      </w:r>
      <w:proofErr w:type="spellEnd"/>
      <w:r w:rsidR="64D2E2EA" w:rsidRPr="3857C1C5">
        <w:rPr>
          <w:i/>
          <w:iCs/>
        </w:rPr>
        <w:t xml:space="preserve"> </w:t>
      </w:r>
      <w:proofErr w:type="spellStart"/>
      <w:r w:rsidR="64D2E2EA" w:rsidRPr="3857C1C5">
        <w:rPr>
          <w:i/>
          <w:iCs/>
        </w:rPr>
        <w:t>whiteana</w:t>
      </w:r>
      <w:proofErr w:type="spellEnd"/>
      <w:r>
        <w:t xml:space="preserve"> co-occurred with </w:t>
      </w:r>
      <w:r w:rsidRPr="00AA4BEE">
        <w:rPr>
          <w:i/>
          <w:iCs/>
        </w:rPr>
        <w:t xml:space="preserve">Eucalyptus grandis </w:t>
      </w:r>
      <w:r>
        <w:t>(</w:t>
      </w:r>
      <w:r w:rsidR="00516DFB">
        <w:t>f</w:t>
      </w:r>
      <w:r>
        <w:t xml:space="preserve">looded </w:t>
      </w:r>
      <w:r w:rsidR="00516DFB">
        <w:t>g</w:t>
      </w:r>
      <w:r>
        <w:t xml:space="preserve">um), </w:t>
      </w:r>
      <w:proofErr w:type="spellStart"/>
      <w:r w:rsidRPr="00AA4BEE">
        <w:rPr>
          <w:i/>
          <w:iCs/>
        </w:rPr>
        <w:t>Corymbia</w:t>
      </w:r>
      <w:proofErr w:type="spellEnd"/>
      <w:r w:rsidRPr="00AA4BEE">
        <w:rPr>
          <w:i/>
          <w:iCs/>
        </w:rPr>
        <w:t xml:space="preserve"> intermedia</w:t>
      </w:r>
      <w:r>
        <w:t xml:space="preserve"> (</w:t>
      </w:r>
      <w:r w:rsidR="00516DFB">
        <w:t>p</w:t>
      </w:r>
      <w:r>
        <w:t xml:space="preserve">ink </w:t>
      </w:r>
      <w:r w:rsidR="00516DFB">
        <w:t>b</w:t>
      </w:r>
      <w:r>
        <w:t xml:space="preserve">loodwood), </w:t>
      </w:r>
      <w:r w:rsidR="00516DFB">
        <w:t>b</w:t>
      </w:r>
      <w:r>
        <w:t xml:space="preserve">rush </w:t>
      </w:r>
      <w:r w:rsidR="00516DFB">
        <w:t>b</w:t>
      </w:r>
      <w:r>
        <w:t xml:space="preserve">ox and </w:t>
      </w:r>
      <w:proofErr w:type="spellStart"/>
      <w:r w:rsidRPr="00E76A03">
        <w:rPr>
          <w:i/>
          <w:iCs/>
        </w:rPr>
        <w:t>Syncarpia</w:t>
      </w:r>
      <w:proofErr w:type="spellEnd"/>
      <w:r w:rsidRPr="00E76A03">
        <w:rPr>
          <w:i/>
          <w:iCs/>
        </w:rPr>
        <w:t xml:space="preserve"> </w:t>
      </w:r>
      <w:proofErr w:type="spellStart"/>
      <w:r w:rsidRPr="00E76A03">
        <w:rPr>
          <w:i/>
          <w:iCs/>
        </w:rPr>
        <w:t>flomulifera</w:t>
      </w:r>
      <w:proofErr w:type="spellEnd"/>
      <w:r>
        <w:t xml:space="preserve"> (</w:t>
      </w:r>
      <w:r w:rsidR="00516DFB">
        <w:t>t</w:t>
      </w:r>
      <w:r>
        <w:t xml:space="preserve">urpentine) mixed forest adjacent to the dam waterline. </w:t>
      </w:r>
      <w:r w:rsidR="00571C6E">
        <w:t>In t</w:t>
      </w:r>
      <w:r>
        <w:t xml:space="preserve">he gully rainforest community, </w:t>
      </w:r>
      <w:proofErr w:type="spellStart"/>
      <w:r w:rsidR="611774CD" w:rsidRPr="3857C1C5">
        <w:rPr>
          <w:i/>
          <w:iCs/>
        </w:rPr>
        <w:t>Corokia</w:t>
      </w:r>
      <w:proofErr w:type="spellEnd"/>
      <w:r w:rsidR="611774CD" w:rsidRPr="3857C1C5">
        <w:rPr>
          <w:i/>
          <w:iCs/>
        </w:rPr>
        <w:t xml:space="preserve"> </w:t>
      </w:r>
      <w:proofErr w:type="spellStart"/>
      <w:r w:rsidR="611774CD" w:rsidRPr="3857C1C5">
        <w:rPr>
          <w:i/>
          <w:iCs/>
        </w:rPr>
        <w:t>whiteana</w:t>
      </w:r>
      <w:proofErr w:type="spellEnd"/>
      <w:r w:rsidR="611774CD">
        <w:t xml:space="preserve"> </w:t>
      </w:r>
      <w:r>
        <w:t xml:space="preserve">co-occurred with warm temperate rainforest species dominated by Coachwood and subtropical rainforest </w:t>
      </w:r>
      <w:proofErr w:type="spellStart"/>
      <w:r w:rsidRPr="00AA4BEE">
        <w:rPr>
          <w:i/>
          <w:iCs/>
        </w:rPr>
        <w:t>Archontophoenix</w:t>
      </w:r>
      <w:proofErr w:type="spellEnd"/>
      <w:r w:rsidRPr="00AA4BEE">
        <w:rPr>
          <w:i/>
          <w:iCs/>
        </w:rPr>
        <w:t xml:space="preserve"> </w:t>
      </w:r>
      <w:proofErr w:type="spellStart"/>
      <w:r w:rsidRPr="00AA4BEE">
        <w:rPr>
          <w:i/>
          <w:iCs/>
        </w:rPr>
        <w:t>cunninghamiana</w:t>
      </w:r>
      <w:proofErr w:type="spellEnd"/>
      <w:r>
        <w:t xml:space="preserve"> (Bangalow </w:t>
      </w:r>
      <w:r w:rsidR="001E5092">
        <w:t>p</w:t>
      </w:r>
      <w:r>
        <w:t xml:space="preserve">alm) on the Kunghur soil landscape and Bundamba sandstone sediments. </w:t>
      </w:r>
      <w:proofErr w:type="spellStart"/>
      <w:r w:rsidR="6ED60230" w:rsidRPr="3857C1C5">
        <w:rPr>
          <w:i/>
          <w:iCs/>
        </w:rPr>
        <w:t>Corokia</w:t>
      </w:r>
      <w:proofErr w:type="spellEnd"/>
      <w:r w:rsidR="6ED60230" w:rsidRPr="3857C1C5">
        <w:rPr>
          <w:i/>
          <w:iCs/>
        </w:rPr>
        <w:t xml:space="preserve"> </w:t>
      </w:r>
      <w:proofErr w:type="spellStart"/>
      <w:r w:rsidR="6ED60230" w:rsidRPr="3857C1C5">
        <w:rPr>
          <w:i/>
          <w:iCs/>
        </w:rPr>
        <w:t>whiteana</w:t>
      </w:r>
      <w:proofErr w:type="spellEnd"/>
      <w:r>
        <w:t xml:space="preserve"> did not occur in comparable habitats on rhyolite soils </w:t>
      </w:r>
      <w:r w:rsidR="00571C6E">
        <w:t>that</w:t>
      </w:r>
      <w:r w:rsidR="00CB3BC1">
        <w:t xml:space="preserve"> were densely vegetated </w:t>
      </w:r>
      <w:r>
        <w:t xml:space="preserve">(Sally Cooper </w:t>
      </w:r>
      <w:r w:rsidR="00971C10">
        <w:t>2021. pers</w:t>
      </w:r>
      <w:r>
        <w:t xml:space="preserve"> comms 3 Aug)</w:t>
      </w:r>
      <w:r w:rsidR="00CB3BC1">
        <w:t xml:space="preserve"> and may have been too </w:t>
      </w:r>
      <w:proofErr w:type="gramStart"/>
      <w:r w:rsidR="00571C6E">
        <w:t>light-limited</w:t>
      </w:r>
      <w:proofErr w:type="gramEnd"/>
      <w:r w:rsidR="00CB3BC1">
        <w:t xml:space="preserve"> for </w:t>
      </w:r>
      <w:r w:rsidR="03CB6E9B">
        <w:t>establishment</w:t>
      </w:r>
      <w:r>
        <w:t>.</w:t>
      </w:r>
      <w:r w:rsidR="0044257E">
        <w:t xml:space="preserve"> </w:t>
      </w:r>
    </w:p>
    <w:p w14:paraId="2B46F579" w14:textId="132AED95" w:rsidR="00343720" w:rsidRDefault="00343720" w:rsidP="00343720">
      <w:r>
        <w:t xml:space="preserve">Sighting records of </w:t>
      </w:r>
      <w:proofErr w:type="spellStart"/>
      <w:r w:rsidR="373E813D" w:rsidRPr="3857C1C5">
        <w:rPr>
          <w:i/>
          <w:iCs/>
        </w:rPr>
        <w:t>Corokia</w:t>
      </w:r>
      <w:proofErr w:type="spellEnd"/>
      <w:r w:rsidR="373E813D" w:rsidRPr="3857C1C5">
        <w:rPr>
          <w:i/>
          <w:iCs/>
        </w:rPr>
        <w:t xml:space="preserve"> </w:t>
      </w:r>
      <w:proofErr w:type="spellStart"/>
      <w:r w:rsidR="373E813D" w:rsidRPr="3857C1C5">
        <w:rPr>
          <w:i/>
          <w:iCs/>
        </w:rPr>
        <w:t>whiteana</w:t>
      </w:r>
      <w:proofErr w:type="spellEnd"/>
      <w:r w:rsidR="373E813D" w:rsidRPr="3857C1C5">
        <w:rPr>
          <w:noProof/>
        </w:rPr>
        <w:t xml:space="preserve"> </w:t>
      </w:r>
      <w:r>
        <w:fldChar w:fldCharType="begin" w:fldLock="1"/>
      </w:r>
      <w:r>
        <w:instrText>ADDIN CSL_CITATION {"citationItems":[{"id":"ITEM-1","itemData":{"author":[{"dropping-particle":"","family":"Bachman","given":"S","non-dropping-particle":"","parse-names":false,"suffix":""},{"dropping-particle":"","family":"Moat","given":"J","non-dropping-particle":"","parse-names":false,"suffix":""},{"dropping-particle":"","family":"Hill","given":"A W","non-dropping-particle":"","parse-names":false,"suffix":""},{"dropping-particle":"","family":"la Torre","given":"J","non-dropping-particle":"de","parse-names":false,"suffix":""},{"dropping-particle":"","family":"Scott","given":"B","non-dropping-particle":"","parse-names":false,"suffix":""}],"id":"ITEM-1","issued":{"date-parts":[["2011"]]},"number":"Beta","title":"Supporting Red List threat assessments with GeoCAT: geospatial conservation assessment tool. Data from Global Biodiversity Information Facility (GBIF)","type":"article"},"uris":["http://www.mendeley.com/documents/?uuid=31eda015-4e87-4b0a-b817-fdec7d605e7f"]}],"mendeley":{"formattedCitation":"(Bachman et al. 2011)","plainTextFormattedCitation":"(Bachman et al. 2011)","previouslyFormattedCitation":"(Bachman et al. 2011)"},"properties":{"noteIndex":0},"schema":"https://github.com/citation-style-language/schema/raw/master/csl-citation.json"}</w:instrText>
      </w:r>
      <w:r>
        <w:fldChar w:fldCharType="separate"/>
      </w:r>
      <w:r w:rsidRPr="00437321">
        <w:rPr>
          <w:noProof/>
        </w:rPr>
        <w:t>(Bachman et al. 2011)</w:t>
      </w:r>
      <w:r>
        <w:fldChar w:fldCharType="end"/>
      </w:r>
      <w:r>
        <w:t xml:space="preserve"> at Mount Jerusalem National Park, </w:t>
      </w:r>
      <w:proofErr w:type="spellStart"/>
      <w:r>
        <w:t>Koonyum</w:t>
      </w:r>
      <w:proofErr w:type="spellEnd"/>
      <w:r>
        <w:t xml:space="preserve"> Range, </w:t>
      </w:r>
      <w:r w:rsidR="00571C6E">
        <w:t>Nightcap</w:t>
      </w:r>
      <w:r>
        <w:t xml:space="preserve"> National Park and </w:t>
      </w:r>
      <w:proofErr w:type="spellStart"/>
      <w:r>
        <w:t>Whian</w:t>
      </w:r>
      <w:proofErr w:type="spellEnd"/>
      <w:r>
        <w:t xml:space="preserve"> </w:t>
      </w:r>
      <w:proofErr w:type="spellStart"/>
      <w:r>
        <w:t>Whian</w:t>
      </w:r>
      <w:proofErr w:type="spellEnd"/>
      <w:r>
        <w:t xml:space="preserve"> State </w:t>
      </w:r>
      <w:r w:rsidR="00571C6E">
        <w:t>Conservation</w:t>
      </w:r>
      <w:r>
        <w:t xml:space="preserve"> Area overlapped with mapped habitats of Northern Moist Blackbutt, Wet </w:t>
      </w:r>
      <w:proofErr w:type="spellStart"/>
      <w:r w:rsidRPr="00A51F6A">
        <w:rPr>
          <w:i/>
          <w:iCs/>
        </w:rPr>
        <w:t>Lophostemon</w:t>
      </w:r>
      <w:proofErr w:type="spellEnd"/>
      <w:r w:rsidRPr="00A51F6A">
        <w:rPr>
          <w:i/>
          <w:iCs/>
        </w:rPr>
        <w:t xml:space="preserve"> </w:t>
      </w:r>
      <w:proofErr w:type="spellStart"/>
      <w:r w:rsidRPr="00A51F6A">
        <w:rPr>
          <w:i/>
          <w:iCs/>
        </w:rPr>
        <w:t>confertus</w:t>
      </w:r>
      <w:proofErr w:type="spellEnd"/>
      <w:r>
        <w:t xml:space="preserve"> (</w:t>
      </w:r>
      <w:proofErr w:type="spellStart"/>
      <w:r w:rsidR="00666D24">
        <w:t>b</w:t>
      </w:r>
      <w:r>
        <w:t>rushbox</w:t>
      </w:r>
      <w:proofErr w:type="spellEnd"/>
      <w:r>
        <w:t xml:space="preserve">), </w:t>
      </w:r>
      <w:r w:rsidR="00666D24">
        <w:t>w</w:t>
      </w:r>
      <w:r>
        <w:t>et Bangalow-</w:t>
      </w:r>
      <w:proofErr w:type="spellStart"/>
      <w:r w:rsidR="00666D24">
        <w:t>b</w:t>
      </w:r>
      <w:r>
        <w:t>rushbox</w:t>
      </w:r>
      <w:proofErr w:type="spellEnd"/>
      <w:r>
        <w:t xml:space="preserve">, and </w:t>
      </w:r>
      <w:r w:rsidR="00666D24">
        <w:t>t</w:t>
      </w:r>
      <w:r>
        <w:t xml:space="preserve">urpentine forest types </w:t>
      </w:r>
      <w:r>
        <w:fldChar w:fldCharType="begin" w:fldLock="1"/>
      </w:r>
      <w:r>
        <w:instrText>ADDIN CSL_CITATION {"citationItems":[{"id":"ITEM-1","itemData":{"URL":"https://datasets.seed.nsw.gov.au/dataset/vegetation-map-for-the-northern-rivers-cma-vis_id-524fdb07","abstract":"A vegetation map was produced for the Northern Rivers Catchment Management Authority (NRCMA) by integrating two products undertaken for the northern Comprehensive Regional Assessment (CRA), namely the forest ecosystem model and API coverage. The work was undertaken by Eco Logical Australia Pty Ltd in 2005. The new product represents a substantial improvement over the original forest ecosystem model as it provides nomenclatural consistency between forest ecosystem types and API polygon labels, includes remnant vegetation not originally captured by the CRAFTI API project, improves the spatial rigour of forest ecosystem distribution, and introduces a number of new ecosystems based on fine scale API and expert advice. The map incorporates 167 ecosystems covering a combined area of 3,332,900 ha, about 67% of the NRCMA region. It includes dry and moisttableland types, rainforest and wet escarpment brushbox and eucalypt forests, dry foothills eucalypt forest, rugged gorges woodlands, and non-eucalypt coastal types. The map includes a table which lists areal estimates for each ecosystem, including area outside the NRCMA region and pre-1750 area.; Albeit an improved product, the final map was assembled from two existing layers which have major limitations on private land, including an unsuitable vegetation; classification and a broad and often unreliable API layer. It is thus recommended that the product be used only in the interim by the NRCMA to support identification; and prioritisation of high conservation value vegetation, and that any attempt to reconcile the map with local landscapes be done with due caution.; ; The original NRCMA Veg layer is in grid format but was converted to polygons. See data history section.; ; Data custodian - Northern Rivers CMA; VIS_ID 524","author":[{"dropping-particle":"","family":"NSW Government","given":"","non-dropping-particle":"","parse-names":false,"suffix":""}],"id":"ITEM-1","issued":{"date-parts":[["2005"]]},"publisher":"Department of Planning, Industry and Environment","publisher-place":"Sydney","title":"Vegetation Map for the Northern Rivers CMA VIS_ID 524","type":"webpage"},"uris":["http://www.mendeley.com/documents/?uuid=33ef840f-1bda-4226-b84d-005bde9c617c"]}],"mendeley":{"formattedCitation":"(NSW Government 2005)","plainTextFormattedCitation":"(NSW Government 2005)","previouslyFormattedCitation":"(NSW Government 2005)"},"properties":{"noteIndex":0},"schema":"https://github.com/citation-style-language/schema/raw/master/csl-citation.json"}</w:instrText>
      </w:r>
      <w:r>
        <w:fldChar w:fldCharType="separate"/>
      </w:r>
      <w:r w:rsidRPr="00DC64B3">
        <w:rPr>
          <w:noProof/>
        </w:rPr>
        <w:t>(NSW Government 2005)</w:t>
      </w:r>
      <w:r>
        <w:fldChar w:fldCharType="end"/>
      </w:r>
      <w:r>
        <w:t xml:space="preserve">. Further south, near The Channon, </w:t>
      </w:r>
      <w:r w:rsidR="00EB24DC">
        <w:t>records</w:t>
      </w:r>
      <w:r>
        <w:t xml:space="preserve"> overlapped with Northern Ranges </w:t>
      </w:r>
      <w:r w:rsidR="00516DFB">
        <w:t>d</w:t>
      </w:r>
      <w:r>
        <w:t xml:space="preserve">ry </w:t>
      </w:r>
      <w:r w:rsidRPr="00E76A03">
        <w:rPr>
          <w:i/>
          <w:iCs/>
        </w:rPr>
        <w:t xml:space="preserve">Eucalyptus </w:t>
      </w:r>
      <w:proofErr w:type="spellStart"/>
      <w:r w:rsidRPr="00E76A03">
        <w:rPr>
          <w:i/>
          <w:iCs/>
        </w:rPr>
        <w:t>microcorys</w:t>
      </w:r>
      <w:proofErr w:type="spellEnd"/>
      <w:r>
        <w:t xml:space="preserve"> (</w:t>
      </w:r>
      <w:r w:rsidR="00516DFB">
        <w:t>t</w:t>
      </w:r>
      <w:r>
        <w:t xml:space="preserve">allowwood) forests </w:t>
      </w:r>
      <w:r>
        <w:fldChar w:fldCharType="begin" w:fldLock="1"/>
      </w:r>
      <w:r>
        <w:instrText>ADDIN CSL_CITATION {"citationItems":[{"id":"ITEM-1","itemData":{"URL":"https://datasets.seed.nsw.gov.au/dataset/vegetation-map-for-the-northern-rivers-cma-vis_id-524fdb07","abstract":"A vegetation map was produced for the Northern Rivers Catchment Management Authority (NRCMA) by integrating two products undertaken for the northern Comprehensive Regional Assessment (CRA), namely the forest ecosystem model and API coverage. The work was undertaken by Eco Logical Australia Pty Ltd in 2005. The new product represents a substantial improvement over the original forest ecosystem model as it provides nomenclatural consistency between forest ecosystem types and API polygon labels, includes remnant vegetation not originally captured by the CRAFTI API project, improves the spatial rigour of forest ecosystem distribution, and introduces a number of new ecosystems based on fine scale API and expert advice. The map incorporates 167 ecosystems covering a combined area of 3,332,900 ha, about 67% of the NRCMA region. It includes dry and moisttableland types, rainforest and wet escarpment brushbox and eucalypt forests, dry foothills eucalypt forest, rugged gorges woodlands, and non-eucalypt coastal types. The map includes a table which lists areal estimates for each ecosystem, including area outside the NRCMA region and pre-1750 area.; Albeit an improved product, the final map was assembled from two existing layers which have major limitations on private land, including an unsuitable vegetation; classification and a broad and often unreliable API layer. It is thus recommended that the product be used only in the interim by the NRCMA to support identification; and prioritisation of high conservation value vegetation, and that any attempt to reconcile the map with local landscapes be done with due caution.; ; The original NRCMA Veg layer is in grid format but was converted to polygons. See data history section.; ; Data custodian - Northern Rivers CMA; VIS_ID 524","author":[{"dropping-particle":"","family":"NSW Government","given":"","non-dropping-particle":"","parse-names":false,"suffix":""}],"id":"ITEM-1","issued":{"date-parts":[["2005"]]},"publisher":"Department of Planning, Industry and Environment","publisher-place":"Sydney","title":"Vegetation Map for the Northern Rivers CMA VIS_ID 524","type":"webpage"},"uris":["http://www.mendeley.com/documents/?uuid=33ef840f-1bda-4226-b84d-005bde9c617c"]}],"mendeley":{"formattedCitation":"(NSW Government 2005)","plainTextFormattedCitation":"(NSW Government 2005)","previouslyFormattedCitation":"(NSW Government 2005)"},"properties":{"noteIndex":0},"schema":"https://github.com/citation-style-language/schema/raw/master/csl-citation.json"}</w:instrText>
      </w:r>
      <w:r>
        <w:fldChar w:fldCharType="separate"/>
      </w:r>
      <w:r w:rsidRPr="00DC64B3">
        <w:rPr>
          <w:noProof/>
        </w:rPr>
        <w:t>(NSW Government 2005)</w:t>
      </w:r>
      <w:r>
        <w:fldChar w:fldCharType="end"/>
      </w:r>
      <w:r>
        <w:t>.</w:t>
      </w:r>
    </w:p>
    <w:p w14:paraId="5C43E604" w14:textId="59CA6469" w:rsidR="00343720" w:rsidRDefault="00343720" w:rsidP="00343720">
      <w:r>
        <w:t xml:space="preserve">Coastal subpopulations </w:t>
      </w:r>
      <w:r w:rsidR="395387CB">
        <w:t xml:space="preserve">of </w:t>
      </w:r>
      <w:proofErr w:type="spellStart"/>
      <w:r w:rsidR="395387CB" w:rsidRPr="3857C1C5">
        <w:rPr>
          <w:i/>
          <w:iCs/>
        </w:rPr>
        <w:t>Corokia</w:t>
      </w:r>
      <w:proofErr w:type="spellEnd"/>
      <w:r w:rsidR="395387CB" w:rsidRPr="3857C1C5">
        <w:rPr>
          <w:i/>
          <w:iCs/>
        </w:rPr>
        <w:t xml:space="preserve"> </w:t>
      </w:r>
      <w:proofErr w:type="spellStart"/>
      <w:r w:rsidR="395387CB" w:rsidRPr="3857C1C5">
        <w:rPr>
          <w:i/>
          <w:iCs/>
        </w:rPr>
        <w:t>whiteana</w:t>
      </w:r>
      <w:proofErr w:type="spellEnd"/>
      <w:r>
        <w:t xml:space="preserve"> at Billinudgel occur with </w:t>
      </w:r>
      <w:r w:rsidRPr="00EF197D">
        <w:rPr>
          <w:i/>
          <w:iCs/>
        </w:rPr>
        <w:t xml:space="preserve">Callitris </w:t>
      </w:r>
      <w:proofErr w:type="spellStart"/>
      <w:r w:rsidRPr="00EF197D">
        <w:rPr>
          <w:i/>
          <w:iCs/>
        </w:rPr>
        <w:t>columellaris</w:t>
      </w:r>
      <w:proofErr w:type="spellEnd"/>
      <w:r>
        <w:t xml:space="preserve"> (</w:t>
      </w:r>
      <w:r w:rsidR="001E5092">
        <w:t>c</w:t>
      </w:r>
      <w:r>
        <w:t xml:space="preserve">oastal </w:t>
      </w:r>
      <w:r w:rsidR="001E5092">
        <w:t>C</w:t>
      </w:r>
      <w:r>
        <w:t xml:space="preserve">ypress </w:t>
      </w:r>
      <w:r w:rsidR="001E5092">
        <w:t>p</w:t>
      </w:r>
      <w:r>
        <w:t xml:space="preserve">ine) and Northern Moist </w:t>
      </w:r>
      <w:r w:rsidRPr="00EF197D">
        <w:rPr>
          <w:i/>
          <w:iCs/>
        </w:rPr>
        <w:t xml:space="preserve">Eucalyptus </w:t>
      </w:r>
      <w:proofErr w:type="spellStart"/>
      <w:r w:rsidRPr="00EF197D">
        <w:rPr>
          <w:i/>
          <w:iCs/>
        </w:rPr>
        <w:t>pilularis</w:t>
      </w:r>
      <w:proofErr w:type="spellEnd"/>
      <w:r>
        <w:t xml:space="preserve"> (</w:t>
      </w:r>
      <w:r w:rsidR="001E5092">
        <w:t>bl</w:t>
      </w:r>
      <w:r>
        <w:t>ackbutt) forest types on Kurosol soils and Sedgeland/</w:t>
      </w:r>
      <w:proofErr w:type="spellStart"/>
      <w:r>
        <w:t>Rushland</w:t>
      </w:r>
      <w:proofErr w:type="spellEnd"/>
      <w:r>
        <w:t xml:space="preserve"> and Lowland </w:t>
      </w:r>
      <w:r w:rsidRPr="00E76A03">
        <w:rPr>
          <w:i/>
          <w:iCs/>
        </w:rPr>
        <w:t>Eucalyptus sp</w:t>
      </w:r>
      <w:r>
        <w:t>. (</w:t>
      </w:r>
      <w:r w:rsidR="001E5092">
        <w:t>r</w:t>
      </w:r>
      <w:r>
        <w:t xml:space="preserve">ed </w:t>
      </w:r>
      <w:r w:rsidR="001E5092">
        <w:t>g</w:t>
      </w:r>
      <w:r>
        <w:t xml:space="preserve">um) forest types on </w:t>
      </w:r>
      <w:r>
        <w:lastRenderedPageBreak/>
        <w:t xml:space="preserve">Hydrosol soils. Further south at Brunswick Heads occurrences overlap with mapped </w:t>
      </w:r>
      <w:r w:rsidRPr="00E76A03">
        <w:rPr>
          <w:i/>
          <w:iCs/>
        </w:rPr>
        <w:t>Melaleuca</w:t>
      </w:r>
      <w:r>
        <w:rPr>
          <w:i/>
          <w:iCs/>
        </w:rPr>
        <w:t xml:space="preserve"> sp.</w:t>
      </w:r>
      <w:r w:rsidRPr="00E76A03">
        <w:rPr>
          <w:i/>
          <w:iCs/>
        </w:rPr>
        <w:t xml:space="preserve"> </w:t>
      </w:r>
      <w:r>
        <w:t>(</w:t>
      </w:r>
      <w:r w:rsidR="001E5092">
        <w:t>p</w:t>
      </w:r>
      <w:r>
        <w:t xml:space="preserve">aperbark) forest types on </w:t>
      </w:r>
      <w:r w:rsidR="001E5092">
        <w:t>p</w:t>
      </w:r>
      <w:r>
        <w:t xml:space="preserve">odosol soils and </w:t>
      </w:r>
      <w:r w:rsidR="001E5092">
        <w:t>c</w:t>
      </w:r>
      <w:r>
        <w:t xml:space="preserve">oastal </w:t>
      </w:r>
      <w:r w:rsidR="001E5092">
        <w:t>a</w:t>
      </w:r>
      <w:r>
        <w:t xml:space="preserve">cacia on </w:t>
      </w:r>
      <w:proofErr w:type="spellStart"/>
      <w:r w:rsidR="001E5092">
        <w:t>f</w:t>
      </w:r>
      <w:r>
        <w:t>erosol</w:t>
      </w:r>
      <w:proofErr w:type="spellEnd"/>
      <w:r>
        <w:t xml:space="preserve"> soils </w:t>
      </w:r>
      <w:r>
        <w:fldChar w:fldCharType="begin" w:fldLock="1"/>
      </w:r>
      <w:r>
        <w:instrText>ADDIN CSL_CITATION {"citationItems":[{"id":"ITEM-1","itemData":{"abstract":"This map identifies the dominant soil types across NSW using the Australian Soils Classification (ASC) at Order level. It uses the best available soil resource mapping coverage incorporating over 55 different datasets of multiple scales across NSW. The formal ASC classification has been slightly modified in this map to further identify 2 extra sub-classes - soils with alluvial origins in the Rudosol order and soils with sodium-rich subsoils in the Kurosol order category. Soil types are representative of the dominant facet (sub-landscape) of each map unit and allocated using a lookup table system, linking a Great Soil Group classification soil type to the most appropriate Australian Soil Classification (ASC) class (see LUT table in data package). In some areas (north coast region and Cobargo area), an ASC classification has been assigned to map units directly without using a lookup system. These areas are identified in the ASC confidence map found within in the data package. While the ASC classification commonly equates to a particular GSG soil type classification, this is is not always the case and therefore ASC classifications allocated manually, will have a higher accuracy. Online Maps: This dataset can be viewed using eSPADE (NSW’s soil spatial viewer), which contains a suite of soil and landscape information including soil profile data. Many of these datasets have hot-linked soil reports. An alternative viewer is the SEED Map; an ideal way to see what other natural resources datasets (e.g. vegetation) are available for this map area. Reference: Department of Planning, Industry and Environment, 2021, Australian Soil Classification (ASC) Soil Type map of NSW, Version 4.5, Department of Planning, Industry and Environment, Parramatta.","author":[{"dropping-particle":"","family":"NSW Government","given":"","non-dropping-particle":"","parse-names":false,"suffix":""}],"id":"ITEM-1","issued":{"date-parts":[["2012"]]},"publisher":"Department of Planning, Industry and Environment","publisher-place":"Parramatta","title":"Australian Soil Classification (ASC) soil type map of NSW","type":"article"},"uris":["http://www.mendeley.com/documents/?uuid=5058fbf6-93f5-4f4a-8bbf-94b8a8d5092f"]},{"id":"ITEM-2","itemData":{"URL":"https://datasets.seed.nsw.gov.au/dataset/vegetation-map-for-the-northern-rivers-cma-vis_id-524fdb07","abstract":"A vegetation map was produced for the Northern Rivers Catchment Management Authority (NRCMA) by integrating two products undertaken for the northern Comprehensive Regional Assessment (CRA), namely the forest ecosystem model and API coverage. The work was undertaken by Eco Logical Australia Pty Ltd in 2005. The new product represents a substantial improvement over the original forest ecosystem model as it provides nomenclatural consistency between forest ecosystem types and API polygon labels, includes remnant vegetation not originally captured by the CRAFTI API project, improves the spatial rigour of forest ecosystem distribution, and introduces a number of new ecosystems based on fine scale API and expert advice. The map incorporates 167 ecosystems covering a combined area of 3,332,900 ha, about 67% of the NRCMA region. It includes dry and moisttableland types, rainforest and wet escarpment brushbox and eucalypt forests, dry foothills eucalypt forest, rugged gorges woodlands, and non-eucalypt coastal types. The map includes a table which lists areal estimates for each ecosystem, including area outside the NRCMA region and pre-1750 area.; Albeit an improved product, the final map was assembled from two existing layers which have major limitations on private land, including an unsuitable vegetation; classification and a broad and often unreliable API layer. It is thus recommended that the product be used only in the interim by the NRCMA to support identification; and prioritisation of high conservation value vegetation, and that any attempt to reconcile the map with local landscapes be done with due caution.; ; The original NRCMA Veg layer is in grid format but was converted to polygons. See data history section.; ; Data custodian - Northern Rivers CMA; VIS_ID 524","author":[{"dropping-particle":"","family":"NSW Government","given":"","non-dropping-particle":"","parse-names":false,"suffix":""}],"id":"ITEM-2","issued":{"date-parts":[["2005"]]},"publisher":"Department of Planning, Industry and Environment","publisher-place":"Sydney","title":"Vegetation Map for the Northern Rivers CMA VIS_ID 524","type":"webpage"},"uris":["http://www.mendeley.com/documents/?uuid=33ef840f-1bda-4226-b84d-005bde9c617c"]}],"mendeley":{"formattedCitation":"(NSW Government 2005, 2012)","plainTextFormattedCitation":"(NSW Government 2005, 2012)","previouslyFormattedCitation":"(NSW Government 2005, 2012)"},"properties":{"noteIndex":0},"schema":"https://github.com/citation-style-language/schema/raw/master/csl-citation.json"}</w:instrText>
      </w:r>
      <w:r>
        <w:fldChar w:fldCharType="separate"/>
      </w:r>
      <w:r w:rsidRPr="006752B3">
        <w:rPr>
          <w:noProof/>
        </w:rPr>
        <w:t>(NSW Government 2005, 2012)</w:t>
      </w:r>
      <w:r>
        <w:fldChar w:fldCharType="end"/>
      </w:r>
      <w:r>
        <w:t xml:space="preserve">. </w:t>
      </w:r>
    </w:p>
    <w:p w14:paraId="33DC1719" w14:textId="53939376" w:rsidR="00343720" w:rsidRDefault="00343720" w:rsidP="00343720">
      <w:r>
        <w:t xml:space="preserve">Five </w:t>
      </w:r>
      <w:proofErr w:type="spellStart"/>
      <w:r w:rsidR="66ADCDAF" w:rsidRPr="3857C1C5">
        <w:rPr>
          <w:i/>
          <w:iCs/>
        </w:rPr>
        <w:t>Corokia</w:t>
      </w:r>
      <w:proofErr w:type="spellEnd"/>
      <w:r w:rsidR="66ADCDAF" w:rsidRPr="3857C1C5">
        <w:rPr>
          <w:i/>
          <w:iCs/>
        </w:rPr>
        <w:t xml:space="preserve"> </w:t>
      </w:r>
      <w:proofErr w:type="spellStart"/>
      <w:r w:rsidR="66ADCDAF" w:rsidRPr="3857C1C5">
        <w:rPr>
          <w:i/>
          <w:iCs/>
        </w:rPr>
        <w:t>whiteana</w:t>
      </w:r>
      <w:proofErr w:type="spellEnd"/>
      <w:r w:rsidR="66ADCDAF">
        <w:t xml:space="preserve"> </w:t>
      </w:r>
      <w:r w:rsidR="2F3117D3">
        <w:t xml:space="preserve">individuals </w:t>
      </w:r>
      <w:r w:rsidR="277F9EA5">
        <w:t xml:space="preserve">are </w:t>
      </w:r>
      <w:r w:rsidR="3D96E901">
        <w:t>part of the living collec</w:t>
      </w:r>
      <w:r w:rsidR="001E5092">
        <w:t>tion</w:t>
      </w:r>
      <w:r w:rsidR="3D96E901">
        <w:t xml:space="preserve"> at </w:t>
      </w:r>
      <w:r>
        <w:t>the Mount Annan Botanical Gardens</w:t>
      </w:r>
      <w:r w:rsidR="1CCB458F">
        <w:t xml:space="preserve">, Sydney. </w:t>
      </w:r>
      <w:r w:rsidR="39B745A2">
        <w:t>T</w:t>
      </w:r>
      <w:r w:rsidR="1CCB458F">
        <w:t>hes</w:t>
      </w:r>
      <w:r w:rsidR="001E5092">
        <w:t xml:space="preserve">e </w:t>
      </w:r>
      <w:r w:rsidR="39B745A2">
        <w:t>individuals were</w:t>
      </w:r>
      <w:r>
        <w:t xml:space="preserve"> sourced from the Nightcap </w:t>
      </w:r>
      <w:r w:rsidR="00571C6E">
        <w:t>Ranges</w:t>
      </w:r>
      <w:r>
        <w:t xml:space="preserve"> in 1987</w:t>
      </w:r>
      <w:r w:rsidR="1C1E6114">
        <w:t>. (</w:t>
      </w:r>
      <w:r w:rsidR="001E5092">
        <w:t xml:space="preserve">Graeme Errington 2021 pers comm. 2 Aug). </w:t>
      </w:r>
      <w:r>
        <w:t xml:space="preserve">These have been </w:t>
      </w:r>
      <w:r w:rsidR="345C8F6B">
        <w:t xml:space="preserve">further </w:t>
      </w:r>
      <w:r>
        <w:t xml:space="preserve">propagated from cuttings several times with success. Seed germination trials were attempted for </w:t>
      </w:r>
      <w:r w:rsidR="00571C6E">
        <w:t>ten</w:t>
      </w:r>
      <w:r>
        <w:t xml:space="preserve"> seeds in 2013; two germinated but did not survive. </w:t>
      </w:r>
      <w:proofErr w:type="spellStart"/>
      <w:r w:rsidR="1909B83B" w:rsidRPr="3857C1C5">
        <w:rPr>
          <w:i/>
          <w:iCs/>
        </w:rPr>
        <w:t>Corokia</w:t>
      </w:r>
      <w:proofErr w:type="spellEnd"/>
      <w:r w:rsidR="1909B83B" w:rsidRPr="3857C1C5">
        <w:rPr>
          <w:i/>
          <w:iCs/>
        </w:rPr>
        <w:t xml:space="preserve"> </w:t>
      </w:r>
      <w:proofErr w:type="spellStart"/>
      <w:r w:rsidR="1909B83B" w:rsidRPr="3857C1C5">
        <w:rPr>
          <w:i/>
          <w:iCs/>
        </w:rPr>
        <w:t>whiteana</w:t>
      </w:r>
      <w:proofErr w:type="spellEnd"/>
      <w:r w:rsidR="00571C6E">
        <w:t xml:space="preserve"> s</w:t>
      </w:r>
      <w:r>
        <w:t>eeds may have physiological dormancy, which would limit germination except under specific environmental conditions</w:t>
      </w:r>
      <w:r w:rsidR="001E5092">
        <w:t xml:space="preserve"> (Graeme Errington 2021 pers comm. 2 Aug)</w:t>
      </w:r>
      <w:r w:rsidR="008B1DB2">
        <w:t>.</w:t>
      </w:r>
      <w:r>
        <w:t xml:space="preserve"> This is a common trait of rainforest taxa and so may explain the low germination rate observed. </w:t>
      </w:r>
      <w:r w:rsidR="5EA1420B">
        <w:t xml:space="preserve">Low germination rates may also be due to low viability due to constraints on storage in fleshy fruited </w:t>
      </w:r>
      <w:r w:rsidR="55756993">
        <w:t>rainforest</w:t>
      </w:r>
      <w:r w:rsidR="5EA1420B">
        <w:t xml:space="preserve"> taxa (</w:t>
      </w:r>
      <w:r w:rsidR="7BEECF19">
        <w:t xml:space="preserve">Sommerville et al. 2021). </w:t>
      </w:r>
      <w:r>
        <w:t xml:space="preserve">Currently, trials to maintain tissue cultures of </w:t>
      </w:r>
      <w:proofErr w:type="spellStart"/>
      <w:r w:rsidR="3B190918" w:rsidRPr="3857C1C5">
        <w:rPr>
          <w:i/>
          <w:iCs/>
        </w:rPr>
        <w:t>Corokia</w:t>
      </w:r>
      <w:proofErr w:type="spellEnd"/>
      <w:r w:rsidR="3B190918" w:rsidRPr="3857C1C5">
        <w:rPr>
          <w:i/>
          <w:iCs/>
        </w:rPr>
        <w:t xml:space="preserve"> </w:t>
      </w:r>
      <w:proofErr w:type="spellStart"/>
      <w:r w:rsidR="3B190918" w:rsidRPr="3857C1C5">
        <w:rPr>
          <w:i/>
          <w:iCs/>
        </w:rPr>
        <w:t>whiteana</w:t>
      </w:r>
      <w:proofErr w:type="spellEnd"/>
      <w:r w:rsidR="3B190918">
        <w:t xml:space="preserve"> </w:t>
      </w:r>
      <w:r>
        <w:t xml:space="preserve">are underway at the Australian </w:t>
      </w:r>
      <w:proofErr w:type="spellStart"/>
      <w:r>
        <w:t>PlantBank</w:t>
      </w:r>
      <w:proofErr w:type="spellEnd"/>
      <w:r>
        <w:t xml:space="preserve"> as part of a broader rainforest species germplasm conservation project (Graeme Errington </w:t>
      </w:r>
      <w:r w:rsidR="00971C10">
        <w:t>2021. pers</w:t>
      </w:r>
      <w:r>
        <w:t xml:space="preserve"> comm 2 Aug). </w:t>
      </w:r>
    </w:p>
    <w:p w14:paraId="28C25E6C" w14:textId="77777777" w:rsidR="00C304AA" w:rsidRDefault="00C304AA" w:rsidP="00C304AA">
      <w:pPr>
        <w:pStyle w:val="Heading3"/>
        <w:ind w:left="964" w:hanging="964"/>
      </w:pPr>
      <w:r>
        <w:t>Habitat critical to the survival</w:t>
      </w:r>
    </w:p>
    <w:p w14:paraId="62CEE1C9" w14:textId="722906AC" w:rsidR="00C304AA" w:rsidRDefault="00FA6142" w:rsidP="00C304AA">
      <w:r>
        <w:t xml:space="preserve">Both </w:t>
      </w:r>
      <w:r w:rsidR="00CD5CF2">
        <w:t xml:space="preserve">rainforest and wet sclerophyll </w:t>
      </w:r>
      <w:r w:rsidR="00025E12">
        <w:t>forest</w:t>
      </w:r>
      <w:r w:rsidR="00CD5CF2">
        <w:t xml:space="preserve"> types are</w:t>
      </w:r>
      <w:r>
        <w:t xml:space="preserve"> </w:t>
      </w:r>
      <w:r w:rsidR="00CD5CF2">
        <w:t>critical for the survival of</w:t>
      </w:r>
      <w:r w:rsidR="35965241" w:rsidRPr="3857C1C5">
        <w:rPr>
          <w:i/>
          <w:iCs/>
        </w:rPr>
        <w:t xml:space="preserve"> </w:t>
      </w:r>
      <w:proofErr w:type="spellStart"/>
      <w:r w:rsidR="35965241" w:rsidRPr="3857C1C5">
        <w:rPr>
          <w:i/>
          <w:iCs/>
        </w:rPr>
        <w:t>Corokia</w:t>
      </w:r>
      <w:proofErr w:type="spellEnd"/>
      <w:r w:rsidR="35965241" w:rsidRPr="3857C1C5">
        <w:rPr>
          <w:i/>
          <w:iCs/>
        </w:rPr>
        <w:t xml:space="preserve"> </w:t>
      </w:r>
      <w:proofErr w:type="spellStart"/>
      <w:r w:rsidR="35965241" w:rsidRPr="3857C1C5">
        <w:rPr>
          <w:i/>
          <w:iCs/>
        </w:rPr>
        <w:t>whiteana</w:t>
      </w:r>
      <w:proofErr w:type="spellEnd"/>
      <w:r w:rsidR="00CD5CF2">
        <w:t xml:space="preserve">, particularly </w:t>
      </w:r>
      <w:r w:rsidR="28D732F7">
        <w:t>at ecotonal boundaries</w:t>
      </w:r>
      <w:r w:rsidR="00CD5CF2">
        <w:t xml:space="preserve"> on low nutrient soils. Other habitat types are open moist </w:t>
      </w:r>
      <w:r w:rsidR="5E83FC7A">
        <w:t>e</w:t>
      </w:r>
      <w:r w:rsidR="00CD5CF2" w:rsidRPr="00B153C6">
        <w:t>ucalypt</w:t>
      </w:r>
      <w:r w:rsidR="00CD5CF2">
        <w:t xml:space="preserve"> forest with a rainforest </w:t>
      </w:r>
      <w:r w:rsidR="00E13A6A">
        <w:t>understorey</w:t>
      </w:r>
      <w:r w:rsidR="00CD5CF2">
        <w:t xml:space="preserve">. </w:t>
      </w:r>
      <w:proofErr w:type="spellStart"/>
      <w:r w:rsidR="5B2DC86C" w:rsidRPr="3857C1C5">
        <w:rPr>
          <w:i/>
          <w:iCs/>
        </w:rPr>
        <w:t>Corokia</w:t>
      </w:r>
      <w:proofErr w:type="spellEnd"/>
      <w:r w:rsidR="5B2DC86C" w:rsidRPr="3857C1C5">
        <w:rPr>
          <w:i/>
          <w:iCs/>
        </w:rPr>
        <w:t xml:space="preserve"> </w:t>
      </w:r>
      <w:proofErr w:type="spellStart"/>
      <w:r w:rsidR="5B2DC86C" w:rsidRPr="3857C1C5">
        <w:rPr>
          <w:i/>
          <w:iCs/>
        </w:rPr>
        <w:t>whiteana</w:t>
      </w:r>
      <w:proofErr w:type="spellEnd"/>
      <w:r w:rsidR="5B2DC86C">
        <w:t xml:space="preserve"> </w:t>
      </w:r>
      <w:r w:rsidR="00CD5CF2">
        <w:t xml:space="preserve">subpopulations are </w:t>
      </w:r>
      <w:r w:rsidR="297C5428">
        <w:t xml:space="preserve">spatially patchy </w:t>
      </w:r>
      <w:r w:rsidR="00CD5CF2">
        <w:t>and may occur in</w:t>
      </w:r>
      <w:r w:rsidR="5ADACC11">
        <w:t xml:space="preserve"> </w:t>
      </w:r>
      <w:r w:rsidR="00CD5CF2">
        <w:t xml:space="preserve">habitats </w:t>
      </w:r>
      <w:r w:rsidR="184C4293">
        <w:t>not typically characteristic of rainforest taxa</w:t>
      </w:r>
      <w:r w:rsidR="00CD5CF2">
        <w:t xml:space="preserve"> (</w:t>
      </w:r>
      <w:r w:rsidR="00CD5CF2" w:rsidRPr="00B153C6">
        <w:t>coastal Eucalypt or Melaleuca forests</w:t>
      </w:r>
      <w:r w:rsidR="00CD5CF2">
        <w:t>)</w:t>
      </w:r>
      <w:r w:rsidR="00571C6E">
        <w:t xml:space="preserve">. </w:t>
      </w:r>
      <w:r w:rsidR="00971C10">
        <w:t>H</w:t>
      </w:r>
      <w:r w:rsidR="00CD5CF2">
        <w:t xml:space="preserve">abitat where species currently occur, or have </w:t>
      </w:r>
      <w:r>
        <w:t>occurred in the past</w:t>
      </w:r>
      <w:r w:rsidR="00CD5CF2">
        <w:t xml:space="preserve"> </w:t>
      </w:r>
      <w:r w:rsidR="00BD22A1">
        <w:t xml:space="preserve">(e.g., possibly Big Scrub, where rainforest was extensively cleared between Byron Bay and Lismore) </w:t>
      </w:r>
      <w:r w:rsidR="00CD5CF2">
        <w:t>should be considered critical to their survival</w:t>
      </w:r>
      <w:r>
        <w:t xml:space="preserve">. </w:t>
      </w:r>
    </w:p>
    <w:p w14:paraId="029CD2E5" w14:textId="77777777" w:rsidR="00C304AA" w:rsidRDefault="008A18B0" w:rsidP="00C304AA">
      <w:r w:rsidRPr="008A18B0">
        <w:t xml:space="preserve">No </w:t>
      </w:r>
      <w:r w:rsidR="00C304AA" w:rsidRPr="008A18B0">
        <w:t>Critical Habitat as defined under section 207A of the EPBC Act has been identified or included in the Register of Critical Habitat.</w:t>
      </w:r>
    </w:p>
    <w:p w14:paraId="55534FCA" w14:textId="77777777" w:rsidR="00B54C08" w:rsidRDefault="00C304AA" w:rsidP="00476948">
      <w:pPr>
        <w:pStyle w:val="Heading3"/>
      </w:pPr>
      <w:r w:rsidRPr="00476948">
        <w:rPr>
          <w:rFonts w:eastAsiaTheme="minorHAnsi"/>
        </w:rPr>
        <w:t>Important populations</w:t>
      </w:r>
    </w:p>
    <w:p w14:paraId="26B0D30B" w14:textId="77777777" w:rsidR="0044236D" w:rsidRDefault="0044236D" w:rsidP="0044236D">
      <w:r>
        <w:t xml:space="preserve">In this section, the word population is used to refer to subpopulation, in keeping with the terminology used in the EPBC Act and state/territory environmental legislation. </w:t>
      </w:r>
    </w:p>
    <w:p w14:paraId="689D1EBE" w14:textId="77777777" w:rsidR="0044236D" w:rsidRDefault="0044236D" w:rsidP="0044236D">
      <w:r>
        <w:t xml:space="preserve">Given the restricted distribution and small area of occupancy, every wild population should be considered important. </w:t>
      </w:r>
    </w:p>
    <w:p w14:paraId="261F885B" w14:textId="77777777" w:rsidR="00C304AA" w:rsidRDefault="00C304AA" w:rsidP="001E5131">
      <w:pPr>
        <w:pStyle w:val="Heading3"/>
        <w:ind w:left="964" w:hanging="964"/>
      </w:pPr>
      <w:r>
        <w:t>Threats</w:t>
      </w:r>
    </w:p>
    <w:p w14:paraId="2719EE2E" w14:textId="6D9A0068" w:rsidR="0044236D" w:rsidRDefault="0044236D" w:rsidP="0044236D">
      <w:bookmarkStart w:id="8" w:name="_Ref40886856"/>
      <w:r w:rsidRPr="00B67813">
        <w:t xml:space="preserve">The main identified threats to </w:t>
      </w:r>
      <w:proofErr w:type="spellStart"/>
      <w:r w:rsidR="5DFE64D4" w:rsidRPr="3857C1C5">
        <w:rPr>
          <w:i/>
          <w:iCs/>
        </w:rPr>
        <w:t>Corokia</w:t>
      </w:r>
      <w:proofErr w:type="spellEnd"/>
      <w:r w:rsidR="5DFE64D4" w:rsidRPr="3857C1C5">
        <w:rPr>
          <w:i/>
          <w:iCs/>
        </w:rPr>
        <w:t xml:space="preserve"> </w:t>
      </w:r>
      <w:proofErr w:type="spellStart"/>
      <w:r w:rsidR="5DFE64D4" w:rsidRPr="3857C1C5">
        <w:rPr>
          <w:i/>
          <w:iCs/>
        </w:rPr>
        <w:t>whiteana</w:t>
      </w:r>
      <w:proofErr w:type="spellEnd"/>
      <w:r w:rsidR="5DFE64D4">
        <w:t xml:space="preserve"> </w:t>
      </w:r>
      <w:r w:rsidRPr="00B67813">
        <w:t>are loss of habitat from clearing for urban expansion and agriculture</w:t>
      </w:r>
      <w:r w:rsidR="008B1DB2">
        <w:t>,</w:t>
      </w:r>
      <w:r w:rsidRPr="00B67813">
        <w:t xml:space="preserve"> risk of extinction caused by stochastic events</w:t>
      </w:r>
      <w:r w:rsidR="008B1DB2">
        <w:t>,</w:t>
      </w:r>
      <w:r w:rsidRPr="00B67813">
        <w:t xml:space="preserve"> inappropriate fire regimes</w:t>
      </w:r>
      <w:r w:rsidR="008B1DB2">
        <w:t>,</w:t>
      </w:r>
      <w:r w:rsidRPr="00B67813">
        <w:t xml:space="preserve"> and invasion of habitat by weeds (DECC, 2005). </w:t>
      </w:r>
      <w:r w:rsidR="008B1DB2">
        <w:t>History</w:t>
      </w:r>
      <w:r>
        <w:t xml:space="preserve"> of </w:t>
      </w:r>
      <w:r w:rsidR="00637F39">
        <w:t xml:space="preserve">timber </w:t>
      </w:r>
      <w:proofErr w:type="gramStart"/>
      <w:r w:rsidR="00637F39">
        <w:t>harvesting</w:t>
      </w:r>
      <w:proofErr w:type="gramEnd"/>
      <w:r>
        <w:t xml:space="preserve"> and land clearing is suspected of causing the current fragmentation between subpopulations (Quinn et al. 1995)</w:t>
      </w:r>
      <w:r w:rsidR="008B1DB2">
        <w:t>,</w:t>
      </w:r>
      <w:r w:rsidR="00637F39">
        <w:t xml:space="preserve"> though timber harvesting is no longer a threat as areas </w:t>
      </w:r>
      <w:r w:rsidR="008B1DB2">
        <w:t>that</w:t>
      </w:r>
      <w:r w:rsidR="00637F39">
        <w:t xml:space="preserve"> were previously NSW Forestry tenures are now Conservation Areas. </w:t>
      </w:r>
      <w:r>
        <w:t xml:space="preserve">The lack of monitoring, biological and ecological data </w:t>
      </w:r>
      <w:r w:rsidR="4EA51D6B">
        <w:t xml:space="preserve">makes it </w:t>
      </w:r>
      <w:r w:rsidR="1D4B3A96">
        <w:t xml:space="preserve">to </w:t>
      </w:r>
      <w:r w:rsidR="4EA51D6B">
        <w:t xml:space="preserve">identify </w:t>
      </w:r>
      <w:r>
        <w:t xml:space="preserve">existing threats as key knowledge gaps inhibit the ability to understand and predict threats and develop suitable recovery actions. </w:t>
      </w:r>
    </w:p>
    <w:p w14:paraId="32A3E315" w14:textId="3F835300" w:rsidR="00957A21" w:rsidRPr="004B6BF1" w:rsidRDefault="00957A21" w:rsidP="004B6BF1">
      <w:pPr>
        <w:pStyle w:val="Caption"/>
      </w:pPr>
      <w:r w:rsidRPr="004B6BF1">
        <w:lastRenderedPageBreak/>
        <w:t xml:space="preserve">Table </w:t>
      </w:r>
      <w:bookmarkEnd w:id="8"/>
      <w:r w:rsidR="0044236D" w:rsidRPr="004B6BF1">
        <w:t>2</w:t>
      </w:r>
      <w:r w:rsidRPr="004B6BF1">
        <w:t xml:space="preserve"> Threats </w:t>
      </w:r>
    </w:p>
    <w:p w14:paraId="544B5C64" w14:textId="166E29E9" w:rsidR="00D759FF" w:rsidRPr="00D759FF" w:rsidRDefault="003A4214" w:rsidP="00FE23C9">
      <w:r>
        <w:t xml:space="preserve">Threats in Table </w:t>
      </w:r>
      <w:r w:rsidR="0044236D">
        <w:t>2</w:t>
      </w:r>
      <w:r>
        <w:t xml:space="preserve"> are noted in approximate order of </w:t>
      </w:r>
      <w:r w:rsidR="009137FE">
        <w:t xml:space="preserve">highest to lowest </w:t>
      </w:r>
      <w:r w:rsidR="00C3331E">
        <w:t>impact, based on available evidence.</w:t>
      </w:r>
    </w:p>
    <w:tbl>
      <w:tblPr>
        <w:tblStyle w:val="TableGrid"/>
        <w:tblW w:w="0" w:type="auto"/>
        <w:tblLayout w:type="fixed"/>
        <w:tblLook w:val="04A0" w:firstRow="1" w:lastRow="0" w:firstColumn="1" w:lastColumn="0" w:noHBand="0" w:noVBand="1"/>
      </w:tblPr>
      <w:tblGrid>
        <w:gridCol w:w="1784"/>
        <w:gridCol w:w="3031"/>
        <w:gridCol w:w="4245"/>
      </w:tblGrid>
      <w:tr w:rsidR="0044236D" w:rsidRPr="009D7E68" w14:paraId="0E827D56" w14:textId="77777777" w:rsidTr="00F00EF6">
        <w:trPr>
          <w:cantSplit/>
          <w:tblHeader/>
        </w:trPr>
        <w:tc>
          <w:tcPr>
            <w:tcW w:w="1784" w:type="dxa"/>
          </w:tcPr>
          <w:p w14:paraId="12ACF285" w14:textId="77777777" w:rsidR="0044236D" w:rsidRPr="009D7E68" w:rsidRDefault="0044236D" w:rsidP="00F00EF6">
            <w:pPr>
              <w:pStyle w:val="TableHeading"/>
            </w:pPr>
            <w:r w:rsidRPr="009D7E68">
              <w:t>Threat factor</w:t>
            </w:r>
          </w:p>
        </w:tc>
        <w:tc>
          <w:tcPr>
            <w:tcW w:w="3031" w:type="dxa"/>
          </w:tcPr>
          <w:p w14:paraId="0FE09CE1" w14:textId="77777777" w:rsidR="0044236D" w:rsidRPr="009D7E68" w:rsidRDefault="0044236D" w:rsidP="00F00EF6">
            <w:pPr>
              <w:pStyle w:val="TableHeading"/>
            </w:pPr>
            <w:r w:rsidRPr="009D7E68">
              <w:t xml:space="preserve">Threat status and severity </w:t>
            </w:r>
            <w:r w:rsidRPr="009D7E68">
              <w:rPr>
                <w:rStyle w:val="Strong"/>
                <w:vertAlign w:val="superscript"/>
              </w:rPr>
              <w:t>a</w:t>
            </w:r>
          </w:p>
        </w:tc>
        <w:tc>
          <w:tcPr>
            <w:tcW w:w="4245" w:type="dxa"/>
          </w:tcPr>
          <w:p w14:paraId="36EF1EEF" w14:textId="77777777" w:rsidR="0044236D" w:rsidRPr="009D7E68" w:rsidRDefault="0044236D" w:rsidP="00F00EF6">
            <w:pPr>
              <w:pStyle w:val="TableHeading"/>
            </w:pPr>
            <w:r w:rsidRPr="009D7E68">
              <w:t>Evidence base</w:t>
            </w:r>
          </w:p>
        </w:tc>
      </w:tr>
      <w:tr w:rsidR="00A527AD" w:rsidRPr="009D7E68" w14:paraId="70C119EA" w14:textId="77777777" w:rsidTr="00F00EF6">
        <w:tc>
          <w:tcPr>
            <w:tcW w:w="9060" w:type="dxa"/>
            <w:gridSpan w:val="3"/>
          </w:tcPr>
          <w:p w14:paraId="29850FEF" w14:textId="67758A57" w:rsidR="00A527AD" w:rsidRDefault="00A527AD" w:rsidP="00F00EF6">
            <w:pPr>
              <w:pStyle w:val="TableText"/>
              <w:rPr>
                <w:lang w:eastAsia="ja-JP"/>
              </w:rPr>
            </w:pPr>
            <w:r>
              <w:t>Climate change and fire</w:t>
            </w:r>
          </w:p>
        </w:tc>
      </w:tr>
      <w:tr w:rsidR="0044236D" w:rsidRPr="009D7E68" w14:paraId="681C22A3" w14:textId="77777777" w:rsidTr="00F00EF6">
        <w:tc>
          <w:tcPr>
            <w:tcW w:w="1784" w:type="dxa"/>
          </w:tcPr>
          <w:p w14:paraId="5D92671D" w14:textId="77777777" w:rsidR="0044236D" w:rsidRDefault="0044236D" w:rsidP="00F00EF6">
            <w:pPr>
              <w:pStyle w:val="TableText"/>
            </w:pPr>
            <w:r>
              <w:t>Increased temperatures and changes in rainfall patterns</w:t>
            </w:r>
          </w:p>
        </w:tc>
        <w:tc>
          <w:tcPr>
            <w:tcW w:w="3031" w:type="dxa"/>
          </w:tcPr>
          <w:p w14:paraId="548AAE75" w14:textId="77777777" w:rsidR="0044236D" w:rsidRPr="009D7E68" w:rsidRDefault="0044236D" w:rsidP="00F00EF6">
            <w:pPr>
              <w:pStyle w:val="TableBullet1"/>
            </w:pPr>
            <w:r w:rsidRPr="009D7E68">
              <w:t>Timing: current</w:t>
            </w:r>
          </w:p>
          <w:p w14:paraId="6753A00F" w14:textId="77777777" w:rsidR="0044236D" w:rsidRPr="009D7E68" w:rsidRDefault="0044236D" w:rsidP="00F00EF6">
            <w:pPr>
              <w:pStyle w:val="TableBullet1"/>
            </w:pPr>
            <w:r w:rsidRPr="009D7E68">
              <w:t>Confidence: suspected</w:t>
            </w:r>
          </w:p>
          <w:p w14:paraId="0E304C53" w14:textId="4C01F611" w:rsidR="0044236D" w:rsidRPr="009D7E68" w:rsidRDefault="0044236D" w:rsidP="00F00EF6">
            <w:pPr>
              <w:pStyle w:val="TableBullet1"/>
            </w:pPr>
            <w:r w:rsidRPr="009D7E68">
              <w:t>Consequence:</w:t>
            </w:r>
            <w:r>
              <w:t xml:space="preserve"> </w:t>
            </w:r>
            <w:r w:rsidRPr="009D7E68">
              <w:t>m</w:t>
            </w:r>
            <w:r w:rsidR="00B340FC">
              <w:t>oderate</w:t>
            </w:r>
          </w:p>
          <w:p w14:paraId="6DECBCB4" w14:textId="77777777" w:rsidR="0044236D" w:rsidRPr="009D7E68" w:rsidRDefault="0044236D" w:rsidP="00F00EF6">
            <w:pPr>
              <w:pStyle w:val="TableBullet1"/>
            </w:pPr>
            <w:r w:rsidRPr="009D7E68">
              <w:t>Trend:</w:t>
            </w:r>
            <w:r>
              <w:t xml:space="preserve"> </w:t>
            </w:r>
            <w:r w:rsidRPr="009D7E68">
              <w:t>increasing</w:t>
            </w:r>
          </w:p>
          <w:p w14:paraId="2E103A35" w14:textId="77777777" w:rsidR="0044236D" w:rsidRPr="009D7E68" w:rsidRDefault="0044236D" w:rsidP="00F00EF6">
            <w:pPr>
              <w:pStyle w:val="TableBullet1"/>
            </w:pPr>
            <w:r w:rsidRPr="009D7E68">
              <w:t>Extent:</w:t>
            </w:r>
            <w:r>
              <w:t xml:space="preserve"> </w:t>
            </w:r>
            <w:r w:rsidRPr="009D7E68">
              <w:t xml:space="preserve">across the entire range </w:t>
            </w:r>
          </w:p>
        </w:tc>
        <w:tc>
          <w:tcPr>
            <w:tcW w:w="4245" w:type="dxa"/>
          </w:tcPr>
          <w:p w14:paraId="3F95BDA0" w14:textId="24347E0B" w:rsidR="0044236D" w:rsidRDefault="0044236D" w:rsidP="00F00EF6">
            <w:pPr>
              <w:pStyle w:val="TableText"/>
              <w:rPr>
                <w:lang w:eastAsia="ja-JP"/>
              </w:rPr>
            </w:pPr>
            <w:r>
              <w:rPr>
                <w:lang w:eastAsia="ja-JP"/>
              </w:rPr>
              <w:t>On the north coast region of NSW, there is a projected increase in minimum and maximum temperatures</w:t>
            </w:r>
            <w:r w:rsidR="00912DF5">
              <w:rPr>
                <w:lang w:eastAsia="ja-JP"/>
              </w:rPr>
              <w:t xml:space="preserve"> (</w:t>
            </w:r>
            <w:r w:rsidR="008B1DB2">
              <w:rPr>
                <w:lang w:eastAsia="ja-JP"/>
              </w:rPr>
              <w:t xml:space="preserve">an </w:t>
            </w:r>
            <w:r w:rsidR="00912DF5">
              <w:rPr>
                <w:lang w:eastAsia="ja-JP"/>
              </w:rPr>
              <w:t>increase of 0.4–1℃ by 2039 and 1.5–2.4℃ in the far future (2060-2079)</w:t>
            </w:r>
            <w:r>
              <w:rPr>
                <w:lang w:eastAsia="ja-JP"/>
              </w:rPr>
              <w:t xml:space="preserve"> and the number of hot days</w:t>
            </w:r>
            <w:r w:rsidR="008314B4">
              <w:rPr>
                <w:lang w:eastAsia="ja-JP"/>
              </w:rPr>
              <w:t xml:space="preserve"> </w:t>
            </w:r>
            <w:r w:rsidR="00912DF5">
              <w:rPr>
                <w:lang w:eastAsia="ja-JP"/>
              </w:rPr>
              <w:t>(above 35℃)</w:t>
            </w:r>
            <w:r>
              <w:rPr>
                <w:lang w:eastAsia="ja-JP"/>
              </w:rPr>
              <w:t xml:space="preserve">. Rainfall is projected to decrease in winter and increase in </w:t>
            </w:r>
            <w:r w:rsidR="00CC7B1E">
              <w:rPr>
                <w:lang w:eastAsia="ja-JP"/>
              </w:rPr>
              <w:t xml:space="preserve">autumn and spring </w:t>
            </w:r>
            <w:r>
              <w:rPr>
                <w:lang w:eastAsia="ja-JP"/>
              </w:rPr>
              <w:fldChar w:fldCharType="begin" w:fldLock="1"/>
            </w:r>
            <w:r w:rsidR="00B340FC">
              <w:rPr>
                <w:lang w:eastAsia="ja-JP"/>
              </w:rPr>
              <w:instrText>ADDIN CSL_CITATION {"citationItems":[{"id":"ITEM-1","itemData":{"ISSN":"1837–5650","abstract":"The climate change projections in this snapshot are from the NSW and ACT Regional Climate Modelling (NARCliM) project. NARCliM is a multi-agency research partnership between the NSW and ACT governments and the Climate Change Research Centre at the University of NSW. NSW Government funding comes from the Office of Environment and Heritage (OEH), Sydney Catchment Authority, Sydney Water, Hunter Water, NSW Office of Water, Transport for NSW, and the Department of Primary Industries. The NARCliM project has produced a suite of twelve regional climate projections for south-east Australia spanning the range of likely future changes in climate. NARCliM is explicitly designed to sample a large range of possible future climates. Over 100 climate variables, including temperature, rainfall and wind are available at fine resolution (10km and hourly intervals). The data can be used in impacts and adaptation research, and by local decision makers. The data is also available to the public and will help to better understand possible changes in NSW climate.","author":[{"dropping-particle":"","family":"NSW Government","given":"","non-dropping-particle":"","parse-names":false,"suffix":""}],"id":"ITEM-1","issued":{"date-parts":[["2014"]]},"number-of-pages":"18","title":"New South Wales Climate change snapshot","type":"report"},"uris":["http://www.mendeley.com/documents/?uuid=b5bfd83c-faf0-4eac-a3fa-36970eb15b1b"]}],"mendeley":{"formattedCitation":"(NSW Government 2014a)","plainTextFormattedCitation":"(NSW Government 2014a)","previouslyFormattedCitation":"(NSW Government 2014a)"},"properties":{"noteIndex":0},"schema":"https://github.com/citation-style-language/schema/raw/master/csl-citation.json"}</w:instrText>
            </w:r>
            <w:r>
              <w:rPr>
                <w:lang w:eastAsia="ja-JP"/>
              </w:rPr>
              <w:fldChar w:fldCharType="separate"/>
            </w:r>
            <w:r w:rsidR="00F303CB" w:rsidRPr="00F303CB">
              <w:rPr>
                <w:noProof/>
                <w:lang w:eastAsia="ja-JP"/>
              </w:rPr>
              <w:t>(NSW Government 2014a)</w:t>
            </w:r>
            <w:r>
              <w:rPr>
                <w:lang w:eastAsia="ja-JP"/>
              </w:rPr>
              <w:fldChar w:fldCharType="end"/>
            </w:r>
            <w:r>
              <w:rPr>
                <w:lang w:eastAsia="ja-JP"/>
              </w:rPr>
              <w:t xml:space="preserve">. </w:t>
            </w:r>
          </w:p>
          <w:p w14:paraId="6E9869B4" w14:textId="02C9CAAC" w:rsidR="0044236D" w:rsidRPr="009D7E68" w:rsidRDefault="0044236D" w:rsidP="00F00EF6">
            <w:pPr>
              <w:pStyle w:val="TableText"/>
              <w:rPr>
                <w:color w:val="1F497D" w:themeColor="text2"/>
              </w:rPr>
            </w:pPr>
            <w:r w:rsidRPr="00274480">
              <w:t xml:space="preserve">Such changes in climate </w:t>
            </w:r>
            <w:r w:rsidR="00F73455">
              <w:t>are currently occurring and projected to increase in the future. These changes are</w:t>
            </w:r>
            <w:r w:rsidRPr="00274480">
              <w:t xml:space="preserve"> caus</w:t>
            </w:r>
            <w:r w:rsidR="00F73455">
              <w:t>ing</w:t>
            </w:r>
            <w:r w:rsidRPr="00274480">
              <w:t xml:space="preserve"> widespread plant mortality in forest ecosystems, as many plants are vulnerable to drought stress</w:t>
            </w:r>
            <w:r>
              <w:t xml:space="preserve"> </w:t>
            </w:r>
            <w:r w:rsidRPr="00274480">
              <w:t xml:space="preserve">and hydraulic failure </w:t>
            </w:r>
            <w:r>
              <w:fldChar w:fldCharType="begin" w:fldLock="1"/>
            </w:r>
            <w: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Management","id":"ITEM-1","issue":"4","issued":{"date-parts":[["2010"]]},"page":"660-684","title":"A global overview of drought and heat-induced tree mortality reveals emerging climate change risks for forests","type":"article-journal","volume":"259"},"uris":["http://www.mendeley.com/documents/?uuid=ea1f3fe1-c8b5-4b7a-8492-73a75f9ac3fa"]},{"id":"ITEM-2","itemData":{"DOI":"10.1038/nature11688","ISSN":"00280836","PMID":"23172141","abstract":"Shifts in rainfall patterns and increasing temperatures associated with climate change are likely to cause widespread forest decline in regions where droughts are predicted to increase in duration and severity. One primary cause of productivity loss and plant mortality during drought is hydraulic failure. Drought stress creates trapped gas emboli in the water transport system, which reduces the ability of plants to supply water to leaves for photosynthetic gas exchange and can ultimately result in desiccation and mortality. At present we lack a clear picture of how thresholds to hydraulic failure vary across a broad range of species and environments, despite many individual experiments. Here we draw together published and unpublished data on the vulnerability of the transport system to drought-induced embolism for a large number of woody species, with a view to examining the likely consequences of climate change for forest biomes. We show that 70% of 226 forest species from 81 sites worldwide operate with narrow (&lt;1a megapascal) hydraulic safety margins against injurious levels of drought stress and therefore potentially face long-term reductions in productivity and survival if temperature and aridity increase as predicted for many regions across the globe. Safety margins are largely independent of mean annual precipitation, showing that there is global convergence in the vulnerability of forests to drought, with all forest biomes equally vulnerable to hydraulic failure regardless of their current rainfall environment. These findings provide insight into why drought-induced forest decline is occurring not only in arid regions but also in wet forests not normally considered at drought risk. © 2012 Macmillan Publishers Limited. All rights reserved.","author":[{"dropping-particle":"","family":"Choat","given":"Brendan","non-dropping-particle":"","parse-names":false,"suffix":""},{"dropping-particle":"","family":"Jansen","given":"Steven","non-dropping-particle":"","parse-names":false,"suffix":""},{"dropping-particle":"","family":"Brodribb","given":"Tim J.","non-dropping-particle":"","parse-names":false,"suffix":""},{"dropping-particle":"","family":"Cochard","given":"Hervé","non-dropping-particle":"","parse-names":false,"suffix":""},{"dropping-particle":"","family":"Delzon","given":"Sylvain","non-dropping-particle":"","parse-names":false,"suffix":""},{"dropping-particle":"","family":"Bhaskar","given":"Radika","non-dropping-particle":"","parse-names":false,"suffix":""},{"dropping-particle":"","family":"Bucci","given":"Sandra J.","non-dropping-particle":"","parse-names":false,"suffix":""},{"dropping-particle":"","family":"Feild","given":"Taylor S.","non-dropping-particle":"","parse-names":false,"suffix":""},{"dropping-particle":"","family":"Gleason","given":"Sean M.","non-dropping-particle":"","parse-names":false,"suffix":""},{"dropping-particle":"","family":"Hacke","given":"Uwe G.","non-dropping-particle":"","parse-names":false,"suffix":""},{"dropping-particle":"","family":"Jacobsen","given":"Anna L.","non-dropping-particle":"","parse-names":false,"suffix":""},{"dropping-particle":"","family":"Lens","given":"Frederic","non-dropping-particle":"","parse-names":false,"suffix":""},{"dropping-particle":"","family":"Maherali","given":"Hafiz","non-dropping-particle":"","parse-names":false,"suffix":""},{"dropping-particle":"","family":"Martínez-Vilalta","given":"Jordi","non-dropping-particle":"","parse-names":false,"suffix":""},{"dropping-particle":"","family":"Mayr","given":"Stefan","non-dropping-particle":"","parse-names":false,"suffix":""},{"dropping-particle":"","family":"Mencuccini","given":"Maurizio","non-dropping-particle":"","parse-names":false,"suffix":""},{"dropping-particle":"","family":"Mitchell","given":"Patrick J.","non-dropping-particle":"","parse-names":false,"suffix":""},{"dropping-particle":"","family":"Nardini","given":"Andrea","non-dropping-particle":"","parse-names":false,"suffix":""},{"dropping-particle":"","family":"Pittermann","given":"Jarmila","non-dropping-particle":"","parse-names":false,"suffix":""},{"dropping-particle":"","family":"Pratt","given":"R. Brandon","non-dropping-particle":"","parse-names":false,"suffix":""},{"dropping-particle":"","family":"Sperry","given":"John S.","non-dropping-particle":"","parse-names":false,"suffix":""},{"dropping-particle":"","family":"Westoby","given":"Mark","non-dropping-particle":"","parse-names":false,"suffix":""},{"dropping-particle":"","family":"Wright","given":"Ian J.","non-dropping-particle":"","parse-names":false,"suffix":""},{"dropping-particle":"","family":"Zanne","given":"Amy E.","non-dropping-particle":"","parse-names":false,"suffix":""}],"container-title":"Nature","id":"ITEM-2","issue":"7426","issued":{"date-parts":[["2012"]]},"page":"752-755","title":"Global convergence in the vulnerability of forests to drought","type":"article-journal","volume":"491"},"uris":["http://www.mendeley.com/documents/?uuid=baca1928-082b-4281-88d0-825aed380605"]}],"mendeley":{"formattedCitation":"(Allen et al. 2010, Choat et al. 2012)","plainTextFormattedCitation":"(Allen et al. 2010, Choat et al. 2012)","previouslyFormattedCitation":"(Allen et al. 2010, Choat et al. 2012)"},"properties":{"noteIndex":0},"schema":"https://github.com/citation-style-language/schema/raw/master/csl-citation.json"}</w:instrText>
            </w:r>
            <w:r>
              <w:fldChar w:fldCharType="separate"/>
            </w:r>
            <w:r w:rsidRPr="005E1712">
              <w:rPr>
                <w:noProof/>
              </w:rPr>
              <w:t>(Allen et al. 2010, Choat et al. 2012)</w:t>
            </w:r>
            <w:r>
              <w:fldChar w:fldCharType="end"/>
            </w:r>
            <w:r>
              <w:t xml:space="preserve">. There are no experimental or modelled responses for </w:t>
            </w:r>
            <w:proofErr w:type="spellStart"/>
            <w:r w:rsidR="75A48FB2" w:rsidRPr="3857C1C5">
              <w:rPr>
                <w:i/>
                <w:iCs/>
              </w:rPr>
              <w:t>Corokia</w:t>
            </w:r>
            <w:proofErr w:type="spellEnd"/>
            <w:r w:rsidR="75A48FB2" w:rsidRPr="3857C1C5">
              <w:rPr>
                <w:i/>
                <w:iCs/>
              </w:rPr>
              <w:t xml:space="preserve"> </w:t>
            </w:r>
            <w:proofErr w:type="spellStart"/>
            <w:r w:rsidR="75A48FB2" w:rsidRPr="3857C1C5">
              <w:rPr>
                <w:i/>
                <w:iCs/>
              </w:rPr>
              <w:t>whiteana</w:t>
            </w:r>
            <w:proofErr w:type="spellEnd"/>
            <w:r>
              <w:t xml:space="preserve"> to altered rainfall patterns</w:t>
            </w:r>
            <w:r w:rsidR="008B1DB2">
              <w:t>,</w:t>
            </w:r>
            <w:r>
              <w:t xml:space="preserve"> though it may exhibit some drought tolerance, similar to a related species, </w:t>
            </w:r>
            <w:r w:rsidRPr="007803FC">
              <w:rPr>
                <w:i/>
                <w:iCs/>
              </w:rPr>
              <w:t xml:space="preserve">C. </w:t>
            </w:r>
            <w:proofErr w:type="spellStart"/>
            <w:r w:rsidRPr="007803FC">
              <w:rPr>
                <w:i/>
                <w:iCs/>
              </w:rPr>
              <w:t>buddleioides</w:t>
            </w:r>
            <w:proofErr w:type="spellEnd"/>
            <w:r>
              <w:t xml:space="preserve"> from New Zealand </w:t>
            </w:r>
            <w:r>
              <w:fldChar w:fldCharType="begin" w:fldLock="1"/>
            </w:r>
            <w:r>
              <w:instrText>ADDIN CSL_CITATION {"citationItems":[{"id":"ITEM-1","itemData":{"DOI":"10.1093/treephys/tpt095","ISSN":"0829318X","PMID":"24299988","abstract":"Water availability has long been recognized as an important driver of species distribution patterns in forests. The conifer Agathis australis (D. Don) Lindl. (kauri; Araucariaceae) grows in the species-rich forests of northern New Zealand. It is accompanied by distinctive species assemblages, and during summer the soil beneath A. australis is often significantly drier than soils beneath surrounding broadleaved angiosperm canopy species. We used a shade house dry-down experiment to determine whether species that grow close to A. australis differed in drought tolerance physiology compared with species that rarely grow close to A. australis. Stomatal conductance (gs) was plotted against leaf water potential to identify drought tolerance strategies. Seedlings of species that occur in close spatial association with A. australis (including A. australis seedlings) were most resistant to drought stress, and all displayed a drought avoidance strategy of either declining gs to maintain or simultaneous declines in gs and The species not commonly occurring beneath A. australis, but abundant in the surrounding forest, were the most drought-sensitive species and succumbed relatively quickly to drought-induced mortality with rapidly declining gs and values. These results were confirmed with diurnal measurements of gs and assimilation rates throughout the day, and leaf wilting analysis. We conclude that the varied abilities of the species to survive periods of drought stress as seedlings shapes the composition of the plant communities beneath A. australis trees. Furthermore, forest diversity may be impacted by climate change as the predicted intensification of droughts in northern New Zealand is likely to select for drought-tolerant species over drought-intolerant species. © 2013 The Author 2013. Published by Oxford University Press. All rights reserved.","author":[{"dropping-particle":"V.","family":"Wyse","given":"Sarah","non-dropping-particle":"","parse-names":false,"suffix":""},{"dropping-particle":"","family":"Macinnis-Ng","given":"Catriona M.O.","non-dropping-particle":"","parse-names":false,"suffix":""},{"dropping-particle":"","family":"Burns","given":"Bruce R.","non-dropping-particle":"","parse-names":false,"suffix":""},{"dropping-particle":"","family":"Clearwater","given":"Michael J.","non-dropping-particle":"","parse-names":false,"suffix":""},{"dropping-particle":"","family":"Schwendenmann","given":"Luitgard","non-dropping-particle":"","parse-names":false,"suffix":""}],"container-title":"Tree Physiology","id":"ITEM-1","issue":"12","issued":{"date-parts":[["2013"]]},"page":"1269-1283","title":"Species assemblage patterns around a dominant emergent tree are associated with drought resistance","type":"article-journal","volume":"33"},"uris":["http://www.mendeley.com/documents/?uuid=a36a84ab-6966-48d1-ac5a-e21e13df12e5"]}],"mendeley":{"formattedCitation":"(Wyse et al. 2013)","plainTextFormattedCitation":"(Wyse et al. 2013)","previouslyFormattedCitation":"(Wyse et al. 2013)"},"properties":{"noteIndex":0},"schema":"https://github.com/citation-style-language/schema/raw/master/csl-citation.json"}</w:instrText>
            </w:r>
            <w:r>
              <w:fldChar w:fldCharType="separate"/>
            </w:r>
            <w:r w:rsidRPr="00775233">
              <w:rPr>
                <w:noProof/>
              </w:rPr>
              <w:t>(Wyse et al. 2013)</w:t>
            </w:r>
            <w:r>
              <w:fldChar w:fldCharType="end"/>
            </w:r>
            <w:r w:rsidR="00EB24DC">
              <w:t xml:space="preserve">. Distributional or ecotone shifts in vegetation </w:t>
            </w:r>
            <w:proofErr w:type="gramStart"/>
            <w:r w:rsidR="00EB24DC">
              <w:t>as a result of</w:t>
            </w:r>
            <w:proofErr w:type="gramEnd"/>
            <w:r w:rsidR="00EB24DC">
              <w:t xml:space="preserve"> climate change may further isolate subpopulations of </w:t>
            </w:r>
            <w:proofErr w:type="spellStart"/>
            <w:r w:rsidR="00EB24DC" w:rsidRPr="00A060E9">
              <w:rPr>
                <w:i/>
                <w:iCs/>
              </w:rPr>
              <w:t>Corokia</w:t>
            </w:r>
            <w:proofErr w:type="spellEnd"/>
            <w:r w:rsidR="00EB24DC" w:rsidRPr="00A060E9">
              <w:rPr>
                <w:i/>
                <w:iCs/>
              </w:rPr>
              <w:t xml:space="preserve"> </w:t>
            </w:r>
            <w:proofErr w:type="spellStart"/>
            <w:r w:rsidR="00EB24DC" w:rsidRPr="00A060E9">
              <w:rPr>
                <w:i/>
                <w:iCs/>
              </w:rPr>
              <w:t>whiteana</w:t>
            </w:r>
            <w:proofErr w:type="spellEnd"/>
            <w:r w:rsidR="008B1DB2">
              <w:rPr>
                <w:i/>
                <w:iCs/>
              </w:rPr>
              <w:t>,</w:t>
            </w:r>
            <w:r w:rsidR="005C0D9B">
              <w:rPr>
                <w:i/>
                <w:iCs/>
              </w:rPr>
              <w:t xml:space="preserve"> </w:t>
            </w:r>
            <w:r w:rsidR="005C0D9B" w:rsidRPr="00A060E9">
              <w:t>putting the species at greater risk of subpopulation loss</w:t>
            </w:r>
            <w:r w:rsidR="00EB24DC" w:rsidRPr="00A060E9">
              <w:t>.</w:t>
            </w:r>
            <w:r w:rsidR="00EB24DC">
              <w:rPr>
                <w:i/>
                <w:iCs/>
              </w:rPr>
              <w:t xml:space="preserve"> </w:t>
            </w:r>
          </w:p>
        </w:tc>
      </w:tr>
      <w:tr w:rsidR="0044236D" w:rsidRPr="009D7E68" w14:paraId="4E0FD5FA" w14:textId="77777777" w:rsidTr="00F00EF6">
        <w:tc>
          <w:tcPr>
            <w:tcW w:w="1784" w:type="dxa"/>
          </w:tcPr>
          <w:p w14:paraId="4E47E969" w14:textId="01933A86" w:rsidR="0044236D" w:rsidRPr="009D7E68" w:rsidRDefault="00113B98" w:rsidP="00F00EF6">
            <w:pPr>
              <w:pStyle w:val="TableText"/>
            </w:pPr>
            <w:r>
              <w:t>I</w:t>
            </w:r>
            <w:r w:rsidR="0044236D">
              <w:t>ncreasing fire frequency and intensity</w:t>
            </w:r>
          </w:p>
        </w:tc>
        <w:tc>
          <w:tcPr>
            <w:tcW w:w="3031" w:type="dxa"/>
          </w:tcPr>
          <w:p w14:paraId="37D22EEC" w14:textId="77777777" w:rsidR="0044236D" w:rsidRPr="009D7E68" w:rsidRDefault="0044236D" w:rsidP="00F00EF6">
            <w:pPr>
              <w:pStyle w:val="TableBullet1"/>
            </w:pPr>
            <w:r w:rsidRPr="009D7E68">
              <w:t>Timing: current/future</w:t>
            </w:r>
          </w:p>
          <w:p w14:paraId="155EDC0B" w14:textId="77777777" w:rsidR="0044236D" w:rsidRPr="009D7E68" w:rsidRDefault="0044236D" w:rsidP="00F00EF6">
            <w:pPr>
              <w:pStyle w:val="TableBullet1"/>
            </w:pPr>
            <w:r w:rsidRPr="009D7E68">
              <w:t>Confidence: suspected</w:t>
            </w:r>
          </w:p>
          <w:p w14:paraId="732C5055" w14:textId="77777777" w:rsidR="0044236D" w:rsidRPr="009D7E68" w:rsidRDefault="0044236D" w:rsidP="00F00EF6">
            <w:pPr>
              <w:pStyle w:val="TableBullet1"/>
            </w:pPr>
            <w:r w:rsidRPr="009D7E68">
              <w:t>Consequence: moderate</w:t>
            </w:r>
          </w:p>
          <w:p w14:paraId="0612D1E1" w14:textId="77777777" w:rsidR="0044236D" w:rsidRPr="009D7E68" w:rsidRDefault="0044236D" w:rsidP="00F00EF6">
            <w:pPr>
              <w:pStyle w:val="TableBullet1"/>
            </w:pPr>
            <w:r w:rsidRPr="009D7E68">
              <w:t>Trend: increasing</w:t>
            </w:r>
          </w:p>
          <w:p w14:paraId="1B0A681A" w14:textId="77777777" w:rsidR="0044236D" w:rsidRPr="009D7E68" w:rsidRDefault="0044236D" w:rsidP="00F00EF6">
            <w:pPr>
              <w:pStyle w:val="TableBullet1"/>
            </w:pPr>
            <w:r w:rsidRPr="009D7E68">
              <w:t xml:space="preserve">Extent: across part of its range </w:t>
            </w:r>
          </w:p>
          <w:p w14:paraId="79486C3B" w14:textId="77777777" w:rsidR="0044236D" w:rsidRPr="009D7E68" w:rsidRDefault="0044236D" w:rsidP="00F00EF6">
            <w:pPr>
              <w:pStyle w:val="TableText"/>
            </w:pPr>
          </w:p>
        </w:tc>
        <w:tc>
          <w:tcPr>
            <w:tcW w:w="4245" w:type="dxa"/>
          </w:tcPr>
          <w:p w14:paraId="6A6D1BE0" w14:textId="49778FD2" w:rsidR="0044236D" w:rsidRPr="00EA7A60" w:rsidRDefault="0044236D" w:rsidP="00F00EF6">
            <w:pPr>
              <w:pStyle w:val="TableText"/>
            </w:pPr>
            <w:r w:rsidRPr="00EA7A60">
              <w:t xml:space="preserve">There </w:t>
            </w:r>
            <w:r w:rsidR="00F677A9">
              <w:t>are</w:t>
            </w:r>
            <w:r w:rsidR="00F677A9" w:rsidRPr="00EA7A60">
              <w:t xml:space="preserve"> </w:t>
            </w:r>
            <w:r w:rsidRPr="00EA7A60">
              <w:t xml:space="preserve">no data on how </w:t>
            </w:r>
            <w:proofErr w:type="spellStart"/>
            <w:r w:rsidR="520A840E" w:rsidRPr="3857C1C5">
              <w:rPr>
                <w:i/>
                <w:iCs/>
              </w:rPr>
              <w:t>Corokia</w:t>
            </w:r>
            <w:proofErr w:type="spellEnd"/>
            <w:r w:rsidR="520A840E" w:rsidRPr="3857C1C5">
              <w:rPr>
                <w:i/>
                <w:iCs/>
              </w:rPr>
              <w:t xml:space="preserve"> </w:t>
            </w:r>
            <w:proofErr w:type="spellStart"/>
            <w:r w:rsidR="520A840E" w:rsidRPr="3857C1C5">
              <w:rPr>
                <w:i/>
                <w:iCs/>
              </w:rPr>
              <w:t>whiteana</w:t>
            </w:r>
            <w:proofErr w:type="spellEnd"/>
            <w:r w:rsidR="520A840E">
              <w:t xml:space="preserve"> </w:t>
            </w:r>
            <w:r w:rsidRPr="00EA7A60">
              <w:t xml:space="preserve">responds to </w:t>
            </w:r>
            <w:r>
              <w:t xml:space="preserve">different intensity </w:t>
            </w:r>
            <w:r w:rsidRPr="00EA7A60">
              <w:t>fire</w:t>
            </w:r>
            <w:r>
              <w:t>s</w:t>
            </w:r>
            <w:r w:rsidRPr="00EA7A60">
              <w:t xml:space="preserve">. </w:t>
            </w:r>
            <w:r>
              <w:t xml:space="preserve">Wet sclerophyll forests in northern NSW can </w:t>
            </w:r>
            <w:r w:rsidRPr="005C0D9B">
              <w:t>carry high fuel loads</w:t>
            </w:r>
            <w:r>
              <w:t xml:space="preserve"> (up to 50t/ha)</w:t>
            </w:r>
            <w:r w:rsidR="008B1DB2">
              <w:t>,</w:t>
            </w:r>
            <w:r>
              <w:t xml:space="preserve"> which, because of moisture levels, do not usually carry </w:t>
            </w:r>
            <w:r w:rsidR="00571C6E">
              <w:t>low-intensity</w:t>
            </w:r>
            <w:r w:rsidR="0096495B">
              <w:t xml:space="preserve"> </w:t>
            </w:r>
            <w:r>
              <w:t xml:space="preserve">fires but will support very </w:t>
            </w:r>
            <w:r w:rsidR="008B1DB2">
              <w:t>high-intensity</w:t>
            </w:r>
            <w:r>
              <w:t xml:space="preserve"> fires after a period of drought </w:t>
            </w:r>
            <w:r>
              <w:fldChar w:fldCharType="begin" w:fldLock="1"/>
            </w:r>
            <w:r>
              <w:instrText>ADDIN CSL_CITATION {"citationItems":[{"id":"ITEM-1","itemData":{"author":[{"dropping-particle":"","family":"Kingston","given":"MB","non-dropping-particle":"","parse-names":false,"suffix":""},{"dropping-particle":"","family":"Turnbull","given":"JW","non-dropping-particle":"","parse-names":false,"suffix":""},{"dropping-particle":"","family":"Hall","given":"PW","non-dropping-particle":"","parse-names":false,"suffix":""}],"id":"ITEM-1","issued":{"date-parts":[["2004"]]},"number-of-pages":"148","publisher-place":"Murwillumbah","title":"Tweed Vegetation Management Strategy","type":"report"},"uris":["http://www.mendeley.com/documents/?uuid=5cf59d2f-a669-4b53-bf64-4f4384f34ccc"]}],"mendeley":{"formattedCitation":"(Kingston et al. 2004)","plainTextFormattedCitation":"(Kingston et al. 2004)","previouslyFormattedCitation":"(Kingston et al. 2004)"},"properties":{"noteIndex":0},"schema":"https://github.com/citation-style-language/schema/raw/master/csl-citation.json"}</w:instrText>
            </w:r>
            <w:r>
              <w:fldChar w:fldCharType="separate"/>
            </w:r>
            <w:r w:rsidRPr="00942337">
              <w:rPr>
                <w:noProof/>
              </w:rPr>
              <w:t>(Kingston et al. 2004)</w:t>
            </w:r>
            <w:r>
              <w:fldChar w:fldCharType="end"/>
            </w:r>
            <w:r>
              <w:t xml:space="preserve">. </w:t>
            </w:r>
          </w:p>
          <w:p w14:paraId="76D357BC" w14:textId="0ED48098" w:rsidR="0044236D" w:rsidRDefault="0044236D" w:rsidP="00F00EF6">
            <w:pPr>
              <w:pStyle w:val="TableText"/>
            </w:pPr>
            <w:r w:rsidRPr="00EA7A60">
              <w:t xml:space="preserve">The 2019-20 bushfires overlapped with eight percent of the modelled range for </w:t>
            </w:r>
            <w:proofErr w:type="spellStart"/>
            <w:r w:rsidR="3A2BD926" w:rsidRPr="3857C1C5">
              <w:rPr>
                <w:i/>
                <w:iCs/>
              </w:rPr>
              <w:t>Corokia</w:t>
            </w:r>
            <w:proofErr w:type="spellEnd"/>
            <w:r w:rsidR="3A2BD926" w:rsidRPr="3857C1C5">
              <w:rPr>
                <w:i/>
                <w:iCs/>
              </w:rPr>
              <w:t xml:space="preserve"> </w:t>
            </w:r>
            <w:proofErr w:type="spellStart"/>
            <w:r w:rsidR="3A2BD926" w:rsidRPr="3857C1C5">
              <w:rPr>
                <w:i/>
                <w:iCs/>
              </w:rPr>
              <w:t>whiteana</w:t>
            </w:r>
            <w:proofErr w:type="spellEnd"/>
            <w:r>
              <w:t>.</w:t>
            </w:r>
            <w:r w:rsidRPr="00EA7A60">
              <w:t xml:space="preserve"> Three percent overlapped with high severity fire areas and 0.1</w:t>
            </w:r>
            <w:r w:rsidR="007D296C">
              <w:t xml:space="preserve"> percent</w:t>
            </w:r>
            <w:r w:rsidR="0044257E">
              <w:t xml:space="preserve"> </w:t>
            </w:r>
            <w:r w:rsidRPr="00EA7A60">
              <w:t xml:space="preserve">at very high severity fire areas </w:t>
            </w:r>
            <w:r w:rsidRPr="00EA7A60">
              <w:fldChar w:fldCharType="begin" w:fldLock="1"/>
            </w:r>
            <w:r>
              <w:instrText>ADDIN CSL_CITATION {"citationItems":[{"id":"ITEM-1","itemData":{"DOI":"10.1111/ddi.13265","ISSN":"14724642","abstract":"Aim: To quantify the impact of the 2019–2020 megafires on Australian plant diversity by assessing burnt area across 26,062 species ranges and the effects of fire history on recovery potential. Further, to exemplify a strategic approach to prioritizing plant species affected by fire for recovery actions and conservation planning at a national scale. Location: Australia. Methods: We combine data on geographic range, fire extent, response traits and fire history to assess the proportion of species ranges burnt in both the 2019–2020 fires and the past. Results: Across Australia, suitable habitat for 69% of all plant species was burnt (17,197 species) by the 2019–2020 fires and herbarium specimens confirm the presence of 9,092 of these species across the fire extent since 1950. Burnt ranges include those of 587 plants listed as threatened under national legislation (44% of Australia's threatened plants). A total of 3,998 of the 17,197 fire-affected species are known to resprout after fire, but at least 2,928 must complete their entire life cycle—from germinant to reproducing adult—prior to subsequent fires, as they are killed by fire. Data on previous fires show that, for 257 species, the historical intervals between fire events across their range are likely too short to allow regeneration. For a further 411 species, future fires during recovery will increase extinction risk as current populations are dominated by immature individuals. Main conclusion: Many Australian plant species have strategies to persist under certain fire regimes, and will recover given time, suitable conditions and low exposure to threats. However, short fire intervals both before and after the 2019–2020 fire season pose a serious risk to the recovery of at least 595 species. Persistent knowledge gaps about species fire response and post-fire population persistence threaten the effective long-term management of Australian vegetation in an increasingly pyric world.","author":[{"dropping-particle":"V.","family":"Gallagher","given":"Rachael","non-dropping-particle":"","parse-names":false,"suffix":""},{"dropping-particle":"","family":"Allen","given":"Stuart","non-dropping-particle":"","parse-names":false,"suffix":""},{"dropping-particle":"","family":"Mackenzie","given":"Berin D.E.","non-dropping-particle":"","parse-names":false,"suffix":""},{"dropping-particle":"","family":"Yates","given":"Colin J.","non-dropping-particle":"","parse-names":false,"suffix":""},{"dropping-particle":"","family":"Gosper","given":"Carl R.","non-dropping-particle":"","parse-names":false,"suffix":""},{"dropping-particle":"","family":"Keith","given":"David A.","non-dropping-particle":"","parse-names":false,"suffix":""},{"dropping-particle":"","family":"Merow","given":"Cory","non-dropping-particle":"","parse-names":false,"suffix":""},{"dropping-particle":"","family":"White","given":"Matthew D.","non-dropping-particle":"","parse-names":false,"suffix":""},{"dropping-particle":"","family":"Wenk","given":"Elizabeth","non-dropping-particle":"","parse-names":false,"suffix":""},{"dropping-particle":"","family":"Maitner","given":"Brian S.","non-dropping-particle":"","parse-names":false,"suffix":""},{"dropping-particle":"","family":"He","given":"Kang","non-dropping-particle":"","parse-names":false,"suffix":""},{"dropping-particle":"","family":"Adams","given":"Vanessa M.","non-dropping-particle":"","parse-names":false,"suffix":""},{"dropping-particle":"","family":"Auld","given":"Tony D.","non-dropping-particle":"","parse-names":false,"suffix":""}],"container-title":"Diversity and Distributions","id":"ITEM-1","issue":"7","issued":{"date-parts":[["2021"]]},"page":"1166-1179","title":"High fire frequency and the impact of the 2019–2020 megafires on Australian plant diversity","type":"article-journal","volume":"27"},"uris":["http://www.mendeley.com/documents/?uuid=3d43ab64-bd58-4111-9278-0fee3c0d4355"]}],"mendeley":{"formattedCitation":"(Gallagher et al. 2021)","plainTextFormattedCitation":"(Gallagher et al. 2021)","previouslyFormattedCitation":"(Gallagher et al. 2021)"},"properties":{"noteIndex":0},"schema":"https://github.com/citation-style-language/schema/raw/master/csl-citation.json"}</w:instrText>
            </w:r>
            <w:r w:rsidRPr="00EA7A60">
              <w:fldChar w:fldCharType="separate"/>
            </w:r>
            <w:r w:rsidRPr="00EA7A60">
              <w:rPr>
                <w:noProof/>
              </w:rPr>
              <w:t>(Gallagher et al. 2021)</w:t>
            </w:r>
            <w:r w:rsidRPr="00EA7A60">
              <w:fldChar w:fldCharType="end"/>
            </w:r>
            <w:r w:rsidRPr="00EA7A60">
              <w:t>.</w:t>
            </w:r>
            <w:r>
              <w:t xml:space="preserve"> Whilst no post-fire surveys have been conducted specifically for the species, observations of post-fire regrowth from undamaged stems or from </w:t>
            </w:r>
            <w:r w:rsidR="008B1DB2">
              <w:t>rootstock</w:t>
            </w:r>
            <w:r>
              <w:t xml:space="preserve"> has been observed after light to medium fires (Robert </w:t>
            </w:r>
            <w:proofErr w:type="spellStart"/>
            <w:r>
              <w:t>Kooyman</w:t>
            </w:r>
            <w:proofErr w:type="spellEnd"/>
            <w:r>
              <w:t xml:space="preserve"> and Andrew </w:t>
            </w:r>
            <w:proofErr w:type="spellStart"/>
            <w:r>
              <w:t>Benwell</w:t>
            </w:r>
            <w:proofErr w:type="spellEnd"/>
            <w:r>
              <w:t xml:space="preserve"> </w:t>
            </w:r>
            <w:r w:rsidR="00971C10">
              <w:t>2021. pers</w:t>
            </w:r>
            <w:r>
              <w:t xml:space="preserve"> comm 28 July), though </w:t>
            </w:r>
            <w:proofErr w:type="spellStart"/>
            <w:r w:rsidR="28007A3E" w:rsidRPr="3857C1C5">
              <w:rPr>
                <w:i/>
                <w:iCs/>
              </w:rPr>
              <w:t>Corokia</w:t>
            </w:r>
            <w:proofErr w:type="spellEnd"/>
            <w:r w:rsidR="28007A3E" w:rsidRPr="3857C1C5">
              <w:rPr>
                <w:i/>
                <w:iCs/>
              </w:rPr>
              <w:t xml:space="preserve"> </w:t>
            </w:r>
            <w:proofErr w:type="spellStart"/>
            <w:r w:rsidR="28007A3E" w:rsidRPr="3857C1C5">
              <w:rPr>
                <w:i/>
                <w:iCs/>
              </w:rPr>
              <w:t>whiteana</w:t>
            </w:r>
            <w:proofErr w:type="spellEnd"/>
            <w:r w:rsidR="28007A3E">
              <w:t xml:space="preserve"> </w:t>
            </w:r>
            <w:r>
              <w:t xml:space="preserve">is killed in hot fires </w:t>
            </w:r>
            <w:r w:rsidR="00776042">
              <w:fldChar w:fldCharType="begin" w:fldLock="1"/>
            </w:r>
            <w:r w:rsidR="00442761">
              <w:instrText>ADDIN CSL_CITATION {"citationItems":[{"id":"ITEM-1","itemData":{"author":[{"dropping-particle":"","family":"Kooyman","given":"Robert","non-dropping-particle":"","parse-names":false,"suffix":""},{"dropping-particle":"","family":"Mallee","given":"Justin","non-dropping-particle":"","parse-names":false,"suffix":""}],"id":"ITEM-1","issued":{"date-parts":[["2020"]]},"number-of-pages":"1-25","publisher-place":"Sydney","title":"Results of surveys and assessment of threatened rainforest species in the Nightcap Range including fire impacts on Peach Myrtle (Uromyrtus australis), and plot-based monitoring of Nightcap Oak (Eidothea hardeniana). Report prepared for SoS North Coast Bra","type":"report"},"uris":["http://www.mendeley.com/documents/?uuid=190155e1-0521-478d-af24-31c2f148edd2"]}],"mendeley":{"formattedCitation":"(Kooyman &amp; Mallee 2020)","plainTextFormattedCitation":"(Kooyman &amp; Mallee 2020)","previouslyFormattedCitation":"(Kooyman &amp; Mallee 2020)"},"properties":{"noteIndex":0},"schema":"https://github.com/citation-style-language/schema/raw/master/csl-citation.json"}</w:instrText>
            </w:r>
            <w:r w:rsidR="00776042">
              <w:fldChar w:fldCharType="separate"/>
            </w:r>
            <w:r w:rsidR="00776042" w:rsidRPr="00776042">
              <w:rPr>
                <w:noProof/>
              </w:rPr>
              <w:t>(Kooyman &amp; Mallee 2020)</w:t>
            </w:r>
            <w:r w:rsidR="00776042">
              <w:fldChar w:fldCharType="end"/>
            </w:r>
            <w:r>
              <w:t xml:space="preserve">. </w:t>
            </w:r>
          </w:p>
          <w:p w14:paraId="24D9AEB3" w14:textId="56FAFA09" w:rsidR="0044236D" w:rsidRPr="009D7E68" w:rsidRDefault="0044236D" w:rsidP="00F00EF6">
            <w:pPr>
              <w:pStyle w:val="TableText"/>
            </w:pPr>
            <w:r>
              <w:t>Climate change is predicted to increase both the frequency and intensity of bushfires (projected increase in the average number of fire weather and severe fire weather days</w:t>
            </w:r>
            <w:r w:rsidR="00CC7B1E">
              <w:t xml:space="preserve"> in summer and spring</w:t>
            </w:r>
            <w:r>
              <w:t xml:space="preserve">) for </w:t>
            </w:r>
            <w:r w:rsidR="00CC7B1E">
              <w:t>northern</w:t>
            </w:r>
            <w:r>
              <w:t xml:space="preserve"> New South Wales </w:t>
            </w:r>
            <w:r>
              <w:fldChar w:fldCharType="begin" w:fldLock="1"/>
            </w:r>
            <w:r w:rsidR="00B340FC">
              <w:instrText>ADDIN CSL_CITATION {"citationItems":[{"id":"ITEM-1","itemData":{"ISSN":"1837–5650","abstract":"The climate change projections in this snapshot are from the NSW and ACT Regional Climate Modelling (NARCliM) project. NARCliM is a multi-agency research partnership between the NSW and ACT governments and the Climate Change Research Centre at the University of NSW. NSW Government funding comes from the Office of Environment and Heritage (OEH), Sydney Catchment Authority, Sydney Water, Hunter Water, NSW Office of Water, Transport for NSW, and the Department of Primary Industries. The NARCliM project has produced a suite of twelve regional climate projections for south-east Australia spanning the range of likely future changes in climate. NARCliM is explicitly designed to sample a large range of possible future climates. Over 100 climate variables, including temperature, rainfall and wind are available at fine resolution (10km and hourly intervals). The data can be used in impacts and adaptation research, and by local decision makers. The data is also available to the public and will help to better understand possible changes in NSW climate.","author":[{"dropping-particle":"","family":"NSW Government","given":"","non-dropping-particle":"","parse-names":false,"suffix":""}],"id":"ITEM-1","issued":{"date-parts":[["2014"]]},"number-of-pages":"18","title":"New South Wales Climate change snapshot","type":"report"},"uris":["http://www.mendeley.com/documents/?uuid=b5bfd83c-faf0-4eac-a3fa-36970eb15b1b"]}],"mendeley":{"formattedCitation":"(NSW Government 2014a)","plainTextFormattedCitation":"(NSW Government 2014a)","previouslyFormattedCitation":"(NSW Government 2014a)"},"properties":{"noteIndex":0},"schema":"https://github.com/citation-style-language/schema/raw/master/csl-citation.json"}</w:instrText>
            </w:r>
            <w:r>
              <w:fldChar w:fldCharType="separate"/>
            </w:r>
            <w:r w:rsidR="00F303CB" w:rsidRPr="00F303CB">
              <w:rPr>
                <w:noProof/>
              </w:rPr>
              <w:t>(NSW Government 2014a)</w:t>
            </w:r>
            <w:r>
              <w:fldChar w:fldCharType="end"/>
            </w:r>
            <w:r>
              <w:t xml:space="preserve">. Decreased rainfall during hot periods may result in more severe fires than wet sclerophyll communities are adapted to, including </w:t>
            </w:r>
            <w:proofErr w:type="spellStart"/>
            <w:r>
              <w:t>Corokia</w:t>
            </w:r>
            <w:proofErr w:type="spellEnd"/>
            <w:r>
              <w:t xml:space="preserve">. </w:t>
            </w:r>
          </w:p>
        </w:tc>
      </w:tr>
      <w:tr w:rsidR="0044236D" w:rsidRPr="009D7E68" w14:paraId="5D1E6DFC" w14:textId="77777777" w:rsidTr="00F00EF6">
        <w:tc>
          <w:tcPr>
            <w:tcW w:w="9060" w:type="dxa"/>
            <w:gridSpan w:val="3"/>
          </w:tcPr>
          <w:p w14:paraId="5090C690" w14:textId="77777777" w:rsidR="0044236D" w:rsidRPr="009D7E68" w:rsidRDefault="0044236D" w:rsidP="00F00EF6">
            <w:pPr>
              <w:pStyle w:val="TableText"/>
              <w:rPr>
                <w:color w:val="1F497D" w:themeColor="text2"/>
              </w:rPr>
            </w:pPr>
            <w:r>
              <w:t>Invasive species</w:t>
            </w:r>
          </w:p>
        </w:tc>
      </w:tr>
      <w:tr w:rsidR="0044236D" w:rsidRPr="009D7E68" w14:paraId="4002552C" w14:textId="77777777" w:rsidTr="00F00EF6">
        <w:tc>
          <w:tcPr>
            <w:tcW w:w="1784" w:type="dxa"/>
          </w:tcPr>
          <w:p w14:paraId="736E370F" w14:textId="77777777" w:rsidR="0044236D" w:rsidRPr="009D7E68" w:rsidRDefault="0044236D" w:rsidP="00F00EF6">
            <w:pPr>
              <w:pStyle w:val="TableText"/>
            </w:pPr>
            <w:r>
              <w:t>Invasive weeds</w:t>
            </w:r>
          </w:p>
        </w:tc>
        <w:tc>
          <w:tcPr>
            <w:tcW w:w="3031" w:type="dxa"/>
          </w:tcPr>
          <w:p w14:paraId="66432479" w14:textId="77777777" w:rsidR="0044236D" w:rsidRPr="009D7E68" w:rsidRDefault="0044236D" w:rsidP="00F00EF6">
            <w:pPr>
              <w:pStyle w:val="TableBullet1"/>
            </w:pPr>
            <w:r w:rsidRPr="009D7E68">
              <w:t>Timing: current</w:t>
            </w:r>
          </w:p>
          <w:p w14:paraId="38DB10B2" w14:textId="77777777" w:rsidR="0044236D" w:rsidRPr="009D7E68" w:rsidRDefault="0044236D" w:rsidP="00F00EF6">
            <w:pPr>
              <w:pStyle w:val="TableBullet1"/>
            </w:pPr>
            <w:r w:rsidRPr="009D7E68">
              <w:t>Confidence: suspected</w:t>
            </w:r>
          </w:p>
          <w:p w14:paraId="471C553B" w14:textId="77777777" w:rsidR="0044236D" w:rsidRPr="009D7E68" w:rsidRDefault="0044236D" w:rsidP="00F00EF6">
            <w:pPr>
              <w:pStyle w:val="TableBullet1"/>
            </w:pPr>
            <w:r w:rsidRPr="009D7E68">
              <w:t>Consequence: moderate</w:t>
            </w:r>
          </w:p>
          <w:p w14:paraId="24FE86BC" w14:textId="77777777" w:rsidR="0044236D" w:rsidRPr="009D7E68" w:rsidRDefault="0044236D" w:rsidP="00F00EF6">
            <w:pPr>
              <w:pStyle w:val="TableBullet1"/>
            </w:pPr>
            <w:r w:rsidRPr="009D7E68">
              <w:lastRenderedPageBreak/>
              <w:t>Trend: unknown</w:t>
            </w:r>
          </w:p>
          <w:p w14:paraId="5383AD04" w14:textId="77777777" w:rsidR="0044236D" w:rsidRPr="009D7E68" w:rsidRDefault="0044236D" w:rsidP="00F00EF6">
            <w:pPr>
              <w:pStyle w:val="TableBullet1"/>
            </w:pPr>
            <w:r w:rsidRPr="009D7E68">
              <w:t xml:space="preserve">Extent: across part of its range </w:t>
            </w:r>
          </w:p>
          <w:p w14:paraId="7D9160AB" w14:textId="77777777" w:rsidR="0044236D" w:rsidRPr="009D7E68" w:rsidRDefault="0044236D" w:rsidP="00F00EF6">
            <w:pPr>
              <w:pStyle w:val="TableText"/>
            </w:pPr>
          </w:p>
        </w:tc>
        <w:tc>
          <w:tcPr>
            <w:tcW w:w="4245" w:type="dxa"/>
          </w:tcPr>
          <w:p w14:paraId="4D3687BE" w14:textId="38935191" w:rsidR="0044236D" w:rsidRPr="007D6A4A" w:rsidRDefault="0044236D" w:rsidP="00F00EF6">
            <w:pPr>
              <w:pStyle w:val="TableText"/>
            </w:pPr>
            <w:r w:rsidRPr="007D6A4A">
              <w:lastRenderedPageBreak/>
              <w:t xml:space="preserve"> </w:t>
            </w:r>
            <w:proofErr w:type="spellStart"/>
            <w:r w:rsidRPr="00A060E9">
              <w:rPr>
                <w:i/>
                <w:iCs/>
              </w:rPr>
              <w:t>Corokia</w:t>
            </w:r>
            <w:proofErr w:type="spellEnd"/>
            <w:r w:rsidR="005C0D9B" w:rsidRPr="00A060E9">
              <w:rPr>
                <w:i/>
                <w:iCs/>
              </w:rPr>
              <w:t xml:space="preserve"> </w:t>
            </w:r>
            <w:proofErr w:type="spellStart"/>
            <w:r w:rsidR="005C0D9B" w:rsidRPr="00A060E9">
              <w:rPr>
                <w:i/>
                <w:iCs/>
              </w:rPr>
              <w:t>whiteana</w:t>
            </w:r>
            <w:proofErr w:type="spellEnd"/>
            <w:r w:rsidRPr="005C0D9B">
              <w:t xml:space="preserve"> is a shrub </w:t>
            </w:r>
            <w:r w:rsidR="00571C6E" w:rsidRPr="005C0D9B">
              <w:t>that</w:t>
            </w:r>
            <w:r w:rsidRPr="005C0D9B">
              <w:t xml:space="preserve"> grows to </w:t>
            </w:r>
            <w:r w:rsidR="005C0D9B" w:rsidRPr="00A060E9">
              <w:t>a maximum of four meters</w:t>
            </w:r>
            <w:r w:rsidRPr="005C0D9B">
              <w:t xml:space="preserve"> and thus, </w:t>
            </w:r>
            <w:r w:rsidR="00571C6E" w:rsidRPr="005C0D9B">
              <w:t>it</w:t>
            </w:r>
            <w:r w:rsidRPr="005C0D9B">
              <w:t xml:space="preserve"> may be </w:t>
            </w:r>
            <w:r w:rsidR="00571C6E" w:rsidRPr="005C0D9B">
              <w:t>shaded</w:t>
            </w:r>
            <w:r w:rsidRPr="005C0D9B">
              <w:t xml:space="preserve"> </w:t>
            </w:r>
            <w:r w:rsidR="00571C6E" w:rsidRPr="005C0D9B">
              <w:t xml:space="preserve">out </w:t>
            </w:r>
            <w:r w:rsidRPr="005C0D9B">
              <w:t>by taller weeds or those which</w:t>
            </w:r>
            <w:r w:rsidRPr="007D6A4A">
              <w:t xml:space="preserve"> can smother or blanket the available light</w:t>
            </w:r>
            <w:r>
              <w:t xml:space="preserve"> f</w:t>
            </w:r>
            <w:r w:rsidR="00571C6E">
              <w:t>rom</w:t>
            </w:r>
            <w:r>
              <w:t xml:space="preserve"> seedlings or </w:t>
            </w:r>
            <w:r w:rsidR="00D16408">
              <w:t xml:space="preserve">adult </w:t>
            </w:r>
            <w:proofErr w:type="spellStart"/>
            <w:r w:rsidR="00D16408" w:rsidRPr="009359EA">
              <w:rPr>
                <w:i/>
                <w:iCs/>
              </w:rPr>
              <w:t>Corokia</w:t>
            </w:r>
            <w:proofErr w:type="spellEnd"/>
            <w:r w:rsidR="005C0D9B" w:rsidRPr="009359EA">
              <w:rPr>
                <w:i/>
                <w:iCs/>
              </w:rPr>
              <w:t xml:space="preserve"> </w:t>
            </w:r>
            <w:proofErr w:type="spellStart"/>
            <w:r w:rsidR="005C0D9B" w:rsidRPr="009359EA">
              <w:rPr>
                <w:i/>
                <w:iCs/>
              </w:rPr>
              <w:t>whiteana</w:t>
            </w:r>
            <w:proofErr w:type="spellEnd"/>
            <w:r w:rsidRPr="007D6A4A">
              <w:t>.</w:t>
            </w:r>
            <w:r w:rsidR="00571C6E">
              <w:t xml:space="preserve"> Serious environmental weeds in </w:t>
            </w:r>
            <w:r w:rsidR="00571C6E">
              <w:lastRenderedPageBreak/>
              <w:t>the Tweed region are:</w:t>
            </w:r>
            <w:r>
              <w:t xml:space="preserve"> </w:t>
            </w:r>
            <w:r w:rsidR="005C0D9B">
              <w:t>c</w:t>
            </w:r>
            <w:r>
              <w:t xml:space="preserve">amphor </w:t>
            </w:r>
            <w:r w:rsidR="005C0D9B">
              <w:t>l</w:t>
            </w:r>
            <w:r>
              <w:t>aurel (</w:t>
            </w:r>
            <w:r w:rsidRPr="00AB63A3">
              <w:rPr>
                <w:i/>
                <w:iCs/>
              </w:rPr>
              <w:t xml:space="preserve">Cinnamomum </w:t>
            </w:r>
            <w:proofErr w:type="spellStart"/>
            <w:r w:rsidRPr="00AB63A3">
              <w:rPr>
                <w:i/>
                <w:iCs/>
              </w:rPr>
              <w:t>camphora</w:t>
            </w:r>
            <w:proofErr w:type="spellEnd"/>
            <w:r>
              <w:t xml:space="preserve">); </w:t>
            </w:r>
            <w:r w:rsidR="005C0D9B">
              <w:t>l</w:t>
            </w:r>
            <w:r>
              <w:t xml:space="preserve">arge-leaved </w:t>
            </w:r>
            <w:r w:rsidR="005C0D9B">
              <w:t>p</w:t>
            </w:r>
            <w:r>
              <w:t>rivet (</w:t>
            </w:r>
            <w:r w:rsidRPr="00AB63A3">
              <w:rPr>
                <w:i/>
                <w:iCs/>
              </w:rPr>
              <w:t>Ligustrum lucidum</w:t>
            </w:r>
            <w:r>
              <w:t xml:space="preserve">); </w:t>
            </w:r>
            <w:r w:rsidR="005C0D9B">
              <w:t>s</w:t>
            </w:r>
            <w:r>
              <w:t xml:space="preserve">mall-leaved </w:t>
            </w:r>
            <w:r w:rsidR="005C0D9B">
              <w:t>p</w:t>
            </w:r>
            <w:r>
              <w:t>rivet (</w:t>
            </w:r>
            <w:r w:rsidRPr="00AB63A3">
              <w:rPr>
                <w:i/>
                <w:iCs/>
              </w:rPr>
              <w:t xml:space="preserve">Ligustrum </w:t>
            </w:r>
            <w:proofErr w:type="spellStart"/>
            <w:r w:rsidRPr="00AB63A3">
              <w:rPr>
                <w:i/>
                <w:iCs/>
              </w:rPr>
              <w:t>sinense</w:t>
            </w:r>
            <w:proofErr w:type="spellEnd"/>
            <w:r>
              <w:t xml:space="preserve">); </w:t>
            </w:r>
            <w:r w:rsidR="005C0D9B">
              <w:t>g</w:t>
            </w:r>
            <w:r>
              <w:t>roundsel (</w:t>
            </w:r>
            <w:r w:rsidRPr="00AB63A3">
              <w:rPr>
                <w:i/>
                <w:iCs/>
              </w:rPr>
              <w:t xml:space="preserve">Baccharis </w:t>
            </w:r>
            <w:proofErr w:type="spellStart"/>
            <w:r w:rsidRPr="00AB63A3">
              <w:rPr>
                <w:i/>
                <w:iCs/>
              </w:rPr>
              <w:t>halimifolia</w:t>
            </w:r>
            <w:proofErr w:type="spellEnd"/>
            <w:r>
              <w:t xml:space="preserve">); </w:t>
            </w:r>
            <w:r w:rsidR="005C0D9B">
              <w:t>l</w:t>
            </w:r>
            <w:r>
              <w:t>antana (</w:t>
            </w:r>
            <w:r w:rsidRPr="00AB63A3">
              <w:rPr>
                <w:i/>
                <w:iCs/>
              </w:rPr>
              <w:t>Lantana camara</w:t>
            </w:r>
            <w:r>
              <w:t xml:space="preserve">); </w:t>
            </w:r>
            <w:r w:rsidR="005C0D9B">
              <w:t>m</w:t>
            </w:r>
            <w:r>
              <w:t xml:space="preserve">ist </w:t>
            </w:r>
            <w:r w:rsidR="005C0D9B">
              <w:t>f</w:t>
            </w:r>
            <w:r>
              <w:t>lower</w:t>
            </w:r>
            <w:r w:rsidR="008D71CD">
              <w:t xml:space="preserve"> / creeping </w:t>
            </w:r>
            <w:proofErr w:type="spellStart"/>
            <w:r w:rsidR="008D71CD">
              <w:t>crofton</w:t>
            </w:r>
            <w:proofErr w:type="spellEnd"/>
            <w:r w:rsidR="008D71CD">
              <w:t xml:space="preserve"> weed</w:t>
            </w:r>
            <w:r>
              <w:t xml:space="preserve"> (</w:t>
            </w:r>
            <w:proofErr w:type="spellStart"/>
            <w:r w:rsidRPr="00AB63A3">
              <w:rPr>
                <w:i/>
                <w:iCs/>
              </w:rPr>
              <w:t>Ageratina</w:t>
            </w:r>
            <w:proofErr w:type="spellEnd"/>
            <w:r w:rsidRPr="00AB63A3">
              <w:rPr>
                <w:i/>
                <w:iCs/>
              </w:rPr>
              <w:t xml:space="preserve"> ripari</w:t>
            </w:r>
            <w:r w:rsidR="005C0D9B">
              <w:rPr>
                <w:i/>
                <w:iCs/>
              </w:rPr>
              <w:t>a</w:t>
            </w:r>
            <w:r>
              <w:t xml:space="preserve">); </w:t>
            </w:r>
            <w:proofErr w:type="spellStart"/>
            <w:r w:rsidR="005C0D9B">
              <w:t>c</w:t>
            </w:r>
            <w:r>
              <w:t>rofton</w:t>
            </w:r>
            <w:proofErr w:type="spellEnd"/>
            <w:r>
              <w:t xml:space="preserve"> </w:t>
            </w:r>
            <w:r w:rsidR="005C0D9B">
              <w:t>w</w:t>
            </w:r>
            <w:r>
              <w:t>eed (</w:t>
            </w:r>
            <w:proofErr w:type="spellStart"/>
            <w:r w:rsidRPr="00AB63A3">
              <w:rPr>
                <w:i/>
                <w:iCs/>
              </w:rPr>
              <w:t>Ageratina</w:t>
            </w:r>
            <w:proofErr w:type="spellEnd"/>
            <w:r w:rsidRPr="00AB63A3">
              <w:rPr>
                <w:i/>
                <w:iCs/>
              </w:rPr>
              <w:t xml:space="preserve"> </w:t>
            </w:r>
            <w:proofErr w:type="spellStart"/>
            <w:r w:rsidRPr="00AB63A3">
              <w:rPr>
                <w:i/>
                <w:iCs/>
              </w:rPr>
              <w:t>adenophor</w:t>
            </w:r>
            <w:r w:rsidR="008D71CD">
              <w:rPr>
                <w:i/>
                <w:iCs/>
              </w:rPr>
              <w:t>a</w:t>
            </w:r>
            <w:proofErr w:type="spellEnd"/>
            <w:r>
              <w:t xml:space="preserve">); </w:t>
            </w:r>
            <w:r w:rsidR="005C0D9B">
              <w:t>k</w:t>
            </w:r>
            <w:r>
              <w:t xml:space="preserve">udzu </w:t>
            </w:r>
            <w:r w:rsidR="005C0D9B">
              <w:t>v</w:t>
            </w:r>
            <w:r>
              <w:t>ine (</w:t>
            </w:r>
            <w:r w:rsidRPr="00AB63A3">
              <w:rPr>
                <w:i/>
                <w:iCs/>
              </w:rPr>
              <w:t>Pueraria lobata</w:t>
            </w:r>
            <w:r>
              <w:t xml:space="preserve">); Madeira </w:t>
            </w:r>
            <w:r w:rsidR="008D71CD">
              <w:t>v</w:t>
            </w:r>
            <w:r>
              <w:t>ine (</w:t>
            </w:r>
            <w:proofErr w:type="spellStart"/>
            <w:r w:rsidRPr="00AB63A3">
              <w:rPr>
                <w:i/>
                <w:iCs/>
              </w:rPr>
              <w:t>Anredera</w:t>
            </w:r>
            <w:proofErr w:type="spellEnd"/>
            <w:r w:rsidRPr="00AB63A3">
              <w:rPr>
                <w:i/>
                <w:iCs/>
              </w:rPr>
              <w:t xml:space="preserve"> cordifolia</w:t>
            </w:r>
            <w:r>
              <w:t xml:space="preserve">); </w:t>
            </w:r>
            <w:r w:rsidR="008D71CD">
              <w:t>m</w:t>
            </w:r>
            <w:r>
              <w:t xml:space="preserve">orning </w:t>
            </w:r>
            <w:r w:rsidR="008D71CD">
              <w:t>g</w:t>
            </w:r>
            <w:r>
              <w:t>lory (</w:t>
            </w:r>
            <w:r w:rsidRPr="00AB63A3">
              <w:rPr>
                <w:i/>
                <w:iCs/>
              </w:rPr>
              <w:t>Ipomoea purpurea</w:t>
            </w:r>
            <w:r>
              <w:t xml:space="preserve">); </w:t>
            </w:r>
            <w:r w:rsidR="008D71CD">
              <w:t>c</w:t>
            </w:r>
            <w:r>
              <w:t xml:space="preserve">ats </w:t>
            </w:r>
            <w:r w:rsidR="008D71CD">
              <w:t>c</w:t>
            </w:r>
            <w:r>
              <w:t xml:space="preserve">law </w:t>
            </w:r>
            <w:r w:rsidR="008D71CD">
              <w:t>c</w:t>
            </w:r>
            <w:r>
              <w:t>reeper (</w:t>
            </w:r>
            <w:proofErr w:type="spellStart"/>
            <w:r w:rsidR="139BE77D" w:rsidRPr="3857C1C5">
              <w:rPr>
                <w:i/>
                <w:iCs/>
              </w:rPr>
              <w:t>Dolichandra</w:t>
            </w:r>
            <w:proofErr w:type="spellEnd"/>
            <w:r w:rsidR="139BE77D" w:rsidRPr="3857C1C5">
              <w:rPr>
                <w:i/>
                <w:iCs/>
              </w:rPr>
              <w:t xml:space="preserve"> </w:t>
            </w:r>
            <w:r w:rsidRPr="00AB63A3">
              <w:rPr>
                <w:i/>
                <w:iCs/>
              </w:rPr>
              <w:t>unguis-cati</w:t>
            </w:r>
            <w:r>
              <w:t xml:space="preserve">); </w:t>
            </w:r>
            <w:r w:rsidR="008D71CD">
              <w:t>b</w:t>
            </w:r>
            <w:r>
              <w:t xml:space="preserve">lue </w:t>
            </w:r>
            <w:r w:rsidR="008D71CD">
              <w:t>t</w:t>
            </w:r>
            <w:r>
              <w:t xml:space="preserve">rumpet </w:t>
            </w:r>
            <w:r w:rsidR="008D71CD">
              <w:t>v</w:t>
            </w:r>
            <w:r>
              <w:t>ine (</w:t>
            </w:r>
            <w:r w:rsidRPr="00AB63A3">
              <w:rPr>
                <w:i/>
                <w:iCs/>
              </w:rPr>
              <w:t>Thunbergia grandiflora</w:t>
            </w:r>
            <w:r>
              <w:t xml:space="preserve">); </w:t>
            </w:r>
            <w:r w:rsidR="008D71CD">
              <w:t>b</w:t>
            </w:r>
            <w:r>
              <w:t xml:space="preserve">itou </w:t>
            </w:r>
            <w:r w:rsidR="008D71CD">
              <w:t>b</w:t>
            </w:r>
            <w:r>
              <w:t>ush (</w:t>
            </w:r>
            <w:proofErr w:type="spellStart"/>
            <w:r w:rsidRPr="00AB63A3">
              <w:rPr>
                <w:i/>
                <w:iCs/>
              </w:rPr>
              <w:t>Chrysanthemoides</w:t>
            </w:r>
            <w:proofErr w:type="spellEnd"/>
            <w:r w:rsidRPr="00AB63A3">
              <w:rPr>
                <w:i/>
                <w:iCs/>
              </w:rPr>
              <w:t xml:space="preserve"> </w:t>
            </w:r>
            <w:proofErr w:type="spellStart"/>
            <w:r w:rsidRPr="00AB63A3">
              <w:rPr>
                <w:i/>
                <w:iCs/>
              </w:rPr>
              <w:t>monilifera</w:t>
            </w:r>
            <w:proofErr w:type="spellEnd"/>
            <w:r w:rsidRPr="00AB63A3">
              <w:rPr>
                <w:i/>
                <w:iCs/>
              </w:rPr>
              <w:t xml:space="preserve"> </w:t>
            </w:r>
            <w:r w:rsidR="008D71CD">
              <w:rPr>
                <w:i/>
                <w:iCs/>
              </w:rPr>
              <w:t>subsp.</w:t>
            </w:r>
            <w:r w:rsidRPr="00AB63A3">
              <w:rPr>
                <w:i/>
                <w:iCs/>
              </w:rPr>
              <w:t xml:space="preserve"> </w:t>
            </w:r>
            <w:proofErr w:type="spellStart"/>
            <w:r w:rsidRPr="00AB63A3">
              <w:rPr>
                <w:i/>
                <w:iCs/>
              </w:rPr>
              <w:t>rotundata</w:t>
            </w:r>
            <w:proofErr w:type="spellEnd"/>
            <w:r>
              <w:t xml:space="preserve">) </w:t>
            </w:r>
            <w:r w:rsidRPr="007D6A4A">
              <w:fldChar w:fldCharType="begin" w:fldLock="1"/>
            </w:r>
            <w:r w:rsidR="00B153C6">
              <w:instrText>ADDIN CSL_CITATION {"citationItems":[{"id":"ITEM-1","itemData":{"author":[{"dropping-particle":"","family":"Kingston","given":"MB","non-dropping-particle":"","parse-names":false,"suffix":""},{"dropping-particle":"","family":"Turnbull","given":"JW","non-dropping-particle":"","parse-names":false,"suffix":""},{"dropping-particle":"","family":"Hall","given":"PW","non-dropping-particle":"","parse-names":false,"suffix":""}],"id":"ITEM-1","issued":{"date-parts":[["2004"]]},"number-of-pages":"148","publisher-place":"Murwillumbah","title":"Tweed Vegetation Management Strategy","type":"report"},"uris":["http://www.mendeley.com/documents/?uuid=5cf59d2f-a669-4b53-bf64-4f4384f34ccc"]}],"mendeley":{"formattedCitation":"(Kingston et al. 2004)","manualFormatting":"(Kingston et al. 2004; NSW 2010b)","plainTextFormattedCitation":"(Kingston et al. 2004)","previouslyFormattedCitation":"(Kingston et al. 2004)"},"properties":{"noteIndex":0},"schema":"https://github.com/citation-style-language/schema/raw/master/csl-citation.json"}</w:instrText>
            </w:r>
            <w:r w:rsidRPr="007D6A4A">
              <w:fldChar w:fldCharType="separate"/>
            </w:r>
            <w:r w:rsidRPr="007D6A4A">
              <w:rPr>
                <w:noProof/>
              </w:rPr>
              <w:t>(Kingston et al. 2004</w:t>
            </w:r>
            <w:r w:rsidR="00B153C6">
              <w:rPr>
                <w:noProof/>
              </w:rPr>
              <w:t>; NSW 2010b</w:t>
            </w:r>
            <w:r w:rsidRPr="007D6A4A">
              <w:rPr>
                <w:noProof/>
              </w:rPr>
              <w:t>)</w:t>
            </w:r>
            <w:r w:rsidRPr="007D6A4A">
              <w:fldChar w:fldCharType="end"/>
            </w:r>
            <w:r w:rsidRPr="007D6A4A">
              <w:t xml:space="preserve">. </w:t>
            </w:r>
            <w:r>
              <w:t xml:space="preserve">At the time of writing, there were no published reports or observations of weeds interacting with </w:t>
            </w:r>
            <w:proofErr w:type="spellStart"/>
            <w:r w:rsidRPr="00A060E9">
              <w:rPr>
                <w:i/>
                <w:iCs/>
              </w:rPr>
              <w:t>Corokia</w:t>
            </w:r>
            <w:proofErr w:type="spellEnd"/>
            <w:r w:rsidR="008D71CD" w:rsidRPr="00A060E9">
              <w:rPr>
                <w:i/>
                <w:iCs/>
              </w:rPr>
              <w:t xml:space="preserve"> </w:t>
            </w:r>
            <w:proofErr w:type="spellStart"/>
            <w:r w:rsidR="008D71CD" w:rsidRPr="00A060E9">
              <w:rPr>
                <w:i/>
                <w:iCs/>
              </w:rPr>
              <w:t>whiteana</w:t>
            </w:r>
            <w:proofErr w:type="spellEnd"/>
            <w:r>
              <w:t xml:space="preserve">. </w:t>
            </w:r>
          </w:p>
        </w:tc>
      </w:tr>
      <w:tr w:rsidR="00A527AD" w:rsidRPr="009D7E68" w14:paraId="74DBA453" w14:textId="77777777" w:rsidTr="00F00EF6">
        <w:tc>
          <w:tcPr>
            <w:tcW w:w="9060" w:type="dxa"/>
            <w:gridSpan w:val="3"/>
          </w:tcPr>
          <w:p w14:paraId="70E0A30A" w14:textId="77777777" w:rsidR="00A527AD" w:rsidRPr="009D7E68" w:rsidRDefault="00A527AD" w:rsidP="00F00EF6">
            <w:pPr>
              <w:pStyle w:val="TableText"/>
            </w:pPr>
            <w:r>
              <w:lastRenderedPageBreak/>
              <w:t>Habitat loss, degradation, or fragmentation</w:t>
            </w:r>
          </w:p>
        </w:tc>
      </w:tr>
      <w:tr w:rsidR="00A527AD" w:rsidRPr="009D7E68" w14:paraId="5FF8D31C" w14:textId="77777777" w:rsidTr="00F00EF6">
        <w:tc>
          <w:tcPr>
            <w:tcW w:w="1784" w:type="dxa"/>
          </w:tcPr>
          <w:p w14:paraId="7B60B33C" w14:textId="0BE66563" w:rsidR="00A527AD" w:rsidRPr="009D7E68" w:rsidRDefault="00A527AD" w:rsidP="00F00EF6">
            <w:pPr>
              <w:pStyle w:val="TableText"/>
            </w:pPr>
            <w:r>
              <w:t>Small</w:t>
            </w:r>
            <w:r w:rsidR="008314B4">
              <w:t>,</w:t>
            </w:r>
            <w:r>
              <w:t xml:space="preserve"> fragmented subpopulations</w:t>
            </w:r>
          </w:p>
        </w:tc>
        <w:tc>
          <w:tcPr>
            <w:tcW w:w="3031" w:type="dxa"/>
          </w:tcPr>
          <w:p w14:paraId="47C8F56A" w14:textId="77777777" w:rsidR="00A527AD" w:rsidRPr="009D7E68" w:rsidRDefault="00A527AD" w:rsidP="00F00EF6">
            <w:pPr>
              <w:pStyle w:val="TableBullet1"/>
            </w:pPr>
            <w:r w:rsidRPr="009D7E68">
              <w:t xml:space="preserve">Timing: </w:t>
            </w:r>
            <w:r>
              <w:t>c</w:t>
            </w:r>
            <w:r w:rsidRPr="009D7E68">
              <w:t>urrent</w:t>
            </w:r>
          </w:p>
          <w:p w14:paraId="037BBDA7" w14:textId="77777777" w:rsidR="00A527AD" w:rsidRPr="009D7E68" w:rsidRDefault="00A527AD" w:rsidP="00F00EF6">
            <w:pPr>
              <w:pStyle w:val="TableBullet1"/>
            </w:pPr>
            <w:r w:rsidRPr="009D7E68">
              <w:t>Confidence: inferred</w:t>
            </w:r>
          </w:p>
          <w:p w14:paraId="3D27507D" w14:textId="77777777" w:rsidR="00A527AD" w:rsidRPr="009D7E68" w:rsidRDefault="00A527AD" w:rsidP="00F00EF6">
            <w:pPr>
              <w:pStyle w:val="TableBullet1"/>
            </w:pPr>
            <w:r w:rsidRPr="009D7E68">
              <w:t>Consequence: moderate</w:t>
            </w:r>
          </w:p>
          <w:p w14:paraId="28479451" w14:textId="77777777" w:rsidR="00A527AD" w:rsidRPr="009D7E68" w:rsidRDefault="00A527AD" w:rsidP="00F00EF6">
            <w:pPr>
              <w:pStyle w:val="TableBullet1"/>
            </w:pPr>
            <w:r w:rsidRPr="009D7E68">
              <w:t>Trend: unknown</w:t>
            </w:r>
          </w:p>
          <w:p w14:paraId="5D11B726" w14:textId="77777777" w:rsidR="00A527AD" w:rsidRPr="009D7E68" w:rsidRDefault="00A527AD" w:rsidP="00F00EF6">
            <w:pPr>
              <w:pStyle w:val="TableBullet1"/>
            </w:pPr>
            <w:r w:rsidRPr="009D7E68">
              <w:t>Extent:</w:t>
            </w:r>
            <w:r>
              <w:t xml:space="preserve"> </w:t>
            </w:r>
            <w:r w:rsidRPr="009D7E68">
              <w:t xml:space="preserve">across the entire range </w:t>
            </w:r>
          </w:p>
        </w:tc>
        <w:tc>
          <w:tcPr>
            <w:tcW w:w="4245" w:type="dxa"/>
          </w:tcPr>
          <w:p w14:paraId="630EA806" w14:textId="38CD455B" w:rsidR="00A527AD" w:rsidRDefault="00A527AD" w:rsidP="00F00EF6">
            <w:pPr>
              <w:pStyle w:val="TableText"/>
            </w:pPr>
            <w:proofErr w:type="spellStart"/>
            <w:r w:rsidRPr="00A060E9">
              <w:rPr>
                <w:i/>
                <w:iCs/>
              </w:rPr>
              <w:t>Corokia</w:t>
            </w:r>
            <w:proofErr w:type="spellEnd"/>
            <w:r w:rsidRPr="00A060E9">
              <w:rPr>
                <w:i/>
                <w:iCs/>
              </w:rPr>
              <w:t xml:space="preserve"> </w:t>
            </w:r>
            <w:proofErr w:type="spellStart"/>
            <w:r w:rsidR="00D84499" w:rsidRPr="00A060E9">
              <w:rPr>
                <w:i/>
                <w:iCs/>
              </w:rPr>
              <w:t>whiteana</w:t>
            </w:r>
            <w:proofErr w:type="spellEnd"/>
            <w:r w:rsidR="00D84499">
              <w:t xml:space="preserve"> </w:t>
            </w:r>
            <w:r>
              <w:t xml:space="preserve">does not occur </w:t>
            </w:r>
            <w:r w:rsidRPr="00E607C5">
              <w:t>in stands</w:t>
            </w:r>
            <w:r w:rsidR="199326F5">
              <w:t xml:space="preserve"> </w:t>
            </w:r>
            <w:r w:rsidR="008B1DB2">
              <w:t>and individuals</w:t>
            </w:r>
            <w:r>
              <w:t xml:space="preserve"> are sparse</w:t>
            </w:r>
            <w:r w:rsidR="00711F92">
              <w:t>ly</w:t>
            </w:r>
            <w:r>
              <w:t xml:space="preserve"> </w:t>
            </w:r>
            <w:r w:rsidR="3D5807CB">
              <w:t>distributed</w:t>
            </w:r>
            <w:r>
              <w:t xml:space="preserve"> (Justin Mallee </w:t>
            </w:r>
            <w:r w:rsidR="00971C10">
              <w:t>2021. pers</w:t>
            </w:r>
            <w:r>
              <w:t xml:space="preserve"> comm. 27 July) and </w:t>
            </w:r>
            <w:r w:rsidR="00571C6E">
              <w:t>are in low abundance</w:t>
            </w:r>
            <w:r>
              <w:t xml:space="preserve"> </w:t>
            </w:r>
            <w:r>
              <w:fldChar w:fldCharType="begin" w:fldLock="1"/>
            </w:r>
            <w:r w:rsidR="00571C6E">
              <w:instrText>ADDIN CSL_CITATION {"citationItems":[{"id":"ITEM-1","itemData":{"author":[{"dropping-particle":"","family":"Quinn","given":"F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…","id":"ITEM-1","issued":{"date-parts":[["1995"]]},"publisher-place":"Armidale","title":"Report on rare and threatened plants of north-eastern New South Wales","type":"report"},"uris":["http://www.mendeley.com/documents/?uuid=901a8ae7-005e-4e02-a45f-8221872b0c0c"]}],"mendeley":{"formattedCitation":"(Quinn et al. 1995)","manualFormatting":"((&lt;12, Quinn et al. 1995)","plainTextFormattedCitation":"(Quinn et al. 1995)","previouslyFormattedCitation":"(Quinn et al. 1995)"},"properties":{"noteIndex":0},"schema":"https://github.com/citation-style-language/schema/raw/master/csl-citation.json"}</w:instrText>
            </w:r>
            <w:r>
              <w:fldChar w:fldCharType="separate"/>
            </w:r>
            <w:r w:rsidRPr="00E607C5">
              <w:rPr>
                <w:noProof/>
              </w:rPr>
              <w:t>(</w:t>
            </w:r>
            <w:r w:rsidR="00571C6E">
              <w:rPr>
                <w:noProof/>
              </w:rPr>
              <w:t xml:space="preserve">&lt;12, </w:t>
            </w:r>
            <w:r w:rsidRPr="00E607C5">
              <w:rPr>
                <w:noProof/>
              </w:rPr>
              <w:t>Quinn et al. 1995)</w:t>
            </w:r>
            <w:r>
              <w:fldChar w:fldCharType="end"/>
            </w:r>
            <w:r w:rsidRPr="00F30D38">
              <w:t xml:space="preserv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rsidDel="00D84499">
              <w:t xml:space="preserve"> </w:t>
            </w:r>
            <w:r>
              <w:t xml:space="preserve">subpopulations are isolated by distance, and often separated by unsuitable landscapes (valleys and rivers or agriculture and urban environments). </w:t>
            </w:r>
          </w:p>
          <w:p w14:paraId="4450D68E" w14:textId="65BFBFD4" w:rsidR="00A527AD" w:rsidRDefault="00A527AD" w:rsidP="000D5045">
            <w:pPr>
              <w:pStyle w:val="TableText"/>
            </w:pPr>
            <w:r>
              <w:t>Small</w:t>
            </w:r>
            <w:r w:rsidR="0096495B">
              <w:t>,</w:t>
            </w:r>
            <w:r>
              <w:t xml:space="preserve"> fragmented subpopulations </w:t>
            </w:r>
            <w:r w:rsidR="00571C6E">
              <w:t>o</w:t>
            </w:r>
            <w:r w:rsidR="000D5045">
              <w:t xml:space="preserve">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571C6E">
              <w:t xml:space="preserve"> </w:t>
            </w:r>
            <w:r>
              <w:t xml:space="preserve">are less likely to recover </w:t>
            </w:r>
            <w:r w:rsidR="000D5045">
              <w:t xml:space="preserve">or recruit </w:t>
            </w:r>
            <w:r w:rsidR="008B1DB2">
              <w:t>post-disturbance</w:t>
            </w:r>
            <w:r>
              <w:t xml:space="preserve">, </w:t>
            </w:r>
            <w:r w:rsidR="000D5045">
              <w:t>as</w:t>
            </w:r>
            <w:r>
              <w:t xml:space="preserve"> fecundity </w:t>
            </w:r>
            <w:r w:rsidR="000D5045">
              <w:t xml:space="preserve">is very low </w:t>
            </w:r>
            <w:r>
              <w:t xml:space="preserve">(few </w:t>
            </w:r>
            <w:proofErr w:type="gramStart"/>
            <w:r>
              <w:t>fruit</w:t>
            </w:r>
            <w:proofErr w:type="gramEnd"/>
            <w:r>
              <w:t xml:space="preserve"> with seeds available)</w:t>
            </w:r>
            <w:r w:rsidR="000D5045">
              <w:t xml:space="preserve"> and germination conditions are very specific (Graeme Errington </w:t>
            </w:r>
            <w:r w:rsidR="00971C10">
              <w:t>2021. pers</w:t>
            </w:r>
            <w:r w:rsidR="000D5045">
              <w:t xml:space="preserve"> comm 2 Aug)</w:t>
            </w:r>
            <w:r>
              <w:t xml:space="preserve">. </w:t>
            </w:r>
          </w:p>
          <w:p w14:paraId="6C43E066" w14:textId="082F1C02" w:rsidR="00A527AD" w:rsidRDefault="008E51A8" w:rsidP="00F00EF6">
            <w:pPr>
              <w:pStyle w:val="TableText"/>
            </w:pPr>
            <w:r>
              <w:t xml:space="preserve">For example, coastal populations are geographically </w:t>
            </w:r>
            <w:r w:rsidR="00A527AD">
              <w:t>isolated</w:t>
            </w:r>
            <w:r>
              <w:t xml:space="preserve"> and considered</w:t>
            </w:r>
            <w:r w:rsidR="00A527AD">
              <w:t xml:space="preserve"> atypical subpopulations</w:t>
            </w:r>
            <w:r>
              <w:t xml:space="preserve">. The connectivity between these and higher altitude populations is probably very low or non-existent. </w:t>
            </w:r>
          </w:p>
          <w:p w14:paraId="03048898" w14:textId="77777777" w:rsidR="00A527AD" w:rsidRPr="00F30D38" w:rsidRDefault="00A527AD" w:rsidP="00F00EF6">
            <w:pPr>
              <w:pStyle w:val="TableText"/>
            </w:pPr>
            <w:r>
              <w:t xml:space="preserve">The low fruit set, and high moisture requirements of seedlings may limit recruitment in the area so that a significant disturbance would result in the loss of the founder subpopulation. </w:t>
            </w:r>
          </w:p>
        </w:tc>
      </w:tr>
      <w:tr w:rsidR="00A527AD" w:rsidRPr="009D7E68" w14:paraId="3929250D" w14:textId="77777777" w:rsidTr="00F00EF6">
        <w:tc>
          <w:tcPr>
            <w:tcW w:w="1784" w:type="dxa"/>
          </w:tcPr>
          <w:p w14:paraId="371B7215" w14:textId="3C1FD601" w:rsidR="00A527AD" w:rsidRDefault="00A527AD" w:rsidP="00A527AD">
            <w:pPr>
              <w:pStyle w:val="TableText"/>
            </w:pPr>
            <w:r>
              <w:t xml:space="preserve">Land clearing (from urban, </w:t>
            </w:r>
            <w:proofErr w:type="gramStart"/>
            <w:r>
              <w:t>residential</w:t>
            </w:r>
            <w:proofErr w:type="gramEnd"/>
            <w:r>
              <w:t xml:space="preserve"> and agricultural land development and change) causing habitat fragmentation </w:t>
            </w:r>
          </w:p>
        </w:tc>
        <w:tc>
          <w:tcPr>
            <w:tcW w:w="3031" w:type="dxa"/>
          </w:tcPr>
          <w:p w14:paraId="2C61AB52" w14:textId="77777777" w:rsidR="00A527AD" w:rsidRPr="009D7E68" w:rsidRDefault="00A527AD" w:rsidP="00A527AD">
            <w:pPr>
              <w:pStyle w:val="TableBullet1"/>
            </w:pPr>
            <w:r w:rsidRPr="009D7E68">
              <w:t>Timing: current</w:t>
            </w:r>
          </w:p>
          <w:p w14:paraId="39F64327" w14:textId="77777777" w:rsidR="00A527AD" w:rsidRPr="009D7E68" w:rsidRDefault="00A527AD" w:rsidP="00A527AD">
            <w:pPr>
              <w:pStyle w:val="TableBullet1"/>
            </w:pPr>
            <w:r w:rsidRPr="009D7E68">
              <w:t xml:space="preserve">Confidence: </w:t>
            </w:r>
            <w:r>
              <w:t>o</w:t>
            </w:r>
            <w:r w:rsidRPr="009D7E68">
              <w:t>bserved</w:t>
            </w:r>
          </w:p>
          <w:p w14:paraId="377B0B41" w14:textId="77777777" w:rsidR="00A527AD" w:rsidRPr="009D7E68" w:rsidRDefault="00A527AD" w:rsidP="00A527AD">
            <w:pPr>
              <w:pStyle w:val="TableBullet1"/>
            </w:pPr>
            <w:r w:rsidRPr="009D7E68">
              <w:t>Consequence: m</w:t>
            </w:r>
            <w:r>
              <w:t>inor</w:t>
            </w:r>
          </w:p>
          <w:p w14:paraId="066B9F86" w14:textId="77777777" w:rsidR="00A527AD" w:rsidRPr="009D7E68" w:rsidRDefault="00A527AD" w:rsidP="00A527AD">
            <w:pPr>
              <w:pStyle w:val="TableBullet1"/>
            </w:pPr>
            <w:r w:rsidRPr="009D7E68">
              <w:t>Trend: increasing</w:t>
            </w:r>
          </w:p>
          <w:p w14:paraId="32F45025" w14:textId="69D38229" w:rsidR="00A527AD" w:rsidRPr="009D7E68" w:rsidRDefault="00A527AD" w:rsidP="00A527AD">
            <w:pPr>
              <w:pStyle w:val="TableBullet1"/>
            </w:pPr>
            <w:r w:rsidRPr="009D7E68">
              <w:t xml:space="preserve">Extent: across part of its range </w:t>
            </w:r>
          </w:p>
        </w:tc>
        <w:tc>
          <w:tcPr>
            <w:tcW w:w="4245" w:type="dxa"/>
          </w:tcPr>
          <w:p w14:paraId="047FB468" w14:textId="3F2F418B" w:rsidR="00A527AD" w:rsidRDefault="00A527AD" w:rsidP="00A527AD">
            <w:pPr>
              <w:pStyle w:val="TableText"/>
            </w:pPr>
            <w:r>
              <w:fldChar w:fldCharType="begin" w:fldLock="1"/>
            </w:r>
            <w:r>
              <w:instrText>ADDIN CSL_CITATION {"citationItems":[{"id":"ITEM-1","itemData":{"URL":"https://www.soe.epa.nsw.gov.au/all-themes/land/native-vegetation","accessed":{"date-parts":[["2021","7","21"]]},"author":[{"dropping-particle":"","family":"NSW Government","given":"","non-dropping-particle":"","parse-names":false,"suffix":""}],"id":"ITEM-1","issued":{"date-parts":[["2018"]]},"title":"NSW State of the Environment. Native Vegetation.","type":"webpage"},"uris":["http://www.mendeley.com/documents/?uuid=ce518336-db0c-4220-86f4-17beef6624af"]}],"mendeley":{"formattedCitation":"(NSW Government 2018a)","plainTextFormattedCitation":"(NSW Government 2018a)","previouslyFormattedCitation":"(NSW Government 2018a)"},"properties":{"noteIndex":0},"schema":"https://github.com/citation-style-language/schema/raw/master/csl-citation.json"}</w:instrText>
            </w:r>
            <w:r>
              <w:fldChar w:fldCharType="end"/>
            </w:r>
            <w:r>
              <w:t>Land use</w:t>
            </w:r>
            <w:r w:rsidR="31933F47">
              <w:t xml:space="preserve"> </w:t>
            </w:r>
            <w:r>
              <w:t xml:space="preserve">within the distribution of </w:t>
            </w:r>
            <w:r w:rsidR="611BC9DB" w:rsidRPr="00774D6C">
              <w:rPr>
                <w:i/>
                <w:iCs/>
              </w:rPr>
              <w:t xml:space="preserve"> </w:t>
            </w:r>
            <w:proofErr w:type="spellStart"/>
            <w:r w:rsidR="611BC9DB" w:rsidRPr="3857C1C5">
              <w:rPr>
                <w:i/>
                <w:iCs/>
              </w:rPr>
              <w:t>Corokia</w:t>
            </w:r>
            <w:proofErr w:type="spellEnd"/>
            <w:r w:rsidR="611BC9DB" w:rsidRPr="3857C1C5">
              <w:rPr>
                <w:i/>
                <w:iCs/>
              </w:rPr>
              <w:t xml:space="preserve"> </w:t>
            </w:r>
            <w:proofErr w:type="spellStart"/>
            <w:r w:rsidR="611BC9DB" w:rsidRPr="3857C1C5">
              <w:rPr>
                <w:i/>
                <w:iCs/>
              </w:rPr>
              <w:t>whiteana</w:t>
            </w:r>
            <w:proofErr w:type="spellEnd"/>
            <w:r>
              <w:t xml:space="preserve"> has undergone much change between 1849 (when cedar-getters began altering </w:t>
            </w:r>
            <w:r w:rsidR="0096495B">
              <w:t>habitats</w:t>
            </w:r>
            <w:r>
              <w:t xml:space="preserve"> around the Brunswick River) and </w:t>
            </w:r>
            <w:r w:rsidR="6A51CEA2">
              <w:t xml:space="preserve">the present </w:t>
            </w:r>
            <w:r>
              <w:fldChar w:fldCharType="begin" w:fldLock="1"/>
            </w:r>
            <w:r>
              <w:instrText>ADDIN CSL_CITATION {"citationItems":[{"id":"ITEM-1","itemData":{"ISBN":"9781922318794","author":[{"dropping-particle":"","family":"NSW Government","given":"","non-dropping-particle":"","parse-names":false,"suffix":""}],"id":"ITEM-1","issued":{"date-parts":[["2020"]]},"publisher":"NSW National Parks and Wildlife Service","publisher-place":"Byron Bay","title":"Tyagarah Nature Reserve plan of management","type":"report"},"uris":["http://www.mendeley.com/documents/?uuid=c285325a-d0fa-4318-b962-9314129f83a4"]}],"mendeley":{"formattedCitation":"(NSW Government 2020)","plainTextFormattedCitation":"(NSW Government 2020)","previouslyFormattedCitation":"(NSW Government 2020)"},"properties":{"noteIndex":0},"schema":"https://github.com/citation-style-language/schema/raw/master/csl-citation.json"}</w:instrText>
            </w:r>
            <w:r>
              <w:fldChar w:fldCharType="separate"/>
            </w:r>
            <w:r w:rsidRPr="004C34A3">
              <w:rPr>
                <w:noProof/>
              </w:rPr>
              <w:t>(</w:t>
            </w:r>
            <w:r w:rsidR="00426129">
              <w:rPr>
                <w:noProof/>
              </w:rPr>
              <w:t xml:space="preserve">ALA 2021; </w:t>
            </w:r>
            <w:r w:rsidRPr="004C34A3">
              <w:rPr>
                <w:noProof/>
              </w:rPr>
              <w:t>NSW Government 2020)</w:t>
            </w:r>
            <w:r>
              <w:fldChar w:fldCharType="end"/>
            </w:r>
            <w:r>
              <w:t xml:space="preserve">. </w:t>
            </w:r>
            <w:proofErr w:type="spellStart"/>
            <w:r w:rsidR="2A798493" w:rsidRPr="3857C1C5">
              <w:rPr>
                <w:i/>
                <w:iCs/>
              </w:rPr>
              <w:t>Corokia</w:t>
            </w:r>
            <w:proofErr w:type="spellEnd"/>
            <w:r w:rsidR="2A798493" w:rsidRPr="3857C1C5">
              <w:rPr>
                <w:i/>
                <w:iCs/>
              </w:rPr>
              <w:t xml:space="preserve"> </w:t>
            </w:r>
            <w:proofErr w:type="spellStart"/>
            <w:r w:rsidR="2A798493" w:rsidRPr="3857C1C5">
              <w:rPr>
                <w:i/>
                <w:iCs/>
              </w:rPr>
              <w:t>whiteana</w:t>
            </w:r>
            <w:proofErr w:type="spellEnd"/>
            <w:r w:rsidR="00B626D5">
              <w:t xml:space="preserve"> currently persists mostly in protected areas separated by unsuitable and altered habitats (urban, peri-</w:t>
            </w:r>
            <w:proofErr w:type="gramStart"/>
            <w:r w:rsidR="00B626D5">
              <w:t>urban</w:t>
            </w:r>
            <w:proofErr w:type="gramEnd"/>
            <w:r w:rsidR="00B626D5">
              <w:t xml:space="preserve"> and agricultural lands), wi</w:t>
            </w:r>
            <w:r w:rsidR="00426129">
              <w:t>th older records (e.g., 1894)</w:t>
            </w:r>
            <w:r w:rsidR="00A060E9">
              <w:t xml:space="preserve"> </w:t>
            </w:r>
            <w:r w:rsidR="00B626D5">
              <w:t>suggest</w:t>
            </w:r>
            <w:r w:rsidR="00426129">
              <w:t>ing</w:t>
            </w:r>
            <w:r w:rsidR="00B626D5">
              <w:t xml:space="preserve"> that it occurred more broadly, and in more connected patches in the past</w:t>
            </w:r>
            <w:r w:rsidR="00426129">
              <w:t xml:space="preserve"> (ALA 2021)</w:t>
            </w:r>
            <w:r w:rsidR="00B626D5">
              <w:t xml:space="preserve">. </w:t>
            </w:r>
            <w:r>
              <w:t xml:space="preserve">The northern coast region of NSW is the fastest growing population in the state </w:t>
            </w:r>
            <w:r>
              <w:fldChar w:fldCharType="begin" w:fldLock="1"/>
            </w:r>
            <w:r>
              <w:instrText>ADDIN CSL_CITATION {"citationItems":[{"id":"ITEM-1","itemData":{"ISBN":"ISBN 978 1 74232 259 9","author":[{"dropping-particle":"","family":"NSW Government","given":"","non-dropping-particle":"","parse-names":false,"suffix":""}],"id":"ITEM-1","issued":{"date-parts":[["2010"]]},"number-of-pages":"168","publisher-place":"Sydney","title":"NSW climate impact profile. The impacts of climate change on the biophysical environment of New South Wales","type":"report"},"uris":["http://www.mendeley.com/documents/?uuid=ec39d299-267e-4b64-827d-4d2c7b5fb1aa"]}],"mendeley":{"formattedCitation":"(NSW Government 2010)","plainTextFormattedCitation":"(NSW Government 2010)","previouslyFormattedCitation":"(NSW Government 2010)"},"properties":{"noteIndex":0},"schema":"https://github.com/citation-style-language/schema/raw/master/csl-citation.json"}</w:instrText>
            </w:r>
            <w:r>
              <w:fldChar w:fldCharType="separate"/>
            </w:r>
            <w:r w:rsidRPr="00250987">
              <w:rPr>
                <w:noProof/>
              </w:rPr>
              <w:t>(NSW Government 2010)</w:t>
            </w:r>
            <w:r>
              <w:fldChar w:fldCharType="end"/>
            </w:r>
            <w:r>
              <w:t xml:space="preserve"> placing continual pressure to clear non-protected lands for agriculture or infrastructure. The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442A80">
              <w:t xml:space="preserve"> </w:t>
            </w:r>
            <w:r>
              <w:t xml:space="preserve">populations which occur on private lands are at a much higher risk from either intentional or accidental clearance </w:t>
            </w:r>
            <w:r>
              <w:fldChar w:fldCharType="begin" w:fldLock="1"/>
            </w:r>
            <w:r>
              <w:instrText>ADDIN CSL_CITATION {"citationItems":[{"id":"ITEM-1","itemData":{"author":[{"dropping-particle":"","family":"Quinn","given":"F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…","id":"ITEM-1","issued":{"date-parts":[["1995"]]},"publisher-place":"Armidale","title":"Report on rare and threatened plants of north-eastern New South Wales","type":"report"},"uris":["http://www.mendeley.com/documents/?uuid=901a8ae7-005e-4e02-a45f-8221872b0c0c"]}],"mendeley":{"formattedCitation":"(Quinn et al. 1995)","plainTextFormattedCitation":"(Quinn et al. 1995)","previouslyFormattedCitation":"(Quinn et al. 1995)"},"properties":{"noteIndex":0},"schema":"https://github.com/citation-style-language/schema/raw/master/csl-citation.json"}</w:instrText>
            </w:r>
            <w:r>
              <w:fldChar w:fldCharType="separate"/>
            </w:r>
            <w:r w:rsidRPr="001F239E">
              <w:rPr>
                <w:noProof/>
              </w:rPr>
              <w:t>(Quinn et al. 1995)</w:t>
            </w:r>
            <w:r>
              <w:fldChar w:fldCharType="end"/>
            </w:r>
            <w:r>
              <w:t xml:space="preserve">. In 1995 it was noted that the population at Yelgun (a coastal population) may be threatened by future urban development (Quinn et al. 1995) and as there are no records of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in the Yelgun/Billinudgel areas since 1996 (GBIF / NSW </w:t>
            </w:r>
            <w:proofErr w:type="spellStart"/>
            <w:r>
              <w:t>BioNET</w:t>
            </w:r>
            <w:proofErr w:type="spellEnd"/>
            <w:r>
              <w:t xml:space="preserve"> data) this subpopulation may have since been lost. </w:t>
            </w:r>
          </w:p>
          <w:p w14:paraId="61B35DFA" w14:textId="59031CB2" w:rsidR="00A527AD" w:rsidRPr="00806852" w:rsidRDefault="00D84499" w:rsidP="00A527AD">
            <w:pPr>
              <w:pStyle w:val="TableText"/>
            </w:pPr>
            <w:proofErr w:type="spellStart"/>
            <w:r w:rsidRPr="009359EA">
              <w:rPr>
                <w:i/>
                <w:iCs/>
              </w:rPr>
              <w:lastRenderedPageBreak/>
              <w:t>Corokia</w:t>
            </w:r>
            <w:proofErr w:type="spellEnd"/>
            <w:r w:rsidRPr="009359EA">
              <w:rPr>
                <w:i/>
                <w:iCs/>
              </w:rPr>
              <w:t xml:space="preserve"> </w:t>
            </w:r>
            <w:proofErr w:type="spellStart"/>
            <w:r w:rsidRPr="009359EA">
              <w:rPr>
                <w:i/>
                <w:iCs/>
              </w:rPr>
              <w:t>whiteana</w:t>
            </w:r>
            <w:proofErr w:type="spellEnd"/>
            <w:r>
              <w:t xml:space="preserve"> </w:t>
            </w:r>
            <w:r w:rsidR="00A527AD">
              <w:t xml:space="preserve">distribution is </w:t>
            </w:r>
            <w:r w:rsidR="6DA44663">
              <w:t xml:space="preserve">not </w:t>
            </w:r>
            <w:r w:rsidR="00A527AD">
              <w:t xml:space="preserve">easily described as occurring in a single vegetation or soil type. Further, it is a </w:t>
            </w:r>
            <w:r w:rsidR="00A527AD" w:rsidRPr="00A060E9">
              <w:t>s</w:t>
            </w:r>
            <w:r w:rsidR="00426129">
              <w:t>omewhat cryptic species within a rainforest community and is an</w:t>
            </w:r>
            <w:r w:rsidR="00A527AD">
              <w:t xml:space="preserve"> easily overlooked species. Biodiversity and environmental impact assessments which are overly prescriptive in defining impact from a core population distribution (</w:t>
            </w:r>
            <w:proofErr w:type="gramStart"/>
            <w:r w:rsidR="00A527AD">
              <w:t>e.g.</w:t>
            </w:r>
            <w:proofErr w:type="gramEnd"/>
            <w:r w:rsidR="00A527AD">
              <w:t xml:space="preserve"> Nightcap Range) or a specific habitat type (e.g. </w:t>
            </w:r>
            <w:r w:rsidR="1D5906F1">
              <w:t>r</w:t>
            </w:r>
            <w:r w:rsidR="00A527AD">
              <w:t xml:space="preserve">ainforest) may be unintentionally overlooking important subpopulations of the species, resulting in unreported subpopulation losses. </w:t>
            </w:r>
          </w:p>
        </w:tc>
      </w:tr>
    </w:tbl>
    <w:p w14:paraId="1A705E76" w14:textId="77777777" w:rsidR="00154B5B" w:rsidRPr="009A615F" w:rsidRDefault="00154B5B" w:rsidP="00154B5B">
      <w:pPr>
        <w:pStyle w:val="TableText"/>
      </w:pPr>
    </w:p>
    <w:p w14:paraId="63E49F6B" w14:textId="0AEAA8EE" w:rsidR="00E707AE" w:rsidRDefault="00BD7983">
      <w:bookmarkStart w:id="9" w:name="_Toc430782162"/>
      <w:bookmarkStart w:id="10" w:name="_Toc511376531"/>
      <w:r>
        <w:t xml:space="preserve">Each threat has been described </w:t>
      </w:r>
      <w:r w:rsidR="000E630E">
        <w:t xml:space="preserve">in Table </w:t>
      </w:r>
      <w:r w:rsidR="00113B98">
        <w:t>2</w:t>
      </w:r>
      <w:r w:rsidR="000E630E">
        <w:t xml:space="preserve"> </w:t>
      </w:r>
      <w:r>
        <w:t xml:space="preserve">in terms of the extent that it is operating on the species. </w:t>
      </w:r>
      <w:r w:rsidR="00F92E66">
        <w:t>The</w:t>
      </w:r>
      <w:r>
        <w:t xml:space="preserve"> risk matrix (</w:t>
      </w:r>
      <w:r w:rsidR="00C64C7F">
        <w:fldChar w:fldCharType="begin"/>
      </w:r>
      <w:r w:rsidR="00C64C7F">
        <w:instrText xml:space="preserve"> REF _Ref43127879 \h </w:instrText>
      </w:r>
      <w:r w:rsidR="00C64C7F">
        <w:fldChar w:fldCharType="separate"/>
      </w:r>
      <w:r w:rsidR="00400D37" w:rsidRPr="004B6BF1">
        <w:t xml:space="preserve">Table </w:t>
      </w:r>
      <w:r w:rsidR="00C64C7F">
        <w:fldChar w:fldCharType="end"/>
      </w:r>
      <w:r w:rsidR="00113B98">
        <w:t>3</w:t>
      </w:r>
      <w:r>
        <w:t xml:space="preserve">) provides a visual </w:t>
      </w:r>
      <w:r w:rsidR="00F92E66">
        <w:t>depiction of</w:t>
      </w:r>
      <w:r>
        <w:t xml:space="preserve"> the level of risk being imposed by a threat and supports the </w:t>
      </w:r>
      <w:r w:rsidR="00E970AB">
        <w:t>prioritisation</w:t>
      </w:r>
      <w:r>
        <w:t xml:space="preserve">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and the efficacy of curre</w:t>
      </w:r>
      <w:r w:rsidRPr="00B038DF">
        <w:t>nt management regimes, assuming that management will continu</w:t>
      </w:r>
      <w:r w:rsidR="00774EAA" w:rsidRPr="00B038DF">
        <w:t>e to be applied appropriately.</w:t>
      </w:r>
      <w:r w:rsidRPr="00B038DF">
        <w:t xml:space="preserve"> The risk matrix</w:t>
      </w:r>
      <w:r w:rsidR="001B077B" w:rsidRPr="00B038DF">
        <w:t xml:space="preserve"> </w:t>
      </w:r>
      <w:r w:rsidRPr="00B038DF">
        <w:t>and ranking of threats has been developed in consultation</w:t>
      </w:r>
      <w:r w:rsidR="008D2DCF" w:rsidRPr="00B038DF">
        <w:t xml:space="preserve"> </w:t>
      </w:r>
      <w:r w:rsidRPr="00B038DF">
        <w:t>with expert</w:t>
      </w:r>
      <w:r w:rsidR="008D2DCF" w:rsidRPr="00B038DF">
        <w:t>s</w:t>
      </w:r>
      <w:r w:rsidRPr="00B038DF">
        <w:t xml:space="preserve"> </w:t>
      </w:r>
      <w:r w:rsidR="00B038DF" w:rsidRPr="00B038DF">
        <w:t xml:space="preserve">and </w:t>
      </w:r>
      <w:r w:rsidRPr="00B038DF">
        <w:t>using available literature.</w:t>
      </w:r>
    </w:p>
    <w:p w14:paraId="54C4C1CF" w14:textId="2525D543" w:rsidR="00774EAA" w:rsidRPr="004B6BF1" w:rsidRDefault="00774EAA" w:rsidP="00971C10">
      <w:pPr>
        <w:pStyle w:val="Caption"/>
      </w:pPr>
      <w:bookmarkStart w:id="11" w:name="_Ref43127879"/>
      <w:r w:rsidRPr="004B6BF1">
        <w:t xml:space="preserve">Table </w:t>
      </w:r>
      <w:bookmarkEnd w:id="11"/>
      <w:r w:rsidR="004B6BF1">
        <w:t>3</w:t>
      </w:r>
      <w:r w:rsidRPr="004B6BF1">
        <w:t xml:space="preserve"> </w:t>
      </w:r>
      <w:r w:rsidR="00322655" w:rsidRPr="004B6BF1">
        <w:t>R</w:t>
      </w:r>
      <w:r w:rsidRPr="004B6BF1">
        <w:t xml:space="preserve">isk </w:t>
      </w:r>
      <w:r w:rsidR="00322655" w:rsidRPr="004B6BF1">
        <w:t>M</w:t>
      </w:r>
      <w:r w:rsidRPr="004B6BF1">
        <w:t>atrix</w:t>
      </w:r>
    </w:p>
    <w:tbl>
      <w:tblPr>
        <w:tblStyle w:val="TableGrid"/>
        <w:tblW w:w="0" w:type="auto"/>
        <w:tblLook w:val="04A0" w:firstRow="1" w:lastRow="0" w:firstColumn="1" w:lastColumn="0" w:noHBand="0" w:noVBand="1"/>
      </w:tblPr>
      <w:tblGrid>
        <w:gridCol w:w="1315"/>
        <w:gridCol w:w="1306"/>
        <w:gridCol w:w="1461"/>
        <w:gridCol w:w="2461"/>
        <w:gridCol w:w="1123"/>
        <w:gridCol w:w="1394"/>
      </w:tblGrid>
      <w:tr w:rsidR="0044236D" w:rsidRPr="009D7E68" w14:paraId="57F0BD61" w14:textId="77777777" w:rsidTr="00711F92">
        <w:trPr>
          <w:cantSplit/>
          <w:tblHeader/>
        </w:trPr>
        <w:tc>
          <w:tcPr>
            <w:tcW w:w="1315" w:type="dxa"/>
            <w:vMerge w:val="restart"/>
          </w:tcPr>
          <w:p w14:paraId="2506FFC9" w14:textId="77777777" w:rsidR="0044236D" w:rsidRPr="009D7E68" w:rsidRDefault="0044236D" w:rsidP="00971C10">
            <w:pPr>
              <w:pStyle w:val="TableHeading"/>
            </w:pPr>
            <w:r w:rsidRPr="009D7E68">
              <w:t>Likelihood</w:t>
            </w:r>
          </w:p>
        </w:tc>
        <w:tc>
          <w:tcPr>
            <w:tcW w:w="7745" w:type="dxa"/>
            <w:gridSpan w:val="5"/>
          </w:tcPr>
          <w:p w14:paraId="188F9917" w14:textId="77777777" w:rsidR="0044236D" w:rsidRPr="009D7E68" w:rsidRDefault="0044236D" w:rsidP="00971C10">
            <w:pPr>
              <w:pStyle w:val="TableHeading"/>
            </w:pPr>
            <w:r w:rsidRPr="009D7E68">
              <w:t>Consequences</w:t>
            </w:r>
          </w:p>
        </w:tc>
      </w:tr>
      <w:tr w:rsidR="0044236D" w:rsidRPr="009D7E68" w14:paraId="59EC3343" w14:textId="77777777" w:rsidTr="00711F92">
        <w:trPr>
          <w:cantSplit/>
          <w:tblHeader/>
        </w:trPr>
        <w:tc>
          <w:tcPr>
            <w:tcW w:w="1315" w:type="dxa"/>
            <w:vMerge/>
          </w:tcPr>
          <w:p w14:paraId="499E0AA7" w14:textId="77777777" w:rsidR="0044236D" w:rsidRPr="009D7E68" w:rsidRDefault="0044236D" w:rsidP="00971C10">
            <w:pPr>
              <w:pStyle w:val="TableHeading"/>
            </w:pPr>
          </w:p>
        </w:tc>
        <w:tc>
          <w:tcPr>
            <w:tcW w:w="1306" w:type="dxa"/>
          </w:tcPr>
          <w:p w14:paraId="4F0B8F65" w14:textId="77777777" w:rsidR="0044236D" w:rsidRPr="009D7E68" w:rsidRDefault="0044236D" w:rsidP="00971C10">
            <w:pPr>
              <w:pStyle w:val="TableHeading"/>
            </w:pPr>
            <w:r w:rsidRPr="009D7E68">
              <w:t>Not significant</w:t>
            </w:r>
          </w:p>
        </w:tc>
        <w:tc>
          <w:tcPr>
            <w:tcW w:w="1461" w:type="dxa"/>
          </w:tcPr>
          <w:p w14:paraId="0988F0A8" w14:textId="77777777" w:rsidR="0044236D" w:rsidRPr="009D7E68" w:rsidRDefault="0044236D" w:rsidP="00971C10">
            <w:pPr>
              <w:pStyle w:val="TableHeading"/>
            </w:pPr>
            <w:r w:rsidRPr="009D7E68">
              <w:t>Minor</w:t>
            </w:r>
          </w:p>
        </w:tc>
        <w:tc>
          <w:tcPr>
            <w:tcW w:w="2461" w:type="dxa"/>
          </w:tcPr>
          <w:p w14:paraId="65852423" w14:textId="77777777" w:rsidR="0044236D" w:rsidRPr="009D7E68" w:rsidRDefault="0044236D" w:rsidP="00971C10">
            <w:pPr>
              <w:pStyle w:val="TableHeading"/>
            </w:pPr>
            <w:r w:rsidRPr="009D7E68">
              <w:t>Moderate</w:t>
            </w:r>
          </w:p>
        </w:tc>
        <w:tc>
          <w:tcPr>
            <w:tcW w:w="1123" w:type="dxa"/>
          </w:tcPr>
          <w:p w14:paraId="3FC83B04" w14:textId="77777777" w:rsidR="0044236D" w:rsidRPr="009D7E68" w:rsidRDefault="0044236D" w:rsidP="00971C10">
            <w:pPr>
              <w:pStyle w:val="TableHeading"/>
            </w:pPr>
            <w:r w:rsidRPr="009D7E68">
              <w:t>Major</w:t>
            </w:r>
          </w:p>
        </w:tc>
        <w:tc>
          <w:tcPr>
            <w:tcW w:w="1394" w:type="dxa"/>
          </w:tcPr>
          <w:p w14:paraId="7F8CDC4B" w14:textId="77777777" w:rsidR="0044236D" w:rsidRPr="009D7E68" w:rsidRDefault="0044236D" w:rsidP="00971C10">
            <w:pPr>
              <w:pStyle w:val="TableHeading"/>
            </w:pPr>
            <w:r w:rsidRPr="009D7E68">
              <w:t>Catastrophic</w:t>
            </w:r>
          </w:p>
        </w:tc>
      </w:tr>
      <w:tr w:rsidR="0044236D" w:rsidRPr="009D7E68" w14:paraId="1EC90E14" w14:textId="77777777" w:rsidTr="00711F92">
        <w:tc>
          <w:tcPr>
            <w:tcW w:w="1315" w:type="dxa"/>
          </w:tcPr>
          <w:p w14:paraId="557781A8" w14:textId="77777777" w:rsidR="0044236D" w:rsidRPr="009D7E68" w:rsidRDefault="0044236D" w:rsidP="00971C10">
            <w:pPr>
              <w:pStyle w:val="TableText"/>
              <w:keepNext/>
              <w:rPr>
                <w:rStyle w:val="Strong"/>
              </w:rPr>
            </w:pPr>
            <w:r w:rsidRPr="009D7E68">
              <w:rPr>
                <w:rStyle w:val="Strong"/>
              </w:rPr>
              <w:t>Almost certain</w:t>
            </w:r>
          </w:p>
        </w:tc>
        <w:tc>
          <w:tcPr>
            <w:tcW w:w="1306" w:type="dxa"/>
            <w:shd w:val="clear" w:color="auto" w:fill="C2D69B" w:themeFill="accent3" w:themeFillTint="99"/>
          </w:tcPr>
          <w:p w14:paraId="64B5EE95" w14:textId="77777777" w:rsidR="0044236D" w:rsidRPr="009D7E68" w:rsidRDefault="0044236D" w:rsidP="00971C10">
            <w:pPr>
              <w:pStyle w:val="TableText"/>
              <w:keepNext/>
            </w:pPr>
            <w:r w:rsidRPr="009D7E68">
              <w:t>Low risk</w:t>
            </w:r>
          </w:p>
        </w:tc>
        <w:tc>
          <w:tcPr>
            <w:tcW w:w="1461" w:type="dxa"/>
            <w:shd w:val="clear" w:color="auto" w:fill="8DB3E2" w:themeFill="text2" w:themeFillTint="66"/>
          </w:tcPr>
          <w:p w14:paraId="328EC131" w14:textId="77777777" w:rsidR="0044236D" w:rsidRPr="009D7E68" w:rsidRDefault="0044236D" w:rsidP="00971C10">
            <w:pPr>
              <w:pStyle w:val="TableText"/>
              <w:keepNext/>
            </w:pPr>
            <w:r w:rsidRPr="009D7E68">
              <w:t>Moderate risk</w:t>
            </w:r>
          </w:p>
        </w:tc>
        <w:tc>
          <w:tcPr>
            <w:tcW w:w="2461" w:type="dxa"/>
            <w:shd w:val="clear" w:color="auto" w:fill="D99594" w:themeFill="accent2" w:themeFillTint="99"/>
          </w:tcPr>
          <w:p w14:paraId="29964055" w14:textId="77777777" w:rsidR="0044236D" w:rsidRPr="009D7E68" w:rsidRDefault="0044236D" w:rsidP="00971C10">
            <w:pPr>
              <w:pStyle w:val="TableText"/>
              <w:keepNext/>
            </w:pPr>
            <w:r w:rsidRPr="009D7E68">
              <w:t>Very high risk</w:t>
            </w:r>
          </w:p>
        </w:tc>
        <w:tc>
          <w:tcPr>
            <w:tcW w:w="1123" w:type="dxa"/>
            <w:shd w:val="clear" w:color="auto" w:fill="D99594" w:themeFill="accent2" w:themeFillTint="99"/>
          </w:tcPr>
          <w:p w14:paraId="042EB3F5" w14:textId="77777777" w:rsidR="0044236D" w:rsidRPr="009D7E68" w:rsidRDefault="0044236D" w:rsidP="00971C10">
            <w:pPr>
              <w:pStyle w:val="TableText"/>
              <w:keepNext/>
            </w:pPr>
            <w:r w:rsidRPr="009D7E68">
              <w:t>Very high risk</w:t>
            </w:r>
          </w:p>
        </w:tc>
        <w:tc>
          <w:tcPr>
            <w:tcW w:w="1394" w:type="dxa"/>
            <w:shd w:val="clear" w:color="auto" w:fill="D99594" w:themeFill="accent2" w:themeFillTint="99"/>
          </w:tcPr>
          <w:p w14:paraId="0EBA5E87" w14:textId="77777777" w:rsidR="0044236D" w:rsidRPr="009D7E68" w:rsidRDefault="0044236D" w:rsidP="00971C10">
            <w:pPr>
              <w:pStyle w:val="TableText"/>
              <w:keepNext/>
            </w:pPr>
            <w:r w:rsidRPr="009D7E68">
              <w:t>Very high risk</w:t>
            </w:r>
          </w:p>
        </w:tc>
      </w:tr>
      <w:tr w:rsidR="0044236D" w:rsidRPr="009D7E68" w14:paraId="647476A9" w14:textId="77777777" w:rsidTr="00711F92">
        <w:tc>
          <w:tcPr>
            <w:tcW w:w="1315" w:type="dxa"/>
          </w:tcPr>
          <w:p w14:paraId="222DCF1D" w14:textId="77777777" w:rsidR="0044236D" w:rsidRPr="009D7E68" w:rsidRDefault="0044236D" w:rsidP="00971C10">
            <w:pPr>
              <w:pStyle w:val="TableText"/>
              <w:keepNext/>
              <w:rPr>
                <w:rStyle w:val="Strong"/>
              </w:rPr>
            </w:pPr>
            <w:r w:rsidRPr="009D7E68">
              <w:rPr>
                <w:rStyle w:val="Strong"/>
              </w:rPr>
              <w:t>Likely</w:t>
            </w:r>
          </w:p>
        </w:tc>
        <w:tc>
          <w:tcPr>
            <w:tcW w:w="1306" w:type="dxa"/>
            <w:shd w:val="clear" w:color="auto" w:fill="C2D69B" w:themeFill="accent3" w:themeFillTint="99"/>
          </w:tcPr>
          <w:p w14:paraId="526F47B4" w14:textId="77777777" w:rsidR="0044236D" w:rsidRPr="009D7E68" w:rsidRDefault="0044236D" w:rsidP="00971C10">
            <w:pPr>
              <w:pStyle w:val="TableText"/>
              <w:keepNext/>
            </w:pPr>
            <w:r w:rsidRPr="009D7E68">
              <w:t>Low risk</w:t>
            </w:r>
          </w:p>
        </w:tc>
        <w:tc>
          <w:tcPr>
            <w:tcW w:w="1461" w:type="dxa"/>
            <w:shd w:val="clear" w:color="auto" w:fill="8DB3E2" w:themeFill="text2" w:themeFillTint="66"/>
          </w:tcPr>
          <w:p w14:paraId="121E98C3" w14:textId="77777777" w:rsidR="0044236D" w:rsidRDefault="0044236D" w:rsidP="00971C10">
            <w:pPr>
              <w:pStyle w:val="TableText"/>
              <w:keepNext/>
            </w:pPr>
            <w:r w:rsidRPr="009D7E68">
              <w:t>Moderate risk</w:t>
            </w:r>
          </w:p>
          <w:p w14:paraId="6DA1262D" w14:textId="77777777" w:rsidR="0044236D" w:rsidRPr="009D7E68" w:rsidRDefault="0044236D" w:rsidP="00971C10">
            <w:pPr>
              <w:pStyle w:val="TableText"/>
              <w:keepNext/>
            </w:pPr>
          </w:p>
        </w:tc>
        <w:tc>
          <w:tcPr>
            <w:tcW w:w="2461" w:type="dxa"/>
            <w:shd w:val="clear" w:color="auto" w:fill="FFFF00"/>
          </w:tcPr>
          <w:p w14:paraId="303D961C" w14:textId="483D6120" w:rsidR="00B340FC" w:rsidRPr="00B340FC" w:rsidRDefault="0044236D" w:rsidP="00971C10">
            <w:pPr>
              <w:pStyle w:val="TableText"/>
              <w:keepNext/>
            </w:pPr>
            <w:r w:rsidRPr="009D7E68">
              <w:t>High risk</w:t>
            </w:r>
          </w:p>
          <w:p w14:paraId="1AAAF158" w14:textId="575948CE" w:rsidR="00B340FC" w:rsidRPr="00FD4592" w:rsidRDefault="00B340FC" w:rsidP="00FD4592">
            <w:pPr>
              <w:pStyle w:val="TableText"/>
              <w:rPr>
                <w:b/>
                <w:bCs/>
              </w:rPr>
            </w:pPr>
            <w:r w:rsidRPr="00FD4592">
              <w:rPr>
                <w:b/>
                <w:bCs/>
              </w:rPr>
              <w:t>Increased temperatures and changes in rainfall patterns</w:t>
            </w:r>
          </w:p>
          <w:p w14:paraId="01DB9155" w14:textId="6E68A5A6" w:rsidR="00B340FC" w:rsidRPr="00A1798D" w:rsidRDefault="00113B98" w:rsidP="00FD4592">
            <w:pPr>
              <w:pStyle w:val="TableText"/>
            </w:pPr>
            <w:r>
              <w:rPr>
                <w:b/>
                <w:bCs/>
              </w:rPr>
              <w:t>I</w:t>
            </w:r>
            <w:r w:rsidR="00B340FC" w:rsidRPr="00FD4592">
              <w:rPr>
                <w:b/>
                <w:bCs/>
              </w:rPr>
              <w:t>ncreasing fire frequency and intensity</w:t>
            </w:r>
          </w:p>
        </w:tc>
        <w:tc>
          <w:tcPr>
            <w:tcW w:w="1123" w:type="dxa"/>
            <w:shd w:val="clear" w:color="auto" w:fill="D99594" w:themeFill="accent2" w:themeFillTint="99"/>
          </w:tcPr>
          <w:p w14:paraId="5F630A9F" w14:textId="77777777" w:rsidR="0044236D" w:rsidRPr="009D7E68" w:rsidRDefault="0044236D" w:rsidP="00971C10">
            <w:pPr>
              <w:pStyle w:val="TableText"/>
              <w:keepNext/>
            </w:pPr>
            <w:r w:rsidRPr="009D7E68">
              <w:t>Very high risk</w:t>
            </w:r>
          </w:p>
        </w:tc>
        <w:tc>
          <w:tcPr>
            <w:tcW w:w="1394" w:type="dxa"/>
            <w:shd w:val="clear" w:color="auto" w:fill="D99594" w:themeFill="accent2" w:themeFillTint="99"/>
          </w:tcPr>
          <w:p w14:paraId="759B5E10" w14:textId="77777777" w:rsidR="0044236D" w:rsidRPr="009D7E68" w:rsidRDefault="0044236D" w:rsidP="00971C10">
            <w:pPr>
              <w:pStyle w:val="TableText"/>
              <w:keepNext/>
            </w:pPr>
            <w:r w:rsidRPr="009D7E68">
              <w:t>Very high risk</w:t>
            </w:r>
          </w:p>
        </w:tc>
      </w:tr>
      <w:tr w:rsidR="0044236D" w:rsidRPr="009D7E68" w14:paraId="534606AD" w14:textId="77777777" w:rsidTr="00711F92">
        <w:tc>
          <w:tcPr>
            <w:tcW w:w="1315" w:type="dxa"/>
          </w:tcPr>
          <w:p w14:paraId="62F90C22" w14:textId="77777777" w:rsidR="0044236D" w:rsidRPr="009D7E68" w:rsidRDefault="0044236D" w:rsidP="00971C10">
            <w:pPr>
              <w:pStyle w:val="TableText"/>
              <w:keepNext/>
              <w:rPr>
                <w:rStyle w:val="Strong"/>
              </w:rPr>
            </w:pPr>
            <w:r w:rsidRPr="009D7E68">
              <w:rPr>
                <w:rStyle w:val="Strong"/>
              </w:rPr>
              <w:t>Possible</w:t>
            </w:r>
          </w:p>
        </w:tc>
        <w:tc>
          <w:tcPr>
            <w:tcW w:w="1306" w:type="dxa"/>
            <w:shd w:val="clear" w:color="auto" w:fill="C2D69B" w:themeFill="accent3" w:themeFillTint="99"/>
          </w:tcPr>
          <w:p w14:paraId="07534CEC" w14:textId="77777777" w:rsidR="0044236D" w:rsidRPr="009D7E68" w:rsidRDefault="0044236D" w:rsidP="00971C10">
            <w:pPr>
              <w:pStyle w:val="TableText"/>
              <w:keepNext/>
            </w:pPr>
            <w:r w:rsidRPr="009D7E68">
              <w:t>Low risk</w:t>
            </w:r>
          </w:p>
        </w:tc>
        <w:tc>
          <w:tcPr>
            <w:tcW w:w="1461" w:type="dxa"/>
            <w:shd w:val="clear" w:color="auto" w:fill="8DB3E2" w:themeFill="text2" w:themeFillTint="66"/>
          </w:tcPr>
          <w:p w14:paraId="21BAA1AC" w14:textId="77777777" w:rsidR="0044236D" w:rsidRPr="009D7E68" w:rsidRDefault="0044236D" w:rsidP="00971C10">
            <w:pPr>
              <w:pStyle w:val="TableText"/>
              <w:keepNext/>
            </w:pPr>
            <w:r w:rsidRPr="009D7E68">
              <w:t>Moderate risk</w:t>
            </w:r>
          </w:p>
          <w:p w14:paraId="0FD91635" w14:textId="0F47537E" w:rsidR="00A527AD" w:rsidRPr="00A1798D" w:rsidRDefault="00A527AD" w:rsidP="00971C10">
            <w:pPr>
              <w:pStyle w:val="TableText"/>
              <w:keepNext/>
              <w:rPr>
                <w:b/>
                <w:bCs/>
              </w:rPr>
            </w:pPr>
            <w:r w:rsidRPr="00A1798D">
              <w:rPr>
                <w:b/>
                <w:bCs/>
              </w:rPr>
              <w:t>Land clearing causing habitat fragmentation</w:t>
            </w:r>
          </w:p>
        </w:tc>
        <w:tc>
          <w:tcPr>
            <w:tcW w:w="2461" w:type="dxa"/>
            <w:shd w:val="clear" w:color="auto" w:fill="FFFF00"/>
          </w:tcPr>
          <w:p w14:paraId="7ECC3D7F" w14:textId="35605345" w:rsidR="00B340FC" w:rsidRPr="00FD4592" w:rsidRDefault="0044236D" w:rsidP="00971C10">
            <w:pPr>
              <w:pStyle w:val="TableText"/>
              <w:keepNext/>
            </w:pPr>
            <w:r w:rsidRPr="009D7E68">
              <w:t>High risk</w:t>
            </w:r>
          </w:p>
          <w:p w14:paraId="129C398F" w14:textId="12F23C21" w:rsidR="00B340FC" w:rsidRDefault="0044236D" w:rsidP="00971C10">
            <w:pPr>
              <w:pStyle w:val="TableText"/>
              <w:keepNext/>
              <w:rPr>
                <w:b/>
                <w:bCs/>
              </w:rPr>
            </w:pPr>
            <w:r w:rsidRPr="00A1798D">
              <w:rPr>
                <w:b/>
                <w:bCs/>
              </w:rPr>
              <w:t>Small</w:t>
            </w:r>
            <w:r w:rsidR="00A060E9">
              <w:rPr>
                <w:b/>
                <w:bCs/>
              </w:rPr>
              <w:t>,</w:t>
            </w:r>
            <w:r w:rsidRPr="00A1798D">
              <w:rPr>
                <w:b/>
                <w:bCs/>
              </w:rPr>
              <w:t xml:space="preserve"> fragmented subpopulations</w:t>
            </w:r>
          </w:p>
          <w:p w14:paraId="1A6AE2F6" w14:textId="7C6039F4" w:rsidR="0044236D" w:rsidRPr="009D7E68" w:rsidRDefault="0044236D" w:rsidP="00971C10">
            <w:pPr>
              <w:pStyle w:val="TableText"/>
              <w:keepNext/>
            </w:pPr>
            <w:r w:rsidRPr="00A1798D">
              <w:rPr>
                <w:b/>
                <w:bCs/>
              </w:rPr>
              <w:t>Invasive weeds</w:t>
            </w:r>
          </w:p>
        </w:tc>
        <w:tc>
          <w:tcPr>
            <w:tcW w:w="1123" w:type="dxa"/>
            <w:shd w:val="clear" w:color="auto" w:fill="D99594" w:themeFill="accent2" w:themeFillTint="99"/>
          </w:tcPr>
          <w:p w14:paraId="1191B868" w14:textId="77777777" w:rsidR="0044236D" w:rsidRPr="009D7E68" w:rsidRDefault="0044236D" w:rsidP="00971C10">
            <w:pPr>
              <w:pStyle w:val="TableText"/>
              <w:keepNext/>
            </w:pPr>
            <w:r w:rsidRPr="009D7E68">
              <w:t>Very high risk</w:t>
            </w:r>
          </w:p>
        </w:tc>
        <w:tc>
          <w:tcPr>
            <w:tcW w:w="1394" w:type="dxa"/>
            <w:shd w:val="clear" w:color="auto" w:fill="D99594" w:themeFill="accent2" w:themeFillTint="99"/>
          </w:tcPr>
          <w:p w14:paraId="1E5C3ABC" w14:textId="77777777" w:rsidR="0044236D" w:rsidRPr="009D7E68" w:rsidRDefault="0044236D" w:rsidP="00971C10">
            <w:pPr>
              <w:pStyle w:val="TableText"/>
              <w:keepNext/>
            </w:pPr>
            <w:r w:rsidRPr="009D7E68">
              <w:t>Very high risk</w:t>
            </w:r>
          </w:p>
        </w:tc>
      </w:tr>
      <w:tr w:rsidR="0044236D" w:rsidRPr="009D7E68" w14:paraId="2B5E9232" w14:textId="77777777" w:rsidTr="00711F92">
        <w:tc>
          <w:tcPr>
            <w:tcW w:w="1315" w:type="dxa"/>
          </w:tcPr>
          <w:p w14:paraId="407B0685" w14:textId="77777777" w:rsidR="0044236D" w:rsidRPr="009D7E68" w:rsidRDefault="0044236D" w:rsidP="00971C10">
            <w:pPr>
              <w:pStyle w:val="TableText"/>
              <w:keepNext/>
              <w:rPr>
                <w:rStyle w:val="Strong"/>
              </w:rPr>
            </w:pPr>
            <w:r w:rsidRPr="009D7E68">
              <w:rPr>
                <w:rStyle w:val="Strong"/>
              </w:rPr>
              <w:t>Unlikely</w:t>
            </w:r>
          </w:p>
        </w:tc>
        <w:tc>
          <w:tcPr>
            <w:tcW w:w="1306" w:type="dxa"/>
            <w:shd w:val="clear" w:color="auto" w:fill="C2D69B" w:themeFill="accent3" w:themeFillTint="99"/>
          </w:tcPr>
          <w:p w14:paraId="4AB5F6D4" w14:textId="77777777" w:rsidR="0044236D" w:rsidRPr="009D7E68" w:rsidRDefault="0044236D" w:rsidP="00971C10">
            <w:pPr>
              <w:pStyle w:val="TableText"/>
              <w:keepNext/>
            </w:pPr>
            <w:r w:rsidRPr="009D7E68">
              <w:t>Low risk</w:t>
            </w:r>
          </w:p>
        </w:tc>
        <w:tc>
          <w:tcPr>
            <w:tcW w:w="1461" w:type="dxa"/>
            <w:shd w:val="clear" w:color="auto" w:fill="C2D69B" w:themeFill="accent3" w:themeFillTint="99"/>
          </w:tcPr>
          <w:p w14:paraId="41CB0D0A" w14:textId="77777777" w:rsidR="0044236D" w:rsidRPr="009D7E68" w:rsidRDefault="0044236D" w:rsidP="00971C10">
            <w:pPr>
              <w:pStyle w:val="TableText"/>
              <w:keepNext/>
            </w:pPr>
            <w:r w:rsidRPr="009D7E68">
              <w:t>Low risk</w:t>
            </w:r>
          </w:p>
        </w:tc>
        <w:tc>
          <w:tcPr>
            <w:tcW w:w="2461" w:type="dxa"/>
            <w:shd w:val="clear" w:color="auto" w:fill="8DB3E2" w:themeFill="text2" w:themeFillTint="66"/>
          </w:tcPr>
          <w:p w14:paraId="25C0134C" w14:textId="77777777" w:rsidR="0044236D" w:rsidRPr="009D7E68" w:rsidRDefault="0044236D" w:rsidP="00971C10">
            <w:pPr>
              <w:pStyle w:val="TableText"/>
              <w:keepNext/>
            </w:pPr>
            <w:r w:rsidRPr="009D7E68">
              <w:t>Moderate risk</w:t>
            </w:r>
          </w:p>
        </w:tc>
        <w:tc>
          <w:tcPr>
            <w:tcW w:w="1123" w:type="dxa"/>
            <w:shd w:val="clear" w:color="auto" w:fill="FFFF00"/>
          </w:tcPr>
          <w:p w14:paraId="54B11C35" w14:textId="77777777" w:rsidR="0044236D" w:rsidRPr="009D7E68" w:rsidRDefault="0044236D" w:rsidP="00971C10">
            <w:pPr>
              <w:pStyle w:val="TableText"/>
              <w:keepNext/>
            </w:pPr>
            <w:r w:rsidRPr="009D7E68">
              <w:t>High risk</w:t>
            </w:r>
          </w:p>
        </w:tc>
        <w:tc>
          <w:tcPr>
            <w:tcW w:w="1394" w:type="dxa"/>
            <w:shd w:val="clear" w:color="auto" w:fill="D99594" w:themeFill="accent2" w:themeFillTint="99"/>
          </w:tcPr>
          <w:p w14:paraId="2993EFAD" w14:textId="77777777" w:rsidR="0044236D" w:rsidRPr="009D7E68" w:rsidRDefault="0044236D" w:rsidP="00971C10">
            <w:pPr>
              <w:pStyle w:val="TableText"/>
              <w:keepNext/>
            </w:pPr>
            <w:r w:rsidRPr="009D7E68">
              <w:t>Very high risk</w:t>
            </w:r>
          </w:p>
        </w:tc>
      </w:tr>
      <w:tr w:rsidR="0044236D" w:rsidRPr="009D7E68" w14:paraId="50008C88" w14:textId="77777777" w:rsidTr="00711F92">
        <w:tc>
          <w:tcPr>
            <w:tcW w:w="1315" w:type="dxa"/>
          </w:tcPr>
          <w:p w14:paraId="661B538A" w14:textId="77777777" w:rsidR="0044236D" w:rsidRPr="009D7E68" w:rsidRDefault="0044236D" w:rsidP="00F00EF6">
            <w:pPr>
              <w:pStyle w:val="TableText"/>
              <w:rPr>
                <w:rStyle w:val="Strong"/>
              </w:rPr>
            </w:pPr>
            <w:r w:rsidRPr="009D7E68">
              <w:rPr>
                <w:rStyle w:val="Strong"/>
              </w:rPr>
              <w:t>Unknown</w:t>
            </w:r>
          </w:p>
        </w:tc>
        <w:tc>
          <w:tcPr>
            <w:tcW w:w="1306" w:type="dxa"/>
            <w:shd w:val="clear" w:color="auto" w:fill="C2D69B" w:themeFill="accent3" w:themeFillTint="99"/>
          </w:tcPr>
          <w:p w14:paraId="4160CAFF" w14:textId="77777777" w:rsidR="0044236D" w:rsidRPr="009D7E68" w:rsidRDefault="0044236D" w:rsidP="00F00EF6">
            <w:pPr>
              <w:pStyle w:val="TableText"/>
            </w:pPr>
            <w:r w:rsidRPr="009D7E68">
              <w:t>Low risk</w:t>
            </w:r>
          </w:p>
        </w:tc>
        <w:tc>
          <w:tcPr>
            <w:tcW w:w="1461" w:type="dxa"/>
            <w:shd w:val="clear" w:color="auto" w:fill="C2D69B" w:themeFill="accent3" w:themeFillTint="99"/>
          </w:tcPr>
          <w:p w14:paraId="395867C3" w14:textId="77777777" w:rsidR="0044236D" w:rsidRPr="009D7E68" w:rsidRDefault="0044236D" w:rsidP="00F00EF6">
            <w:pPr>
              <w:pStyle w:val="TableText"/>
            </w:pPr>
            <w:r w:rsidRPr="009D7E68">
              <w:t>Low risk</w:t>
            </w:r>
          </w:p>
        </w:tc>
        <w:tc>
          <w:tcPr>
            <w:tcW w:w="2461" w:type="dxa"/>
            <w:shd w:val="clear" w:color="auto" w:fill="8DB3E2" w:themeFill="text2" w:themeFillTint="66"/>
          </w:tcPr>
          <w:p w14:paraId="0F91767D" w14:textId="77777777" w:rsidR="0044236D" w:rsidRPr="009D7E68" w:rsidRDefault="0044236D" w:rsidP="00F00EF6">
            <w:pPr>
              <w:pStyle w:val="TableText"/>
            </w:pPr>
            <w:r w:rsidRPr="009D7E68">
              <w:t>Moderate risk</w:t>
            </w:r>
          </w:p>
        </w:tc>
        <w:tc>
          <w:tcPr>
            <w:tcW w:w="1123" w:type="dxa"/>
            <w:shd w:val="clear" w:color="auto" w:fill="FFFF00"/>
          </w:tcPr>
          <w:p w14:paraId="5A7B5A4C" w14:textId="77777777" w:rsidR="0044236D" w:rsidRPr="009D7E68" w:rsidRDefault="0044236D" w:rsidP="00F00EF6">
            <w:pPr>
              <w:pStyle w:val="TableText"/>
            </w:pPr>
            <w:r w:rsidRPr="009D7E68">
              <w:t>High risk</w:t>
            </w:r>
          </w:p>
        </w:tc>
        <w:tc>
          <w:tcPr>
            <w:tcW w:w="1394" w:type="dxa"/>
            <w:shd w:val="clear" w:color="auto" w:fill="D99594" w:themeFill="accent2" w:themeFillTint="99"/>
          </w:tcPr>
          <w:p w14:paraId="4943FAFD" w14:textId="77777777" w:rsidR="0044236D" w:rsidRPr="009D7E68" w:rsidRDefault="0044236D" w:rsidP="00F00EF6">
            <w:pPr>
              <w:pStyle w:val="TableText"/>
            </w:pPr>
            <w:r w:rsidRPr="009D7E68">
              <w:t>Very high risk</w:t>
            </w:r>
          </w:p>
        </w:tc>
      </w:tr>
    </w:tbl>
    <w:p w14:paraId="51288C2A" w14:textId="77777777" w:rsidR="00711F92" w:rsidRPr="00C33405" w:rsidRDefault="00711F92" w:rsidP="00711F92">
      <w:pPr>
        <w:pStyle w:val="FigureTableNoteSource"/>
        <w:rPr>
          <w:b/>
          <w:bCs/>
        </w:rPr>
      </w:pPr>
      <w:r w:rsidRPr="00C33405">
        <w:rPr>
          <w:b/>
          <w:bCs/>
        </w:rPr>
        <w:t>Categories for likelihood are defined as follows:</w:t>
      </w:r>
    </w:p>
    <w:p w14:paraId="1B96073E" w14:textId="77777777" w:rsidR="00711F92" w:rsidRDefault="00711F92" w:rsidP="00711F92">
      <w:pPr>
        <w:pStyle w:val="FigureTableNoteSource"/>
      </w:pPr>
      <w:r>
        <w:t>Almost certain – expected to occur every year</w:t>
      </w:r>
    </w:p>
    <w:p w14:paraId="65A0A326" w14:textId="77777777" w:rsidR="00711F92" w:rsidRDefault="00711F92" w:rsidP="00711F92">
      <w:pPr>
        <w:pStyle w:val="FigureTableNoteSource"/>
      </w:pPr>
      <w:r>
        <w:t>Likely – expected to occur at least once every five years</w:t>
      </w:r>
    </w:p>
    <w:p w14:paraId="5E9FC989" w14:textId="77777777" w:rsidR="00711F92" w:rsidRDefault="00711F92" w:rsidP="00711F92">
      <w:pPr>
        <w:pStyle w:val="FigureTableNoteSource"/>
      </w:pPr>
      <w:r>
        <w:t>Possible – might occur at some time</w:t>
      </w:r>
    </w:p>
    <w:p w14:paraId="330379B7" w14:textId="77777777" w:rsidR="00711F92" w:rsidRDefault="00711F92" w:rsidP="00711F92">
      <w:pPr>
        <w:pStyle w:val="FigureTableNoteSource"/>
      </w:pPr>
      <w:r>
        <w:t>Unlikely – such events are known to have occurred on a worldwide bases but only a few ties</w:t>
      </w:r>
    </w:p>
    <w:p w14:paraId="27613F5E" w14:textId="77777777" w:rsidR="00711F92" w:rsidRDefault="00711F92" w:rsidP="00711F92">
      <w:pPr>
        <w:pStyle w:val="FigureTableNoteSource"/>
        <w:contextualSpacing w:val="0"/>
      </w:pPr>
      <w:r>
        <w:t>Unknown – currently unknown how often the incident will occur</w:t>
      </w:r>
    </w:p>
    <w:p w14:paraId="58C8C37A" w14:textId="77777777" w:rsidR="00711F92" w:rsidRPr="00C33405" w:rsidRDefault="00711F92" w:rsidP="00711F92">
      <w:pPr>
        <w:pStyle w:val="FigureTableNoteSource"/>
        <w:rPr>
          <w:b/>
          <w:bCs/>
        </w:rPr>
      </w:pPr>
      <w:r w:rsidRPr="00C33405">
        <w:rPr>
          <w:b/>
          <w:bCs/>
        </w:rPr>
        <w:t xml:space="preserve">Categories for consequences are defined as follows: </w:t>
      </w:r>
    </w:p>
    <w:p w14:paraId="2900005B" w14:textId="77777777" w:rsidR="00711F92" w:rsidRDefault="00711F92" w:rsidP="00711F92">
      <w:pPr>
        <w:pStyle w:val="FigureTableNoteSource"/>
      </w:pPr>
      <w:r>
        <w:t>Not significant – no long-term effect on individuals or populations</w:t>
      </w:r>
    </w:p>
    <w:p w14:paraId="001A5F28" w14:textId="77777777" w:rsidR="00711F92" w:rsidRDefault="00711F92" w:rsidP="00711F92">
      <w:pPr>
        <w:pStyle w:val="FigureTableNoteSource"/>
      </w:pPr>
      <w:r>
        <w:t>Minor – individuals are adversely affected but no effect at population level</w:t>
      </w:r>
    </w:p>
    <w:p w14:paraId="0EC12892" w14:textId="77777777" w:rsidR="00711F92" w:rsidRDefault="00711F92" w:rsidP="00711F92">
      <w:pPr>
        <w:pStyle w:val="FigureTableNoteSource"/>
      </w:pPr>
      <w:r>
        <w:t>Moderate – population recovery stalls or reduces</w:t>
      </w:r>
    </w:p>
    <w:p w14:paraId="233E34DF" w14:textId="77777777" w:rsidR="00711F92" w:rsidRDefault="00711F92" w:rsidP="00711F92">
      <w:pPr>
        <w:pStyle w:val="FigureTableNoteSource"/>
      </w:pPr>
      <w:r>
        <w:t>Major – population decreases</w:t>
      </w:r>
    </w:p>
    <w:p w14:paraId="11B112BD" w14:textId="02224B46" w:rsidR="00711F92" w:rsidRDefault="00711F92" w:rsidP="00A060E9">
      <w:pPr>
        <w:pStyle w:val="FigureTableNoteSource"/>
      </w:pPr>
      <w:r>
        <w:lastRenderedPageBreak/>
        <w:t>Catastrophic – population extinction/extirpation</w:t>
      </w:r>
    </w:p>
    <w:p w14:paraId="70622A36" w14:textId="41B9D870" w:rsidR="002B6A3F" w:rsidRDefault="002B6A3F" w:rsidP="002B6A3F">
      <w:r w:rsidRPr="0044236D">
        <w:t>Priority actions have then been developed to manage the threat particularly where the risk was deemed to be ‘very high’</w:t>
      </w:r>
      <w:r w:rsidR="00E93125" w:rsidRPr="0044236D">
        <w:t xml:space="preserve"> (red shading)</w:t>
      </w:r>
      <w:r w:rsidRPr="0044236D">
        <w:t xml:space="preserve"> or ‘high’</w:t>
      </w:r>
      <w:r w:rsidR="00E93125" w:rsidRPr="0044236D">
        <w:t xml:space="preserve"> (yellow shading)</w:t>
      </w:r>
      <w:r w:rsidRPr="0044236D">
        <w:t xml:space="preserve">. For those threats with an unknown or low risk outcome </w:t>
      </w:r>
      <w:r w:rsidR="000F6D5A" w:rsidRPr="0044236D">
        <w:t xml:space="preserve">(green and blue shading) </w:t>
      </w:r>
      <w:r w:rsidRPr="0044236D">
        <w:t>it may be more appropriate to identify further research or maintain a watching brief.</w:t>
      </w:r>
    </w:p>
    <w:p w14:paraId="00FA46B8" w14:textId="77777777" w:rsidR="002B6A3F" w:rsidRDefault="002B6A3F" w:rsidP="002B6A3F">
      <w:pPr>
        <w:pStyle w:val="Heading2"/>
        <w:ind w:left="720" w:hanging="720"/>
      </w:pPr>
      <w:r>
        <w:t xml:space="preserve">Conservation and recovery </w:t>
      </w:r>
      <w:r w:rsidRPr="002B6A3F">
        <w:t>actions</w:t>
      </w:r>
    </w:p>
    <w:p w14:paraId="1C779FF1" w14:textId="77777777" w:rsidR="002B6A3F" w:rsidRDefault="002B6A3F" w:rsidP="002B6A3F">
      <w:pPr>
        <w:pStyle w:val="Heading3"/>
        <w:ind w:left="964" w:hanging="964"/>
      </w:pPr>
      <w:r>
        <w:t xml:space="preserve">Primary conservation </w:t>
      </w:r>
      <w:r w:rsidR="003A6771">
        <w:t>objective</w:t>
      </w:r>
    </w:p>
    <w:p w14:paraId="63D2FFFA" w14:textId="45DA74D5" w:rsidR="0044236D" w:rsidRDefault="036A4684" w:rsidP="0044236D">
      <w:r>
        <w:t>K</w:t>
      </w:r>
      <w:r w:rsidR="0044236D">
        <w:t xml:space="preserve">ey knowledge gaps </w:t>
      </w:r>
      <w:r w:rsidR="6CE3AC6C">
        <w:t>about pollination ecology and response to fire are filled and</w:t>
      </w:r>
      <w:r w:rsidR="0044236D">
        <w:t xml:space="preserve"> </w:t>
      </w:r>
      <w:proofErr w:type="spellStart"/>
      <w:r w:rsidR="0044236D" w:rsidRPr="00A060E9">
        <w:rPr>
          <w:i/>
        </w:rPr>
        <w:t>Corokia</w:t>
      </w:r>
      <w:proofErr w:type="spellEnd"/>
      <w:r w:rsidR="0044236D" w:rsidRPr="00A060E9">
        <w:rPr>
          <w:i/>
        </w:rPr>
        <w:t xml:space="preserve"> </w:t>
      </w:r>
      <w:proofErr w:type="spellStart"/>
      <w:r w:rsidR="2D2666D2" w:rsidRPr="00A060E9">
        <w:rPr>
          <w:i/>
          <w:iCs/>
        </w:rPr>
        <w:t>whiteana</w:t>
      </w:r>
      <w:proofErr w:type="spellEnd"/>
      <w:r w:rsidR="2D2666D2">
        <w:t xml:space="preserve"> </w:t>
      </w:r>
      <w:r w:rsidR="00426129">
        <w:t>is</w:t>
      </w:r>
      <w:r w:rsidR="0044236D">
        <w:t xml:space="preserve"> secure in </w:t>
      </w:r>
      <w:r w:rsidR="099FC4C8">
        <w:t xml:space="preserve">multiple </w:t>
      </w:r>
      <w:r w:rsidR="0044236D">
        <w:t xml:space="preserve">viable </w:t>
      </w:r>
      <w:r w:rsidR="006857A8">
        <w:t>sub</w:t>
      </w:r>
      <w:r w:rsidR="0044236D">
        <w:t xml:space="preserve">populations </w:t>
      </w:r>
      <w:r w:rsidR="006857A8">
        <w:t>with</w:t>
      </w:r>
      <w:r w:rsidR="0044236D">
        <w:t xml:space="preserve"> threats mitigated. </w:t>
      </w:r>
    </w:p>
    <w:p w14:paraId="4FF11D87" w14:textId="77777777" w:rsidR="002B6A3F" w:rsidRDefault="002B6A3F" w:rsidP="008A51E7">
      <w:pPr>
        <w:pStyle w:val="Heading3"/>
        <w:ind w:left="964" w:hanging="964"/>
      </w:pPr>
      <w:r>
        <w:t>Conservation and management priorities</w:t>
      </w:r>
    </w:p>
    <w:p w14:paraId="4B399DE0" w14:textId="77777777" w:rsidR="002B6A3F" w:rsidRDefault="002B6A3F" w:rsidP="00A60CB6">
      <w:pPr>
        <w:pStyle w:val="Heading4"/>
        <w:ind w:left="964" w:hanging="964"/>
      </w:pPr>
      <w:r>
        <w:t>Habitat loss</w:t>
      </w:r>
      <w:r w:rsidR="00AA0A06">
        <w:t>,</w:t>
      </w:r>
      <w:r>
        <w:t xml:space="preserve"> </w:t>
      </w:r>
      <w:proofErr w:type="gramStart"/>
      <w:r>
        <w:t>disturbance</w:t>
      </w:r>
      <w:proofErr w:type="gramEnd"/>
      <w:r>
        <w:t xml:space="preserve"> and modifications</w:t>
      </w:r>
    </w:p>
    <w:p w14:paraId="681799A0" w14:textId="711524A1" w:rsidR="0044236D" w:rsidRDefault="0044236D" w:rsidP="0044236D">
      <w:pPr>
        <w:pStyle w:val="ListBullet"/>
      </w:pPr>
      <w:r>
        <w:t xml:space="preserve">Identify </w:t>
      </w:r>
      <w:r w:rsidR="006857A8">
        <w:t xml:space="preserve">if and where habitat disturbance and modifications </w:t>
      </w:r>
      <w:r w:rsidR="4E58265B">
        <w:t>(</w:t>
      </w:r>
      <w:r w:rsidR="00D16408">
        <w:t>e.g.,</w:t>
      </w:r>
      <w:r w:rsidR="4E58265B">
        <w:t xml:space="preserve"> track maintenance, fire) </w:t>
      </w:r>
      <w:r w:rsidR="006857A8">
        <w:t>are occurring on the various tenures and protected areas where</w:t>
      </w:r>
      <w:r>
        <w:t xml:space="preserv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subpopulations </w:t>
      </w:r>
      <w:r w:rsidR="477F060C">
        <w:t>are found</w:t>
      </w:r>
      <w:r w:rsidR="006857A8">
        <w:t>. Mi</w:t>
      </w:r>
      <w:r>
        <w:t xml:space="preserve">tigate future damage to </w:t>
      </w:r>
      <w:r w:rsidR="06967529">
        <w:t>individuals</w:t>
      </w:r>
      <w:r>
        <w:t xml:space="preserve">. </w:t>
      </w:r>
    </w:p>
    <w:p w14:paraId="6C6D7AB8" w14:textId="78DC57F1" w:rsidR="0044236D" w:rsidRDefault="0044236D" w:rsidP="0044236D">
      <w:pPr>
        <w:pStyle w:val="ListBullet"/>
      </w:pPr>
      <w:r>
        <w:t xml:space="preserve">Investigate formal conservation arrangements, management agreements and covenants on private land, and for </w:t>
      </w:r>
      <w:r w:rsidR="009341C1">
        <w:t xml:space="preserve">subpopulations on </w:t>
      </w:r>
      <w:r>
        <w:t>crown and private land</w:t>
      </w:r>
      <w:r w:rsidR="009341C1">
        <w:t>,</w:t>
      </w:r>
      <w:r>
        <w:t xml:space="preserve"> investigate inclusion in reserve tenure if possible.</w:t>
      </w:r>
    </w:p>
    <w:p w14:paraId="5BBCF2E3" w14:textId="77777777" w:rsidR="002B6A3F" w:rsidRDefault="002B6A3F" w:rsidP="00A60CB6">
      <w:pPr>
        <w:pStyle w:val="Heading4"/>
        <w:ind w:left="964" w:hanging="964"/>
      </w:pPr>
      <w:r w:rsidRPr="00921F7C">
        <w:t>Invasive species</w:t>
      </w:r>
      <w:r w:rsidR="00EE4E28">
        <w:t xml:space="preserve"> </w:t>
      </w:r>
      <w:r>
        <w:t>(including threats from grazing, trampling, predation)</w:t>
      </w:r>
    </w:p>
    <w:p w14:paraId="41D193F5" w14:textId="27420914" w:rsidR="0044236D" w:rsidRDefault="0044236D" w:rsidP="0044236D">
      <w:pPr>
        <w:pStyle w:val="ListBullet"/>
      </w:pPr>
      <w:r w:rsidRPr="00974522">
        <w:t xml:space="preserve">Identify weed species </w:t>
      </w:r>
      <w:r w:rsidR="00FE5D58">
        <w:t>that</w:t>
      </w:r>
      <w:r w:rsidRPr="00974522">
        <w:t xml:space="preserve"> </w:t>
      </w:r>
      <w:r w:rsidR="0068304E">
        <w:t xml:space="preserve">could </w:t>
      </w:r>
      <w:r w:rsidRPr="00974522">
        <w:t xml:space="preserve">negatively affect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rsidRPr="00974522">
        <w:t xml:space="preserve"> </w:t>
      </w:r>
      <w:r w:rsidRPr="00974522">
        <w:t>and implement appropriate weed removal methods.</w:t>
      </w:r>
    </w:p>
    <w:p w14:paraId="20260568" w14:textId="68051DC3" w:rsidR="0044236D" w:rsidRPr="00974522" w:rsidRDefault="0044236D" w:rsidP="0044236D">
      <w:pPr>
        <w:pStyle w:val="ListBullet"/>
      </w:pPr>
      <w:r>
        <w:t xml:space="preserve">Manage sites to prevent </w:t>
      </w:r>
      <w:r w:rsidR="00FE5D58">
        <w:t xml:space="preserve">the </w:t>
      </w:r>
      <w:r>
        <w:t xml:space="preserve">introduction of invasive weeds. </w:t>
      </w:r>
    </w:p>
    <w:p w14:paraId="6DAA33BB" w14:textId="2B630E39" w:rsidR="0044236D" w:rsidRPr="009D7E68" w:rsidRDefault="0044236D" w:rsidP="0044236D">
      <w:pPr>
        <w:pStyle w:val="ListBullet"/>
      </w:pPr>
      <w:r w:rsidRPr="00974522">
        <w:t xml:space="preserve">Ensure that chemicals or other mechanisms used to eradicate weeds do not have a significant adverse impact on </w:t>
      </w:r>
      <w:r w:rsidR="008B1DB2">
        <w:t>the species</w:t>
      </w:r>
      <w:r w:rsidRPr="00974522">
        <w:t>.</w:t>
      </w:r>
    </w:p>
    <w:p w14:paraId="4C55853E" w14:textId="77777777" w:rsidR="002B6A3F" w:rsidRDefault="002B6A3F" w:rsidP="00A60CB6">
      <w:pPr>
        <w:pStyle w:val="Heading4"/>
        <w:ind w:left="964" w:hanging="964"/>
      </w:pPr>
      <w:r>
        <w:t>Fire</w:t>
      </w:r>
    </w:p>
    <w:p w14:paraId="0D472D9A" w14:textId="12255EE7" w:rsidR="0044236D" w:rsidRDefault="0044236D" w:rsidP="0044236D">
      <w:pPr>
        <w:pStyle w:val="ListBullet"/>
      </w:pPr>
      <w:r>
        <w:t xml:space="preserve">Fires must be managed to ensure that prevailing fire regimes do not disrupt the </w:t>
      </w:r>
      <w:r w:rsidR="00912DF5">
        <w:t>life cycle</w:t>
      </w:r>
      <w:r>
        <w:t xml:space="preserve"> of </w:t>
      </w:r>
      <w:proofErr w:type="spellStart"/>
      <w:r w:rsidRPr="00A060E9">
        <w:rPr>
          <w:i/>
          <w:iCs/>
        </w:rPr>
        <w:t>Corokia</w:t>
      </w:r>
      <w:proofErr w:type="spellEnd"/>
      <w:r w:rsidR="00426129" w:rsidRPr="00A060E9">
        <w:rPr>
          <w:i/>
          <w:iCs/>
        </w:rPr>
        <w:t xml:space="preserve"> </w:t>
      </w:r>
      <w:proofErr w:type="spellStart"/>
      <w:r w:rsidR="00426129" w:rsidRPr="00A060E9">
        <w:rPr>
          <w:i/>
          <w:iCs/>
        </w:rPr>
        <w:t>whiteana</w:t>
      </w:r>
      <w:proofErr w:type="spellEnd"/>
      <w:r>
        <w:t xml:space="preserve">, that they support rather than degrade the habitat necessary to </w:t>
      </w:r>
      <w:r w:rsidR="00426129">
        <w:t>the species</w:t>
      </w:r>
      <w:r>
        <w:t>, that they do not promote invasion of exotic species, and that they do not increase im</w:t>
      </w:r>
      <w:r w:rsidR="006857A8">
        <w:t>pacts</w:t>
      </w:r>
      <w:r>
        <w:t xml:space="preserve"> of grazing/weed infestation. </w:t>
      </w:r>
    </w:p>
    <w:p w14:paraId="7EAD3120" w14:textId="3EB66E41" w:rsidR="0044236D" w:rsidRDefault="0044236D" w:rsidP="0044236D">
      <w:pPr>
        <w:pStyle w:val="ListBullet"/>
      </w:pPr>
      <w:r>
        <w:t xml:space="preserve">Physical damage to the habitat and individuals of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must be avoided during and after fire operations</w:t>
      </w:r>
    </w:p>
    <w:p w14:paraId="7A9DCCA0" w14:textId="77B07F23" w:rsidR="0044236D" w:rsidRDefault="0044236D" w:rsidP="0044236D">
      <w:pPr>
        <w:pStyle w:val="ListBullet"/>
      </w:pPr>
      <w:r>
        <w:t xml:space="preserve">Fire management authorities and land management agencies should use suitable maps and </w:t>
      </w:r>
      <w:r w:rsidR="008E51A8">
        <w:t>install</w:t>
      </w:r>
      <w:r>
        <w:t xml:space="preserve"> field markers to avoid damage to </w:t>
      </w:r>
      <w:r w:rsidR="00426129">
        <w:t>the species during fire suppression operations</w:t>
      </w:r>
      <w:r>
        <w:t xml:space="preserve">. </w:t>
      </w:r>
    </w:p>
    <w:p w14:paraId="538DB94A" w14:textId="2276ACE9" w:rsidR="0044236D" w:rsidRDefault="0044236D" w:rsidP="0044236D">
      <w:pPr>
        <w:pStyle w:val="ListBullet"/>
      </w:pPr>
      <w:r>
        <w:t>Undertake active weed control after fire</w:t>
      </w:r>
      <w:r w:rsidR="009341C1">
        <w:t>s</w:t>
      </w:r>
      <w:r>
        <w:t xml:space="preserve"> and along roadsides.</w:t>
      </w:r>
    </w:p>
    <w:p w14:paraId="31A57947" w14:textId="252730D1" w:rsidR="002B6A3F" w:rsidRDefault="00711F92" w:rsidP="009E7A91">
      <w:pPr>
        <w:pStyle w:val="Heading4"/>
        <w:ind w:left="964" w:hanging="964"/>
      </w:pPr>
      <w:r>
        <w:t>E</w:t>
      </w:r>
      <w:r w:rsidR="002B6A3F">
        <w:t>x situ recovery action</w:t>
      </w:r>
      <w:r>
        <w:t>s</w:t>
      </w:r>
    </w:p>
    <w:p w14:paraId="662D340B" w14:textId="78AE61BE" w:rsidR="0044236D" w:rsidRDefault="0044236D" w:rsidP="0044236D">
      <w:pPr>
        <w:pStyle w:val="ListBullet"/>
      </w:pPr>
      <w:r>
        <w:t>C</w:t>
      </w:r>
      <w:r w:rsidR="006857A8">
        <w:t>ontinue to c</w:t>
      </w:r>
      <w:r>
        <w:t xml:space="preserve">ollect and manage seed from extant subpopulations to store </w:t>
      </w:r>
      <w:r w:rsidR="371E4F36">
        <w:t xml:space="preserve">within the </w:t>
      </w:r>
      <w:r w:rsidR="43307A35">
        <w:t>Australian Seedbank Partnership</w:t>
      </w:r>
      <w:r>
        <w:t xml:space="preserve">. Adhere to best practice seed storage guidelines and procedures to </w:t>
      </w:r>
      <w:r w:rsidR="00E970AB">
        <w:t>maximise</w:t>
      </w:r>
      <w:r>
        <w:t xml:space="preserve"> seed viability and germinability. </w:t>
      </w:r>
    </w:p>
    <w:p w14:paraId="7988983A" w14:textId="77777777" w:rsidR="003976CC" w:rsidRDefault="0044236D" w:rsidP="0044236D">
      <w:pPr>
        <w:pStyle w:val="ListBullet"/>
      </w:pPr>
      <w:r>
        <w:lastRenderedPageBreak/>
        <w:t xml:space="preserve">Investigate options and suitable locations for translocation </w:t>
      </w:r>
      <w:r w:rsidR="58500EBF">
        <w:t>to establish additional subpopulations which can provide additional security for the spe</w:t>
      </w:r>
      <w:r w:rsidR="3E0917BC">
        <w:t>ci</w:t>
      </w:r>
      <w:r w:rsidR="58500EBF">
        <w:t xml:space="preserve">es persistence against threats </w:t>
      </w:r>
      <w:r w:rsidR="072A6D8B">
        <w:t>such</w:t>
      </w:r>
      <w:r w:rsidR="58500EBF">
        <w:t xml:space="preserve"> as climate change, clearing and fire. Monitor all </w:t>
      </w:r>
      <w:r w:rsidR="674105E8">
        <w:t xml:space="preserve">translocated individuals to maturity, seed set and recruitment to ensure they are viable and </w:t>
      </w:r>
      <w:r w:rsidR="1D5B8A55">
        <w:t>are contributing t</w:t>
      </w:r>
      <w:r w:rsidR="5636BD7D">
        <w:t>o</w:t>
      </w:r>
      <w:r w:rsidR="1D5B8A55">
        <w:t xml:space="preserve"> a reduction in the extinction risk for the species. </w:t>
      </w:r>
    </w:p>
    <w:p w14:paraId="7E4BF675" w14:textId="2BCD0C80" w:rsidR="0044236D" w:rsidRPr="009D7E68" w:rsidRDefault="0044236D" w:rsidP="0044236D">
      <w:pPr>
        <w:pStyle w:val="ListBullet"/>
      </w:pPr>
      <w:r>
        <w:t>Co</w:t>
      </w:r>
      <w:r w:rsidR="00D74F06">
        <w:t>ntinue to co</w:t>
      </w:r>
      <w:r>
        <w:t xml:space="preserve">llate knowledge from </w:t>
      </w:r>
      <w:r w:rsidR="00D74F06">
        <w:t xml:space="preserve">ongoing </w:t>
      </w:r>
      <w:r>
        <w:t>seed germination</w:t>
      </w:r>
      <w:r w:rsidR="002E557B">
        <w:t xml:space="preserve">, </w:t>
      </w:r>
      <w:r w:rsidR="00B460E7">
        <w:t>viability,</w:t>
      </w:r>
      <w:r>
        <w:t xml:space="preserve"> and survival trials </w:t>
      </w:r>
      <w:r w:rsidR="002E557B">
        <w:t>to determine limitations and dormancy properties. I</w:t>
      </w:r>
      <w:r>
        <w:t>ntegrate</w:t>
      </w:r>
      <w:r w:rsidR="002E557B">
        <w:t xml:space="preserve"> new knowledge</w:t>
      </w:r>
      <w:r>
        <w:t xml:space="preserve"> </w:t>
      </w:r>
      <w:r w:rsidR="008E51A8">
        <w:t xml:space="preserve">it </w:t>
      </w:r>
      <w:r>
        <w:t>into future management plans for the species.</w:t>
      </w:r>
    </w:p>
    <w:p w14:paraId="66A5F990" w14:textId="4A325602" w:rsidR="007A0EAB" w:rsidRDefault="007A0EAB" w:rsidP="007A0EAB">
      <w:pPr>
        <w:pStyle w:val="Heading4"/>
        <w:ind w:left="964" w:hanging="964"/>
      </w:pPr>
      <w:r>
        <w:t xml:space="preserve">Climate change </w:t>
      </w:r>
    </w:p>
    <w:p w14:paraId="0C5DE83C" w14:textId="6B10C429" w:rsidR="000F44B2" w:rsidRDefault="000F44B2" w:rsidP="000F44B2">
      <w:pPr>
        <w:pStyle w:val="ListBullet"/>
      </w:pPr>
      <w:r>
        <w:t>Identify</w:t>
      </w:r>
      <w:r w:rsidRPr="009C381E">
        <w:t xml:space="preserve"> </w:t>
      </w:r>
      <w:r>
        <w:t xml:space="preserve">current and future habitats likely to remain or become suitable habitats due to climate change. </w:t>
      </w:r>
      <w:r w:rsidR="002E557B">
        <w:t xml:space="preserve">Consider immediate translocation of the species to future suitable habitats. </w:t>
      </w:r>
    </w:p>
    <w:p w14:paraId="21093BF4" w14:textId="77777777" w:rsidR="002B6A3F" w:rsidRDefault="002B6A3F" w:rsidP="009E7A91">
      <w:pPr>
        <w:pStyle w:val="Heading3"/>
        <w:ind w:left="964" w:hanging="964"/>
      </w:pPr>
      <w:r>
        <w:t>Stakeholder engagement/community engagement</w:t>
      </w:r>
    </w:p>
    <w:p w14:paraId="25F2AA14" w14:textId="6075FEF2" w:rsidR="0044236D" w:rsidRDefault="0044236D" w:rsidP="0044236D">
      <w:pPr>
        <w:pStyle w:val="ListBullet"/>
      </w:pPr>
      <w:r>
        <w:t xml:space="preserve">Share identification </w:t>
      </w:r>
      <w:r w:rsidR="003976CC">
        <w:t>guides and ex situ recovery protocols</w:t>
      </w:r>
      <w:r>
        <w:t xml:space="preserve"> for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and develop protection and recovery actions with non-government stakeholders (e.g.</w:t>
      </w:r>
      <w:r w:rsidR="00A060E9">
        <w:t>,</w:t>
      </w:r>
      <w:r>
        <w:t xml:space="preserve"> Landcare and bush regeneration groups, </w:t>
      </w:r>
      <w:r w:rsidR="00A060E9">
        <w:t>landowners,</w:t>
      </w:r>
      <w:r>
        <w:t xml:space="preserve"> and managers) as well as with Local and State government environmental field and extension officers. </w:t>
      </w:r>
    </w:p>
    <w:p w14:paraId="69738B98" w14:textId="5BF0105E" w:rsidR="0044236D" w:rsidRDefault="0044236D" w:rsidP="0044236D">
      <w:pPr>
        <w:pStyle w:val="ListBullet"/>
      </w:pPr>
      <w:r w:rsidRPr="002659BD">
        <w:t>Engage</w:t>
      </w:r>
      <w:r w:rsidR="009341C1">
        <w:t>,</w:t>
      </w:r>
      <w:r w:rsidRPr="002659BD">
        <w:t xml:space="preserve"> </w:t>
      </w:r>
      <w:r>
        <w:t xml:space="preserve">co-develop and support monitoring and management actions with </w:t>
      </w:r>
      <w:r w:rsidR="009341C1">
        <w:t>T</w:t>
      </w:r>
      <w:r w:rsidRPr="002659BD">
        <w:t xml:space="preserve">raditional </w:t>
      </w:r>
      <w:r w:rsidR="009341C1">
        <w:t>O</w:t>
      </w:r>
      <w:r w:rsidRPr="002659BD">
        <w:t xml:space="preserve">wners </w:t>
      </w:r>
      <w:r>
        <w:t xml:space="preserve">in culturally significant areas where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are present</w:t>
      </w:r>
      <w:r w:rsidRPr="002659BD">
        <w:t>.</w:t>
      </w:r>
    </w:p>
    <w:p w14:paraId="10BF2741" w14:textId="23B0DFC2" w:rsidR="0044236D" w:rsidRDefault="0044236D" w:rsidP="0044236D">
      <w:pPr>
        <w:pStyle w:val="ListBullet"/>
      </w:pPr>
      <w:r>
        <w:t>Co-develop and implement a citizen science methodology to collect relevant population data (</w:t>
      </w:r>
      <w:proofErr w:type="gramStart"/>
      <w:r>
        <w:t>e.g.</w:t>
      </w:r>
      <w:proofErr w:type="gramEnd"/>
      <w:r>
        <w:t xml:space="preserve"> presence/absence and abundance of </w:t>
      </w:r>
      <w:r w:rsidR="002E557B">
        <w:t>the species</w:t>
      </w:r>
      <w:r>
        <w:t xml:space="preserve">) with interested stakeholder groups. Ensure method enables </w:t>
      </w:r>
      <w:r w:rsidR="008E51A8">
        <w:t>quality-assured</w:t>
      </w:r>
      <w:r>
        <w:t xml:space="preserve"> data for integration with species distribution mapping. </w:t>
      </w:r>
    </w:p>
    <w:p w14:paraId="1051A4B6" w14:textId="02459856" w:rsidR="0044236D" w:rsidRPr="009D7E68" w:rsidRDefault="0044236D" w:rsidP="0044236D">
      <w:pPr>
        <w:pStyle w:val="ListBullet"/>
      </w:pPr>
      <w:r>
        <w:t xml:space="preserve">Alert </w:t>
      </w:r>
      <w:r w:rsidR="008E51A8">
        <w:t>landowners</w:t>
      </w:r>
      <w:r>
        <w:t xml:space="preserve"> of the species occurrence on their property and provide guidance on how to protect standing plants and mitigate </w:t>
      </w:r>
      <w:r w:rsidR="008E51A8">
        <w:t>site-specific</w:t>
      </w:r>
      <w:r>
        <w:t xml:space="preserve"> threats. </w:t>
      </w:r>
    </w:p>
    <w:p w14:paraId="2844C096" w14:textId="77777777" w:rsidR="002B6A3F" w:rsidRDefault="002B6A3F" w:rsidP="009E7A91">
      <w:pPr>
        <w:pStyle w:val="Heading3"/>
        <w:ind w:left="964" w:hanging="964"/>
      </w:pPr>
      <w:r>
        <w:t xml:space="preserve">Survey and </w:t>
      </w:r>
      <w:r w:rsidR="009F08D5">
        <w:t>m</w:t>
      </w:r>
      <w:r>
        <w:t>onitoring priorities</w:t>
      </w:r>
    </w:p>
    <w:p w14:paraId="586A88B1" w14:textId="2E07A850" w:rsidR="00D74F06" w:rsidRDefault="00D74F06" w:rsidP="0044236D">
      <w:pPr>
        <w:pStyle w:val="ListBullet"/>
      </w:pPr>
      <w:r>
        <w:t xml:space="preserve">Undertake a broadscale survey to confirm all subpopulations are </w:t>
      </w:r>
      <w:r w:rsidR="00A060E9">
        <w:t>extant and</w:t>
      </w:r>
      <w:r>
        <w:t xml:space="preserve"> include areas of suitable habitat where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may exist. </w:t>
      </w:r>
    </w:p>
    <w:p w14:paraId="5A7BF411" w14:textId="1F7025A8" w:rsidR="0044236D" w:rsidRPr="009D7E68" w:rsidRDefault="0044236D" w:rsidP="0044236D">
      <w:pPr>
        <w:pStyle w:val="ListBullet"/>
      </w:pPr>
      <w:r>
        <w:t>Design, support</w:t>
      </w:r>
      <w:r w:rsidR="008E51A8">
        <w:t>,</w:t>
      </w:r>
      <w:r>
        <w:t xml:space="preserve"> and implement a long-term monitoring program</w:t>
      </w:r>
      <w:r w:rsidR="00D74F06">
        <w:t xml:space="preserve"> for all subpopulations</w:t>
      </w:r>
      <w:r w:rsidR="58F42378">
        <w:t xml:space="preserve">, including any new translocated </w:t>
      </w:r>
      <w:r w:rsidR="00A060E9">
        <w:t>populations, integrating</w:t>
      </w:r>
      <w:r>
        <w:t xml:space="preserve"> new knowledge on the biology and ecology of the species as it becomes available. </w:t>
      </w:r>
    </w:p>
    <w:p w14:paraId="56839E4B" w14:textId="77777777" w:rsidR="002B6A3F" w:rsidRDefault="002B6A3F" w:rsidP="009E7A91">
      <w:pPr>
        <w:pStyle w:val="Heading3"/>
        <w:ind w:left="964" w:hanging="964"/>
      </w:pPr>
      <w:r>
        <w:t xml:space="preserve">Information and </w:t>
      </w:r>
      <w:r w:rsidR="009F08D5">
        <w:t>r</w:t>
      </w:r>
      <w:r>
        <w:t>esearch priorities</w:t>
      </w:r>
    </w:p>
    <w:p w14:paraId="288C0E07" w14:textId="56B1D4D9" w:rsidR="0044236D" w:rsidRDefault="0044236D" w:rsidP="0044236D">
      <w:pPr>
        <w:pStyle w:val="ListBullet"/>
      </w:pPr>
      <w:r>
        <w:t xml:space="preserve">Develop </w:t>
      </w:r>
      <w:r w:rsidR="008E51A8">
        <w:t xml:space="preserve">an </w:t>
      </w:r>
      <w:r>
        <w:t xml:space="preserve">adequate biological and ecological understanding of the species to determine key attributes for management and recovery and enable </w:t>
      </w:r>
      <w:r w:rsidR="008E51A8">
        <w:t xml:space="preserve">the </w:t>
      </w:r>
      <w:r>
        <w:t xml:space="preserve">identification of important populations and habitats critical to survival. </w:t>
      </w:r>
    </w:p>
    <w:p w14:paraId="2002F0B2" w14:textId="79C235F7" w:rsidR="0044236D" w:rsidRDefault="0044236D" w:rsidP="0044236D">
      <w:pPr>
        <w:pStyle w:val="ListBullet2"/>
      </w:pPr>
      <w:r>
        <w:t xml:space="preserve">Key attributes should include (but are not limited to): population structure, size, demographics, habitat </w:t>
      </w:r>
      <w:r w:rsidR="008E51A8">
        <w:t>parameters</w:t>
      </w:r>
      <w:r>
        <w:t xml:space="preserve"> relevant to species distribution mapping, germination biology and requirements.</w:t>
      </w:r>
    </w:p>
    <w:p w14:paraId="78A014DE" w14:textId="4268429C" w:rsidR="00B40315" w:rsidRDefault="00B40315" w:rsidP="00B40315">
      <w:pPr>
        <w:pStyle w:val="ListBullet2"/>
      </w:pPr>
      <w:r>
        <w:t>Genetic diversity of sub-populations and relatedness to understand past/present genetic exchange</w:t>
      </w:r>
    </w:p>
    <w:p w14:paraId="2BD8A173" w14:textId="59504E8F" w:rsidR="0044236D" w:rsidRDefault="0044236D" w:rsidP="0044236D">
      <w:pPr>
        <w:pStyle w:val="ListBullet2"/>
      </w:pPr>
      <w:r>
        <w:lastRenderedPageBreak/>
        <w:t xml:space="preserve">Key processes should include (but are not limited to): response to disturbance of different intensities (land clearing, land maintenance, grazing (if relevant), weeds, fire, drought), </w:t>
      </w:r>
      <w:r w:rsidR="4755E40D">
        <w:t>standing plant longevity, shade tolerance,</w:t>
      </w:r>
      <w:r w:rsidR="008B1DB2">
        <w:t xml:space="preserve"> </w:t>
      </w:r>
      <w:r w:rsidR="00480713">
        <w:t xml:space="preserve">soil </w:t>
      </w:r>
      <w:r>
        <w:t xml:space="preserve">seed bank ecology, pollination ecology, </w:t>
      </w:r>
      <w:r w:rsidR="4AA7E7C5">
        <w:t>breeding system, fruit</w:t>
      </w:r>
      <w:r w:rsidR="002E557B">
        <w:t xml:space="preserve"> and </w:t>
      </w:r>
      <w:r w:rsidR="00B40315">
        <w:t xml:space="preserve">seed </w:t>
      </w:r>
      <w:r>
        <w:t>dispersal</w:t>
      </w:r>
      <w:r w:rsidR="00B40315">
        <w:t xml:space="preserve"> agent(s)</w:t>
      </w:r>
      <w:r>
        <w:t xml:space="preserve">, gene flow and </w:t>
      </w:r>
      <w:r w:rsidR="002E557B">
        <w:t>subpopulation connectivity</w:t>
      </w:r>
      <w:r>
        <w:t xml:space="preserve">. </w:t>
      </w:r>
    </w:p>
    <w:p w14:paraId="0E0517CD" w14:textId="6F0BBBBD" w:rsidR="0068304E" w:rsidRDefault="0068304E" w:rsidP="0044236D">
      <w:pPr>
        <w:pStyle w:val="ListBullet2"/>
      </w:pPr>
      <w:r>
        <w:t xml:space="preserve">Ex situ optimisation to ensure seed dormancy is fully understood; seed banks manage seed appropriately; long-term living custodial collections </w:t>
      </w:r>
      <w:proofErr w:type="gramStart"/>
      <w:r>
        <w:t>are able to</w:t>
      </w:r>
      <w:proofErr w:type="gramEnd"/>
      <w:r>
        <w:t xml:space="preserve"> be developed as insurance against loss of the species in the wild.</w:t>
      </w:r>
    </w:p>
    <w:p w14:paraId="30B688E0" w14:textId="6BF1CB6D" w:rsidR="0044236D" w:rsidRPr="009D7E68" w:rsidRDefault="0044236D" w:rsidP="0044236D">
      <w:pPr>
        <w:pStyle w:val="ListBullet"/>
      </w:pPr>
      <w:r>
        <w:t xml:space="preserve">Undertake surveys in suitable </w:t>
      </w:r>
      <w:r w:rsidR="008E51A8">
        <w:t>habitats</w:t>
      </w:r>
      <w:r>
        <w:t xml:space="preserve"> to locate additional subpopulations.</w:t>
      </w:r>
    </w:p>
    <w:p w14:paraId="0E99E3FD" w14:textId="77777777" w:rsidR="002B6A3F" w:rsidRDefault="002B6A3F" w:rsidP="00387E7C">
      <w:pPr>
        <w:pStyle w:val="Heading3"/>
        <w:ind w:left="964" w:hanging="964"/>
      </w:pPr>
      <w:r>
        <w:t xml:space="preserve">Recovery </w:t>
      </w:r>
      <w:r w:rsidR="001E4765">
        <w:t>p</w:t>
      </w:r>
      <w:r>
        <w:t xml:space="preserve">lan </w:t>
      </w:r>
      <w:r w:rsidR="009F08D5">
        <w:t>d</w:t>
      </w:r>
      <w:r>
        <w:t>ecision</w:t>
      </w:r>
    </w:p>
    <w:p w14:paraId="2B4E0B3B" w14:textId="78E29970" w:rsidR="005F376D" w:rsidRDefault="000F44B2" w:rsidP="003A06CA">
      <w:r>
        <w:t xml:space="preserve">No recovery plan is in place for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t xml:space="preserve">. This consultation document will elicit the additional information needed to inform the requirement of a Recovery Plan for the species. </w:t>
      </w:r>
    </w:p>
    <w:p w14:paraId="6C11A807" w14:textId="77777777" w:rsidR="002B6A3F" w:rsidRDefault="002B6A3F" w:rsidP="00CC062B">
      <w:pPr>
        <w:pStyle w:val="Heading2"/>
        <w:ind w:left="720" w:hanging="720"/>
      </w:pPr>
      <w:r>
        <w:t>Links to relevant implementation documents</w:t>
      </w:r>
    </w:p>
    <w:p w14:paraId="6D8FE5CF" w14:textId="77777777" w:rsidR="0044236D" w:rsidRDefault="007E5824" w:rsidP="0044236D">
      <w:hyperlink r:id="rId25" w:history="1">
        <w:r w:rsidR="0044236D" w:rsidRPr="00CA08ED">
          <w:rPr>
            <w:rStyle w:val="Hyperlink"/>
          </w:rPr>
          <w:t>Department of Environment, Climate change and Water NSW (2010) Border Ranges rainforest biodiversity management plan – NSW and Queensland.</w:t>
        </w:r>
      </w:hyperlink>
      <w:r w:rsidR="0044236D">
        <w:t xml:space="preserve"> </w:t>
      </w:r>
    </w:p>
    <w:p w14:paraId="44702265" w14:textId="77777777" w:rsidR="0044236D" w:rsidRDefault="007E5824" w:rsidP="0044236D">
      <w:hyperlink r:id="rId26" w:history="1">
        <w:r w:rsidR="0044236D" w:rsidRPr="003C266F">
          <w:rPr>
            <w:rStyle w:val="Hyperlink"/>
          </w:rPr>
          <w:t xml:space="preserve">NSW Government. Parks and Reserves of the Tweed Caldera Plan of Management. Incorporating National Parks: Mt Warning, Border Ranges, </w:t>
        </w:r>
        <w:proofErr w:type="spellStart"/>
        <w:r w:rsidR="0044236D" w:rsidRPr="003C266F">
          <w:rPr>
            <w:rStyle w:val="Hyperlink"/>
          </w:rPr>
          <w:t>Mebbin</w:t>
        </w:r>
        <w:proofErr w:type="spellEnd"/>
        <w:r w:rsidR="0044236D" w:rsidRPr="003C266F">
          <w:rPr>
            <w:rStyle w:val="Hyperlink"/>
          </w:rPr>
          <w:t xml:space="preserve">, Nightcap, Mt Jerusalem, </w:t>
        </w:r>
        <w:proofErr w:type="gramStart"/>
        <w:r w:rsidR="0044236D" w:rsidRPr="003C266F">
          <w:rPr>
            <w:rStyle w:val="Hyperlink"/>
          </w:rPr>
          <w:t>Goonengerry</w:t>
        </w:r>
        <w:proofErr w:type="gramEnd"/>
        <w:r w:rsidR="0044236D" w:rsidRPr="003C266F">
          <w:rPr>
            <w:rStyle w:val="Hyperlink"/>
          </w:rPr>
          <w:t xml:space="preserve"> and Nature Reserves: </w:t>
        </w:r>
        <w:proofErr w:type="spellStart"/>
        <w:r w:rsidR="0044236D" w:rsidRPr="003C266F">
          <w:rPr>
            <w:rStyle w:val="Hyperlink"/>
          </w:rPr>
          <w:t>Limpinwood</w:t>
        </w:r>
        <w:proofErr w:type="spellEnd"/>
        <w:r w:rsidR="0044236D" w:rsidRPr="003C266F">
          <w:rPr>
            <w:rStyle w:val="Hyperlink"/>
          </w:rPr>
          <w:t>, Numinbah and Snows Gully.</w:t>
        </w:r>
      </w:hyperlink>
      <w:r w:rsidR="0044236D">
        <w:t xml:space="preserve"> </w:t>
      </w:r>
    </w:p>
    <w:p w14:paraId="1CE4619F" w14:textId="2825678F" w:rsidR="0044236D" w:rsidRDefault="007E5824" w:rsidP="0044236D">
      <w:hyperlink r:id="rId27" w:history="1">
        <w:r w:rsidR="0044236D" w:rsidRPr="003C7768">
          <w:rPr>
            <w:rStyle w:val="Hyperlink"/>
          </w:rPr>
          <w:t xml:space="preserve">NSW Government. Saving our species –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442A80">
          <w:rPr>
            <w:rStyle w:val="Hyperlink"/>
          </w:rPr>
          <w:t xml:space="preserve"> </w:t>
        </w:r>
        <w:r w:rsidR="0044236D" w:rsidRPr="003C7768">
          <w:rPr>
            <w:rStyle w:val="Hyperlink"/>
          </w:rPr>
          <w:t>Profile and Keep-watch Management Stream.</w:t>
        </w:r>
      </w:hyperlink>
      <w:r w:rsidR="0044236D">
        <w:t xml:space="preserve"> </w:t>
      </w:r>
    </w:p>
    <w:p w14:paraId="0081DDF1" w14:textId="77777777" w:rsidR="0044236D" w:rsidRDefault="007E5824" w:rsidP="0044236D">
      <w:hyperlink r:id="rId28" w:history="1">
        <w:r w:rsidR="0044236D" w:rsidRPr="003C7768">
          <w:rPr>
            <w:rStyle w:val="Hyperlink"/>
          </w:rPr>
          <w:t>NSW Government. Coastal Integrated forestry operations approvals.</w:t>
        </w:r>
      </w:hyperlink>
      <w:r w:rsidR="0044236D">
        <w:t xml:space="preserve"> </w:t>
      </w:r>
    </w:p>
    <w:p w14:paraId="112C1D7A" w14:textId="37A0A952" w:rsidR="0044236D" w:rsidRDefault="007E5824" w:rsidP="0044236D">
      <w:hyperlink r:id="rId29" w:history="1">
        <w:r w:rsidR="0044236D" w:rsidRPr="003C7768">
          <w:rPr>
            <w:rStyle w:val="Hyperlink"/>
          </w:rPr>
          <w:t>NSW Government. A strategic approach to managing fire in parks and reserves</w:t>
        </w:r>
      </w:hyperlink>
      <w:r w:rsidR="0044236D">
        <w:t xml:space="preserve"> </w:t>
      </w:r>
    </w:p>
    <w:p w14:paraId="298C8A0E" w14:textId="1F022E1E" w:rsidR="00B153C6" w:rsidRDefault="007E5824" w:rsidP="0044236D">
      <w:hyperlink r:id="rId30" w:history="1">
        <w:r w:rsidR="00B153C6" w:rsidRPr="00B153C6">
          <w:rPr>
            <w:rStyle w:val="Hyperlink"/>
          </w:rPr>
          <w:t xml:space="preserve">NSW Government. </w:t>
        </w:r>
        <w:proofErr w:type="spellStart"/>
        <w:r w:rsidR="00B153C6" w:rsidRPr="00B153C6">
          <w:rPr>
            <w:rStyle w:val="Hyperlink"/>
          </w:rPr>
          <w:t>Duroby</w:t>
        </w:r>
        <w:proofErr w:type="spellEnd"/>
        <w:r w:rsidR="00B153C6" w:rsidRPr="00B153C6">
          <w:rPr>
            <w:rStyle w:val="Hyperlink"/>
          </w:rPr>
          <w:t xml:space="preserve"> Nature Reserve plan of management.</w:t>
        </w:r>
      </w:hyperlink>
      <w:r w:rsidR="00B153C6">
        <w:t xml:space="preserve"> </w:t>
      </w:r>
    </w:p>
    <w:p w14:paraId="3F8C39D8" w14:textId="2FAAA355" w:rsidR="0044236D" w:rsidRDefault="007E5824" w:rsidP="0044236D">
      <w:hyperlink r:id="rId31" w:history="1">
        <w:r w:rsidR="0044236D" w:rsidRPr="003C266F">
          <w:rPr>
            <w:rStyle w:val="Hyperlink"/>
          </w:rPr>
          <w:t xml:space="preserve">NSW Government. Nightcap National Park, </w:t>
        </w:r>
        <w:proofErr w:type="spellStart"/>
        <w:r w:rsidR="0044236D" w:rsidRPr="003C266F">
          <w:rPr>
            <w:rStyle w:val="Hyperlink"/>
          </w:rPr>
          <w:t>Whian</w:t>
        </w:r>
        <w:proofErr w:type="spellEnd"/>
        <w:r w:rsidR="0044236D" w:rsidRPr="003C266F">
          <w:rPr>
            <w:rStyle w:val="Hyperlink"/>
          </w:rPr>
          <w:t xml:space="preserve"> </w:t>
        </w:r>
        <w:proofErr w:type="spellStart"/>
        <w:r w:rsidR="0044236D" w:rsidRPr="003C266F">
          <w:rPr>
            <w:rStyle w:val="Hyperlink"/>
          </w:rPr>
          <w:t>Whian</w:t>
        </w:r>
        <w:proofErr w:type="spellEnd"/>
        <w:r w:rsidR="0044236D" w:rsidRPr="003C266F">
          <w:rPr>
            <w:rStyle w:val="Hyperlink"/>
          </w:rPr>
          <w:t xml:space="preserve"> State Conservation Area and Snows Gully Nature Reserve Fire Management Strategy</w:t>
        </w:r>
      </w:hyperlink>
    </w:p>
    <w:p w14:paraId="496574E0" w14:textId="1B1C600F" w:rsidR="000F44B2" w:rsidRPr="00883FB5" w:rsidRDefault="007E5824" w:rsidP="000F44B2">
      <w:pPr>
        <w:rPr>
          <w:rFonts w:ascii="Calibri" w:hAnsi="Calibri" w:cs="Arial"/>
          <w:i/>
          <w:iCs/>
        </w:rPr>
      </w:pPr>
      <w:hyperlink r:id="rId32" w:history="1">
        <w:r w:rsidR="000F44B2">
          <w:rPr>
            <w:rStyle w:val="Hyperlink"/>
          </w:rPr>
          <w:t xml:space="preserve">Northern Rivers Regional Biodiversity Management Plan </w:t>
        </w:r>
      </w:hyperlink>
    </w:p>
    <w:p w14:paraId="1A124172" w14:textId="795D5837" w:rsidR="000F44B2" w:rsidRPr="009D7E68" w:rsidRDefault="007E5824" w:rsidP="0044236D">
      <w:hyperlink r:id="rId33" w:history="1">
        <w:r w:rsidR="000F44B2">
          <w:rPr>
            <w:rStyle w:val="Hyperlink"/>
          </w:rPr>
          <w:t xml:space="preserve">NSW Government. Northern Rivers regional biodiversity management plan. A national recovery plan for the Northern Rivers Region. </w:t>
        </w:r>
      </w:hyperlink>
    </w:p>
    <w:p w14:paraId="3ED421DD" w14:textId="77777777"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9"/>
      <w:bookmarkEnd w:id="10"/>
      <w:r w:rsidR="0012461E">
        <w:t>L</w:t>
      </w:r>
      <w:r>
        <w:t xml:space="preserve">isting </w:t>
      </w:r>
      <w:r w:rsidR="0012461E">
        <w:t>A</w:t>
      </w:r>
      <w:r>
        <w:t>ssessment references</w:t>
      </w:r>
    </w:p>
    <w:p w14:paraId="777C124B" w14:textId="53A1922B" w:rsidR="000253EC" w:rsidRDefault="000253EC" w:rsidP="000253EC">
      <w:pPr>
        <w:widowControl w:val="0"/>
        <w:autoSpaceDE w:val="0"/>
        <w:autoSpaceDN w:val="0"/>
        <w:adjustRightInd w:val="0"/>
        <w:spacing w:line="240" w:lineRule="auto"/>
        <w:ind w:left="720" w:hanging="720"/>
      </w:pPr>
      <w:r>
        <w:t xml:space="preserve">Allen CD, </w:t>
      </w:r>
      <w:proofErr w:type="spellStart"/>
      <w:r>
        <w:t>Macalady</w:t>
      </w:r>
      <w:proofErr w:type="spellEnd"/>
      <w:r>
        <w:t xml:space="preserve"> AK, </w:t>
      </w:r>
      <w:proofErr w:type="spellStart"/>
      <w:r>
        <w:t>Chenchouni</w:t>
      </w:r>
      <w:proofErr w:type="spellEnd"/>
      <w:r>
        <w:t xml:space="preserve"> H, Bachelet D, McDowell N, </w:t>
      </w:r>
      <w:proofErr w:type="spellStart"/>
      <w:r>
        <w:t>Vennetier</w:t>
      </w:r>
      <w:proofErr w:type="spellEnd"/>
      <w:r>
        <w:t xml:space="preserve"> M et al. (2010) A global overview of drought and heat-induced tree mortality reveals emerging climate change risks for forests. </w:t>
      </w:r>
      <w:r w:rsidRPr="000F44B2">
        <w:rPr>
          <w:i/>
          <w:iCs/>
        </w:rPr>
        <w:t>Forest Ecology and Management</w:t>
      </w:r>
      <w:r>
        <w:t xml:space="preserve"> 259, 660–684.</w:t>
      </w:r>
    </w:p>
    <w:p w14:paraId="00648D6F" w14:textId="5A67ED18" w:rsidR="00E34AF8" w:rsidRDefault="00E34AF8" w:rsidP="000253EC">
      <w:pPr>
        <w:widowControl w:val="0"/>
        <w:autoSpaceDE w:val="0"/>
        <w:autoSpaceDN w:val="0"/>
        <w:adjustRightInd w:val="0"/>
        <w:spacing w:line="240" w:lineRule="auto"/>
        <w:ind w:left="720" w:hanging="720"/>
      </w:pPr>
      <w:r>
        <w:t xml:space="preserve">Atlas of Living Australia (ALA) (2021) </w:t>
      </w:r>
      <w:proofErr w:type="spellStart"/>
      <w:r w:rsidRPr="00A060E9">
        <w:rPr>
          <w:i/>
          <w:iCs/>
        </w:rPr>
        <w:t>Corokia</w:t>
      </w:r>
      <w:proofErr w:type="spellEnd"/>
      <w:r w:rsidRPr="00A060E9">
        <w:rPr>
          <w:i/>
          <w:iCs/>
        </w:rPr>
        <w:t xml:space="preserve"> </w:t>
      </w:r>
      <w:proofErr w:type="spellStart"/>
      <w:r w:rsidRPr="00A060E9">
        <w:rPr>
          <w:i/>
          <w:iCs/>
        </w:rPr>
        <w:t>whiteana</w:t>
      </w:r>
      <w:proofErr w:type="spellEnd"/>
      <w:r>
        <w:t xml:space="preserve"> occurrence records. Viewed: 20 September 2021. Available at: </w:t>
      </w:r>
      <w:r w:rsidRPr="00E34AF8">
        <w:t>https://biocache.ala.org.au/occurrences/search?q=lsid%3Ahttps%3A%2F%2Fid.biodiversity.org.au%2Fnode%2Fapni%2F2889568</w:t>
      </w:r>
      <w:r>
        <w:t>.</w:t>
      </w:r>
    </w:p>
    <w:p w14:paraId="6CB1E467" w14:textId="639258C6" w:rsidR="00694DC3" w:rsidRDefault="00694DC3" w:rsidP="000253EC">
      <w:pPr>
        <w:widowControl w:val="0"/>
        <w:autoSpaceDE w:val="0"/>
        <w:autoSpaceDN w:val="0"/>
        <w:adjustRightInd w:val="0"/>
        <w:spacing w:line="240" w:lineRule="auto"/>
        <w:ind w:left="720" w:hanging="720"/>
      </w:pPr>
      <w:r>
        <w:t xml:space="preserve">Australian National University (2009) </w:t>
      </w:r>
      <w:r w:rsidRPr="000E6E1B">
        <w:rPr>
          <w:i/>
          <w:iCs/>
        </w:rPr>
        <w:t xml:space="preserve">Implications of climate change for Australia’s World </w:t>
      </w:r>
      <w:r w:rsidRPr="000E6E1B">
        <w:rPr>
          <w:i/>
          <w:iCs/>
        </w:rPr>
        <w:lastRenderedPageBreak/>
        <w:t>Heritage properties. A preliminary assessment</w:t>
      </w:r>
      <w:r>
        <w:t xml:space="preserve">. ANU, Canberra. </w:t>
      </w:r>
    </w:p>
    <w:p w14:paraId="6DD6D217" w14:textId="3C964A6C" w:rsidR="000253EC" w:rsidRDefault="000253EC" w:rsidP="000253EC">
      <w:pPr>
        <w:widowControl w:val="0"/>
        <w:autoSpaceDE w:val="0"/>
        <w:autoSpaceDN w:val="0"/>
        <w:adjustRightInd w:val="0"/>
        <w:spacing w:line="240" w:lineRule="auto"/>
        <w:ind w:left="720" w:hanging="720"/>
      </w:pPr>
      <w:r>
        <w:t xml:space="preserve">Bachman S, Moat J, Hill AW, de la Torre J, Scott B (2011) </w:t>
      </w:r>
      <w:r w:rsidRPr="000F44B2">
        <w:rPr>
          <w:i/>
          <w:iCs/>
        </w:rPr>
        <w:t xml:space="preserve">Supporting Red List threat assessments with </w:t>
      </w:r>
      <w:proofErr w:type="spellStart"/>
      <w:r w:rsidRPr="000F44B2">
        <w:rPr>
          <w:i/>
          <w:iCs/>
        </w:rPr>
        <w:t>GeoCAT</w:t>
      </w:r>
      <w:proofErr w:type="spellEnd"/>
      <w:r w:rsidRPr="000F44B2">
        <w:rPr>
          <w:i/>
          <w:iCs/>
        </w:rPr>
        <w:t>: geospatial conservation assessment tool</w:t>
      </w:r>
      <w:r>
        <w:t>. Data from Global Biodiversity Information Facility (GBIF).</w:t>
      </w:r>
    </w:p>
    <w:p w14:paraId="3FC003B9" w14:textId="789796D9" w:rsidR="00BD22A1" w:rsidRDefault="00BD22A1" w:rsidP="000253EC">
      <w:pPr>
        <w:widowControl w:val="0"/>
        <w:autoSpaceDE w:val="0"/>
        <w:autoSpaceDN w:val="0"/>
        <w:adjustRightInd w:val="0"/>
        <w:spacing w:line="240" w:lineRule="auto"/>
        <w:ind w:left="720" w:hanging="720"/>
      </w:pPr>
      <w:r>
        <w:t xml:space="preserve">Big Scrub Landcare (2020) </w:t>
      </w:r>
      <w:r w:rsidRPr="00A060E9">
        <w:rPr>
          <w:i/>
          <w:iCs/>
        </w:rPr>
        <w:t>The voice of the rainforest</w:t>
      </w:r>
      <w:r>
        <w:t xml:space="preserve">. Viewed: 17 September 2021. Available at: </w:t>
      </w:r>
      <w:r w:rsidRPr="00BD22A1">
        <w:t>https://www.bigscrubrainforest.org</w:t>
      </w:r>
    </w:p>
    <w:p w14:paraId="65469D16" w14:textId="0E892E40" w:rsidR="000253EC" w:rsidRDefault="000253EC" w:rsidP="000253EC">
      <w:pPr>
        <w:widowControl w:val="0"/>
        <w:autoSpaceDE w:val="0"/>
        <w:autoSpaceDN w:val="0"/>
        <w:adjustRightInd w:val="0"/>
        <w:spacing w:line="240" w:lineRule="auto"/>
        <w:ind w:left="720" w:hanging="720"/>
      </w:pPr>
      <w:r>
        <w:t xml:space="preserve">Bundjalung of Byron Bay Aboriginal Corporation (2011) </w:t>
      </w:r>
      <w:proofErr w:type="spellStart"/>
      <w:r w:rsidRPr="00A060E9">
        <w:rPr>
          <w:i/>
          <w:iCs/>
        </w:rPr>
        <w:t>Arakwal</w:t>
      </w:r>
      <w:proofErr w:type="spellEnd"/>
      <w:r w:rsidRPr="00A060E9">
        <w:rPr>
          <w:i/>
          <w:iCs/>
        </w:rPr>
        <w:t xml:space="preserve"> people of Byron Bay</w:t>
      </w:r>
      <w:r>
        <w:t xml:space="preserve">. </w:t>
      </w:r>
      <w:r w:rsidR="00BF4914">
        <w:t xml:space="preserve">Viewed:12 </w:t>
      </w:r>
      <w:r>
        <w:t xml:space="preserve">November 2020 Available </w:t>
      </w:r>
      <w:proofErr w:type="spellStart"/>
      <w:proofErr w:type="gramStart"/>
      <w:r>
        <w:t>at:http</w:t>
      </w:r>
      <w:proofErr w:type="spellEnd"/>
      <w:r>
        <w:t>://arakwal.com.au</w:t>
      </w:r>
      <w:proofErr w:type="gramEnd"/>
    </w:p>
    <w:p w14:paraId="61054203" w14:textId="77777777" w:rsidR="000253EC" w:rsidRDefault="000253EC" w:rsidP="000253EC">
      <w:pPr>
        <w:widowControl w:val="0"/>
        <w:autoSpaceDE w:val="0"/>
        <w:autoSpaceDN w:val="0"/>
        <w:adjustRightInd w:val="0"/>
        <w:spacing w:line="240" w:lineRule="auto"/>
        <w:ind w:left="720" w:hanging="720"/>
      </w:pPr>
      <w:proofErr w:type="spellStart"/>
      <w:r>
        <w:t>Choat</w:t>
      </w:r>
      <w:proofErr w:type="spellEnd"/>
      <w:r>
        <w:t xml:space="preserve"> B, Jansen S, </w:t>
      </w:r>
      <w:proofErr w:type="spellStart"/>
      <w:r>
        <w:t>Brodribb</w:t>
      </w:r>
      <w:proofErr w:type="spellEnd"/>
      <w:r>
        <w:t xml:space="preserve"> TJ, </w:t>
      </w:r>
      <w:proofErr w:type="spellStart"/>
      <w:r>
        <w:t>Cochard</w:t>
      </w:r>
      <w:proofErr w:type="spellEnd"/>
      <w:r>
        <w:t xml:space="preserve"> H, </w:t>
      </w:r>
      <w:proofErr w:type="spellStart"/>
      <w:r>
        <w:t>Delzon</w:t>
      </w:r>
      <w:proofErr w:type="spellEnd"/>
      <w:r>
        <w:t xml:space="preserve"> S, Bhaskar R et al. (2012) Global convergence in the vulnerability of forests to drought. </w:t>
      </w:r>
      <w:r w:rsidRPr="000F44B2">
        <w:rPr>
          <w:i/>
          <w:iCs/>
        </w:rPr>
        <w:t>Nature</w:t>
      </w:r>
      <w:r>
        <w:t xml:space="preserve"> 491, 752–755.</w:t>
      </w:r>
    </w:p>
    <w:p w14:paraId="21C251F2" w14:textId="77777777" w:rsidR="000253EC" w:rsidRDefault="000253EC" w:rsidP="000253EC">
      <w:pPr>
        <w:widowControl w:val="0"/>
        <w:autoSpaceDE w:val="0"/>
        <w:autoSpaceDN w:val="0"/>
        <w:adjustRightInd w:val="0"/>
        <w:spacing w:line="240" w:lineRule="auto"/>
        <w:ind w:left="720" w:hanging="720"/>
      </w:pPr>
      <w:r>
        <w:t xml:space="preserve">Compton SG (2002) Sailing with the wind: dispersal by small flying insects. </w:t>
      </w:r>
      <w:r w:rsidRPr="000F44B2">
        <w:rPr>
          <w:i/>
          <w:iCs/>
        </w:rPr>
        <w:t>Dispersal Ecology: the 42nd Symposium of the British Ecological Society</w:t>
      </w:r>
      <w:r>
        <w:t xml:space="preserve"> 133, 113–133.</w:t>
      </w:r>
    </w:p>
    <w:p w14:paraId="36CE771F" w14:textId="0FC82D82" w:rsidR="000253EC" w:rsidRDefault="000253EC" w:rsidP="000253EC">
      <w:pPr>
        <w:widowControl w:val="0"/>
        <w:autoSpaceDE w:val="0"/>
        <w:autoSpaceDN w:val="0"/>
        <w:adjustRightInd w:val="0"/>
        <w:spacing w:line="240" w:lineRule="auto"/>
        <w:ind w:left="720" w:hanging="720"/>
      </w:pPr>
      <w:r>
        <w:t xml:space="preserve">DEWHA (2008) </w:t>
      </w:r>
      <w:r w:rsidRPr="000F44B2">
        <w:rPr>
          <w:i/>
          <w:iCs/>
        </w:rPr>
        <w:t xml:space="preserve">Approved conservation advice for </w:t>
      </w:r>
      <w:proofErr w:type="spellStart"/>
      <w:r w:rsidRPr="000F44B2">
        <w:rPr>
          <w:i/>
          <w:iCs/>
        </w:rPr>
        <w:t>Corokia</w:t>
      </w:r>
      <w:proofErr w:type="spellEnd"/>
      <w:r w:rsidRPr="000F44B2">
        <w:rPr>
          <w:i/>
          <w:iCs/>
        </w:rPr>
        <w:t xml:space="preserve"> </w:t>
      </w:r>
      <w:proofErr w:type="spellStart"/>
      <w:r w:rsidRPr="000F44B2">
        <w:rPr>
          <w:i/>
          <w:iCs/>
        </w:rPr>
        <w:t>whiteana</w:t>
      </w:r>
      <w:proofErr w:type="spellEnd"/>
      <w:r>
        <w:t xml:space="preserve">. </w:t>
      </w:r>
      <w:r w:rsidR="000F44B2">
        <w:t xml:space="preserve">Australian Government, </w:t>
      </w:r>
      <w:r>
        <w:t xml:space="preserve">Canberra. </w:t>
      </w:r>
    </w:p>
    <w:p w14:paraId="24577850" w14:textId="4D8408D6" w:rsidR="00EB24DC" w:rsidRDefault="00EB24DC" w:rsidP="000253EC">
      <w:pPr>
        <w:widowControl w:val="0"/>
        <w:autoSpaceDE w:val="0"/>
        <w:autoSpaceDN w:val="0"/>
        <w:adjustRightInd w:val="0"/>
        <w:spacing w:line="240" w:lineRule="auto"/>
        <w:ind w:left="720" w:hanging="720"/>
      </w:pPr>
      <w:r>
        <w:t xml:space="preserve">Gallagher RV (2020) </w:t>
      </w:r>
      <w:r w:rsidRPr="00A060E9">
        <w:rPr>
          <w:i/>
          <w:iCs/>
        </w:rPr>
        <w:t>Final national prioritisation of Australian plants affected by the 2019–2020 bushfire season. Report to the Commonwealth Department of Agriculture, Water and the Environment</w:t>
      </w:r>
      <w:r>
        <w:t xml:space="preserve">, Canberra. </w:t>
      </w:r>
    </w:p>
    <w:p w14:paraId="29BCC1AC" w14:textId="775C207E" w:rsidR="000253EC" w:rsidRDefault="000253EC" w:rsidP="000253EC">
      <w:pPr>
        <w:widowControl w:val="0"/>
        <w:autoSpaceDE w:val="0"/>
        <w:autoSpaceDN w:val="0"/>
        <w:adjustRightInd w:val="0"/>
        <w:spacing w:line="240" w:lineRule="auto"/>
        <w:ind w:left="720" w:hanging="720"/>
      </w:pPr>
      <w:r>
        <w:t xml:space="preserve">Gallagher R V., Allen S, Mackenzie BDE, Yates CJ, </w:t>
      </w:r>
      <w:proofErr w:type="spellStart"/>
      <w:r>
        <w:t>Gosper</w:t>
      </w:r>
      <w:proofErr w:type="spellEnd"/>
      <w:r>
        <w:t xml:space="preserve"> CR, Keith DA et al. (2021) High fire frequency and the impact of the 2019–2020 megafires on Australian plant diversity. </w:t>
      </w:r>
      <w:r w:rsidRPr="000F44B2">
        <w:rPr>
          <w:i/>
          <w:iCs/>
        </w:rPr>
        <w:t>Diversity and Distributions</w:t>
      </w:r>
      <w:r>
        <w:t xml:space="preserve"> 27, 1166–1179.</w:t>
      </w:r>
    </w:p>
    <w:p w14:paraId="495E9C0E" w14:textId="280BB1BC" w:rsidR="000253EC" w:rsidRDefault="000253EC" w:rsidP="000253EC">
      <w:pPr>
        <w:widowControl w:val="0"/>
        <w:autoSpaceDE w:val="0"/>
        <w:autoSpaceDN w:val="0"/>
        <w:adjustRightInd w:val="0"/>
        <w:spacing w:line="240" w:lineRule="auto"/>
        <w:ind w:left="720" w:hanging="720"/>
      </w:pPr>
      <w:r>
        <w:t xml:space="preserve">IUCN Standards and Petitions Committee (2019) Guidelines for using the IUCN red list categories and criteria. Version 14. </w:t>
      </w:r>
      <w:r w:rsidR="000F44B2">
        <w:t>V</w:t>
      </w:r>
      <w:r w:rsidR="00BF4914">
        <w:t>iewed:</w:t>
      </w:r>
      <w:r w:rsidR="000F44B2">
        <w:t xml:space="preserve"> 5 July 2021. </w:t>
      </w:r>
      <w:r w:rsidR="00E34AF8">
        <w:t xml:space="preserve">Available at: </w:t>
      </w:r>
      <w:r>
        <w:t>http://intranet.iucn.org/webfiles/doc/ssc/redlist/redlistguidelines.pdf</w:t>
      </w:r>
    </w:p>
    <w:p w14:paraId="4D95A43F" w14:textId="77777777" w:rsidR="000253EC" w:rsidRDefault="000253EC" w:rsidP="000253EC">
      <w:pPr>
        <w:widowControl w:val="0"/>
        <w:autoSpaceDE w:val="0"/>
        <w:autoSpaceDN w:val="0"/>
        <w:adjustRightInd w:val="0"/>
        <w:spacing w:line="240" w:lineRule="auto"/>
        <w:ind w:left="720" w:hanging="720"/>
      </w:pPr>
      <w:r>
        <w:t xml:space="preserve">Kingston M, Turnbull J, Hall P (2004) </w:t>
      </w:r>
      <w:r w:rsidRPr="000F44B2">
        <w:rPr>
          <w:i/>
          <w:iCs/>
        </w:rPr>
        <w:t>Tweed Vegetation Management Strategy</w:t>
      </w:r>
      <w:r>
        <w:t xml:space="preserve">. Murwillumbah. </w:t>
      </w:r>
    </w:p>
    <w:p w14:paraId="00CAD297" w14:textId="1BAAA547" w:rsidR="000253EC" w:rsidRDefault="000253EC" w:rsidP="000253EC">
      <w:pPr>
        <w:widowControl w:val="0"/>
        <w:autoSpaceDE w:val="0"/>
        <w:autoSpaceDN w:val="0"/>
        <w:adjustRightInd w:val="0"/>
        <w:spacing w:line="240" w:lineRule="auto"/>
        <w:ind w:left="720" w:hanging="720"/>
      </w:pPr>
      <w:proofErr w:type="spellStart"/>
      <w:r>
        <w:t>Kooyman</w:t>
      </w:r>
      <w:proofErr w:type="spellEnd"/>
      <w:r>
        <w:t xml:space="preserve"> R, Mallee J (2020) </w:t>
      </w:r>
      <w:r w:rsidRPr="000F44B2">
        <w:rPr>
          <w:i/>
          <w:iCs/>
        </w:rPr>
        <w:t>Results of surveys and assessment of threatened rainforest species in the Nightcap Range including fire impacts on Peach Myrtle (</w:t>
      </w:r>
      <w:proofErr w:type="spellStart"/>
      <w:r w:rsidRPr="000F44B2">
        <w:rPr>
          <w:i/>
          <w:iCs/>
        </w:rPr>
        <w:t>Uromyrtus</w:t>
      </w:r>
      <w:proofErr w:type="spellEnd"/>
      <w:r w:rsidRPr="000F44B2">
        <w:rPr>
          <w:i/>
          <w:iCs/>
        </w:rPr>
        <w:t xml:space="preserve"> australis), and plot-based monitoring of Nightcap Oak (</w:t>
      </w:r>
      <w:proofErr w:type="spellStart"/>
      <w:r w:rsidRPr="000F44B2">
        <w:rPr>
          <w:i/>
          <w:iCs/>
        </w:rPr>
        <w:t>Eidothea</w:t>
      </w:r>
      <w:proofErr w:type="spellEnd"/>
      <w:r w:rsidRPr="000F44B2">
        <w:rPr>
          <w:i/>
          <w:iCs/>
        </w:rPr>
        <w:t xml:space="preserve"> </w:t>
      </w:r>
      <w:proofErr w:type="spellStart"/>
      <w:r w:rsidRPr="000F44B2">
        <w:rPr>
          <w:i/>
          <w:iCs/>
        </w:rPr>
        <w:t>hardeniana</w:t>
      </w:r>
      <w:proofErr w:type="spellEnd"/>
      <w:r w:rsidRPr="000F44B2">
        <w:rPr>
          <w:i/>
          <w:iCs/>
        </w:rPr>
        <w:t xml:space="preserve">). Report prepared for </w:t>
      </w:r>
      <w:proofErr w:type="spellStart"/>
      <w:r w:rsidRPr="000F44B2">
        <w:rPr>
          <w:i/>
          <w:iCs/>
        </w:rPr>
        <w:t>SoS</w:t>
      </w:r>
      <w:proofErr w:type="spellEnd"/>
      <w:r>
        <w:t xml:space="preserve"> North Coast Bra</w:t>
      </w:r>
      <w:r w:rsidR="000F44B2">
        <w:t>nch, NSW Government,</w:t>
      </w:r>
      <w:r>
        <w:t xml:space="preserve"> Sydney. </w:t>
      </w:r>
    </w:p>
    <w:p w14:paraId="7FFDAC30" w14:textId="77777777" w:rsidR="000253EC" w:rsidRDefault="000253EC" w:rsidP="000253EC">
      <w:pPr>
        <w:widowControl w:val="0"/>
        <w:autoSpaceDE w:val="0"/>
        <w:autoSpaceDN w:val="0"/>
        <w:adjustRightInd w:val="0"/>
        <w:spacing w:line="240" w:lineRule="auto"/>
        <w:ind w:left="720" w:hanging="720"/>
      </w:pPr>
      <w:r>
        <w:t xml:space="preserve">Laidlaw MJ, McDonald WJF, Hunter RJ, </w:t>
      </w:r>
      <w:proofErr w:type="spellStart"/>
      <w:r>
        <w:t>Putland</w:t>
      </w:r>
      <w:proofErr w:type="spellEnd"/>
      <w:r>
        <w:t xml:space="preserve"> DA, Kitching RL (2011) The potential impacts of climate change on Australian subtropical rainforest. </w:t>
      </w:r>
      <w:r w:rsidRPr="000F44B2">
        <w:rPr>
          <w:i/>
          <w:iCs/>
        </w:rPr>
        <w:t>Australian Journal of Botany</w:t>
      </w:r>
      <w:r>
        <w:t xml:space="preserve"> 59, 440–449.</w:t>
      </w:r>
    </w:p>
    <w:p w14:paraId="41C3BCA0" w14:textId="09E4EA82" w:rsidR="000253EC" w:rsidRDefault="000253EC" w:rsidP="000253EC">
      <w:pPr>
        <w:widowControl w:val="0"/>
        <w:autoSpaceDE w:val="0"/>
        <w:autoSpaceDN w:val="0"/>
        <w:adjustRightInd w:val="0"/>
        <w:spacing w:line="240" w:lineRule="auto"/>
        <w:ind w:left="720" w:hanging="720"/>
      </w:pPr>
      <w:r>
        <w:t xml:space="preserve">NSW Government (2004) </w:t>
      </w:r>
      <w:r w:rsidRPr="000F44B2">
        <w:rPr>
          <w:i/>
          <w:iCs/>
        </w:rPr>
        <w:t xml:space="preserve">NSW Government. Parks and Reserves of the Tweed Caldera Plan of Management. Incorporating National Parks: Mt Warning, Border Ranges, </w:t>
      </w:r>
      <w:proofErr w:type="spellStart"/>
      <w:r w:rsidRPr="000F44B2">
        <w:rPr>
          <w:i/>
          <w:iCs/>
        </w:rPr>
        <w:t>Mebbin</w:t>
      </w:r>
      <w:proofErr w:type="spellEnd"/>
      <w:r w:rsidRPr="000F44B2">
        <w:rPr>
          <w:i/>
          <w:iCs/>
        </w:rPr>
        <w:t xml:space="preserve">, Nightcap, Mt Jerusalem, </w:t>
      </w:r>
      <w:proofErr w:type="gramStart"/>
      <w:r w:rsidRPr="000F44B2">
        <w:rPr>
          <w:i/>
          <w:iCs/>
        </w:rPr>
        <w:t>Goonengerry</w:t>
      </w:r>
      <w:proofErr w:type="gramEnd"/>
      <w:r w:rsidRPr="000F44B2">
        <w:rPr>
          <w:i/>
          <w:iCs/>
        </w:rPr>
        <w:t xml:space="preserve"> and Nature Reserves: </w:t>
      </w:r>
      <w:proofErr w:type="spellStart"/>
      <w:r w:rsidRPr="000F44B2">
        <w:rPr>
          <w:i/>
          <w:iCs/>
        </w:rPr>
        <w:t>Limpinwood</w:t>
      </w:r>
      <w:proofErr w:type="spellEnd"/>
      <w:r w:rsidRPr="000F44B2">
        <w:rPr>
          <w:i/>
          <w:iCs/>
        </w:rPr>
        <w:t xml:space="preserve">, Numinbah and Snows Gully. </w:t>
      </w:r>
      <w:r w:rsidR="00BF4914">
        <w:t>Viewed:</w:t>
      </w:r>
      <w:r w:rsidR="000F44B2">
        <w:t xml:space="preserve">15 July 2021. Available at: </w:t>
      </w:r>
      <w:r>
        <w:t>http://www.environment.nsw.gov.au/parkmanagement/borderrangesnpmgmtplan.htm</w:t>
      </w:r>
    </w:p>
    <w:p w14:paraId="0D283001" w14:textId="6E4819FA" w:rsidR="000253EC" w:rsidRDefault="000253EC" w:rsidP="000253EC">
      <w:pPr>
        <w:widowControl w:val="0"/>
        <w:autoSpaceDE w:val="0"/>
        <w:autoSpaceDN w:val="0"/>
        <w:adjustRightInd w:val="0"/>
        <w:spacing w:line="240" w:lineRule="auto"/>
        <w:ind w:left="720" w:hanging="720"/>
      </w:pPr>
      <w:r>
        <w:t xml:space="preserve">NSW Government (2005) </w:t>
      </w:r>
      <w:r w:rsidRPr="000F44B2">
        <w:rPr>
          <w:i/>
          <w:iCs/>
        </w:rPr>
        <w:t>Vegetation Map for the Northern Rivers CMA VIS_ID 524.</w:t>
      </w:r>
      <w:r>
        <w:t xml:space="preserve"> Department of Planning, Industry and Environment, Sydney. </w:t>
      </w:r>
      <w:r w:rsidR="00BF4914">
        <w:t>Viewed:</w:t>
      </w:r>
      <w:r w:rsidR="000F44B2">
        <w:t xml:space="preserve">15 July 2021. Available at: </w:t>
      </w:r>
      <w:r>
        <w:t>https://datasets.seed.nsw.gov.au/dataset/vegetation-map-for-the-northern-rivers-cma-vis_id-524fdb07</w:t>
      </w:r>
    </w:p>
    <w:p w14:paraId="59C63CBA" w14:textId="2C869899" w:rsidR="000253EC" w:rsidRDefault="000253EC" w:rsidP="000253EC">
      <w:pPr>
        <w:widowControl w:val="0"/>
        <w:autoSpaceDE w:val="0"/>
        <w:autoSpaceDN w:val="0"/>
        <w:adjustRightInd w:val="0"/>
        <w:spacing w:line="240" w:lineRule="auto"/>
        <w:ind w:left="720" w:hanging="720"/>
      </w:pPr>
      <w:r>
        <w:t xml:space="preserve">NSW Government (2010) </w:t>
      </w:r>
      <w:r w:rsidRPr="000F44B2">
        <w:rPr>
          <w:i/>
          <w:iCs/>
        </w:rPr>
        <w:t>NSW climate impact profile. The impacts of climate change on the biophysical environment of New South Wales</w:t>
      </w:r>
      <w:r>
        <w:t xml:space="preserve">. Sydney. </w:t>
      </w:r>
    </w:p>
    <w:p w14:paraId="4298EC51" w14:textId="36CCC236" w:rsidR="00B153C6" w:rsidRDefault="00B153C6" w:rsidP="000253EC">
      <w:pPr>
        <w:widowControl w:val="0"/>
        <w:autoSpaceDE w:val="0"/>
        <w:autoSpaceDN w:val="0"/>
        <w:adjustRightInd w:val="0"/>
        <w:spacing w:line="240" w:lineRule="auto"/>
        <w:ind w:left="720" w:hanging="720"/>
      </w:pPr>
      <w:r>
        <w:lastRenderedPageBreak/>
        <w:t xml:space="preserve">NSW Government (2010b) </w:t>
      </w:r>
      <w:proofErr w:type="spellStart"/>
      <w:r w:rsidRPr="00B153C6">
        <w:rPr>
          <w:i/>
          <w:iCs/>
        </w:rPr>
        <w:t>Duroby</w:t>
      </w:r>
      <w:proofErr w:type="spellEnd"/>
      <w:r w:rsidRPr="00B153C6">
        <w:rPr>
          <w:i/>
          <w:iCs/>
        </w:rPr>
        <w:t xml:space="preserve"> Nature Reserve plan of management.</w:t>
      </w:r>
      <w:r>
        <w:t xml:space="preserve"> Department of Environment, Climate Change &amp; Water, NSW. </w:t>
      </w:r>
    </w:p>
    <w:p w14:paraId="25148569" w14:textId="7E0A912F" w:rsidR="000253EC" w:rsidRDefault="000253EC" w:rsidP="000253EC">
      <w:pPr>
        <w:widowControl w:val="0"/>
        <w:autoSpaceDE w:val="0"/>
        <w:autoSpaceDN w:val="0"/>
        <w:adjustRightInd w:val="0"/>
        <w:spacing w:line="240" w:lineRule="auto"/>
        <w:ind w:left="720" w:hanging="720"/>
      </w:pPr>
      <w:r>
        <w:t xml:space="preserve">NSW Government (2012) </w:t>
      </w:r>
      <w:r w:rsidRPr="00B153C6">
        <w:rPr>
          <w:i/>
          <w:iCs/>
        </w:rPr>
        <w:t>Australian Soil Classification (ASC) soil type map of NSW</w:t>
      </w:r>
      <w:r w:rsidR="00B153C6">
        <w:t xml:space="preserve">, Sydney, NSW. </w:t>
      </w:r>
    </w:p>
    <w:p w14:paraId="1F4EDED2" w14:textId="1A8268CF" w:rsidR="000253EC" w:rsidRDefault="000253EC" w:rsidP="000253EC">
      <w:pPr>
        <w:widowControl w:val="0"/>
        <w:autoSpaceDE w:val="0"/>
        <w:autoSpaceDN w:val="0"/>
        <w:adjustRightInd w:val="0"/>
        <w:spacing w:line="240" w:lineRule="auto"/>
        <w:ind w:left="720" w:hanging="720"/>
      </w:pPr>
      <w:r>
        <w:t xml:space="preserve">NSW Government (2014a) </w:t>
      </w:r>
      <w:r w:rsidRPr="000F44B2">
        <w:rPr>
          <w:i/>
          <w:iCs/>
        </w:rPr>
        <w:t>New South Wales Climate change snapshot</w:t>
      </w:r>
      <w:r>
        <w:t xml:space="preserve">. </w:t>
      </w:r>
      <w:r w:rsidR="00BF4914">
        <w:t>Viewed:</w:t>
      </w:r>
      <w:r w:rsidR="00B153C6">
        <w:t xml:space="preserve">5 July 2021. Available at: </w:t>
      </w:r>
      <w:r>
        <w:t>http://climatechange.environment.nsw.gov.au/climate-projections-for-nsw/climate-projections-for-your-region/nsw-climate-change-downloads</w:t>
      </w:r>
    </w:p>
    <w:p w14:paraId="2FC6D151" w14:textId="7FB56C00" w:rsidR="000253EC" w:rsidRDefault="000253EC" w:rsidP="000253EC">
      <w:pPr>
        <w:widowControl w:val="0"/>
        <w:autoSpaceDE w:val="0"/>
        <w:autoSpaceDN w:val="0"/>
        <w:adjustRightInd w:val="0"/>
        <w:spacing w:line="240" w:lineRule="auto"/>
        <w:ind w:left="720" w:hanging="720"/>
      </w:pPr>
      <w:r>
        <w:t xml:space="preserve">NSW Government (2014b) </w:t>
      </w:r>
      <w:r w:rsidRPr="000F44B2">
        <w:rPr>
          <w:i/>
          <w:iCs/>
        </w:rPr>
        <w:t>North Coast Climate change snapshot Overview of North Coast Region climate chang</w:t>
      </w:r>
      <w:r>
        <w:t xml:space="preserve">e. Sydney. </w:t>
      </w:r>
      <w:r w:rsidR="00BF4914">
        <w:t>Viewed:</w:t>
      </w:r>
      <w:r w:rsidR="000F44B2">
        <w:t xml:space="preserve">5 July 2021. Available at: </w:t>
      </w:r>
      <w:r>
        <w:t>https://climatechange.environment.nsw.gov.au/climate-projections-for-nsw/climate-projections-for-your-region/nsw-climate-change-downloads</w:t>
      </w:r>
    </w:p>
    <w:p w14:paraId="7958DEA6" w14:textId="02900CB1" w:rsidR="000253EC" w:rsidRDefault="000253EC" w:rsidP="000253EC">
      <w:pPr>
        <w:widowControl w:val="0"/>
        <w:autoSpaceDE w:val="0"/>
        <w:autoSpaceDN w:val="0"/>
        <w:adjustRightInd w:val="0"/>
        <w:spacing w:line="240" w:lineRule="auto"/>
        <w:ind w:left="720" w:hanging="720"/>
      </w:pPr>
      <w:r>
        <w:t xml:space="preserve">NSW Government (2018a) </w:t>
      </w:r>
      <w:r w:rsidRPr="000F44B2">
        <w:rPr>
          <w:i/>
          <w:iCs/>
        </w:rPr>
        <w:t>NSW State of the Environment. Native Vegetation.</w:t>
      </w:r>
      <w:r>
        <w:t xml:space="preserve"> </w:t>
      </w:r>
      <w:r w:rsidR="00BF4914">
        <w:t>Viewed:</w:t>
      </w:r>
      <w:r w:rsidR="000F44B2">
        <w:t xml:space="preserve"> 21 </w:t>
      </w:r>
      <w:r>
        <w:t>July 2021 Available at:</w:t>
      </w:r>
      <w:r w:rsidR="000F44B2">
        <w:t xml:space="preserve"> </w:t>
      </w:r>
      <w:r>
        <w:t>https://www.soe.epa.nsw.gov.au/all-themes/land/native-vegetation</w:t>
      </w:r>
    </w:p>
    <w:p w14:paraId="6162786B" w14:textId="3CD7851E" w:rsidR="000253EC" w:rsidRDefault="000253EC" w:rsidP="000253EC">
      <w:pPr>
        <w:widowControl w:val="0"/>
        <w:autoSpaceDE w:val="0"/>
        <w:autoSpaceDN w:val="0"/>
        <w:adjustRightInd w:val="0"/>
        <w:spacing w:line="240" w:lineRule="auto"/>
        <w:ind w:left="720" w:hanging="720"/>
      </w:pPr>
      <w:r>
        <w:t xml:space="preserve">NSW Government (2018b) </w:t>
      </w:r>
      <w:r w:rsidRPr="00D450F8">
        <w:rPr>
          <w:i/>
          <w:iCs/>
        </w:rPr>
        <w:t>Coastal I</w:t>
      </w:r>
      <w:r w:rsidR="000F44B2" w:rsidRPr="00D450F8">
        <w:rPr>
          <w:i/>
          <w:iCs/>
        </w:rPr>
        <w:t xml:space="preserve">ntegrated </w:t>
      </w:r>
      <w:r w:rsidRPr="00D450F8">
        <w:rPr>
          <w:i/>
          <w:iCs/>
        </w:rPr>
        <w:t>F</w:t>
      </w:r>
      <w:r w:rsidR="000F44B2" w:rsidRPr="00D450F8">
        <w:rPr>
          <w:i/>
          <w:iCs/>
        </w:rPr>
        <w:t xml:space="preserve">orestry </w:t>
      </w:r>
      <w:r w:rsidRPr="00D450F8">
        <w:rPr>
          <w:i/>
          <w:iCs/>
        </w:rPr>
        <w:t>O</w:t>
      </w:r>
      <w:r w:rsidR="000F44B2" w:rsidRPr="00D450F8">
        <w:rPr>
          <w:i/>
          <w:iCs/>
        </w:rPr>
        <w:t xml:space="preserve">perations </w:t>
      </w:r>
      <w:r w:rsidRPr="00D450F8">
        <w:rPr>
          <w:i/>
          <w:iCs/>
        </w:rPr>
        <w:t>A</w:t>
      </w:r>
      <w:r w:rsidR="000F44B2" w:rsidRPr="00D450F8">
        <w:rPr>
          <w:i/>
          <w:iCs/>
        </w:rPr>
        <w:t>pprovals</w:t>
      </w:r>
      <w:r w:rsidRPr="00D450F8">
        <w:rPr>
          <w:i/>
          <w:iCs/>
        </w:rPr>
        <w:t>.</w:t>
      </w:r>
      <w:r>
        <w:t xml:space="preserve"> </w:t>
      </w:r>
      <w:r w:rsidR="00BF4914">
        <w:t>Viewed:</w:t>
      </w:r>
      <w:r w:rsidR="00D450F8">
        <w:t xml:space="preserve"> 5 </w:t>
      </w:r>
      <w:r>
        <w:t>July</w:t>
      </w:r>
      <w:r w:rsidR="00D450F8">
        <w:t>=</w:t>
      </w:r>
      <w:r>
        <w:t xml:space="preserve"> 2021 Available at:</w:t>
      </w:r>
      <w:r w:rsidR="00D450F8">
        <w:t xml:space="preserve"> </w:t>
      </w:r>
      <w:r>
        <w:t>https://www.epa.nsw.gov.au/your-environment/native-forestry/integrated-forestry-operations-approvals/coastal-ifoa</w:t>
      </w:r>
    </w:p>
    <w:p w14:paraId="19B2934A" w14:textId="77777777" w:rsidR="000253EC" w:rsidRDefault="000253EC" w:rsidP="000253EC">
      <w:pPr>
        <w:widowControl w:val="0"/>
        <w:autoSpaceDE w:val="0"/>
        <w:autoSpaceDN w:val="0"/>
        <w:adjustRightInd w:val="0"/>
        <w:spacing w:line="240" w:lineRule="auto"/>
        <w:ind w:left="720" w:hanging="720"/>
      </w:pPr>
      <w:r>
        <w:t xml:space="preserve">NSW Government (2020) </w:t>
      </w:r>
      <w:r w:rsidRPr="00D450F8">
        <w:rPr>
          <w:i/>
          <w:iCs/>
        </w:rPr>
        <w:t>Tyagarah Nature Reserve plan of management</w:t>
      </w:r>
      <w:r>
        <w:t xml:space="preserve">. NSW National Parks and Wildlife Service, Byron Bay. </w:t>
      </w:r>
    </w:p>
    <w:p w14:paraId="72C93F5E" w14:textId="32DA432E" w:rsidR="000253EC" w:rsidRDefault="000253EC" w:rsidP="000253EC">
      <w:pPr>
        <w:widowControl w:val="0"/>
        <w:autoSpaceDE w:val="0"/>
        <w:autoSpaceDN w:val="0"/>
        <w:adjustRightInd w:val="0"/>
        <w:spacing w:line="240" w:lineRule="auto"/>
        <w:ind w:left="720" w:hanging="720"/>
      </w:pPr>
      <w:proofErr w:type="spellStart"/>
      <w:r>
        <w:t>PlantNET</w:t>
      </w:r>
      <w:proofErr w:type="spellEnd"/>
      <w:r>
        <w:t xml:space="preserve"> (1992) </w:t>
      </w:r>
      <w:r w:rsidRPr="00D450F8">
        <w:rPr>
          <w:i/>
          <w:iCs/>
        </w:rPr>
        <w:t xml:space="preserve">New South Wales Flora Online. </w:t>
      </w:r>
      <w:proofErr w:type="spellStart"/>
      <w:r w:rsidRPr="00D450F8">
        <w:rPr>
          <w:i/>
          <w:iCs/>
        </w:rPr>
        <w:t>Corokia</w:t>
      </w:r>
      <w:proofErr w:type="spellEnd"/>
      <w:r w:rsidRPr="00D450F8">
        <w:rPr>
          <w:i/>
          <w:iCs/>
        </w:rPr>
        <w:t xml:space="preserve"> </w:t>
      </w:r>
      <w:proofErr w:type="spellStart"/>
      <w:r w:rsidRPr="00D450F8">
        <w:rPr>
          <w:i/>
          <w:iCs/>
        </w:rPr>
        <w:t>whiteana</w:t>
      </w:r>
      <w:proofErr w:type="spellEnd"/>
      <w:r w:rsidRPr="00D450F8">
        <w:rPr>
          <w:i/>
          <w:iCs/>
        </w:rPr>
        <w:t xml:space="preserve"> </w:t>
      </w:r>
      <w:proofErr w:type="spellStart"/>
      <w:r w:rsidRPr="00D450F8">
        <w:rPr>
          <w:i/>
          <w:iCs/>
        </w:rPr>
        <w:t>L.S.Sm</w:t>
      </w:r>
      <w:proofErr w:type="spellEnd"/>
      <w:r w:rsidRPr="00D450F8">
        <w:rPr>
          <w:i/>
          <w:iCs/>
        </w:rPr>
        <w:t>.</w:t>
      </w:r>
      <w:r>
        <w:t xml:space="preserve"> </w:t>
      </w:r>
      <w:r w:rsidR="00BF4914">
        <w:t>Viewed:</w:t>
      </w:r>
      <w:r w:rsidR="00D450F8">
        <w:t xml:space="preserve"> 7 </w:t>
      </w:r>
      <w:r>
        <w:t>July 2021 Available at:</w:t>
      </w:r>
      <w:r w:rsidR="00D450F8">
        <w:t xml:space="preserve"> </w:t>
      </w:r>
      <w:r>
        <w:t>https://plantnet.rbgsyd.nsw.gov.au/cgi-bin/nswfl.pl?page=nswfl&amp;lvl=sp&amp;name=corokia~whiteana</w:t>
      </w:r>
    </w:p>
    <w:p w14:paraId="2D90EFE9" w14:textId="7C45B06B" w:rsidR="000253EC" w:rsidRDefault="000253EC" w:rsidP="000253EC">
      <w:pPr>
        <w:widowControl w:val="0"/>
        <w:autoSpaceDE w:val="0"/>
        <w:autoSpaceDN w:val="0"/>
        <w:adjustRightInd w:val="0"/>
        <w:spacing w:line="240" w:lineRule="auto"/>
        <w:ind w:left="720" w:hanging="720"/>
      </w:pPr>
      <w:r>
        <w:t xml:space="preserve">Quinn FC, Williams JB, Gross CL, </w:t>
      </w:r>
      <w:proofErr w:type="spellStart"/>
      <w:r>
        <w:t>Bruhl</w:t>
      </w:r>
      <w:proofErr w:type="spellEnd"/>
      <w:r>
        <w:t xml:space="preserve"> J</w:t>
      </w:r>
      <w:r w:rsidR="00D450F8">
        <w:t xml:space="preserve"> </w:t>
      </w:r>
      <w:r>
        <w:t xml:space="preserve">(1995) </w:t>
      </w:r>
      <w:r w:rsidRPr="00D450F8">
        <w:rPr>
          <w:i/>
          <w:iCs/>
        </w:rPr>
        <w:t xml:space="preserve">Report on rare and threatened plants of north-eastern New South Wales. </w:t>
      </w:r>
      <w:r>
        <w:t>Armidale</w:t>
      </w:r>
      <w:r w:rsidR="00D450F8">
        <w:t xml:space="preserve">, NSW. </w:t>
      </w:r>
    </w:p>
    <w:p w14:paraId="2C5093BD" w14:textId="0B49FCB5" w:rsidR="000253EC" w:rsidRDefault="000253EC" w:rsidP="000253EC">
      <w:pPr>
        <w:widowControl w:val="0"/>
        <w:autoSpaceDE w:val="0"/>
        <w:autoSpaceDN w:val="0"/>
        <w:adjustRightInd w:val="0"/>
        <w:spacing w:line="240" w:lineRule="auto"/>
        <w:ind w:left="720" w:hanging="720"/>
      </w:pPr>
      <w:proofErr w:type="spellStart"/>
      <w:r>
        <w:t>Te</w:t>
      </w:r>
      <w:proofErr w:type="spellEnd"/>
      <w:r>
        <w:t xml:space="preserve"> </w:t>
      </w:r>
      <w:proofErr w:type="spellStart"/>
      <w:r>
        <w:t>Rūnanga</w:t>
      </w:r>
      <w:proofErr w:type="spellEnd"/>
      <w:r>
        <w:t xml:space="preserve"> o </w:t>
      </w:r>
      <w:proofErr w:type="spellStart"/>
      <w:r>
        <w:t>Ngāi</w:t>
      </w:r>
      <w:proofErr w:type="spellEnd"/>
      <w:r>
        <w:t xml:space="preserve"> </w:t>
      </w:r>
      <w:proofErr w:type="spellStart"/>
      <w:r>
        <w:t>Tahu</w:t>
      </w:r>
      <w:proofErr w:type="spellEnd"/>
      <w:r>
        <w:t xml:space="preserve"> (2016) </w:t>
      </w:r>
      <w:proofErr w:type="spellStart"/>
      <w:r w:rsidRPr="00D450F8">
        <w:rPr>
          <w:i/>
          <w:iCs/>
        </w:rPr>
        <w:t>Te</w:t>
      </w:r>
      <w:proofErr w:type="spellEnd"/>
      <w:r w:rsidRPr="00D450F8">
        <w:rPr>
          <w:i/>
          <w:iCs/>
        </w:rPr>
        <w:t xml:space="preserve"> Karaka. He </w:t>
      </w:r>
      <w:proofErr w:type="spellStart"/>
      <w:r w:rsidRPr="00D450F8">
        <w:rPr>
          <w:i/>
          <w:iCs/>
        </w:rPr>
        <w:t>Aitaka</w:t>
      </w:r>
      <w:proofErr w:type="spellEnd"/>
      <w:r w:rsidRPr="00D450F8">
        <w:rPr>
          <w:i/>
          <w:iCs/>
        </w:rPr>
        <w:t xml:space="preserve"> a Tane </w:t>
      </w:r>
      <w:proofErr w:type="spellStart"/>
      <w:r w:rsidRPr="00D450F8">
        <w:rPr>
          <w:i/>
          <w:iCs/>
        </w:rPr>
        <w:t>Korokio</w:t>
      </w:r>
      <w:proofErr w:type="spellEnd"/>
      <w:r w:rsidRPr="00D450F8">
        <w:rPr>
          <w:i/>
          <w:iCs/>
        </w:rPr>
        <w:t>. As tough as wire-netting</w:t>
      </w:r>
      <w:r>
        <w:t xml:space="preserve">. </w:t>
      </w:r>
      <w:r w:rsidR="00BF4914">
        <w:t>Viewed:</w:t>
      </w:r>
      <w:r w:rsidR="00D450F8">
        <w:t xml:space="preserve"> 13 </w:t>
      </w:r>
      <w:r>
        <w:t>July 2021 Available at:</w:t>
      </w:r>
      <w:r w:rsidR="00D450F8">
        <w:t xml:space="preserve"> </w:t>
      </w:r>
      <w:r>
        <w:t>https://ngaitahu.iwi.nz/our_stories/tk72-he-aitaka-a-tane/</w:t>
      </w:r>
    </w:p>
    <w:p w14:paraId="2A408830" w14:textId="77777777" w:rsidR="000253EC" w:rsidRDefault="000253EC" w:rsidP="000253EC">
      <w:pPr>
        <w:widowControl w:val="0"/>
        <w:autoSpaceDE w:val="0"/>
        <w:autoSpaceDN w:val="0"/>
        <w:adjustRightInd w:val="0"/>
        <w:spacing w:line="240" w:lineRule="auto"/>
        <w:ind w:left="720" w:hanging="720"/>
      </w:pPr>
      <w:r>
        <w:t xml:space="preserve">Smith LS (1958) </w:t>
      </w:r>
      <w:proofErr w:type="spellStart"/>
      <w:r>
        <w:t>Corokia</w:t>
      </w:r>
      <w:proofErr w:type="spellEnd"/>
      <w:r>
        <w:t xml:space="preserve"> A. </w:t>
      </w:r>
      <w:proofErr w:type="spellStart"/>
      <w:r>
        <w:t>Cunn</w:t>
      </w:r>
      <w:proofErr w:type="spellEnd"/>
      <w:r>
        <w:t xml:space="preserve">. An addition to the Australian genera of Saxifragaceae. </w:t>
      </w:r>
      <w:r w:rsidRPr="00D450F8">
        <w:rPr>
          <w:i/>
          <w:iCs/>
        </w:rPr>
        <w:t>Proceedings of the Royal Society of Queensland</w:t>
      </w:r>
      <w:r>
        <w:t xml:space="preserve"> 69, 53.</w:t>
      </w:r>
    </w:p>
    <w:p w14:paraId="08B55AB4" w14:textId="77777777" w:rsidR="000253EC" w:rsidRDefault="000253EC" w:rsidP="000253EC">
      <w:pPr>
        <w:widowControl w:val="0"/>
        <w:autoSpaceDE w:val="0"/>
        <w:autoSpaceDN w:val="0"/>
        <w:adjustRightInd w:val="0"/>
        <w:spacing w:line="240" w:lineRule="auto"/>
        <w:ind w:left="720" w:hanging="720"/>
      </w:pPr>
      <w:r>
        <w:t xml:space="preserve">Smith JP, Heard TA, Beekman M, </w:t>
      </w:r>
      <w:proofErr w:type="spellStart"/>
      <w:r>
        <w:t>Gloag</w:t>
      </w:r>
      <w:proofErr w:type="spellEnd"/>
      <w:r>
        <w:t xml:space="preserve"> R (2017) Flight range of the Australian stingless bee </w:t>
      </w:r>
      <w:proofErr w:type="spellStart"/>
      <w:r w:rsidRPr="00D450F8">
        <w:rPr>
          <w:i/>
          <w:iCs/>
        </w:rPr>
        <w:t>Tetragonula</w:t>
      </w:r>
      <w:proofErr w:type="spellEnd"/>
      <w:r w:rsidRPr="00D450F8">
        <w:rPr>
          <w:i/>
          <w:iCs/>
        </w:rPr>
        <w:t xml:space="preserve"> </w:t>
      </w:r>
      <w:proofErr w:type="spellStart"/>
      <w:r w:rsidRPr="00D450F8">
        <w:rPr>
          <w:i/>
          <w:iCs/>
        </w:rPr>
        <w:t>carbonaria</w:t>
      </w:r>
      <w:proofErr w:type="spellEnd"/>
      <w:r>
        <w:t xml:space="preserve"> (Hymenoptera: Apidae). </w:t>
      </w:r>
      <w:r w:rsidRPr="00D450F8">
        <w:rPr>
          <w:i/>
          <w:iCs/>
        </w:rPr>
        <w:t>Austral Entomology</w:t>
      </w:r>
      <w:r>
        <w:t xml:space="preserve"> 56, 50–53.</w:t>
      </w:r>
    </w:p>
    <w:p w14:paraId="508D7809" w14:textId="542ECEA6" w:rsidR="001E5092" w:rsidRDefault="001E5092" w:rsidP="000253EC">
      <w:pPr>
        <w:widowControl w:val="0"/>
        <w:autoSpaceDE w:val="0"/>
        <w:autoSpaceDN w:val="0"/>
        <w:adjustRightInd w:val="0"/>
        <w:spacing w:line="240" w:lineRule="auto"/>
        <w:ind w:left="720" w:hanging="720"/>
      </w:pPr>
      <w:r>
        <w:t xml:space="preserve">Sommerville KD, Errington G, Newby Z-J, </w:t>
      </w:r>
      <w:proofErr w:type="spellStart"/>
      <w:r>
        <w:t>Lyanage</w:t>
      </w:r>
      <w:proofErr w:type="spellEnd"/>
      <w:r>
        <w:t xml:space="preserve"> GS &amp; Offord CA (2021) Assessing the storage potential of Australian rainforest seeds: a decision-making key to aid rapid conservation. </w:t>
      </w:r>
      <w:r w:rsidRPr="00A060E9">
        <w:rPr>
          <w:i/>
          <w:iCs/>
        </w:rPr>
        <w:t>Biology and Conservation</w:t>
      </w:r>
      <w:r>
        <w:t xml:space="preserve"> 30, 11, 3185–3218.</w:t>
      </w:r>
    </w:p>
    <w:p w14:paraId="306566E3" w14:textId="42EE71B8" w:rsidR="000253EC" w:rsidRDefault="000253EC" w:rsidP="000253EC">
      <w:pPr>
        <w:widowControl w:val="0"/>
        <w:autoSpaceDE w:val="0"/>
        <w:autoSpaceDN w:val="0"/>
        <w:adjustRightInd w:val="0"/>
        <w:spacing w:line="240" w:lineRule="auto"/>
        <w:ind w:left="720" w:hanging="720"/>
      </w:pPr>
      <w:r>
        <w:t xml:space="preserve">State Library NSW (2014) </w:t>
      </w:r>
      <w:r w:rsidRPr="00D450F8">
        <w:rPr>
          <w:i/>
          <w:iCs/>
        </w:rPr>
        <w:t>Rediscovering Indigenous Languages</w:t>
      </w:r>
      <w:r>
        <w:t xml:space="preserve">. Sydney. </w:t>
      </w:r>
      <w:r w:rsidR="00BF4914">
        <w:t>Viewed:</w:t>
      </w:r>
      <w:r w:rsidR="00D450F8">
        <w:t xml:space="preserve"> 12 </w:t>
      </w:r>
      <w:r>
        <w:t>November 2020 Available at:</w:t>
      </w:r>
      <w:r w:rsidR="00D450F8">
        <w:t xml:space="preserve"> </w:t>
      </w:r>
      <w:r>
        <w:t>https://www.sl.nsw.gov.au/about-library/services/indigenous-services/rediscovering-indigenous-languages-project</w:t>
      </w:r>
    </w:p>
    <w:p w14:paraId="3D28CE7C" w14:textId="477DB28F" w:rsidR="000253EC" w:rsidRDefault="000253EC" w:rsidP="000253EC">
      <w:pPr>
        <w:widowControl w:val="0"/>
        <w:autoSpaceDE w:val="0"/>
        <w:autoSpaceDN w:val="0"/>
        <w:adjustRightInd w:val="0"/>
        <w:spacing w:line="240" w:lineRule="auto"/>
        <w:ind w:left="720" w:hanging="720"/>
      </w:pPr>
      <w:r>
        <w:t xml:space="preserve">Webb CJ (1994) Pollination, self-incompatibility, and fruit production in </w:t>
      </w:r>
      <w:proofErr w:type="spellStart"/>
      <w:r w:rsidR="00D450F8" w:rsidRPr="00D450F8">
        <w:rPr>
          <w:i/>
          <w:iCs/>
        </w:rPr>
        <w:t>C</w:t>
      </w:r>
      <w:r w:rsidRPr="00D450F8">
        <w:rPr>
          <w:i/>
          <w:iCs/>
        </w:rPr>
        <w:t>orokia</w:t>
      </w:r>
      <w:proofErr w:type="spellEnd"/>
      <w:r w:rsidRPr="00D450F8">
        <w:rPr>
          <w:i/>
          <w:iCs/>
        </w:rPr>
        <w:t xml:space="preserve"> cotoneaster </w:t>
      </w:r>
      <w:r>
        <w:t>(</w:t>
      </w:r>
      <w:proofErr w:type="spellStart"/>
      <w:r>
        <w:t>escalloniaceae</w:t>
      </w:r>
      <w:proofErr w:type="spellEnd"/>
      <w:r>
        <w:t xml:space="preserve">). </w:t>
      </w:r>
      <w:r w:rsidRPr="00D450F8">
        <w:rPr>
          <w:i/>
          <w:iCs/>
        </w:rPr>
        <w:t>New Zealand Journal of Botany</w:t>
      </w:r>
      <w:r>
        <w:t xml:space="preserve"> 32, 385–392.</w:t>
      </w:r>
    </w:p>
    <w:p w14:paraId="375E025F" w14:textId="79F46D7C" w:rsidR="000253EC" w:rsidRDefault="000253EC" w:rsidP="000253EC">
      <w:pPr>
        <w:widowControl w:val="0"/>
        <w:autoSpaceDE w:val="0"/>
        <w:autoSpaceDN w:val="0"/>
        <w:adjustRightInd w:val="0"/>
        <w:spacing w:line="240" w:lineRule="auto"/>
        <w:ind w:left="720" w:hanging="720"/>
      </w:pPr>
      <w:r>
        <w:t xml:space="preserve">Wyse S V., </w:t>
      </w:r>
      <w:proofErr w:type="spellStart"/>
      <w:r>
        <w:t>Macinnis</w:t>
      </w:r>
      <w:proofErr w:type="spellEnd"/>
      <w:r>
        <w:t xml:space="preserve">-Ng CMO, Burns BR, Clearwater MJ, </w:t>
      </w:r>
      <w:proofErr w:type="spellStart"/>
      <w:r>
        <w:t>Schwendenmann</w:t>
      </w:r>
      <w:proofErr w:type="spellEnd"/>
      <w:r>
        <w:t xml:space="preserve"> L (2013) Species assemblage patterns around a dominant emergent tree are associated with drought resistance. </w:t>
      </w:r>
      <w:r w:rsidRPr="00D450F8">
        <w:rPr>
          <w:i/>
          <w:iCs/>
        </w:rPr>
        <w:t>Tree Physiology</w:t>
      </w:r>
      <w:r>
        <w:t xml:space="preserve"> 33, 1269–1283.</w:t>
      </w:r>
    </w:p>
    <w:p w14:paraId="62289C2F" w14:textId="723005DE" w:rsidR="0055405B" w:rsidRPr="00EB1F7F" w:rsidRDefault="0055405B" w:rsidP="000253EC">
      <w:pPr>
        <w:widowControl w:val="0"/>
        <w:autoSpaceDE w:val="0"/>
        <w:autoSpaceDN w:val="0"/>
        <w:adjustRightInd w:val="0"/>
        <w:spacing w:line="240" w:lineRule="auto"/>
        <w:rPr>
          <w:u w:val="single"/>
        </w:rPr>
      </w:pPr>
      <w:r w:rsidRPr="00EB1F7F">
        <w:rPr>
          <w:u w:val="single"/>
        </w:rPr>
        <w:t>Other references:</w:t>
      </w:r>
    </w:p>
    <w:p w14:paraId="68C117A9" w14:textId="3D2F0716" w:rsidR="0055405B" w:rsidRDefault="0055405B" w:rsidP="0055405B">
      <w:pPr>
        <w:widowControl w:val="0"/>
        <w:autoSpaceDE w:val="0"/>
        <w:autoSpaceDN w:val="0"/>
        <w:adjustRightInd w:val="0"/>
        <w:spacing w:line="240" w:lineRule="auto"/>
      </w:pPr>
      <w:r>
        <w:lastRenderedPageBreak/>
        <w:t xml:space="preserve">Justin Mallee (2021) </w:t>
      </w:r>
      <w:r w:rsidR="009709D2">
        <w:t xml:space="preserve">Field ecologist, </w:t>
      </w:r>
      <w:r>
        <w:t xml:space="preserve">Saving our Species, NSW Government. Personal communication - phone conversation </w:t>
      </w:r>
      <w:r w:rsidR="00EB1F7F">
        <w:t>27 July</w:t>
      </w:r>
      <w:r>
        <w:t xml:space="preserve"> 2021.</w:t>
      </w:r>
    </w:p>
    <w:p w14:paraId="5B57B720" w14:textId="13B1B4F5" w:rsidR="009E13C2" w:rsidRDefault="0055405B" w:rsidP="0055405B">
      <w:pPr>
        <w:widowControl w:val="0"/>
        <w:autoSpaceDE w:val="0"/>
        <w:autoSpaceDN w:val="0"/>
        <w:adjustRightInd w:val="0"/>
        <w:spacing w:line="240" w:lineRule="auto"/>
      </w:pPr>
      <w:r>
        <w:t xml:space="preserve">Andrew </w:t>
      </w:r>
      <w:proofErr w:type="spellStart"/>
      <w:r w:rsidR="009709D2">
        <w:t>Benwell</w:t>
      </w:r>
      <w:proofErr w:type="spellEnd"/>
      <w:r>
        <w:t xml:space="preserve"> (2021) </w:t>
      </w:r>
      <w:r w:rsidR="009709D2">
        <w:t xml:space="preserve">Plant ecologist, personal communication - </w:t>
      </w:r>
      <w:r>
        <w:t>phone conversation</w:t>
      </w:r>
      <w:r w:rsidR="009709D2">
        <w:t xml:space="preserve"> </w:t>
      </w:r>
      <w:r w:rsidR="00EB1F7F">
        <w:t>28 July</w:t>
      </w:r>
      <w:r w:rsidR="009709D2">
        <w:t xml:space="preserve"> 2021.</w:t>
      </w:r>
    </w:p>
    <w:p w14:paraId="61D3C85E" w14:textId="3C37E846" w:rsidR="0086619D" w:rsidRDefault="009709D2" w:rsidP="00D450F8">
      <w:pPr>
        <w:widowControl w:val="0"/>
        <w:autoSpaceDE w:val="0"/>
        <w:autoSpaceDN w:val="0"/>
        <w:adjustRightInd w:val="0"/>
        <w:spacing w:line="240" w:lineRule="auto"/>
      </w:pPr>
      <w:r>
        <w:t xml:space="preserve">Robert </w:t>
      </w:r>
      <w:proofErr w:type="spellStart"/>
      <w:r>
        <w:t>Kooyman</w:t>
      </w:r>
      <w:proofErr w:type="spellEnd"/>
      <w:r>
        <w:t xml:space="preserve"> (2021) Plant ecologist, National Herbarium of NSW and Macquarie University phone conversation </w:t>
      </w:r>
      <w:r w:rsidR="00EB1F7F">
        <w:t>28 July</w:t>
      </w:r>
      <w:r>
        <w:t xml:space="preserve"> 2021 and unpublished data provided by email 9 August 2021.</w:t>
      </w:r>
    </w:p>
    <w:p w14:paraId="037ACD02" w14:textId="43DC4B58" w:rsidR="00EB1F7F" w:rsidRDefault="00EB1F7F" w:rsidP="00601FF6">
      <w:r>
        <w:t xml:space="preserve">Graeme Errington (2021) Seedbank Curator, Royal Botanic Gardens Australian </w:t>
      </w:r>
      <w:proofErr w:type="spellStart"/>
      <w:r>
        <w:t>PlantBank</w:t>
      </w:r>
      <w:proofErr w:type="spellEnd"/>
      <w:r>
        <w:t>. Personal communications via email 2-4 August 2021.</w:t>
      </w:r>
    </w:p>
    <w:p w14:paraId="1FE9EBD4" w14:textId="39AE43DF" w:rsidR="00EB1F7F" w:rsidRDefault="00EB1F7F" w:rsidP="00601FF6">
      <w:r>
        <w:t xml:space="preserve">Sally Cooper (2021) </w:t>
      </w:r>
      <w:r w:rsidR="008A0BD4">
        <w:t>E</w:t>
      </w:r>
      <w:r>
        <w:t xml:space="preserve">nvironmental scientist, Tweed Council, personal communications – email and phone conversation 2 Aug 2021. </w:t>
      </w:r>
    </w:p>
    <w:p w14:paraId="33CE1A5C" w14:textId="77777777" w:rsidR="00EB1F7F" w:rsidRDefault="00EB1F7F" w:rsidP="00601FF6"/>
    <w:p w14:paraId="4F193824" w14:textId="1917741C" w:rsidR="00EB1F7F" w:rsidRDefault="00EB1F7F" w:rsidP="00601FF6">
      <w:pPr>
        <w:sectPr w:rsidR="00EB1F7F" w:rsidSect="005208A6">
          <w:headerReference w:type="even" r:id="rId34"/>
          <w:headerReference w:type="default" r:id="rId35"/>
          <w:footerReference w:type="default" r:id="rId36"/>
          <w:headerReference w:type="first" r:id="rId37"/>
          <w:footerReference w:type="first" r:id="rId38"/>
          <w:pgSz w:w="11906" w:h="16838"/>
          <w:pgMar w:top="1418" w:right="1418" w:bottom="1418" w:left="1418" w:header="567" w:footer="284" w:gutter="0"/>
          <w:cols w:space="708"/>
          <w:titlePg/>
          <w:docGrid w:linePitch="360"/>
        </w:sectPr>
      </w:pPr>
    </w:p>
    <w:p w14:paraId="158B9E0A" w14:textId="5FFF4848" w:rsidR="003A06CA" w:rsidRDefault="003A06CA" w:rsidP="003A06CA">
      <w:pPr>
        <w:pStyle w:val="Heading2"/>
        <w:pageBreakBefore/>
        <w:ind w:left="720" w:hanging="720"/>
      </w:pPr>
      <w:r>
        <w:lastRenderedPageBreak/>
        <w:t xml:space="preserve">Attachment A: Listing </w:t>
      </w:r>
      <w:r w:rsidR="0012461E">
        <w:t>A</w:t>
      </w:r>
      <w:r>
        <w:t xml:space="preserve">ssessment for </w:t>
      </w:r>
      <w:proofErr w:type="spellStart"/>
      <w:r w:rsidR="004B6BF1">
        <w:rPr>
          <w:i/>
          <w:iCs/>
        </w:rPr>
        <w:t>Corokia</w:t>
      </w:r>
      <w:proofErr w:type="spellEnd"/>
      <w:r w:rsidR="004B6BF1">
        <w:rPr>
          <w:i/>
          <w:iCs/>
        </w:rPr>
        <w:t xml:space="preserve"> </w:t>
      </w:r>
      <w:proofErr w:type="spellStart"/>
      <w:r w:rsidR="004B6BF1">
        <w:rPr>
          <w:i/>
          <w:iCs/>
        </w:rPr>
        <w:t>whiteana</w:t>
      </w:r>
      <w:proofErr w:type="spellEnd"/>
    </w:p>
    <w:p w14:paraId="283A9AC2" w14:textId="77777777" w:rsidR="003A06CA" w:rsidRDefault="003A06CA" w:rsidP="00933A0D">
      <w:pPr>
        <w:pStyle w:val="Heading3"/>
        <w:ind w:left="964" w:hanging="964"/>
        <w:rPr>
          <w:lang w:eastAsia="ja-JP"/>
        </w:rPr>
      </w:pPr>
      <w:r>
        <w:rPr>
          <w:lang w:eastAsia="ja-JP"/>
        </w:rPr>
        <w:t>Reason for assessment</w:t>
      </w:r>
    </w:p>
    <w:p w14:paraId="30E32578" w14:textId="3D77E936" w:rsidR="004B6BF1" w:rsidRPr="009D7E68" w:rsidRDefault="004B6BF1" w:rsidP="004B6BF1">
      <w:pPr>
        <w:rPr>
          <w:lang w:eastAsia="ja-JP"/>
        </w:rPr>
      </w:pPr>
      <w:r w:rsidRPr="009D7E68">
        <w:rPr>
          <w:lang w:eastAsia="ja-JP"/>
        </w:rPr>
        <w:t xml:space="preserve">The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rsidRPr="009D7E68">
        <w:rPr>
          <w:lang w:eastAsia="ja-JP"/>
        </w:rPr>
        <w:t xml:space="preserve"> </w:t>
      </w:r>
      <w:r w:rsidRPr="009D7E68">
        <w:rPr>
          <w:lang w:eastAsia="ja-JP"/>
        </w:rPr>
        <w:t xml:space="preserve">was listed as </w:t>
      </w:r>
      <w:sdt>
        <w:sdtPr>
          <w:id w:val="621115021"/>
          <w:placeholder>
            <w:docPart w:val="15C36939B6F1174E834DC92A0C2B7F03"/>
          </w:placeholder>
          <w:dropDownList>
            <w:listItem w:displayText="Critically Endangered" w:value="Critically Endangered"/>
            <w:listItem w:displayText="Endangered" w:value="Endangered"/>
            <w:listItem w:displayText="Vulnerable" w:value="Vulnerable"/>
          </w:dropDownList>
        </w:sdtPr>
        <w:sdtEndPr/>
        <w:sdtContent>
          <w:r w:rsidR="004E09C6">
            <w:t>Vulnerable</w:t>
          </w:r>
        </w:sdtContent>
      </w:sdt>
      <w:r w:rsidRPr="009D7E68" w:rsidDel="00933A0D">
        <w:rPr>
          <w:lang w:eastAsia="ja-JP"/>
        </w:rPr>
        <w:t xml:space="preserve"> </w:t>
      </w:r>
      <w:r w:rsidRPr="009D7E68">
        <w:rPr>
          <w:lang w:eastAsia="ja-JP"/>
        </w:rPr>
        <w:t xml:space="preserve">under the </w:t>
      </w:r>
      <w:r w:rsidRPr="009D7E68">
        <w:rPr>
          <w:rStyle w:val="Emphasis"/>
        </w:rPr>
        <w:t>Endangered Species Protection Act 1992</w:t>
      </w:r>
      <w:r w:rsidRPr="009D7E68">
        <w:rPr>
          <w:lang w:eastAsia="ja-JP"/>
        </w:rPr>
        <w:t xml:space="preserve"> and transferred to the </w:t>
      </w:r>
      <w:r w:rsidRPr="009D7E68">
        <w:rPr>
          <w:rStyle w:val="Emphasis"/>
        </w:rPr>
        <w:t>Environment Protection and Biodiversity Conservation Act 1999</w:t>
      </w:r>
      <w:r w:rsidRPr="009D7E68">
        <w:rPr>
          <w:lang w:eastAsia="ja-JP"/>
        </w:rPr>
        <w:t xml:space="preserve"> (EPBC Act) when it commenced in July 2000.</w:t>
      </w:r>
      <w:r>
        <w:rPr>
          <w:lang w:eastAsia="ja-JP"/>
        </w:rPr>
        <w:t xml:space="preserve"> </w:t>
      </w:r>
      <w:r w:rsidRPr="009D7E68">
        <w:t>This assessment follows</w:t>
      </w:r>
      <w:r w:rsidRPr="009D7E68">
        <w:rPr>
          <w:lang w:eastAsia="ja-JP"/>
        </w:rPr>
        <w:t xml:space="preserve"> </w:t>
      </w:r>
      <w:r w:rsidR="008E51A8">
        <w:rPr>
          <w:lang w:eastAsia="ja-JP"/>
        </w:rPr>
        <w:t xml:space="preserve">the </w:t>
      </w:r>
      <w:r w:rsidR="00E970AB">
        <w:rPr>
          <w:lang w:eastAsia="ja-JP"/>
        </w:rPr>
        <w:t>prioritisation</w:t>
      </w:r>
      <w:r w:rsidRPr="009D7E68">
        <w:rPr>
          <w:lang w:eastAsia="ja-JP"/>
        </w:rPr>
        <w:t xml:space="preserve"> of a nomination from TSSC</w:t>
      </w:r>
      <w:r>
        <w:rPr>
          <w:lang w:eastAsia="ja-JP"/>
        </w:rPr>
        <w:t>.</w:t>
      </w:r>
    </w:p>
    <w:p w14:paraId="36218CFE" w14:textId="77777777" w:rsidR="003A06CA" w:rsidRDefault="003A06CA" w:rsidP="004D61C9">
      <w:pPr>
        <w:pStyle w:val="Heading3"/>
        <w:ind w:left="964" w:hanging="964"/>
        <w:rPr>
          <w:lang w:eastAsia="ja-JP"/>
        </w:rPr>
      </w:pPr>
      <w:r>
        <w:rPr>
          <w:lang w:eastAsia="ja-JP"/>
        </w:rPr>
        <w:t>Assessment of eligibility for listing</w:t>
      </w:r>
    </w:p>
    <w:p w14:paraId="402AC032" w14:textId="28303BE9"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39" w:history="1">
        <w:r w:rsidRPr="00C77CE3">
          <w:rPr>
            <w:rStyle w:val="Hyperlink"/>
            <w:lang w:eastAsia="ja-JP"/>
          </w:rPr>
          <w:t>EPBC Regulations</w:t>
        </w:r>
      </w:hyperlink>
      <w:r>
        <w:rPr>
          <w:lang w:eastAsia="ja-JP"/>
        </w:rPr>
        <w:t xml:space="preserve">. The thresholds used </w:t>
      </w:r>
      <w:r w:rsidR="00FE5D58">
        <w:rPr>
          <w:lang w:eastAsia="ja-JP"/>
        </w:rPr>
        <w:t xml:space="preserve">to </w:t>
      </w:r>
      <w:r>
        <w:rPr>
          <w:lang w:eastAsia="ja-JP"/>
        </w:rPr>
        <w:t xml:space="preserve">correspond with those in the </w:t>
      </w:r>
      <w:hyperlink r:id="rId40"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431C196D" w14:textId="77777777" w:rsidR="0077351A" w:rsidRDefault="0077351A" w:rsidP="0077351A">
      <w:pPr>
        <w:pStyle w:val="Heading3"/>
        <w:rPr>
          <w:lang w:eastAsia="ja-JP"/>
        </w:rPr>
      </w:pPr>
      <w:r>
        <w:rPr>
          <w:lang w:eastAsia="ja-JP"/>
        </w:rPr>
        <w:t>Key assessment parameters</w:t>
      </w:r>
    </w:p>
    <w:p w14:paraId="28084D94" w14:textId="4995C094" w:rsidR="007019A7" w:rsidRDefault="0077351A" w:rsidP="0077351A">
      <w:pPr>
        <w:rPr>
          <w:lang w:eastAsia="ja-JP"/>
        </w:rPr>
      </w:pPr>
      <w:r>
        <w:rPr>
          <w:lang w:eastAsia="ja-JP"/>
        </w:rPr>
        <w:t xml:space="preserve">Table </w:t>
      </w:r>
      <w:r w:rsidR="004B6BF1">
        <w:rPr>
          <w:lang w:eastAsia="ja-JP"/>
        </w:rPr>
        <w:t>4</w:t>
      </w:r>
      <w:r>
        <w:rPr>
          <w:lang w:eastAsia="ja-JP"/>
        </w:rPr>
        <w:t xml:space="preserve">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p>
    <w:p w14:paraId="2BF76F79" w14:textId="2FADD087" w:rsidR="0077351A" w:rsidRDefault="0077351A" w:rsidP="0077351A">
      <w:pPr>
        <w:pStyle w:val="Caption"/>
      </w:pPr>
      <w:r w:rsidRPr="009502E2">
        <w:t xml:space="preserve">Table </w:t>
      </w:r>
      <w:r w:rsidR="004B6BF1">
        <w:t>4</w:t>
      </w:r>
      <w:r w:rsidRPr="009502E2">
        <w:t xml:space="preserve"> </w:t>
      </w:r>
      <w:r w:rsidR="001376F1">
        <w:t>K</w:t>
      </w:r>
      <w:r w:rsidRPr="009502E2">
        <w:t>ey assessment parameters</w:t>
      </w:r>
    </w:p>
    <w:tbl>
      <w:tblPr>
        <w:tblStyle w:val="TableGrid"/>
        <w:tblW w:w="0" w:type="auto"/>
        <w:tblLayout w:type="fixed"/>
        <w:tblLook w:val="04A0" w:firstRow="1" w:lastRow="0" w:firstColumn="1" w:lastColumn="0" w:noHBand="0" w:noVBand="1"/>
      </w:tblPr>
      <w:tblGrid>
        <w:gridCol w:w="1672"/>
        <w:gridCol w:w="1347"/>
        <w:gridCol w:w="1293"/>
        <w:gridCol w:w="1212"/>
        <w:gridCol w:w="3536"/>
      </w:tblGrid>
      <w:tr w:rsidR="004B6BF1" w:rsidRPr="00D20C80" w14:paraId="46B491B1" w14:textId="77777777" w:rsidTr="000E6E1B">
        <w:trPr>
          <w:cantSplit/>
          <w:tblHeader/>
        </w:trPr>
        <w:tc>
          <w:tcPr>
            <w:tcW w:w="1672" w:type="dxa"/>
          </w:tcPr>
          <w:p w14:paraId="6C1C3E70" w14:textId="77777777" w:rsidR="004B6BF1" w:rsidRPr="00D20C80" w:rsidRDefault="004B6BF1" w:rsidP="00F00EF6">
            <w:pPr>
              <w:pStyle w:val="TableHeading"/>
              <w:keepNext w:val="0"/>
            </w:pPr>
            <w:r w:rsidRPr="00D20C80">
              <w:t>Metric</w:t>
            </w:r>
          </w:p>
        </w:tc>
        <w:tc>
          <w:tcPr>
            <w:tcW w:w="1347" w:type="dxa"/>
          </w:tcPr>
          <w:p w14:paraId="129443A7" w14:textId="77777777" w:rsidR="004B6BF1" w:rsidRPr="00D20C80" w:rsidRDefault="004B6BF1" w:rsidP="00F00EF6">
            <w:pPr>
              <w:pStyle w:val="TableHeading"/>
              <w:keepNext w:val="0"/>
            </w:pPr>
            <w:r w:rsidRPr="00D20C80">
              <w:t>Estimate</w:t>
            </w:r>
            <w:r>
              <w:t xml:space="preserve"> used in the assessment</w:t>
            </w:r>
          </w:p>
        </w:tc>
        <w:tc>
          <w:tcPr>
            <w:tcW w:w="1293" w:type="dxa"/>
          </w:tcPr>
          <w:p w14:paraId="5CF425F9" w14:textId="77777777" w:rsidR="004B6BF1" w:rsidRPr="00D20C80" w:rsidRDefault="004B6BF1" w:rsidP="00F00EF6">
            <w:pPr>
              <w:pStyle w:val="TableHeading"/>
              <w:keepNext w:val="0"/>
            </w:pPr>
            <w:r w:rsidRPr="00D20C80">
              <w:t>Minimum</w:t>
            </w:r>
            <w:r>
              <w:t xml:space="preserve"> plausible value</w:t>
            </w:r>
          </w:p>
        </w:tc>
        <w:tc>
          <w:tcPr>
            <w:tcW w:w="1212" w:type="dxa"/>
          </w:tcPr>
          <w:p w14:paraId="1D61A62A" w14:textId="77777777" w:rsidR="004B6BF1" w:rsidRPr="00D20C80" w:rsidRDefault="004B6BF1" w:rsidP="00F00EF6">
            <w:pPr>
              <w:pStyle w:val="TableHeading"/>
              <w:keepNext w:val="0"/>
            </w:pPr>
            <w:r w:rsidRPr="00D20C80">
              <w:t>Maximum</w:t>
            </w:r>
            <w:r>
              <w:t xml:space="preserve"> plausible value</w:t>
            </w:r>
          </w:p>
        </w:tc>
        <w:tc>
          <w:tcPr>
            <w:tcW w:w="3536" w:type="dxa"/>
          </w:tcPr>
          <w:p w14:paraId="46305187" w14:textId="77777777" w:rsidR="004B6BF1" w:rsidRPr="00D20C80" w:rsidRDefault="004B6BF1" w:rsidP="00F00EF6">
            <w:pPr>
              <w:pStyle w:val="TableHeading"/>
              <w:keepNext w:val="0"/>
            </w:pPr>
            <w:r w:rsidRPr="00D20C80">
              <w:t>Justification</w:t>
            </w:r>
          </w:p>
        </w:tc>
      </w:tr>
      <w:tr w:rsidR="004B6BF1" w14:paraId="4D4A8AE6" w14:textId="77777777" w:rsidTr="000E6E1B">
        <w:trPr>
          <w:cantSplit/>
        </w:trPr>
        <w:tc>
          <w:tcPr>
            <w:tcW w:w="1672" w:type="dxa"/>
          </w:tcPr>
          <w:p w14:paraId="1846117D" w14:textId="77777777" w:rsidR="004B6BF1" w:rsidRDefault="004B6BF1" w:rsidP="00F00EF6">
            <w:pPr>
              <w:pStyle w:val="TableHeading"/>
              <w:keepNext w:val="0"/>
              <w:rPr>
                <w:rStyle w:val="Strong"/>
                <w:b/>
                <w:bCs w:val="0"/>
              </w:rPr>
            </w:pPr>
            <w:r w:rsidRPr="00D20C80">
              <w:rPr>
                <w:rStyle w:val="Strong"/>
                <w:b/>
                <w:bCs w:val="0"/>
              </w:rPr>
              <w:t>Number of mature individuals</w:t>
            </w:r>
          </w:p>
          <w:p w14:paraId="5319A840" w14:textId="77777777" w:rsidR="004B6BF1" w:rsidRPr="00D20C80" w:rsidRDefault="004B6BF1" w:rsidP="00F00EF6">
            <w:pPr>
              <w:pStyle w:val="TableText"/>
              <w:rPr>
                <w:rStyle w:val="Strong"/>
                <w:b w:val="0"/>
                <w:bCs w:val="0"/>
              </w:rPr>
            </w:pPr>
          </w:p>
        </w:tc>
        <w:tc>
          <w:tcPr>
            <w:tcW w:w="1347" w:type="dxa"/>
            <w:shd w:val="clear" w:color="auto" w:fill="auto"/>
          </w:tcPr>
          <w:p w14:paraId="1A586FCD" w14:textId="2AB14DF9" w:rsidR="004B6BF1" w:rsidRDefault="00442761" w:rsidP="00F00EF6">
            <w:pPr>
              <w:pStyle w:val="TableText"/>
            </w:pPr>
            <w:r>
              <w:t>&lt;1000</w:t>
            </w:r>
          </w:p>
        </w:tc>
        <w:tc>
          <w:tcPr>
            <w:tcW w:w="1293" w:type="dxa"/>
            <w:shd w:val="clear" w:color="auto" w:fill="auto"/>
          </w:tcPr>
          <w:p w14:paraId="4DC5C910" w14:textId="77777777" w:rsidR="004B6BF1" w:rsidRDefault="004B6BF1" w:rsidP="00F00EF6">
            <w:pPr>
              <w:pStyle w:val="TableText"/>
            </w:pPr>
            <w:r>
              <w:t>624</w:t>
            </w:r>
          </w:p>
        </w:tc>
        <w:tc>
          <w:tcPr>
            <w:tcW w:w="1212" w:type="dxa"/>
            <w:shd w:val="clear" w:color="auto" w:fill="auto"/>
          </w:tcPr>
          <w:p w14:paraId="37BF507E" w14:textId="33130163" w:rsidR="00442761" w:rsidRDefault="00442761" w:rsidP="00F00EF6">
            <w:pPr>
              <w:pStyle w:val="TableText"/>
            </w:pPr>
            <w:r>
              <w:t>&lt;1000</w:t>
            </w:r>
          </w:p>
        </w:tc>
        <w:tc>
          <w:tcPr>
            <w:tcW w:w="3536" w:type="dxa"/>
            <w:shd w:val="clear" w:color="auto" w:fill="auto"/>
          </w:tcPr>
          <w:p w14:paraId="417FB7E8" w14:textId="2FF09E29" w:rsidR="004B6BF1" w:rsidRDefault="008246DF" w:rsidP="00F00EF6">
            <w:pPr>
              <w:pStyle w:val="TableText"/>
            </w:pPr>
            <w:r>
              <w:t xml:space="preserve">Field surveys of 192 plots </w:t>
            </w:r>
            <w:r w:rsidR="00D74F06">
              <w:t xml:space="preserve">over ~40 years </w:t>
            </w:r>
            <w:r>
              <w:t xml:space="preserve">in the Nightcap </w:t>
            </w:r>
            <w:r w:rsidR="0C084BB6">
              <w:t>R</w:t>
            </w:r>
            <w:r>
              <w:t xml:space="preserve">ange report that 56 plots had </w:t>
            </w:r>
            <w:proofErr w:type="spellStart"/>
            <w:r>
              <w:t>Corokia</w:t>
            </w:r>
            <w:proofErr w:type="spellEnd"/>
            <w:r>
              <w:t>, either as single individuals or in low density stands. It was not possible to estimate total numbers based on this data</w:t>
            </w:r>
            <w:r w:rsidR="008E51A8">
              <w:t>,</w:t>
            </w:r>
            <w:r>
              <w:t xml:space="preserve"> </w:t>
            </w:r>
            <w:r w:rsidR="00276B2A">
              <w:t xml:space="preserve">though expert </w:t>
            </w:r>
            <w:r>
              <w:t xml:space="preserve">knowledge of the </w:t>
            </w:r>
            <w:r w:rsidR="00276B2A">
              <w:t xml:space="preserve">species allowed an estimate of </w:t>
            </w:r>
            <w:r w:rsidR="008E51A8">
              <w:t>fewer</w:t>
            </w:r>
            <w:r>
              <w:t xml:space="preserve"> than 1000 individuals </w:t>
            </w:r>
            <w:r w:rsidR="00276B2A">
              <w:t xml:space="preserve">to be made </w:t>
            </w:r>
            <w:r>
              <w:t xml:space="preserve">(Robert </w:t>
            </w:r>
            <w:proofErr w:type="spellStart"/>
            <w:r>
              <w:t>Kooyman</w:t>
            </w:r>
            <w:proofErr w:type="spellEnd"/>
            <w:r>
              <w:t xml:space="preserve"> </w:t>
            </w:r>
            <w:r w:rsidR="00971C10">
              <w:t>2021. pers</w:t>
            </w:r>
            <w:r>
              <w:t xml:space="preserve"> comm 9 Aug).</w:t>
            </w:r>
          </w:p>
          <w:p w14:paraId="5BBF19B8" w14:textId="60D5DB48" w:rsidR="00D75A84" w:rsidRDefault="008E51A8" w:rsidP="00F00EF6">
            <w:pPr>
              <w:pStyle w:val="TableText"/>
            </w:pPr>
            <w:r>
              <w:t>O</w:t>
            </w:r>
            <w:r w:rsidR="004B6BF1">
              <w:t xml:space="preserve">ccurrence sightings reported in </w:t>
            </w:r>
            <w:r w:rsidR="003203D8">
              <w:t>Global Biodiversity Information Facility (</w:t>
            </w:r>
            <w:r w:rsidR="004B6BF1">
              <w:t>GBIF</w:t>
            </w:r>
            <w:r w:rsidR="003203D8">
              <w:t>)</w:t>
            </w:r>
            <w:r w:rsidR="004B6BF1">
              <w:t xml:space="preserve"> </w:t>
            </w:r>
            <w:r w:rsidR="004B6BF1">
              <w:fldChar w:fldCharType="begin" w:fldLock="1"/>
            </w:r>
            <w:r w:rsidR="004B6BF1">
              <w:instrText>ADDIN CSL_CITATION {"citationItems":[{"id":"ITEM-1","itemData":{"author":[{"dropping-particle":"","family":"Bachman","given":"S","non-dropping-particle":"","parse-names":false,"suffix":""},{"dropping-particle":"","family":"Moat","given":"J","non-dropping-particle":"","parse-names":false,"suffix":""},{"dropping-particle":"","family":"Hill","given":"A W","non-dropping-particle":"","parse-names":false,"suffix":""},{"dropping-particle":"","family":"la Torre","given":"J","non-dropping-particle":"de","parse-names":false,"suffix":""},{"dropping-particle":"","family":"Scott","given":"B","non-dropping-particle":"","parse-names":false,"suffix":""}],"id":"ITEM-1","issued":{"date-parts":[["2011"]]},"number":"Beta","title":"Supporting Red List threat assessments with GeoCAT: geospatial conservation assessment tool. Data from Global Biodiversity Information Facility (GBIF)","type":"article"},"uris":["http://www.mendeley.com/documents/?uuid=31eda015-4e87-4b0a-b817-fdec7d605e7f"]}],"mendeley":{"formattedCitation":"(Bachman et al. 2011)","plainTextFormattedCitation":"(Bachman et al. 2011)","previouslyFormattedCitation":"(Bachman et al. 2011)"},"properties":{"noteIndex":0},"schema":"https://github.com/citation-style-language/schema/raw/master/csl-citation.json"}</w:instrText>
            </w:r>
            <w:r w:rsidR="004B6BF1">
              <w:fldChar w:fldCharType="separate"/>
            </w:r>
            <w:r w:rsidR="004B6BF1" w:rsidRPr="00234426">
              <w:rPr>
                <w:noProof/>
              </w:rPr>
              <w:t>(Bachman et al. 2011)</w:t>
            </w:r>
            <w:r w:rsidR="004B6BF1">
              <w:fldChar w:fldCharType="end"/>
            </w:r>
            <w:r w:rsidR="004B6BF1">
              <w:t xml:space="preserve"> were sorted to retain direct personal observations in the field by NSW government agencies and limited to the last 20 years (2000-2020).</w:t>
            </w:r>
            <w:r w:rsidR="00B460E7">
              <w:t xml:space="preserve"> Including the 23 records from Quinn et al. (1995) there were a total of </w:t>
            </w:r>
            <w:r w:rsidR="00A77652">
              <w:t>101</w:t>
            </w:r>
            <w:r w:rsidR="004B6BF1">
              <w:t xml:space="preserve"> records. Assuming each sighting represented eight individuals (mean number of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4B6BF1">
              <w:t xml:space="preserve">observed at a site </w:t>
            </w:r>
            <w:r w:rsidR="004B6BF1">
              <w:fldChar w:fldCharType="begin" w:fldLock="1"/>
            </w:r>
            <w:r w:rsidR="004B6BF1">
              <w:instrText>ADDIN CSL_CITATION {"citationItems":[{"id":"ITEM-1","itemData":{"author":[{"dropping-particle":"","family":"Quinn","given":"F C","non-dropping-particle":"","parse-names":false,"suffix":""},{"dropping-particle":"","family":"Williams","given":"J B","non-dropping-particle":"","parse-names":false,"suffix":""},{"dropping-particle":"","family":"Gross","given":"C L","non-dropping-particle":"","parse-names":false,"suffix":""},{"dropping-particle":"","family":"Bruhl","given":"J","non-dropping-particle":"","parse-names":false,"suffix":""},{"dropping-particle":"","family":"...","given":"","non-dropping-particle":"","parse-names":false,"suffix":""}],"container-title":"Report prepared for New South Wales …","id":"ITEM-1","issued":{"date-parts":[["1995"]]},"publisher-place":"Armidale","title":"Report on rare and threatened plants of north-eastern New South Wales","type":"report"},"uris":["http://www.mendeley.com/documents/?uuid=901a8ae7-005e-4e02-a45f-8221872b0c0c"]}],"mendeley":{"formattedCitation":"(Quinn et al. 1995)","plainTextFormattedCitation":"(Quinn et al. 1995)","previouslyFormattedCitation":"(Quinn et al. 1995)"},"properties":{"noteIndex":0},"schema":"https://github.com/citation-style-language/schema/raw/master/csl-citation.json"}</w:instrText>
            </w:r>
            <w:r w:rsidR="004B6BF1">
              <w:fldChar w:fldCharType="separate"/>
            </w:r>
            <w:r w:rsidR="004B6BF1" w:rsidRPr="00234426">
              <w:rPr>
                <w:noProof/>
              </w:rPr>
              <w:t>(Quinn et al. 1995)</w:t>
            </w:r>
            <w:r w:rsidR="004B6BF1">
              <w:fldChar w:fldCharType="end"/>
            </w:r>
            <w:r w:rsidR="004B6BF1">
              <w:t xml:space="preserve"> and assuming no net increase or decline </w:t>
            </w:r>
            <w:r w:rsidR="00A77652">
              <w:t>in numbers,</w:t>
            </w:r>
            <w:r w:rsidR="004B6BF1">
              <w:t xml:space="preserve"> an estimate</w:t>
            </w:r>
            <w:r w:rsidR="00F90F08">
              <w:t xml:space="preserve"> of</w:t>
            </w:r>
            <w:r w:rsidR="004B6BF1">
              <w:t xml:space="preserve"> </w:t>
            </w:r>
            <w:r w:rsidR="00A77652">
              <w:t>808</w:t>
            </w:r>
            <w:r w:rsidR="004B6BF1">
              <w:t xml:space="preserve"> mature plants was made (with very low confidence). </w:t>
            </w:r>
          </w:p>
        </w:tc>
      </w:tr>
      <w:tr w:rsidR="004B6BF1" w14:paraId="58FD11F4" w14:textId="77777777" w:rsidTr="000E6E1B">
        <w:trPr>
          <w:cantSplit/>
        </w:trPr>
        <w:tc>
          <w:tcPr>
            <w:tcW w:w="1672" w:type="dxa"/>
          </w:tcPr>
          <w:p w14:paraId="3FBF7857" w14:textId="77777777" w:rsidR="004B6BF1" w:rsidRPr="00D20C80" w:rsidRDefault="004B6BF1" w:rsidP="00F00EF6">
            <w:pPr>
              <w:pStyle w:val="TableText"/>
              <w:rPr>
                <w:rStyle w:val="Strong"/>
                <w:b w:val="0"/>
                <w:bCs w:val="0"/>
              </w:rPr>
            </w:pPr>
            <w:r w:rsidRPr="00D20C80">
              <w:rPr>
                <w:rStyle w:val="Strong"/>
                <w:bCs w:val="0"/>
              </w:rPr>
              <w:lastRenderedPageBreak/>
              <w:t>Trend</w:t>
            </w:r>
          </w:p>
        </w:tc>
        <w:tc>
          <w:tcPr>
            <w:tcW w:w="3852" w:type="dxa"/>
            <w:gridSpan w:val="3"/>
            <w:shd w:val="clear" w:color="auto" w:fill="auto"/>
          </w:tcPr>
          <w:p w14:paraId="2F7872D4" w14:textId="77777777" w:rsidR="004B6BF1" w:rsidRDefault="004B6BF1" w:rsidP="00F00EF6">
            <w:pPr>
              <w:pStyle w:val="TableText"/>
            </w:pPr>
            <w:r>
              <w:t>Declining</w:t>
            </w:r>
          </w:p>
        </w:tc>
        <w:tc>
          <w:tcPr>
            <w:tcW w:w="3536" w:type="dxa"/>
            <w:shd w:val="clear" w:color="auto" w:fill="auto"/>
          </w:tcPr>
          <w:p w14:paraId="3ADA04F6" w14:textId="63F1C184" w:rsidR="004B6BF1" w:rsidRDefault="004B6BF1" w:rsidP="00F00EF6">
            <w:pPr>
              <w:pStyle w:val="TableText"/>
            </w:pPr>
            <w:r w:rsidRPr="00EA7A60">
              <w:t xml:space="preserve">The 2019-20 bushfires overlapped with eight percent of the modelled range for </w:t>
            </w:r>
            <w:proofErr w:type="spellStart"/>
            <w:r w:rsidRPr="00EA7A60">
              <w:t>Corokia</w:t>
            </w:r>
            <w:proofErr w:type="spellEnd"/>
            <w:r w:rsidRPr="00EA7A60">
              <w:t>. Three percent overlapped with high severity fire areas and 0.1</w:t>
            </w:r>
            <w:r w:rsidR="007D296C">
              <w:t xml:space="preserve"> percent</w:t>
            </w:r>
            <w:r w:rsidR="0044257E">
              <w:t xml:space="preserve"> </w:t>
            </w:r>
            <w:r w:rsidRPr="00EA7A60">
              <w:t xml:space="preserve">at very high severity fire areas </w:t>
            </w:r>
            <w:r w:rsidRPr="00EA7A60">
              <w:fldChar w:fldCharType="begin" w:fldLock="1"/>
            </w:r>
            <w:r>
              <w:instrText>ADDIN CSL_CITATION {"citationItems":[{"id":"ITEM-1","itemData":{"DOI":"10.1111/ddi.13265","ISSN":"14724642","abstract":"Aim: To quantify the impact of the 2019–2020 megafires on Australian plant diversity by assessing burnt area across 26,062 species ranges and the effects of fire history on recovery potential. Further, to exemplify a strategic approach to prioritizing plant species affected by fire for recovery actions and conservation planning at a national scale. Location: Australia. Methods: We combine data on geographic range, fire extent, response traits and fire history to assess the proportion of species ranges burnt in both the 2019–2020 fires and the past. Results: Across Australia, suitable habitat for 69% of all plant species was burnt (17,197 species) by the 2019–2020 fires and herbarium specimens confirm the presence of 9,092 of these species across the fire extent since 1950. Burnt ranges include those of 587 plants listed as threatened under national legislation (44% of Australia's threatened plants). A total of 3,998 of the 17,197 fire-affected species are known to resprout after fire, but at least 2,928 must complete their entire life cycle—from germinant to reproducing adult—prior to subsequent fires, as they are killed by fire. Data on previous fires show that, for 257 species, the historical intervals between fire events across their range are likely too short to allow regeneration. For a further 411 species, future fires during recovery will increase extinction risk as current populations are dominated by immature individuals. Main conclusion: Many Australian plant species have strategies to persist under certain fire regimes, and will recover given time, suitable conditions and low exposure to threats. However, short fire intervals both before and after the 2019–2020 fire season pose a serious risk to the recovery of at least 595 species. Persistent knowledge gaps about species fire response and post-fire population persistence threaten the effective long-term management of Australian vegetation in an increasingly pyric world.","author":[{"dropping-particle":"V.","family":"Gallagher","given":"Rachael","non-dropping-particle":"","parse-names":false,"suffix":""},{"dropping-particle":"","family":"Allen","given":"Stuart","non-dropping-particle":"","parse-names":false,"suffix":""},{"dropping-particle":"","family":"Mackenzie","given":"Berin D.E.","non-dropping-particle":"","parse-names":false,"suffix":""},{"dropping-particle":"","family":"Yates","given":"Colin J.","non-dropping-particle":"","parse-names":false,"suffix":""},{"dropping-particle":"","family":"Gosper","given":"Carl R.","non-dropping-particle":"","parse-names":false,"suffix":""},{"dropping-particle":"","family":"Keith","given":"David A.","non-dropping-particle":"","parse-names":false,"suffix":""},{"dropping-particle":"","family":"Merow","given":"Cory","non-dropping-particle":"","parse-names":false,"suffix":""},{"dropping-particle":"","family":"White","given":"Matthew D.","non-dropping-particle":"","parse-names":false,"suffix":""},{"dropping-particle":"","family":"Wenk","given":"Elizabeth","non-dropping-particle":"","parse-names":false,"suffix":""},{"dropping-particle":"","family":"Maitner","given":"Brian S.","non-dropping-particle":"","parse-names":false,"suffix":""},{"dropping-particle":"","family":"He","given":"Kang","non-dropping-particle":"","parse-names":false,"suffix":""},{"dropping-particle":"","family":"Adams","given":"Vanessa M.","non-dropping-particle":"","parse-names":false,"suffix":""},{"dropping-particle":"","family":"Auld","given":"Tony D.","non-dropping-particle":"","parse-names":false,"suffix":""}],"container-title":"Diversity and Distributions","id":"ITEM-1","issue":"7","issued":{"date-parts":[["2021"]]},"page":"1166-1179","title":"High fire frequency and the impact of the 2019–2020 megafires on Australian plant diversity","type":"article-journal","volume":"27"},"uris":["http://www.mendeley.com/documents/?uuid=3d43ab64-bd58-4111-9278-0fee3c0d4355"]}],"mendeley":{"formattedCitation":"(Gallagher et al. 2021)","plainTextFormattedCitation":"(Gallagher et al. 2021)","previouslyFormattedCitation":"(Gallagher et al. 2021)"},"properties":{"noteIndex":0},"schema":"https://github.com/citation-style-language/schema/raw/master/csl-citation.json"}</w:instrText>
            </w:r>
            <w:r w:rsidRPr="00EA7A60">
              <w:fldChar w:fldCharType="separate"/>
            </w:r>
            <w:r w:rsidRPr="00EA7A60">
              <w:rPr>
                <w:noProof/>
              </w:rPr>
              <w:t>(Gallagher et al. 2021)</w:t>
            </w:r>
            <w:r w:rsidRPr="00EA7A60">
              <w:fldChar w:fldCharType="end"/>
            </w:r>
            <w:r w:rsidRPr="00EA7A60">
              <w:t>.</w:t>
            </w:r>
            <w:r>
              <w:t xml:space="preserv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exposed to </w:t>
            </w:r>
            <w:r w:rsidR="00442761">
              <w:t xml:space="preserve">hot </w:t>
            </w:r>
            <w:r>
              <w:t>fire</w:t>
            </w:r>
            <w:r w:rsidR="00442761">
              <w:t xml:space="preserve">s do not </w:t>
            </w:r>
            <w:r>
              <w:t>survive</w:t>
            </w:r>
            <w:r w:rsidR="00442761">
              <w:t xml:space="preserve"> </w:t>
            </w:r>
            <w:r w:rsidR="00442761">
              <w:fldChar w:fldCharType="begin" w:fldLock="1"/>
            </w:r>
            <w:r w:rsidR="00F303CB">
              <w:instrText>ADDIN CSL_CITATION {"citationItems":[{"id":"ITEM-1","itemData":{"author":[{"dropping-particle":"","family":"Kooyman","given":"Robert","non-dropping-particle":"","parse-names":false,"suffix":""},{"dropping-particle":"","family":"Mallee","given":"Justin","non-dropping-particle":"","parse-names":false,"suffix":""}],"id":"ITEM-1","issued":{"date-parts":[["2020"]]},"number-of-pages":"1-25","publisher-place":"Sydney","title":"Results of surveys and assessment of threatened rainforest species in the Nightcap Range including fire impacts on Peach Myrtle (Uromyrtus australis), and plot-based monitoring of Nightcap Oak (Eidothea hardeniana). Report prepared for SoS North Coast Bra","type":"report"},"uris":["http://www.mendeley.com/documents/?uuid=190155e1-0521-478d-af24-31c2f148edd2"]}],"mendeley":{"formattedCitation":"(Kooyman &amp; Mallee 2020)","plainTextFormattedCitation":"(Kooyman &amp; Mallee 2020)","previouslyFormattedCitation":"(Kooyman &amp; Mallee 2020)"},"properties":{"noteIndex":0},"schema":"https://github.com/citation-style-language/schema/raw/master/csl-citation.json"}</w:instrText>
            </w:r>
            <w:r w:rsidR="00442761">
              <w:fldChar w:fldCharType="separate"/>
            </w:r>
            <w:r w:rsidR="00442761" w:rsidRPr="00442761">
              <w:rPr>
                <w:noProof/>
              </w:rPr>
              <w:t>(Kooyman &amp; Mallee 2020)</w:t>
            </w:r>
            <w:r w:rsidR="00442761">
              <w:fldChar w:fldCharType="end"/>
            </w:r>
            <w:r>
              <w:t xml:space="preserve">, and </w:t>
            </w:r>
            <w:r w:rsidR="17F03FE4">
              <w:t xml:space="preserve">as a result </w:t>
            </w:r>
            <w:r>
              <w:t xml:space="preserve">some decline is expected, and given fire frequency is predicted to increase </w:t>
            </w:r>
            <w:r>
              <w:fldChar w:fldCharType="begin" w:fldLock="1"/>
            </w:r>
            <w:r w:rsidR="00B340FC">
              <w:instrText>ADDIN CSL_CITATION {"citationItems":[{"id":"ITEM-1","itemData":{"ISSN":"1837–5650","abstract":"The climate change projections in this snapshot are from the NSW and ACT Regional Climate Modelling (NARCliM) project. NARCliM is a multi-agency research partnership between the NSW and ACT governments and the Climate Change Research Centre at the University of NSW. NSW Government funding comes from the Office of Environment and Heritage (OEH), Sydney Catchment Authority, Sydney Water, Hunter Water, NSW Office of Water, Transport for NSW, and the Department of Primary Industries. The NARCliM project has produced a suite of twelve regional climate projections for south-east Australia spanning the range of likely future changes in climate. NARCliM is explicitly designed to sample a large range of possible future climates. Over 100 climate variables, including temperature, rainfall and wind are available at fine resolution (10km and hourly intervals). The data can be used in impacts and adaptation research, and by local decision makers. The data is also available to the public and will help to better understand possible changes in NSW climate.","author":[{"dropping-particle":"","family":"NSW Government","given":"","non-dropping-particle":"","parse-names":false,"suffix":""}],"id":"ITEM-1","issued":{"date-parts":[["2014"]]},"number-of-pages":"18","title":"New South Wales Climate change snapshot","type":"report"},"uris":["http://www.mendeley.com/documents/?uuid=b5bfd83c-faf0-4eac-a3fa-36970eb15b1b"]}],"mendeley":{"formattedCitation":"(NSW Government 2014a)","plainTextFormattedCitation":"(NSW Government 2014a)","previouslyFormattedCitation":"(NSW Government 2014a)"},"properties":{"noteIndex":0},"schema":"https://github.com/citation-style-language/schema/raw/master/csl-citation.json"}</w:instrText>
            </w:r>
            <w:r>
              <w:fldChar w:fldCharType="separate"/>
            </w:r>
            <w:r w:rsidR="00F303CB" w:rsidRPr="00F303CB">
              <w:rPr>
                <w:noProof/>
              </w:rPr>
              <w:t>(NSW Government 2014a)</w:t>
            </w:r>
            <w:r w:rsidR="002D74FC">
              <w:rPr>
                <w:noProof/>
              </w:rPr>
              <w:t>,</w:t>
            </w:r>
            <w:r>
              <w:fldChar w:fldCharType="end"/>
            </w:r>
            <w:r w:rsidR="00442761">
              <w:t xml:space="preserve"> </w:t>
            </w:r>
            <w:r>
              <w:t>th</w:t>
            </w:r>
            <w:r w:rsidR="27679148">
              <w:t>is</w:t>
            </w:r>
            <w:r>
              <w:t xml:space="preserve"> decline is </w:t>
            </w:r>
            <w:r w:rsidR="00442761">
              <w:t>predicted to continue into the future</w:t>
            </w:r>
            <w:r>
              <w:t xml:space="preserve">. </w:t>
            </w:r>
          </w:p>
        </w:tc>
      </w:tr>
      <w:tr w:rsidR="004B6BF1" w14:paraId="5FDA26E3" w14:textId="77777777" w:rsidTr="000E6E1B">
        <w:trPr>
          <w:cantSplit/>
        </w:trPr>
        <w:tc>
          <w:tcPr>
            <w:tcW w:w="1672" w:type="dxa"/>
          </w:tcPr>
          <w:p w14:paraId="7FA6AD81" w14:textId="77777777" w:rsidR="004B6BF1" w:rsidRPr="00D20C80" w:rsidRDefault="004B6BF1" w:rsidP="00F00EF6">
            <w:pPr>
              <w:pStyle w:val="TableHeading"/>
              <w:keepNext w:val="0"/>
              <w:rPr>
                <w:rStyle w:val="Strong"/>
                <w:b/>
                <w:bCs w:val="0"/>
              </w:rPr>
            </w:pPr>
            <w:r w:rsidRPr="00D20C80">
              <w:rPr>
                <w:rStyle w:val="Strong"/>
                <w:b/>
                <w:bCs w:val="0"/>
              </w:rPr>
              <w:t>Generation time (years)</w:t>
            </w:r>
          </w:p>
        </w:tc>
        <w:tc>
          <w:tcPr>
            <w:tcW w:w="1347" w:type="dxa"/>
            <w:shd w:val="clear" w:color="auto" w:fill="auto"/>
          </w:tcPr>
          <w:p w14:paraId="385B3556" w14:textId="4C99C4C9" w:rsidR="004B6BF1" w:rsidRDefault="004B6BF1" w:rsidP="00F00EF6">
            <w:pPr>
              <w:pStyle w:val="TableText"/>
            </w:pPr>
            <w:r>
              <w:t>2</w:t>
            </w:r>
            <w:r w:rsidR="00B23CC8">
              <w:t>9</w:t>
            </w:r>
          </w:p>
        </w:tc>
        <w:tc>
          <w:tcPr>
            <w:tcW w:w="1293" w:type="dxa"/>
            <w:shd w:val="clear" w:color="auto" w:fill="auto"/>
          </w:tcPr>
          <w:p w14:paraId="1E19E74E" w14:textId="77777777" w:rsidR="004B6BF1" w:rsidRDefault="004B6BF1" w:rsidP="00F00EF6">
            <w:pPr>
              <w:pStyle w:val="TableText"/>
            </w:pPr>
            <w:r>
              <w:t>15</w:t>
            </w:r>
          </w:p>
        </w:tc>
        <w:tc>
          <w:tcPr>
            <w:tcW w:w="1212" w:type="dxa"/>
            <w:shd w:val="clear" w:color="auto" w:fill="auto"/>
          </w:tcPr>
          <w:p w14:paraId="62CB649D" w14:textId="656B8484" w:rsidR="004B6BF1" w:rsidRDefault="00B626D5" w:rsidP="00F00EF6">
            <w:pPr>
              <w:pStyle w:val="TableText"/>
            </w:pPr>
            <w:r>
              <w:t>Unknown</w:t>
            </w:r>
          </w:p>
        </w:tc>
        <w:tc>
          <w:tcPr>
            <w:tcW w:w="3536" w:type="dxa"/>
            <w:shd w:val="clear" w:color="auto" w:fill="auto"/>
          </w:tcPr>
          <w:p w14:paraId="2FDFCD9A" w14:textId="68C7A766" w:rsidR="004B6BF1" w:rsidRDefault="004B6BF1" w:rsidP="00F00EF6">
            <w:pPr>
              <w:pStyle w:val="TableText"/>
            </w:pPr>
            <w:r>
              <w:t xml:space="preserve">Generation time is difficult to estimate for </w:t>
            </w:r>
            <w:proofErr w:type="spellStart"/>
            <w:r>
              <w:t>Corokia</w:t>
            </w:r>
            <w:proofErr w:type="spellEnd"/>
            <w:r>
              <w:t xml:space="preserve">. Individuals are very </w:t>
            </w:r>
            <w:r w:rsidR="008E51A8">
              <w:t>slow-growing</w:t>
            </w:r>
            <w:r>
              <w:t xml:space="preserve"> and resprout, so age structure is also difficult to determine in the field. Individuals are rarely observed with more than </w:t>
            </w:r>
            <w:r w:rsidR="008E51A8">
              <w:t>ten</w:t>
            </w:r>
            <w:r>
              <w:t xml:space="preserve"> fruits, and </w:t>
            </w:r>
            <w:r w:rsidR="008E51A8">
              <w:t>their</w:t>
            </w:r>
            <w:r>
              <w:t xml:space="preserve"> seedlings are rarely (if ever) observed in the field (Justin Mallee, Robert </w:t>
            </w:r>
            <w:proofErr w:type="spellStart"/>
            <w:r>
              <w:t>Kooyman</w:t>
            </w:r>
            <w:proofErr w:type="spellEnd"/>
            <w:r>
              <w:t xml:space="preserve">, Andrew </w:t>
            </w:r>
            <w:proofErr w:type="spellStart"/>
            <w:r>
              <w:t>Benwell</w:t>
            </w:r>
            <w:proofErr w:type="spellEnd"/>
            <w:r>
              <w:t xml:space="preserve"> </w:t>
            </w:r>
            <w:r w:rsidR="00971C10">
              <w:t>2021. pers</w:t>
            </w:r>
            <w:r>
              <w:t xml:space="preserve"> comm 27–28 July). There are no data on time to maturity or longevity for the species</w:t>
            </w:r>
            <w:r w:rsidR="008E51A8">
              <w:t>,</w:t>
            </w:r>
            <w:r>
              <w:t xml:space="preserve"> although long-term survey plots </w:t>
            </w:r>
            <w:r w:rsidR="00F31FE0">
              <w:t>repeated measur</w:t>
            </w:r>
            <w:r w:rsidR="003203D8">
              <w:t>ements of</w:t>
            </w:r>
            <w:r w:rsidR="00F31FE0">
              <w:t xml:space="preserve"> stems </w:t>
            </w:r>
            <w:r w:rsidR="00442761">
              <w:t xml:space="preserve">of the same individuals in Nightcap Range </w:t>
            </w:r>
            <w:r w:rsidR="00F31FE0">
              <w:t xml:space="preserve">for 34 years (between 1986-2020) </w:t>
            </w:r>
            <w:r>
              <w:t xml:space="preserve">(Robert </w:t>
            </w:r>
            <w:proofErr w:type="spellStart"/>
            <w:r>
              <w:t>Kooyman</w:t>
            </w:r>
            <w:proofErr w:type="spellEnd"/>
            <w:r>
              <w:t xml:space="preserve"> </w:t>
            </w:r>
            <w:r w:rsidR="00971C10">
              <w:t>2021. pers</w:t>
            </w:r>
            <w:r>
              <w:t xml:space="preserve"> comm </w:t>
            </w:r>
            <w:r w:rsidR="00F31FE0">
              <w:t>9 Aug</w:t>
            </w:r>
            <w:r>
              <w:t xml:space="preserve">). </w:t>
            </w:r>
          </w:p>
          <w:p w14:paraId="37DF5C5F" w14:textId="1C4AB364" w:rsidR="004B6BF1" w:rsidRDefault="004B6BF1" w:rsidP="00F00EF6">
            <w:pPr>
              <w:pStyle w:val="TableText"/>
            </w:pPr>
            <w:r>
              <w:t xml:space="preserve">Using the IUCN generation calculator, survival was set to </w:t>
            </w:r>
            <w:r w:rsidR="008E51A8">
              <w:t>t</w:t>
            </w:r>
            <w:r w:rsidR="0064377C">
              <w:t>hirty</w:t>
            </w:r>
            <w:r w:rsidR="007D296C">
              <w:t xml:space="preserve"> percent</w:t>
            </w:r>
            <w:r w:rsidR="008E51A8">
              <w:t xml:space="preserve"> </w:t>
            </w:r>
            <w:r>
              <w:t xml:space="preserve">for the first </w:t>
            </w:r>
            <w:r w:rsidR="00B23CC8">
              <w:t>ten</w:t>
            </w:r>
            <w:r>
              <w:t xml:space="preserve"> years </w:t>
            </w:r>
            <w:r w:rsidR="00B23CC8">
              <w:t xml:space="preserve">(five years half-life in the seed bank, pre germination) </w:t>
            </w:r>
            <w:r>
              <w:t>and 80</w:t>
            </w:r>
            <w:r w:rsidR="007D296C">
              <w:t xml:space="preserve"> percent</w:t>
            </w:r>
            <w:r w:rsidR="008E51A8">
              <w:t xml:space="preserve"> </w:t>
            </w:r>
            <w:r>
              <w:t xml:space="preserve">after that. Fecundity was estimated at </w:t>
            </w:r>
            <w:r w:rsidR="008E51A8">
              <w:t>five</w:t>
            </w:r>
            <w:r>
              <w:t xml:space="preserve"> individuals per year (a success rate of 50</w:t>
            </w:r>
            <w:r w:rsidR="007D296C">
              <w:t xml:space="preserve"> percent</w:t>
            </w:r>
            <w:r w:rsidR="002D74FC">
              <w:t xml:space="preserve"> </w:t>
            </w:r>
            <w:r>
              <w:t xml:space="preserve">for the </w:t>
            </w:r>
            <w:r w:rsidR="008E51A8">
              <w:t>ten</w:t>
            </w:r>
            <w:r>
              <w:t xml:space="preserve"> possible seedlings per year was considered generous for the species considering seedlings are so rarely observed</w:t>
            </w:r>
            <w:r w:rsidR="00B626D5">
              <w:t xml:space="preserve"> and germination requirements are very specific</w:t>
            </w:r>
            <w:r w:rsidR="00B47B83">
              <w:t xml:space="preserve"> (Graeme Errington 2021. pers comm 2 Aug).</w:t>
            </w:r>
            <w:r>
              <w:t xml:space="preserve"> When </w:t>
            </w:r>
            <w:r w:rsidR="002D74FC">
              <w:t xml:space="preserve">the </w:t>
            </w:r>
            <w:r>
              <w:t xml:space="preserve">onset of maturity (OM) was set to </w:t>
            </w:r>
            <w:r w:rsidR="008E51A8">
              <w:t>ten</w:t>
            </w:r>
            <w:r>
              <w:t xml:space="preserve"> years</w:t>
            </w:r>
            <w:r w:rsidR="00B23CC8">
              <w:t xml:space="preserve"> post germination</w:t>
            </w:r>
            <w:r>
              <w:t>, generation time was 15 years; when OM was set to 20 years, generation time was 25 years</w:t>
            </w:r>
            <w:r w:rsidR="00B23CC8">
              <w:t xml:space="preserve"> and 29 years when estimates were adjusted to include five years half-life in the seedbank (seed bank half-lives commonly range between &lt;1 and 10 years; IUCN 2019)</w:t>
            </w:r>
            <w:r>
              <w:t xml:space="preserve">. </w:t>
            </w:r>
          </w:p>
          <w:p w14:paraId="0EE770AC" w14:textId="3F669DC9" w:rsidR="004B6BF1" w:rsidRDefault="004B6BF1" w:rsidP="00F00EF6">
            <w:pPr>
              <w:pStyle w:val="TableText"/>
            </w:pPr>
            <w:r w:rsidRPr="006807F1">
              <w:t xml:space="preserve">An onset of maturity of 20+ years is feasible for a </w:t>
            </w:r>
            <w:r w:rsidR="008E51A8">
              <w:t>slow-growing</w:t>
            </w:r>
            <w:r w:rsidRPr="006807F1">
              <w:t xml:space="preserve">, rainforest / wet sclerophyll </w:t>
            </w:r>
            <w:r w:rsidR="00E13A6A">
              <w:t>understorey</w:t>
            </w:r>
            <w:r w:rsidRPr="006807F1">
              <w:t xml:space="preserve"> species (Andrew </w:t>
            </w:r>
            <w:proofErr w:type="spellStart"/>
            <w:r w:rsidRPr="006807F1">
              <w:t>Benwell</w:t>
            </w:r>
            <w:proofErr w:type="spellEnd"/>
            <w:r w:rsidRPr="006807F1">
              <w:t xml:space="preserve"> </w:t>
            </w:r>
            <w:r w:rsidR="00971C10">
              <w:t>2021. pers</w:t>
            </w:r>
            <w:r w:rsidRPr="006807F1">
              <w:t xml:space="preserve"> comms 28 July), so the 2</w:t>
            </w:r>
            <w:r w:rsidR="00B23CC8">
              <w:t>9</w:t>
            </w:r>
            <w:r w:rsidRPr="006807F1">
              <w:t xml:space="preserve"> years generation time was used in the assessment.</w:t>
            </w:r>
            <w:r>
              <w:t xml:space="preserve"> </w:t>
            </w:r>
          </w:p>
        </w:tc>
      </w:tr>
      <w:tr w:rsidR="004B6BF1" w14:paraId="434BEA6D" w14:textId="77777777" w:rsidTr="000E6E1B">
        <w:trPr>
          <w:cantSplit/>
        </w:trPr>
        <w:tc>
          <w:tcPr>
            <w:tcW w:w="1672" w:type="dxa"/>
          </w:tcPr>
          <w:p w14:paraId="4F12B957" w14:textId="77777777" w:rsidR="004B6BF1" w:rsidRPr="00D20C80" w:rsidRDefault="004B6BF1" w:rsidP="00F00EF6">
            <w:pPr>
              <w:pStyle w:val="TableHeading"/>
              <w:keepNext w:val="0"/>
              <w:rPr>
                <w:rStyle w:val="Strong"/>
                <w:b/>
                <w:sz w:val="22"/>
              </w:rPr>
            </w:pPr>
            <w:r w:rsidRPr="00D20C80">
              <w:rPr>
                <w:rStyle w:val="Strong"/>
                <w:b/>
                <w:bCs w:val="0"/>
              </w:rPr>
              <w:lastRenderedPageBreak/>
              <w:t>Extent of occurrence</w:t>
            </w:r>
          </w:p>
          <w:p w14:paraId="1C5D2782" w14:textId="77777777" w:rsidR="004B6BF1" w:rsidRPr="00D20C80" w:rsidRDefault="004B6BF1" w:rsidP="00F00EF6">
            <w:pPr>
              <w:pStyle w:val="TableText"/>
              <w:rPr>
                <w:rStyle w:val="Strong"/>
                <w:b w:val="0"/>
                <w:bCs w:val="0"/>
              </w:rPr>
            </w:pPr>
          </w:p>
        </w:tc>
        <w:tc>
          <w:tcPr>
            <w:tcW w:w="1347" w:type="dxa"/>
            <w:shd w:val="clear" w:color="auto" w:fill="auto"/>
          </w:tcPr>
          <w:p w14:paraId="3CC16518" w14:textId="52DF0C44" w:rsidR="004B6BF1" w:rsidRDefault="00420251" w:rsidP="00F00EF6">
            <w:pPr>
              <w:pStyle w:val="TableText"/>
            </w:pPr>
            <w:r>
              <w:t>860 km</w:t>
            </w:r>
            <w:r w:rsidRPr="00420251">
              <w:rPr>
                <w:vertAlign w:val="superscript"/>
              </w:rPr>
              <w:t>2</w:t>
            </w:r>
          </w:p>
        </w:tc>
        <w:tc>
          <w:tcPr>
            <w:tcW w:w="1293" w:type="dxa"/>
            <w:shd w:val="clear" w:color="auto" w:fill="auto"/>
          </w:tcPr>
          <w:p w14:paraId="62500C67" w14:textId="2AE6F1A8" w:rsidR="004B6BF1" w:rsidRDefault="00420251" w:rsidP="00F00EF6">
            <w:pPr>
              <w:pStyle w:val="TableText"/>
            </w:pPr>
            <w:r>
              <w:t>410 km</w:t>
            </w:r>
            <w:r w:rsidRPr="00420251">
              <w:rPr>
                <w:vertAlign w:val="superscript"/>
              </w:rPr>
              <w:t>2</w:t>
            </w:r>
          </w:p>
        </w:tc>
        <w:tc>
          <w:tcPr>
            <w:tcW w:w="1212" w:type="dxa"/>
            <w:shd w:val="clear" w:color="auto" w:fill="auto"/>
          </w:tcPr>
          <w:p w14:paraId="33F8BE95" w14:textId="306B16A0" w:rsidR="004B6BF1" w:rsidRDefault="00420251" w:rsidP="00F00EF6">
            <w:pPr>
              <w:pStyle w:val="TableText"/>
            </w:pPr>
            <w:r>
              <w:t>5798 km</w:t>
            </w:r>
            <w:r w:rsidRPr="00420251">
              <w:rPr>
                <w:vertAlign w:val="superscript"/>
              </w:rPr>
              <w:t>2</w:t>
            </w:r>
          </w:p>
        </w:tc>
        <w:tc>
          <w:tcPr>
            <w:tcW w:w="3536" w:type="dxa"/>
            <w:shd w:val="clear" w:color="auto" w:fill="auto"/>
          </w:tcPr>
          <w:p w14:paraId="343FFBD5" w14:textId="007FEFF0" w:rsidR="00420251" w:rsidRDefault="00420251" w:rsidP="00F00EF6">
            <w:pPr>
              <w:pStyle w:val="TableText"/>
            </w:pPr>
            <w:r>
              <w:t xml:space="preserve">The minimum plausible value is based on </w:t>
            </w:r>
            <w:r w:rsidR="002D74FC">
              <w:t xml:space="preserve">the </w:t>
            </w:r>
            <w:r>
              <w:t>mapping of point records from a 20 year period (2000-2020) obtained from DAWE and is 410 km</w:t>
            </w:r>
            <w:r w:rsidRPr="00420251">
              <w:rPr>
                <w:vertAlign w:val="superscript"/>
              </w:rPr>
              <w:t>2</w:t>
            </w:r>
            <w:r>
              <w:t xml:space="preserve"> using IUCN methodology </w:t>
            </w:r>
            <w:r>
              <w:fldChar w:fldCharType="begin" w:fldLock="1"/>
            </w:r>
            <w:r>
              <w:instrText>ADDIN CSL_CITATION {"citationItems":[{"id":"ITEM-1","itemData":{"ISBN":"5555555555","author":[{"dropping-particle":"","family":"IUCN Standards and Petitions Committee","given":"","non-dropping-particle":"","parse-names":false,"suffix":""}],"container-title":"Standards and Petitions Committee","id":"ITEM-1","issued":{"date-parts":[["2019"]]},"number-of-pages":"113","title":"Guidelines for using the IUCN red list categories and criteria. Version 14","type":"report"},"uris":["http://www.mendeley.com/documents/?uuid=e419aa5f-e0f4-4652-b291-1575a542e43c"]}],"mendeley":{"formattedCitation":"(IUCN Standards and Petitions Committee 2019)","plainTextFormattedCitation":"(IUCN Standards and Petitions Committee 2019)","previouslyFormattedCitation":"(IUCN Standards and Petitions Committee 2019)"},"properties":{"noteIndex":0},"schema":"https://github.com/citation-style-language/schema/raw/master/csl-citation.json"}</w:instrText>
            </w:r>
            <w:r>
              <w:fldChar w:fldCharType="separate"/>
            </w:r>
            <w:r w:rsidRPr="002B0B59">
              <w:rPr>
                <w:noProof/>
              </w:rPr>
              <w:t>(IUCN Standards and Petitions Committee 2019)</w:t>
            </w:r>
            <w:r>
              <w:fldChar w:fldCharType="end"/>
            </w:r>
            <w:r>
              <w:t xml:space="preserve">. </w:t>
            </w:r>
          </w:p>
          <w:p w14:paraId="35C4585A" w14:textId="08BD9375" w:rsidR="00420251" w:rsidRDefault="00420251" w:rsidP="00F00EF6">
            <w:pPr>
              <w:pStyle w:val="TableText"/>
            </w:pPr>
            <w:r>
              <w:t>The maximum plausible value uses the same methodology, though due to the long</w:t>
            </w:r>
            <w:r w:rsidR="616D817D">
              <w:t>evity</w:t>
            </w:r>
            <w:r>
              <w:t xml:space="preserve"> (more than 40 </w:t>
            </w:r>
            <w:r w:rsidR="002D74FC">
              <w:t>years</w:t>
            </w:r>
            <w:r>
              <w:t xml:space="preserve">) of the species, </w:t>
            </w:r>
            <w:r w:rsidR="002D74FC">
              <w:t xml:space="preserve">it </w:t>
            </w:r>
            <w:r>
              <w:t>includes data points from the last 40 years (1980–2020)</w:t>
            </w:r>
            <w:r w:rsidR="004B6BF1">
              <w:t xml:space="preserve"> </w:t>
            </w:r>
            <w:r>
              <w:t>and is 5798 km</w:t>
            </w:r>
            <w:r w:rsidRPr="00420251">
              <w:rPr>
                <w:vertAlign w:val="superscript"/>
              </w:rPr>
              <w:t>2</w:t>
            </w:r>
            <w:r>
              <w:t>.</w:t>
            </w:r>
          </w:p>
          <w:p w14:paraId="6545D6BD" w14:textId="78D0C44A" w:rsidR="00420251" w:rsidRPr="00420251" w:rsidRDefault="00420251" w:rsidP="00F00EF6">
            <w:pPr>
              <w:pStyle w:val="TableText"/>
            </w:pPr>
            <w:r>
              <w:t>The estimate</w:t>
            </w:r>
            <w:r w:rsidR="44974030">
              <w:t>s</w:t>
            </w:r>
            <w:r>
              <w:t xml:space="preserve"> used in the assessment uses data points from a </w:t>
            </w:r>
            <w:proofErr w:type="gramStart"/>
            <w:r>
              <w:t>30 year</w:t>
            </w:r>
            <w:proofErr w:type="gramEnd"/>
            <w:r>
              <w:t xml:space="preserve"> period of sightings (1990–2020) and is 860 km</w:t>
            </w:r>
            <w:r w:rsidRPr="00420251">
              <w:rPr>
                <w:vertAlign w:val="superscript"/>
              </w:rPr>
              <w:t>2</w:t>
            </w:r>
            <w:r>
              <w:t>.</w:t>
            </w:r>
          </w:p>
        </w:tc>
      </w:tr>
      <w:tr w:rsidR="004B6BF1" w14:paraId="0573CA9A" w14:textId="77777777" w:rsidTr="000E6E1B">
        <w:trPr>
          <w:cantSplit/>
        </w:trPr>
        <w:tc>
          <w:tcPr>
            <w:tcW w:w="1672" w:type="dxa"/>
          </w:tcPr>
          <w:p w14:paraId="526D224D" w14:textId="77777777" w:rsidR="004B6BF1" w:rsidRPr="00D20C80" w:rsidRDefault="004B6BF1" w:rsidP="00F00EF6">
            <w:pPr>
              <w:pStyle w:val="TableHeading"/>
              <w:keepNext w:val="0"/>
              <w:rPr>
                <w:rStyle w:val="Strong"/>
                <w:b/>
                <w:sz w:val="22"/>
              </w:rPr>
            </w:pPr>
            <w:r w:rsidRPr="00D20C80">
              <w:rPr>
                <w:rStyle w:val="Strong"/>
                <w:b/>
                <w:bCs w:val="0"/>
              </w:rPr>
              <w:t>Trend</w:t>
            </w:r>
          </w:p>
        </w:tc>
        <w:tc>
          <w:tcPr>
            <w:tcW w:w="3852" w:type="dxa"/>
            <w:gridSpan w:val="3"/>
            <w:shd w:val="clear" w:color="auto" w:fill="auto"/>
          </w:tcPr>
          <w:p w14:paraId="3A107FE6" w14:textId="6549B96E" w:rsidR="004B6BF1" w:rsidRDefault="00420251" w:rsidP="006807F1">
            <w:pPr>
              <w:pStyle w:val="TableText"/>
            </w:pPr>
            <w:r>
              <w:t>Contracting</w:t>
            </w:r>
          </w:p>
        </w:tc>
        <w:tc>
          <w:tcPr>
            <w:tcW w:w="3536" w:type="dxa"/>
            <w:shd w:val="clear" w:color="auto" w:fill="auto"/>
          </w:tcPr>
          <w:p w14:paraId="28F49C95" w14:textId="5D999AF6" w:rsidR="006807F1" w:rsidRDefault="006807F1" w:rsidP="006807F1">
            <w:pPr>
              <w:pStyle w:val="TableText"/>
            </w:pPr>
            <w:r>
              <w:t xml:space="preserve">The high rate of development in northern NSW has </w:t>
            </w:r>
            <w:r w:rsidR="5019108D">
              <w:t xml:space="preserve">likely </w:t>
            </w:r>
            <w:r>
              <w:t xml:space="preserve">resulted in a loss of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27C13CE6">
              <w:t xml:space="preserve">populations </w:t>
            </w:r>
            <w:r>
              <w:t xml:space="preserve">outside of National Parks. Previously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was thought to occur only in Nightcap Range </w:t>
            </w:r>
            <w:r>
              <w:fldChar w:fldCharType="begin" w:fldLock="1"/>
            </w:r>
            <w:r>
              <w:instrText>ADDIN CSL_CITATION {"citationItems":[{"id":"ITEM-1","itemData":{"URL":"https://plantnet.rbgsyd.nsw.gov.au/cgi-bin/NSWfl.pl?page=nswfl&amp;lvl=sp&amp;name=Corokia~whiteana","accessed":{"date-parts":[["2021","7","7"]]},"author":[{"dropping-particle":"","family":"PlantNET","given":"","non-dropping-particle":"","parse-names":false,"suffix":""}],"id":"ITEM-1","issued":{"date-parts":[["1992"]]},"title":"New South Wales Flora Online. Corokia whiteana L.S.Sm.","type":"webpage"},"uris":["http://www.mendeley.com/documents/?uuid=f5235141-d224-4123-a8da-213f16ed30c4"]}],"mendeley":{"formattedCitation":"(PlantNET 1992)","plainTextFormattedCitation":"(PlantNET 1992)","previouslyFormattedCitation":"(PlantNET 1992)"},"properties":{"noteIndex":0},"schema":"https://github.com/citation-style-language/schema/raw/master/csl-citation.json"}</w:instrText>
            </w:r>
            <w:r>
              <w:fldChar w:fldCharType="separate"/>
            </w:r>
            <w:r w:rsidRPr="00746BAB">
              <w:rPr>
                <w:noProof/>
              </w:rPr>
              <w:t>(PlantNET 1992)</w:t>
            </w:r>
            <w:r>
              <w:fldChar w:fldCharType="end"/>
            </w:r>
            <w:r>
              <w:t>, and more recently as a “rainforest species”</w:t>
            </w:r>
            <w:r w:rsidR="002D74FC">
              <w:t>,</w:t>
            </w:r>
            <w:r>
              <w:t xml:space="preserve"> so </w:t>
            </w:r>
            <w:r w:rsidR="002D74FC">
              <w:t xml:space="preserve">it </w:t>
            </w:r>
            <w:r>
              <w:t xml:space="preserve">would not have been (and is possibly still not) identified as a species at risk from development, forestry or </w:t>
            </w:r>
            <w:r w:rsidR="005F77F1">
              <w:t>agriculture</w:t>
            </w:r>
            <w:r>
              <w:t xml:space="preserve">. The EOO has likely undergone a historical contraction due to </w:t>
            </w:r>
            <w:r w:rsidR="002D74FC">
              <w:t>land-use</w:t>
            </w:r>
            <w:r>
              <w:t xml:space="preserve"> change. </w:t>
            </w:r>
          </w:p>
          <w:p w14:paraId="260769D5" w14:textId="68DABA10" w:rsidR="004B6BF1" w:rsidRDefault="002D74FC" w:rsidP="006807F1">
            <w:pPr>
              <w:pStyle w:val="TableText"/>
            </w:pPr>
            <w:r>
              <w:t>Climate</w:t>
            </w:r>
            <w:r w:rsidR="006807F1">
              <w:t xml:space="preserve"> change is predicted to shift ecotones due to altered weather and fire patterns. As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6807F1">
              <w:t xml:space="preserve">is a light and </w:t>
            </w:r>
            <w:r>
              <w:t>moisture-sensitive</w:t>
            </w:r>
            <w:r w:rsidR="006807F1">
              <w:t xml:space="preserve"> species, which is killed by fire</w:t>
            </w:r>
            <w:r>
              <w:t>,</w:t>
            </w:r>
            <w:r w:rsidR="006807F1">
              <w:t xml:space="preserve"> the trend in EOO is predicted to contract in the future.</w:t>
            </w:r>
          </w:p>
        </w:tc>
      </w:tr>
      <w:tr w:rsidR="004B6BF1" w14:paraId="35E582F6" w14:textId="77777777" w:rsidTr="000E6E1B">
        <w:trPr>
          <w:cantSplit/>
        </w:trPr>
        <w:tc>
          <w:tcPr>
            <w:tcW w:w="1672" w:type="dxa"/>
          </w:tcPr>
          <w:p w14:paraId="46302E97" w14:textId="77777777" w:rsidR="004B6BF1" w:rsidRDefault="004B6BF1" w:rsidP="00F00EF6">
            <w:pPr>
              <w:pStyle w:val="TableHeading"/>
              <w:keepNext w:val="0"/>
              <w:rPr>
                <w:rStyle w:val="Strong"/>
                <w:b/>
                <w:sz w:val="22"/>
              </w:rPr>
            </w:pPr>
            <w:r w:rsidRPr="00D20C80">
              <w:rPr>
                <w:rStyle w:val="Strong"/>
                <w:b/>
                <w:bCs w:val="0"/>
              </w:rPr>
              <w:t>Area of Occupancy</w:t>
            </w:r>
          </w:p>
          <w:p w14:paraId="41783CFC" w14:textId="77777777" w:rsidR="004B6BF1" w:rsidRPr="00D20C80" w:rsidRDefault="004B6BF1" w:rsidP="00F00EF6">
            <w:pPr>
              <w:pStyle w:val="TableText"/>
              <w:rPr>
                <w:rStyle w:val="Strong"/>
                <w:b w:val="0"/>
                <w:bCs w:val="0"/>
              </w:rPr>
            </w:pPr>
          </w:p>
        </w:tc>
        <w:tc>
          <w:tcPr>
            <w:tcW w:w="1347" w:type="dxa"/>
            <w:shd w:val="clear" w:color="auto" w:fill="auto"/>
          </w:tcPr>
          <w:p w14:paraId="3CC85921" w14:textId="0C345A2C" w:rsidR="004B6BF1" w:rsidRDefault="000942E9" w:rsidP="00F00EF6">
            <w:pPr>
              <w:pStyle w:val="TableText"/>
            </w:pPr>
            <w:r>
              <w:t>152 km</w:t>
            </w:r>
            <w:r w:rsidRPr="00420251">
              <w:rPr>
                <w:vertAlign w:val="superscript"/>
              </w:rPr>
              <w:t>2</w:t>
            </w:r>
          </w:p>
        </w:tc>
        <w:tc>
          <w:tcPr>
            <w:tcW w:w="1293" w:type="dxa"/>
            <w:shd w:val="clear" w:color="auto" w:fill="auto"/>
          </w:tcPr>
          <w:p w14:paraId="6D1008B3" w14:textId="4F741357" w:rsidR="004B6BF1" w:rsidRDefault="000942E9" w:rsidP="00F00EF6">
            <w:pPr>
              <w:pStyle w:val="TableText"/>
            </w:pPr>
            <w:r>
              <w:t>80 km</w:t>
            </w:r>
            <w:r w:rsidRPr="00420251">
              <w:rPr>
                <w:vertAlign w:val="superscript"/>
              </w:rPr>
              <w:t>2</w:t>
            </w:r>
          </w:p>
        </w:tc>
        <w:tc>
          <w:tcPr>
            <w:tcW w:w="1212" w:type="dxa"/>
            <w:shd w:val="clear" w:color="auto" w:fill="auto"/>
          </w:tcPr>
          <w:p w14:paraId="1B2AA055" w14:textId="3316C3C7" w:rsidR="004B6BF1" w:rsidRDefault="000942E9" w:rsidP="00F00EF6">
            <w:pPr>
              <w:pStyle w:val="TableText"/>
            </w:pPr>
            <w:r>
              <w:t>164 km</w:t>
            </w:r>
            <w:r w:rsidRPr="00420251">
              <w:rPr>
                <w:vertAlign w:val="superscript"/>
              </w:rPr>
              <w:t>2</w:t>
            </w:r>
          </w:p>
        </w:tc>
        <w:tc>
          <w:tcPr>
            <w:tcW w:w="3536" w:type="dxa"/>
            <w:shd w:val="clear" w:color="auto" w:fill="auto"/>
          </w:tcPr>
          <w:p w14:paraId="25CB154E" w14:textId="3A694B05" w:rsidR="000942E9" w:rsidRDefault="000942E9" w:rsidP="000942E9">
            <w:pPr>
              <w:pStyle w:val="TableText"/>
            </w:pPr>
            <w:r>
              <w:t xml:space="preserve">The minimum plausible value is based on </w:t>
            </w:r>
            <w:r w:rsidR="002D74FC">
              <w:t xml:space="preserve">the </w:t>
            </w:r>
            <w:r>
              <w:t>mapping of point records from a 20 year period (2000-2020) obtained from DAWE and is 80 km</w:t>
            </w:r>
            <w:r w:rsidRPr="00420251">
              <w:rPr>
                <w:vertAlign w:val="superscript"/>
              </w:rPr>
              <w:t>2</w:t>
            </w:r>
            <w:r>
              <w:t xml:space="preserve"> using IUCN methodology </w:t>
            </w:r>
            <w:r>
              <w:fldChar w:fldCharType="begin" w:fldLock="1"/>
            </w:r>
            <w:r>
              <w:instrText>ADDIN CSL_CITATION {"citationItems":[{"id":"ITEM-1","itemData":{"ISBN":"5555555555","author":[{"dropping-particle":"","family":"IUCN Standards and Petitions Committee","given":"","non-dropping-particle":"","parse-names":false,"suffix":""}],"container-title":"Standards and Petitions Committee","id":"ITEM-1","issued":{"date-parts":[["2019"]]},"number-of-pages":"113","title":"Guidelines for using the IUCN red list categories and criteria. Version 14","type":"report"},"uris":["http://www.mendeley.com/documents/?uuid=e419aa5f-e0f4-4652-b291-1575a542e43c"]}],"mendeley":{"formattedCitation":"(IUCN Standards and Petitions Committee 2019)","plainTextFormattedCitation":"(IUCN Standards and Petitions Committee 2019)","previouslyFormattedCitation":"(IUCN Standards and Petitions Committee 2019)"},"properties":{"noteIndex":0},"schema":"https://github.com/citation-style-language/schema/raw/master/csl-citation.json"}</w:instrText>
            </w:r>
            <w:r>
              <w:fldChar w:fldCharType="separate"/>
            </w:r>
            <w:r w:rsidRPr="002B0B59">
              <w:rPr>
                <w:noProof/>
              </w:rPr>
              <w:t>(IUCN Standards and Petitions Committee 2019)</w:t>
            </w:r>
            <w:r>
              <w:fldChar w:fldCharType="end"/>
            </w:r>
            <w:r>
              <w:t xml:space="preserve">. </w:t>
            </w:r>
          </w:p>
          <w:p w14:paraId="7AFD2600" w14:textId="3B833730" w:rsidR="000942E9" w:rsidRDefault="000942E9" w:rsidP="000942E9">
            <w:pPr>
              <w:pStyle w:val="TableText"/>
            </w:pPr>
            <w:r>
              <w:t>The maximum plausible value uses the same methodology, though due to the long (more than 40 year) longevity of the species, includes data points from the last 40 years (1980–2020) and is 164 km</w:t>
            </w:r>
            <w:r w:rsidRPr="00420251">
              <w:rPr>
                <w:vertAlign w:val="superscript"/>
              </w:rPr>
              <w:t>2</w:t>
            </w:r>
            <w:r>
              <w:t>.</w:t>
            </w:r>
          </w:p>
          <w:p w14:paraId="69E29E73" w14:textId="4BDD99E3" w:rsidR="004B6BF1" w:rsidRDefault="000942E9" w:rsidP="000942E9">
            <w:pPr>
              <w:pStyle w:val="TableText"/>
            </w:pPr>
            <w:r>
              <w:t>The estimated used in the assessment</w:t>
            </w:r>
            <w:r w:rsidR="008B1DB2">
              <w:t xml:space="preserve"> </w:t>
            </w:r>
            <w:r>
              <w:t xml:space="preserve">uses data points from a </w:t>
            </w:r>
            <w:r w:rsidR="006F182D">
              <w:t>30-year</w:t>
            </w:r>
            <w:r>
              <w:t xml:space="preserve"> period of sightings (1990–2020) and is 152 km</w:t>
            </w:r>
            <w:r w:rsidRPr="00420251">
              <w:rPr>
                <w:vertAlign w:val="superscript"/>
              </w:rPr>
              <w:t>2</w:t>
            </w:r>
            <w:r>
              <w:t>.</w:t>
            </w:r>
          </w:p>
        </w:tc>
      </w:tr>
      <w:tr w:rsidR="004B6BF1" w14:paraId="22B409D0" w14:textId="77777777" w:rsidTr="000E6E1B">
        <w:trPr>
          <w:cantSplit/>
        </w:trPr>
        <w:tc>
          <w:tcPr>
            <w:tcW w:w="1672" w:type="dxa"/>
          </w:tcPr>
          <w:p w14:paraId="40DDE166" w14:textId="77777777" w:rsidR="004B6BF1" w:rsidRPr="00D20C80" w:rsidRDefault="004B6BF1" w:rsidP="00F00EF6">
            <w:pPr>
              <w:pStyle w:val="TableHeading"/>
              <w:keepNext w:val="0"/>
              <w:rPr>
                <w:rStyle w:val="Strong"/>
                <w:b/>
                <w:sz w:val="22"/>
              </w:rPr>
            </w:pPr>
            <w:r w:rsidRPr="00D20C80">
              <w:rPr>
                <w:rStyle w:val="Strong"/>
                <w:b/>
                <w:bCs w:val="0"/>
              </w:rPr>
              <w:lastRenderedPageBreak/>
              <w:t>Trend</w:t>
            </w:r>
          </w:p>
        </w:tc>
        <w:tc>
          <w:tcPr>
            <w:tcW w:w="3852" w:type="dxa"/>
            <w:gridSpan w:val="3"/>
            <w:shd w:val="clear" w:color="auto" w:fill="auto"/>
          </w:tcPr>
          <w:p w14:paraId="11BD3EDB" w14:textId="06F38E84" w:rsidR="004B6BF1" w:rsidRDefault="00F17C1F" w:rsidP="00F00EF6">
            <w:pPr>
              <w:pStyle w:val="TableText"/>
            </w:pPr>
            <w:r>
              <w:t>Contracting</w:t>
            </w:r>
          </w:p>
        </w:tc>
        <w:tc>
          <w:tcPr>
            <w:tcW w:w="3536" w:type="dxa"/>
            <w:shd w:val="clear" w:color="auto" w:fill="auto"/>
          </w:tcPr>
          <w:p w14:paraId="4086CA8C" w14:textId="1CF45506" w:rsidR="004B6BF1" w:rsidRDefault="00746BAB" w:rsidP="00F00EF6">
            <w:pPr>
              <w:pStyle w:val="TableText"/>
            </w:pPr>
            <w:r>
              <w:t xml:space="preserve">The high rate of development in northern NSW has probably resulted in a loss of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outside of National Parks. Previously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rsidDel="00D84499">
              <w:t xml:space="preserve"> </w:t>
            </w:r>
            <w:r w:rsidR="008B1DB2">
              <w:t xml:space="preserve">was </w:t>
            </w:r>
            <w:r>
              <w:t xml:space="preserve">thought to occur only in Nightcap Range </w:t>
            </w:r>
            <w:r>
              <w:fldChar w:fldCharType="begin" w:fldLock="1"/>
            </w:r>
            <w:r w:rsidR="00400C36">
              <w:instrText>ADDIN CSL_CITATION {"citationItems":[{"id":"ITEM-1","itemData":{"URL":"https://plantnet.rbgsyd.nsw.gov.au/cgi-bin/NSWfl.pl?page=nswfl&amp;lvl=sp&amp;name=Corokia~whiteana","accessed":{"date-parts":[["2021","7","7"]]},"author":[{"dropping-particle":"","family":"PlantNET","given":"","non-dropping-particle":"","parse-names":false,"suffix":""}],"id":"ITEM-1","issued":{"date-parts":[["1992"]]},"title":"New South Wales Flora Online. Corokia whiteana L.S.Sm.","type":"webpage"},"uris":["http://www.mendeley.com/documents/?uuid=f5235141-d224-4123-a8da-213f16ed30c4"]}],"mendeley":{"formattedCitation":"(PlantNET 1992)","plainTextFormattedCitation":"(PlantNET 1992)","previouslyFormattedCitation":"(PlantNET 1992)"},"properties":{"noteIndex":0},"schema":"https://github.com/citation-style-language/schema/raw/master/csl-citation.json"}</w:instrText>
            </w:r>
            <w:r>
              <w:fldChar w:fldCharType="separate"/>
            </w:r>
            <w:r w:rsidRPr="00746BAB">
              <w:rPr>
                <w:noProof/>
              </w:rPr>
              <w:t>(PlantNET 1992)</w:t>
            </w:r>
            <w:r>
              <w:fldChar w:fldCharType="end"/>
            </w:r>
            <w:r>
              <w:t>, and more recently as a “rainforest species”</w:t>
            </w:r>
            <w:r w:rsidR="008B1DB2">
              <w:t>,</w:t>
            </w:r>
            <w:r>
              <w:t xml:space="preserve"> so would not have been (and is possibly still not) identified as a species at risk from development, forestry or </w:t>
            </w:r>
            <w:r w:rsidR="002D74FC">
              <w:t>land-use</w:t>
            </w:r>
            <w:r>
              <w:t xml:space="preserve"> change. The AOO has likely undergone a historical contraction due to </w:t>
            </w:r>
            <w:r w:rsidR="002D74FC">
              <w:t>land-use</w:t>
            </w:r>
            <w:r>
              <w:t xml:space="preserve"> change. </w:t>
            </w:r>
          </w:p>
          <w:p w14:paraId="24210B1C" w14:textId="646E812C" w:rsidR="00746BAB" w:rsidRDefault="002D74FC" w:rsidP="00F00EF6">
            <w:pPr>
              <w:pStyle w:val="TableText"/>
            </w:pPr>
            <w:r>
              <w:t>Climate</w:t>
            </w:r>
            <w:r w:rsidR="00746BAB">
              <w:t xml:space="preserve"> change is predicted to shift ecotones due to altered weather and fire patterns. As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746BAB">
              <w:t xml:space="preserve">is a light and </w:t>
            </w:r>
            <w:r>
              <w:t>moisture-sensitive</w:t>
            </w:r>
            <w:r w:rsidR="00746BAB">
              <w:t xml:space="preserve"> species, which is killed by fire the trend in AOO is predicted to contract in the future. </w:t>
            </w:r>
          </w:p>
        </w:tc>
      </w:tr>
      <w:tr w:rsidR="004B6BF1" w14:paraId="2A4A75B1" w14:textId="77777777" w:rsidTr="000E6E1B">
        <w:trPr>
          <w:cantSplit/>
        </w:trPr>
        <w:tc>
          <w:tcPr>
            <w:tcW w:w="1672" w:type="dxa"/>
          </w:tcPr>
          <w:p w14:paraId="6FE945D4" w14:textId="77777777" w:rsidR="004B6BF1" w:rsidRDefault="004B6BF1" w:rsidP="00F00EF6">
            <w:pPr>
              <w:pStyle w:val="TableHeading"/>
              <w:keepNext w:val="0"/>
              <w:rPr>
                <w:rStyle w:val="Strong"/>
                <w:b/>
                <w:sz w:val="22"/>
              </w:rPr>
            </w:pPr>
            <w:r w:rsidRPr="00D20C80">
              <w:rPr>
                <w:rStyle w:val="Strong"/>
                <w:b/>
                <w:bCs w:val="0"/>
              </w:rPr>
              <w:t>Number of subpopulations</w:t>
            </w:r>
          </w:p>
          <w:p w14:paraId="6328CAFA" w14:textId="77777777" w:rsidR="004B6BF1" w:rsidRPr="00D20C80" w:rsidRDefault="004B6BF1" w:rsidP="00F00EF6">
            <w:pPr>
              <w:pStyle w:val="TableText"/>
              <w:rPr>
                <w:rStyle w:val="Strong"/>
                <w:b w:val="0"/>
                <w:bCs w:val="0"/>
              </w:rPr>
            </w:pPr>
          </w:p>
        </w:tc>
        <w:tc>
          <w:tcPr>
            <w:tcW w:w="1347" w:type="dxa"/>
            <w:shd w:val="clear" w:color="auto" w:fill="auto"/>
          </w:tcPr>
          <w:p w14:paraId="2EFFC77E" w14:textId="198168BF" w:rsidR="004B6BF1" w:rsidRDefault="00A77652" w:rsidP="00F00EF6">
            <w:pPr>
              <w:pStyle w:val="TableText"/>
            </w:pPr>
            <w:r>
              <w:t>6</w:t>
            </w:r>
          </w:p>
        </w:tc>
        <w:tc>
          <w:tcPr>
            <w:tcW w:w="1293" w:type="dxa"/>
            <w:shd w:val="clear" w:color="auto" w:fill="auto"/>
          </w:tcPr>
          <w:p w14:paraId="2594EB1E" w14:textId="71615A09" w:rsidR="004B6BF1" w:rsidRDefault="00A77652" w:rsidP="00F00EF6">
            <w:pPr>
              <w:pStyle w:val="TableText"/>
            </w:pPr>
            <w:r>
              <w:t>6</w:t>
            </w:r>
          </w:p>
        </w:tc>
        <w:tc>
          <w:tcPr>
            <w:tcW w:w="1212" w:type="dxa"/>
            <w:shd w:val="clear" w:color="auto" w:fill="auto"/>
          </w:tcPr>
          <w:p w14:paraId="5D0C962B" w14:textId="611F5DA8" w:rsidR="004B6BF1" w:rsidRDefault="001A431C" w:rsidP="00F00EF6">
            <w:pPr>
              <w:pStyle w:val="TableText"/>
            </w:pPr>
            <w:r>
              <w:t>10</w:t>
            </w:r>
          </w:p>
        </w:tc>
        <w:tc>
          <w:tcPr>
            <w:tcW w:w="3536" w:type="dxa"/>
            <w:shd w:val="clear" w:color="auto" w:fill="auto"/>
          </w:tcPr>
          <w:p w14:paraId="14410A41" w14:textId="48BAD976" w:rsidR="004B6BF1" w:rsidRDefault="004B6BF1" w:rsidP="00F00EF6">
            <w:pPr>
              <w:pStyle w:val="TableText"/>
            </w:pPr>
            <w:r>
              <w:t xml:space="preserve">The </w:t>
            </w:r>
            <w:r w:rsidR="006807F1">
              <w:t>minimum plausible value</w:t>
            </w:r>
            <w:r>
              <w:t xml:space="preserve"> </w:t>
            </w:r>
            <w:r w:rsidR="006807F1">
              <w:t>was</w:t>
            </w:r>
            <w:r>
              <w:t xml:space="preserve"> </w:t>
            </w:r>
            <w:r w:rsidR="006807F1">
              <w:t xml:space="preserve">estimated by </w:t>
            </w:r>
            <w:r w:rsidR="00E970AB">
              <w:t>visualising</w:t>
            </w:r>
            <w:r>
              <w:t xml:space="preserve"> sightings data in </w:t>
            </w:r>
            <w:proofErr w:type="spellStart"/>
            <w:r>
              <w:t>GoogleEarth</w:t>
            </w:r>
            <w:proofErr w:type="spellEnd"/>
            <w:r>
              <w:t xml:space="preserve"> and </w:t>
            </w:r>
            <w:r w:rsidR="001A431C">
              <w:t xml:space="preserve">estimating </w:t>
            </w:r>
            <w:r>
              <w:t xml:space="preserve">physical </w:t>
            </w:r>
            <w:r w:rsidR="00A77652">
              <w:t>distance and</w:t>
            </w:r>
            <w:r>
              <w:t xml:space="preserve"> </w:t>
            </w:r>
            <w:r w:rsidR="00E970AB">
              <w:t>visualising</w:t>
            </w:r>
            <w:r>
              <w:t xml:space="preserve"> altitudinal variations and </w:t>
            </w:r>
            <w:r w:rsidR="001A431C">
              <w:t xml:space="preserve">changes in </w:t>
            </w:r>
            <w:r>
              <w:t>vegetative cover</w:t>
            </w:r>
            <w:r w:rsidR="001A431C">
              <w:t xml:space="preserve"> or land use</w:t>
            </w:r>
            <w:r>
              <w:t>.</w:t>
            </w:r>
            <w:r w:rsidR="0044257E">
              <w:t xml:space="preserve"> </w:t>
            </w:r>
          </w:p>
          <w:p w14:paraId="1E331F74" w14:textId="2A65D45D" w:rsidR="004B6BF1" w:rsidRDefault="004B6BF1" w:rsidP="00F00EF6">
            <w:pPr>
              <w:pStyle w:val="TableText"/>
            </w:pPr>
            <w:r>
              <w:t>The upper estimate of</w:t>
            </w:r>
            <w:r w:rsidR="00B94AF9">
              <w:t xml:space="preserve"> </w:t>
            </w:r>
            <w:r w:rsidR="001A431C">
              <w:t xml:space="preserve">10 </w:t>
            </w:r>
            <w:r>
              <w:t xml:space="preserve">subpopulations assumes that sightings isolated by more than 4km distance </w:t>
            </w:r>
            <w:r w:rsidR="001A431C">
              <w:t>or separated by agricultural or urban areas are</w:t>
            </w:r>
            <w:r>
              <w:t xml:space="preserve"> genetically isolated. </w:t>
            </w:r>
          </w:p>
        </w:tc>
      </w:tr>
      <w:tr w:rsidR="004B6BF1" w14:paraId="31A56EFA" w14:textId="77777777" w:rsidTr="000E6E1B">
        <w:trPr>
          <w:cantSplit/>
        </w:trPr>
        <w:tc>
          <w:tcPr>
            <w:tcW w:w="1672" w:type="dxa"/>
          </w:tcPr>
          <w:p w14:paraId="0591C4E5" w14:textId="77777777" w:rsidR="004B6BF1" w:rsidRPr="00D20C80" w:rsidRDefault="004B6BF1" w:rsidP="00F00EF6">
            <w:pPr>
              <w:pStyle w:val="TableHeading"/>
              <w:keepNext w:val="0"/>
              <w:rPr>
                <w:rStyle w:val="Strong"/>
                <w:b/>
                <w:sz w:val="22"/>
              </w:rPr>
            </w:pPr>
            <w:r w:rsidRPr="00D20C80">
              <w:rPr>
                <w:rStyle w:val="Strong"/>
                <w:b/>
                <w:bCs w:val="0"/>
              </w:rPr>
              <w:t>Trend</w:t>
            </w:r>
          </w:p>
        </w:tc>
        <w:tc>
          <w:tcPr>
            <w:tcW w:w="3852" w:type="dxa"/>
            <w:gridSpan w:val="3"/>
            <w:shd w:val="clear" w:color="auto" w:fill="auto"/>
          </w:tcPr>
          <w:p w14:paraId="30BFF55C" w14:textId="4F36A6C8" w:rsidR="004B6BF1" w:rsidRDefault="00F17C1F" w:rsidP="00F00EF6">
            <w:pPr>
              <w:pStyle w:val="TableText"/>
            </w:pPr>
            <w:r>
              <w:t>Contracting</w:t>
            </w:r>
          </w:p>
        </w:tc>
        <w:tc>
          <w:tcPr>
            <w:tcW w:w="3536" w:type="dxa"/>
            <w:shd w:val="clear" w:color="auto" w:fill="auto"/>
          </w:tcPr>
          <w:p w14:paraId="4F34A4DC" w14:textId="7E5E6573" w:rsidR="00F17C1F" w:rsidRPr="001B7D1F" w:rsidRDefault="002D74FC" w:rsidP="00F00EF6">
            <w:pPr>
              <w:pStyle w:val="TableText"/>
            </w:pPr>
            <w:r>
              <w:t>Climate</w:t>
            </w:r>
            <w:r w:rsidR="00F17C1F">
              <w:t xml:space="preserve"> change is predicted to altered precipitation patterns and increase fire weather and </w:t>
            </w:r>
            <w:r>
              <w:t xml:space="preserve">the </w:t>
            </w:r>
            <w:r w:rsidR="00F17C1F">
              <w:t xml:space="preserve">number of hot days.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F17C1F">
              <w:t xml:space="preserve">is a rainforest/wet sclerophyll species with specific ecological requirements, there are </w:t>
            </w:r>
            <w:r w:rsidR="00B94AF9">
              <w:t>very low numbers in some of the subpopulations (&lt;6</w:t>
            </w:r>
            <w:r w:rsidR="006807F1">
              <w:t xml:space="preserve"> individuals</w:t>
            </w:r>
            <w:r w:rsidR="00B94AF9">
              <w:t>) and as recruitment has not been observed, seedlings are rare and fecundity is very low</w:t>
            </w:r>
            <w:r w:rsidR="003203D8">
              <w:t>,</w:t>
            </w:r>
            <w:r w:rsidR="00B94AF9">
              <w:t xml:space="preserve"> the number of subpopulations are predicted to decline. </w:t>
            </w:r>
          </w:p>
        </w:tc>
      </w:tr>
      <w:tr w:rsidR="004B6BF1" w14:paraId="4CEFBB49" w14:textId="77777777" w:rsidTr="000E6E1B">
        <w:trPr>
          <w:cantSplit/>
        </w:trPr>
        <w:tc>
          <w:tcPr>
            <w:tcW w:w="1672" w:type="dxa"/>
          </w:tcPr>
          <w:p w14:paraId="329F4B9B" w14:textId="77777777" w:rsidR="004B6BF1" w:rsidRDefault="004B6BF1" w:rsidP="00F00EF6">
            <w:pPr>
              <w:pStyle w:val="TableHeading"/>
              <w:keepNext w:val="0"/>
              <w:rPr>
                <w:rStyle w:val="Strong"/>
                <w:b/>
                <w:sz w:val="22"/>
              </w:rPr>
            </w:pPr>
            <w:r w:rsidRPr="00D20C80">
              <w:rPr>
                <w:rStyle w:val="Strong"/>
                <w:b/>
                <w:bCs w:val="0"/>
              </w:rPr>
              <w:lastRenderedPageBreak/>
              <w:t>Basis of assessment of subpopulation number</w:t>
            </w:r>
          </w:p>
          <w:p w14:paraId="24244A88" w14:textId="77777777" w:rsidR="004B6BF1" w:rsidRPr="00D20C80" w:rsidRDefault="004B6BF1" w:rsidP="00F00EF6">
            <w:pPr>
              <w:pStyle w:val="TableText"/>
              <w:rPr>
                <w:rStyle w:val="Strong"/>
                <w:b w:val="0"/>
                <w:bCs w:val="0"/>
              </w:rPr>
            </w:pPr>
          </w:p>
        </w:tc>
        <w:tc>
          <w:tcPr>
            <w:tcW w:w="7388" w:type="dxa"/>
            <w:gridSpan w:val="4"/>
            <w:shd w:val="clear" w:color="auto" w:fill="auto"/>
          </w:tcPr>
          <w:p w14:paraId="1F4C195A" w14:textId="053CBDEE" w:rsidR="004B6BF1" w:rsidRDefault="004B6BF1" w:rsidP="00F00EF6">
            <w:pPr>
              <w:pStyle w:val="TableText"/>
            </w:pPr>
            <w:r>
              <w:t xml:space="preserve">Sightings are geographically isolated, with </w:t>
            </w:r>
            <w:r w:rsidR="000E6E1B">
              <w:t xml:space="preserve">Upper </w:t>
            </w:r>
            <w:proofErr w:type="spellStart"/>
            <w:r w:rsidR="000E6E1B">
              <w:t>Duroby</w:t>
            </w:r>
            <w:proofErr w:type="spellEnd"/>
            <w:r w:rsidR="000E6E1B">
              <w:t xml:space="preserve"> </w:t>
            </w:r>
            <w:r>
              <w:t>(24 km north from the inland subpopulations), Yelgun and Brunswick Heads populations (both coastal</w:t>
            </w:r>
            <w:r w:rsidR="003203D8">
              <w:t>)</w:t>
            </w:r>
            <w:r>
              <w:t xml:space="preserve"> are separated from each other by </w:t>
            </w:r>
            <w:r w:rsidR="00416463">
              <w:t xml:space="preserve">approximately 7 </w:t>
            </w:r>
            <w:r>
              <w:t xml:space="preserve">km and areas of urban and agricultural </w:t>
            </w:r>
            <w:r w:rsidR="0096495B">
              <w:t>development</w:t>
            </w:r>
            <w:r>
              <w:t xml:space="preserve">). Inland subpopulations are most abundant in the Nightcap and </w:t>
            </w:r>
            <w:proofErr w:type="spellStart"/>
            <w:r>
              <w:t>Whian</w:t>
            </w:r>
            <w:proofErr w:type="spellEnd"/>
            <w:r>
              <w:t xml:space="preserve"> </w:t>
            </w:r>
            <w:proofErr w:type="spellStart"/>
            <w:r>
              <w:t>Whian</w:t>
            </w:r>
            <w:proofErr w:type="spellEnd"/>
            <w:r>
              <w:t xml:space="preserve"> areas and seem continuous </w:t>
            </w:r>
            <w:r w:rsidR="0096495B">
              <w:t>throughout</w:t>
            </w:r>
            <w:r>
              <w:t>. The Nightcap/</w:t>
            </w:r>
            <w:proofErr w:type="spellStart"/>
            <w:r>
              <w:t>Whian</w:t>
            </w:r>
            <w:proofErr w:type="spellEnd"/>
            <w:r>
              <w:t xml:space="preserve"> </w:t>
            </w:r>
            <w:proofErr w:type="spellStart"/>
            <w:r>
              <w:t>Whian</w:t>
            </w:r>
            <w:proofErr w:type="spellEnd"/>
            <w:r>
              <w:t xml:space="preserve"> subpopulation is separated </w:t>
            </w:r>
            <w:r w:rsidR="00687DED">
              <w:t xml:space="preserve">by </w:t>
            </w:r>
            <w:r>
              <w:t xml:space="preserve">at least 4km and a valley to </w:t>
            </w:r>
            <w:proofErr w:type="spellStart"/>
            <w:r>
              <w:t>Koonyum</w:t>
            </w:r>
            <w:proofErr w:type="spellEnd"/>
            <w:r>
              <w:t xml:space="preserve"> Range and near Upper Wilson’s Creek (separated from each other by 4km and another valley). On the same range as the Upper Wilson’s Creek sightings</w:t>
            </w:r>
            <w:r w:rsidR="00687DED">
              <w:t>,</w:t>
            </w:r>
            <w:r>
              <w:t xml:space="preserve"> are </w:t>
            </w:r>
            <w:proofErr w:type="gramStart"/>
            <w:r>
              <w:t>a number of</w:t>
            </w:r>
            <w:proofErr w:type="gramEnd"/>
            <w:r>
              <w:t xml:space="preserve"> other isolated records, each more than 4</w:t>
            </w:r>
            <w:r w:rsidR="00416463">
              <w:t xml:space="preserve"> </w:t>
            </w:r>
            <w:r>
              <w:t xml:space="preserve">km from another sighting. South of the Nightcap / </w:t>
            </w:r>
            <w:proofErr w:type="spellStart"/>
            <w:r>
              <w:t>Whian</w:t>
            </w:r>
            <w:proofErr w:type="spellEnd"/>
            <w:r>
              <w:t xml:space="preserve"> </w:t>
            </w:r>
            <w:proofErr w:type="spellStart"/>
            <w:r>
              <w:t>Whian</w:t>
            </w:r>
            <w:proofErr w:type="spellEnd"/>
            <w:r>
              <w:t xml:space="preserve"> subpopulation, and isolated by more than 6.5</w:t>
            </w:r>
            <w:r w:rsidR="00416463">
              <w:t xml:space="preserve"> </w:t>
            </w:r>
            <w:r>
              <w:t xml:space="preserve">km of </w:t>
            </w:r>
            <w:r w:rsidR="00E005F0">
              <w:t>various</w:t>
            </w:r>
            <w:r>
              <w:t xml:space="preserve"> agricultural lands</w:t>
            </w:r>
            <w:r w:rsidR="00E005F0">
              <w:t>,</w:t>
            </w:r>
            <w:r>
              <w:t xml:space="preserve"> is the subpopulation near The Channon.</w:t>
            </w:r>
          </w:p>
          <w:p w14:paraId="45755249" w14:textId="1AA79F66" w:rsidR="004B6BF1" w:rsidRDefault="00D84499" w:rsidP="00F00EF6">
            <w:pPr>
              <w:pStyle w:val="TableText"/>
            </w:pPr>
            <w:proofErr w:type="spellStart"/>
            <w:r w:rsidRPr="009359EA">
              <w:rPr>
                <w:i/>
                <w:iCs/>
              </w:rPr>
              <w:t>Corokia</w:t>
            </w:r>
            <w:proofErr w:type="spellEnd"/>
            <w:r w:rsidRPr="009359EA">
              <w:rPr>
                <w:i/>
                <w:iCs/>
              </w:rPr>
              <w:t xml:space="preserve"> </w:t>
            </w:r>
            <w:proofErr w:type="spellStart"/>
            <w:r w:rsidRPr="009359EA">
              <w:rPr>
                <w:i/>
                <w:iCs/>
              </w:rPr>
              <w:t>whiteana</w:t>
            </w:r>
            <w:proofErr w:type="spellEnd"/>
            <w:r>
              <w:t xml:space="preserve"> </w:t>
            </w:r>
            <w:r w:rsidR="004B6BF1">
              <w:t xml:space="preserve">are likely </w:t>
            </w:r>
            <w:r w:rsidR="166373D4">
              <w:t>pollinated</w:t>
            </w:r>
            <w:r w:rsidR="004B6BF1">
              <w:t xml:space="preserve"> by a range of insects and native bees. </w:t>
            </w:r>
            <w:r w:rsidR="00687DED">
              <w:t>The n</w:t>
            </w:r>
            <w:r w:rsidR="004B6BF1">
              <w:t>ative bee (</w:t>
            </w:r>
            <w:proofErr w:type="spellStart"/>
            <w:r w:rsidR="004B6BF1" w:rsidRPr="00157355">
              <w:rPr>
                <w:i/>
                <w:iCs/>
              </w:rPr>
              <w:t>Tetragonula</w:t>
            </w:r>
            <w:proofErr w:type="spellEnd"/>
            <w:r w:rsidR="004B6BF1" w:rsidRPr="00157355">
              <w:rPr>
                <w:i/>
                <w:iCs/>
              </w:rPr>
              <w:t xml:space="preserve"> </w:t>
            </w:r>
            <w:proofErr w:type="spellStart"/>
            <w:r w:rsidR="004B6BF1" w:rsidRPr="00157355">
              <w:rPr>
                <w:i/>
                <w:iCs/>
              </w:rPr>
              <w:t>carbonaria</w:t>
            </w:r>
            <w:proofErr w:type="spellEnd"/>
            <w:r w:rsidR="004B6BF1">
              <w:t xml:space="preserve">) has a maximum </w:t>
            </w:r>
            <w:r w:rsidR="003B6A61">
              <w:t>foraging distance</w:t>
            </w:r>
            <w:r w:rsidR="004B6BF1">
              <w:t xml:space="preserve"> of 712</w:t>
            </w:r>
            <w:r w:rsidR="00416463">
              <w:t xml:space="preserve"> </w:t>
            </w:r>
            <w:r w:rsidR="004B6BF1">
              <w:t xml:space="preserve">m </w:t>
            </w:r>
            <w:r w:rsidR="004B6BF1">
              <w:fldChar w:fldCharType="begin" w:fldLock="1"/>
            </w:r>
            <w:r w:rsidR="004B6BF1">
              <w:instrText>ADDIN CSL_CITATION {"citationItems":[{"id":"ITEM-1","itemData":{"DOI":"10.1111/aen.12206","ISSN":"20521758","abstract":"Bees are key pollinators in both natural and agricultural environments throughout the world. Estimates of the typical distance from their nest that bees will fly to forage are useful when planning their deployment in commercial pollination or ecosystem management. Stingless bees (Meliponini) are social bees that live in colonies comprising a queen and many workers. They pollinate several key tropical crops and can be housed and transported in hives. Thus, there is increasing interest in their use as managed pollinators in regions where they occur naturally, including Australia. Here, we use a mark and release method to estimate the homing range of the most commonly propagated species of Australian stingless bee, Tetragonula carbonaria (Smith), where homing range serves as a proxy for foraging flight range. We find the typical and maximum homing range of T. carbonaria to be 333 and 712 m, respectively. This range is less than that of the most commonly used commercial pollinator, the honey bee Apis mellifera Linnaeus, which we argue confers both advantages and disadvantages on T. carbonaria as an alternative crop pollinator.","author":[{"dropping-particle":"","family":"Smith","given":"Jordan P.","non-dropping-particle":"","parse-names":false,"suffix":""},{"dropping-particle":"","family":"Heard","given":"Tim A.","non-dropping-particle":"","parse-names":false,"suffix":""},{"dropping-particle":"","family":"Beekman","given":"Madeleine","non-dropping-particle":"","parse-names":false,"suffix":""},{"dropping-particle":"","family":"Gloag","given":"Ros","non-dropping-particle":"","parse-names":false,"suffix":""}],"container-title":"Austral Entomology","id":"ITEM-1","issue":"1","issued":{"date-parts":[["2017"]]},"page":"50-53","title":"Flight range of the Australian stingless bee Tetragonula carbonaria (Hymenoptera: Apidae)","type":"article-journal","volume":"56"},"uris":["http://www.mendeley.com/documents/?uuid=09d0c8b4-22b2-4e94-b020-01cc4b3e38e3"]}],"mendeley":{"formattedCitation":"(Smith et al. 2017)","plainTextFormattedCitation":"(Smith et al. 2017)","previouslyFormattedCitation":"(Smith et al. 2017)"},"properties":{"noteIndex":0},"schema":"https://github.com/citation-style-language/schema/raw/master/csl-citation.json"}</w:instrText>
            </w:r>
            <w:r w:rsidR="004B6BF1">
              <w:fldChar w:fldCharType="separate"/>
            </w:r>
            <w:r w:rsidR="004B6BF1" w:rsidRPr="00EB3616">
              <w:rPr>
                <w:noProof/>
              </w:rPr>
              <w:t>(Smith et al. 2017)</w:t>
            </w:r>
            <w:r w:rsidR="004B6BF1">
              <w:fldChar w:fldCharType="end"/>
            </w:r>
            <w:r w:rsidR="004B6BF1">
              <w:t xml:space="preserve"> though butterflies and other flying insects may travel much further </w:t>
            </w:r>
            <w:r w:rsidR="004B6BF1">
              <w:fldChar w:fldCharType="begin" w:fldLock="1"/>
            </w:r>
            <w:r w:rsidR="004B6BF1">
              <w:instrText>ADDIN CSL_CITATION {"citationItems":[{"id":"ITEM-1","itemData":{"ISBN":"0632058773","abstract":"Dispersal has become central to many questions in theoretical and applied ecology in recent years. This has come about through advances in measurement and modelling of dispersal, combined with the key role of spatial processes in current environmental problems. This volume, written by a team of leading ecologists, aims to provide both the advanced student and researcher with a comprehensive review of dispersal and its implications for modern ecology. It presents a broad overview considering plants, invertebrates, vertebrates and microorganisms in both terrestrial and aquatic environments. Up-to-date methods for measuring dispersal are assessed. The importance of dispersal in ecological theory is addressed in chapters on life history evolution, ecological genetics, population and metapopulation dynamics, invasions, landscape ecology and biogeography. Applied questions on topics such as spread of non-native species, effect of habitat fragmentation, species reintroductions, disease epidemiology, responses to climate change and impacts of genetically modified organisms are also considered.","author":[{"dropping-particle":"","family":"Compton","given":"Steve G","non-dropping-particle":"","parse-names":false,"suffix":""}],"container-title":"Dispersal Ecology: the 42nd Symposium of the British Ecological Society","id":"ITEM-1","issue":"April 2001","issued":{"date-parts":[["2002"]]},"page":"113-133","title":"Sailing with the wind: dispersal by small flying insects","type":"article-journal","volume":"133"},"uris":["http://www.mendeley.com/documents/?uuid=5f9e9de2-2f22-4651-8040-c40f39830202"]}],"mendeley":{"formattedCitation":"(Compton 2002)","plainTextFormattedCitation":"(Compton 2002)","previouslyFormattedCitation":"(Compton 2002)"},"properties":{"noteIndex":0},"schema":"https://github.com/citation-style-language/schema/raw/master/csl-citation.json"}</w:instrText>
            </w:r>
            <w:r w:rsidR="004B6BF1">
              <w:fldChar w:fldCharType="separate"/>
            </w:r>
            <w:r w:rsidR="004B6BF1" w:rsidRPr="006B76E1">
              <w:rPr>
                <w:noProof/>
              </w:rPr>
              <w:t>(Compton 2002)</w:t>
            </w:r>
            <w:r w:rsidR="004B6BF1">
              <w:fldChar w:fldCharType="end"/>
            </w:r>
            <w:r w:rsidR="004B6BF1">
              <w:t>. Bats or birds may consume the fleshy fruit and distribute the seed as well, though due to the low fruit set (</w:t>
            </w:r>
            <w:r w:rsidR="008F3A00">
              <w:t>&lt;</w:t>
            </w:r>
            <w:r w:rsidR="004B6BF1">
              <w:t xml:space="preserve">10 </w:t>
            </w:r>
            <w:r w:rsidR="002D74FC">
              <w:t>fruit/plant</w:t>
            </w:r>
            <w:r w:rsidR="004B6BF1">
              <w:t xml:space="preserve"> – Justin Mallee </w:t>
            </w:r>
            <w:r w:rsidR="00971C10">
              <w:t>2021. pers</w:t>
            </w:r>
            <w:r w:rsidR="004B6BF1">
              <w:t xml:space="preserve"> comm. 27 July), </w:t>
            </w:r>
            <w:proofErr w:type="spellStart"/>
            <w:r w:rsidRPr="009359EA">
              <w:rPr>
                <w:i/>
                <w:iCs/>
              </w:rPr>
              <w:t>Corokia</w:t>
            </w:r>
            <w:proofErr w:type="spellEnd"/>
            <w:r w:rsidRPr="009359EA">
              <w:rPr>
                <w:i/>
                <w:iCs/>
              </w:rPr>
              <w:t xml:space="preserve"> </w:t>
            </w:r>
            <w:proofErr w:type="spellStart"/>
            <w:r w:rsidRPr="009359EA">
              <w:rPr>
                <w:i/>
                <w:iCs/>
              </w:rPr>
              <w:t>whiteana</w:t>
            </w:r>
            <w:proofErr w:type="spellEnd"/>
            <w:r>
              <w:t xml:space="preserve"> </w:t>
            </w:r>
            <w:r w:rsidR="004B6BF1">
              <w:t xml:space="preserve">would </w:t>
            </w:r>
            <w:r w:rsidR="001A431C">
              <w:t xml:space="preserve">probably </w:t>
            </w:r>
            <w:r w:rsidR="004B6BF1">
              <w:t xml:space="preserve">not attract </w:t>
            </w:r>
            <w:proofErr w:type="gramStart"/>
            <w:r w:rsidR="004B6BF1">
              <w:t>a large number of</w:t>
            </w:r>
            <w:proofErr w:type="gramEnd"/>
            <w:r w:rsidR="004B6BF1">
              <w:t xml:space="preserve"> frugivorous dispersers. No genetic research has been conducted on this species to determine the actual connectivity between geographically isolated populations of </w:t>
            </w:r>
            <w:proofErr w:type="spellStart"/>
            <w:r w:rsidR="004B6BF1">
              <w:t>Corokia</w:t>
            </w:r>
            <w:proofErr w:type="spellEnd"/>
            <w:r w:rsidR="004B6BF1">
              <w:t xml:space="preserve">. </w:t>
            </w:r>
          </w:p>
          <w:p w14:paraId="40E28406" w14:textId="1E4EB371" w:rsidR="004B6BF1" w:rsidRDefault="004B6BF1" w:rsidP="00F00EF6">
            <w:pPr>
              <w:pStyle w:val="TableText"/>
            </w:pPr>
            <w:r>
              <w:t xml:space="preserve">The proposed subpopulations are: </w:t>
            </w:r>
            <w:r w:rsidR="001A431C">
              <w:t>1-</w:t>
            </w:r>
            <w:r w:rsidR="000E6E1B">
              <w:t xml:space="preserve">Upper </w:t>
            </w:r>
            <w:proofErr w:type="spellStart"/>
            <w:r w:rsidR="000E6E1B">
              <w:t>Duroby</w:t>
            </w:r>
            <w:proofErr w:type="spellEnd"/>
            <w:r w:rsidR="005F77F1">
              <w:t xml:space="preserve"> (</w:t>
            </w:r>
            <w:proofErr w:type="spellStart"/>
            <w:r w:rsidR="005F77F1">
              <w:t>Duroby</w:t>
            </w:r>
            <w:proofErr w:type="spellEnd"/>
            <w:r w:rsidR="005F77F1">
              <w:t xml:space="preserve"> Nature Reserve/Hogan’s Scrub)</w:t>
            </w:r>
            <w:r>
              <w:t xml:space="preserve">, </w:t>
            </w:r>
            <w:r w:rsidR="001A431C">
              <w:t>2-</w:t>
            </w:r>
            <w:r>
              <w:t>Yelgun</w:t>
            </w:r>
            <w:r w:rsidR="001A431C">
              <w:t xml:space="preserve"> (coastal)</w:t>
            </w:r>
            <w:r>
              <w:t xml:space="preserve">, </w:t>
            </w:r>
            <w:r w:rsidR="001A431C">
              <w:t>3-</w:t>
            </w:r>
            <w:r>
              <w:t>Brunswick Heads</w:t>
            </w:r>
            <w:r w:rsidR="001A431C">
              <w:t xml:space="preserve"> (coastal)</w:t>
            </w:r>
            <w:r>
              <w:t xml:space="preserve">, </w:t>
            </w:r>
            <w:r w:rsidR="001A431C">
              <w:t xml:space="preserve">4-Clarrie Hall Dam area, Upper Wilson’s Creek and </w:t>
            </w:r>
            <w:proofErr w:type="spellStart"/>
            <w:r>
              <w:t>Koonyum</w:t>
            </w:r>
            <w:proofErr w:type="spellEnd"/>
            <w:r>
              <w:t xml:space="preserve"> Range</w:t>
            </w:r>
            <w:r w:rsidR="001A431C">
              <w:t xml:space="preserve"> (Mt Jerusalem National Park</w:t>
            </w:r>
            <w:r w:rsidR="005F77F1">
              <w:t xml:space="preserve"> and surrounds</w:t>
            </w:r>
            <w:r w:rsidR="001A431C">
              <w:t>),</w:t>
            </w:r>
            <w:r>
              <w:t xml:space="preserve"> </w:t>
            </w:r>
            <w:r w:rsidR="001A431C">
              <w:t>5-Nightcap/</w:t>
            </w:r>
            <w:proofErr w:type="spellStart"/>
            <w:r w:rsidR="001A431C">
              <w:t>Whian</w:t>
            </w:r>
            <w:proofErr w:type="spellEnd"/>
            <w:r w:rsidR="001A431C">
              <w:t xml:space="preserve"> </w:t>
            </w:r>
            <w:proofErr w:type="spellStart"/>
            <w:r w:rsidR="001A431C">
              <w:t>Whian</w:t>
            </w:r>
            <w:proofErr w:type="spellEnd"/>
            <w:r w:rsidR="001A431C">
              <w:t xml:space="preserve">, </w:t>
            </w:r>
            <w:r>
              <w:t xml:space="preserve">and </w:t>
            </w:r>
            <w:r w:rsidR="001A431C">
              <w:t>6-T</w:t>
            </w:r>
            <w:r>
              <w:t xml:space="preserve">he Channon. </w:t>
            </w:r>
          </w:p>
        </w:tc>
      </w:tr>
      <w:tr w:rsidR="004B6BF1" w14:paraId="6298025B" w14:textId="77777777" w:rsidTr="000E6E1B">
        <w:trPr>
          <w:cantSplit/>
        </w:trPr>
        <w:tc>
          <w:tcPr>
            <w:tcW w:w="1672" w:type="dxa"/>
          </w:tcPr>
          <w:p w14:paraId="23F0C8F2" w14:textId="77777777" w:rsidR="004B6BF1" w:rsidRDefault="004B6BF1" w:rsidP="00F00EF6">
            <w:pPr>
              <w:pStyle w:val="TableHeading"/>
              <w:keepNext w:val="0"/>
              <w:rPr>
                <w:rStyle w:val="Strong"/>
                <w:b/>
                <w:sz w:val="22"/>
              </w:rPr>
            </w:pPr>
            <w:r w:rsidRPr="00D20C80">
              <w:rPr>
                <w:rStyle w:val="Strong"/>
                <w:b/>
                <w:bCs w:val="0"/>
              </w:rPr>
              <w:t>No. locations</w:t>
            </w:r>
          </w:p>
          <w:p w14:paraId="6759B531" w14:textId="77777777" w:rsidR="004B6BF1" w:rsidRPr="00DD47BD" w:rsidRDefault="004B6BF1" w:rsidP="00F00EF6">
            <w:pPr>
              <w:pStyle w:val="TableText"/>
              <w:rPr>
                <w:rStyle w:val="Strong"/>
                <w:b w:val="0"/>
                <w:bCs w:val="0"/>
              </w:rPr>
            </w:pPr>
          </w:p>
        </w:tc>
        <w:tc>
          <w:tcPr>
            <w:tcW w:w="1347" w:type="dxa"/>
            <w:shd w:val="clear" w:color="auto" w:fill="auto"/>
          </w:tcPr>
          <w:p w14:paraId="77890B5D" w14:textId="3684FDA1" w:rsidR="004B6BF1" w:rsidRDefault="005F77F1" w:rsidP="00F00EF6">
            <w:pPr>
              <w:pStyle w:val="TableText"/>
            </w:pPr>
            <w:r>
              <w:t>1</w:t>
            </w:r>
          </w:p>
        </w:tc>
        <w:tc>
          <w:tcPr>
            <w:tcW w:w="1293" w:type="dxa"/>
            <w:shd w:val="clear" w:color="auto" w:fill="auto"/>
          </w:tcPr>
          <w:p w14:paraId="5F85E492" w14:textId="0836EE4B" w:rsidR="004B6BF1" w:rsidRDefault="003274AE" w:rsidP="00F00EF6">
            <w:pPr>
              <w:pStyle w:val="TableText"/>
            </w:pPr>
            <w:r>
              <w:t>1</w:t>
            </w:r>
          </w:p>
        </w:tc>
        <w:tc>
          <w:tcPr>
            <w:tcW w:w="1212" w:type="dxa"/>
            <w:shd w:val="clear" w:color="auto" w:fill="auto"/>
          </w:tcPr>
          <w:p w14:paraId="2E9EA38F" w14:textId="7C07373A" w:rsidR="004B6BF1" w:rsidRDefault="00BB15C9" w:rsidP="00F00EF6">
            <w:pPr>
              <w:pStyle w:val="TableText"/>
            </w:pPr>
            <w:r>
              <w:t>6</w:t>
            </w:r>
          </w:p>
        </w:tc>
        <w:tc>
          <w:tcPr>
            <w:tcW w:w="3536" w:type="dxa"/>
            <w:shd w:val="clear" w:color="auto" w:fill="auto"/>
          </w:tcPr>
          <w:p w14:paraId="41996F7E" w14:textId="77777777" w:rsidR="004B6BF1" w:rsidRDefault="005F77F1" w:rsidP="003274AE">
            <w:pPr>
              <w:pStyle w:val="TableText"/>
            </w:pPr>
            <w:r>
              <w:t xml:space="preserve">The minimum plausible value </w:t>
            </w:r>
            <w:r w:rsidR="005A488F">
              <w:t xml:space="preserve">uses </w:t>
            </w:r>
            <w:r w:rsidR="006D7510">
              <w:t xml:space="preserve">climate change </w:t>
            </w:r>
            <w:r w:rsidR="005A488F">
              <w:t xml:space="preserve">predictions </w:t>
            </w:r>
            <w:r w:rsidR="006D7510">
              <w:t xml:space="preserve">resulting in heat waves and drought and </w:t>
            </w:r>
            <w:r w:rsidR="005A488F">
              <w:t>of shifting temperature envelope and floristic shifts. These impacts are predicted to</w:t>
            </w:r>
            <w:r w:rsidR="00CC7B1E">
              <w:t xml:space="preserve"> occur by 2050-2100 (Laidlaw et al. 2011)</w:t>
            </w:r>
            <w:r w:rsidR="008B1DB2">
              <w:t>,</w:t>
            </w:r>
            <w:r w:rsidR="00CC7B1E">
              <w:t xml:space="preserve"> which is feasibly within one generation of this slow-growing</w:t>
            </w:r>
            <w:r w:rsidR="00FB3BF7">
              <w:t>,</w:t>
            </w:r>
            <w:r w:rsidR="00CC7B1E">
              <w:t xml:space="preserve"> long</w:t>
            </w:r>
            <w:r w:rsidR="00FB3BF7">
              <w:t>-</w:t>
            </w:r>
            <w:r w:rsidR="00CC7B1E">
              <w:t xml:space="preserve">lived species. </w:t>
            </w:r>
            <w:r>
              <w:t xml:space="preserve"> </w:t>
            </w:r>
          </w:p>
          <w:p w14:paraId="16F57BB8" w14:textId="2186781E" w:rsidR="00BB15C9" w:rsidRDefault="00BB15C9" w:rsidP="003274AE">
            <w:pPr>
              <w:pStyle w:val="TableText"/>
            </w:pPr>
            <w:r>
              <w:t xml:space="preserve">Further research is needed to determine if subpopulations are more drought protected than others. However, assuming a separate heatwave or drought season would impact each subpopulation separately then the maximum plausible value is six. </w:t>
            </w:r>
          </w:p>
        </w:tc>
      </w:tr>
      <w:tr w:rsidR="004B6BF1" w14:paraId="6FB62D87" w14:textId="77777777" w:rsidTr="000E6E1B">
        <w:trPr>
          <w:cantSplit/>
        </w:trPr>
        <w:tc>
          <w:tcPr>
            <w:tcW w:w="1672" w:type="dxa"/>
          </w:tcPr>
          <w:p w14:paraId="7C9F45F4" w14:textId="77777777" w:rsidR="004B6BF1" w:rsidRPr="00D20C80" w:rsidRDefault="004B6BF1" w:rsidP="00F00EF6">
            <w:pPr>
              <w:pStyle w:val="TableHeading"/>
              <w:keepNext w:val="0"/>
              <w:rPr>
                <w:rStyle w:val="Strong"/>
                <w:b/>
                <w:sz w:val="22"/>
              </w:rPr>
            </w:pPr>
            <w:r w:rsidRPr="00D20C80">
              <w:rPr>
                <w:rStyle w:val="Strong"/>
                <w:b/>
                <w:bCs w:val="0"/>
              </w:rPr>
              <w:t>Trend</w:t>
            </w:r>
          </w:p>
        </w:tc>
        <w:tc>
          <w:tcPr>
            <w:tcW w:w="3852" w:type="dxa"/>
            <w:gridSpan w:val="3"/>
            <w:shd w:val="clear" w:color="auto" w:fill="auto"/>
          </w:tcPr>
          <w:p w14:paraId="4341998F" w14:textId="45F42E06" w:rsidR="004B6BF1" w:rsidRDefault="005F77F1" w:rsidP="00F00EF6">
            <w:pPr>
              <w:pStyle w:val="TableText"/>
            </w:pPr>
            <w:r>
              <w:t>Static</w:t>
            </w:r>
          </w:p>
        </w:tc>
        <w:tc>
          <w:tcPr>
            <w:tcW w:w="3536" w:type="dxa"/>
            <w:shd w:val="clear" w:color="auto" w:fill="auto"/>
          </w:tcPr>
          <w:p w14:paraId="46ACD6B8" w14:textId="55A758B8" w:rsidR="004B6BF1" w:rsidRDefault="00570F2A" w:rsidP="00F00EF6">
            <w:pPr>
              <w:pStyle w:val="TableText"/>
            </w:pPr>
            <w:r>
              <w:t xml:space="preserve">Increased threat of decline via climate change and </w:t>
            </w:r>
            <w:r w:rsidR="005F77F1">
              <w:t>sl</w:t>
            </w:r>
            <w:r>
              <w:t xml:space="preserve">ow recovery and </w:t>
            </w:r>
            <w:r w:rsidR="005F77F1">
              <w:t xml:space="preserve">low </w:t>
            </w:r>
            <w:r>
              <w:t xml:space="preserve">recruitment potential for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442A80">
              <w:t xml:space="preserve"> </w:t>
            </w:r>
            <w:r>
              <w:t xml:space="preserve">are likely to </w:t>
            </w:r>
            <w:r w:rsidR="005F77F1">
              <w:t xml:space="preserve">maintain a location of one. </w:t>
            </w:r>
          </w:p>
        </w:tc>
      </w:tr>
      <w:tr w:rsidR="004B6BF1" w14:paraId="30798898" w14:textId="77777777" w:rsidTr="000E6E1B">
        <w:trPr>
          <w:cantSplit/>
        </w:trPr>
        <w:tc>
          <w:tcPr>
            <w:tcW w:w="1672" w:type="dxa"/>
          </w:tcPr>
          <w:p w14:paraId="3AFD8855" w14:textId="77777777" w:rsidR="004B6BF1" w:rsidRPr="00D20C80" w:rsidRDefault="004B6BF1" w:rsidP="00F00EF6">
            <w:pPr>
              <w:pStyle w:val="TableHeading"/>
              <w:keepNext w:val="0"/>
              <w:rPr>
                <w:rStyle w:val="Strong"/>
                <w:b/>
                <w:sz w:val="22"/>
              </w:rPr>
            </w:pPr>
            <w:bookmarkStart w:id="12" w:name="_Hlk51878889"/>
            <w:r w:rsidRPr="00D20C80">
              <w:rPr>
                <w:rStyle w:val="Strong"/>
                <w:b/>
                <w:bCs w:val="0"/>
              </w:rPr>
              <w:t>Basis of assessment of location number</w:t>
            </w:r>
            <w:bookmarkEnd w:id="12"/>
          </w:p>
        </w:tc>
        <w:tc>
          <w:tcPr>
            <w:tcW w:w="7388" w:type="dxa"/>
            <w:gridSpan w:val="4"/>
            <w:shd w:val="clear" w:color="auto" w:fill="auto"/>
          </w:tcPr>
          <w:p w14:paraId="35A5B0B9" w14:textId="02A168C9" w:rsidR="004B6BF1" w:rsidRDefault="005F77F1" w:rsidP="005F77F1">
            <w:pPr>
              <w:pStyle w:val="TableText"/>
            </w:pPr>
            <w:r>
              <w:t>Climate change will alter precipitation patterns, increase</w:t>
            </w:r>
            <w:r w:rsidR="005A488F">
              <w:t xml:space="preserve"> annual mean</w:t>
            </w:r>
            <w:r>
              <w:t xml:space="preserve"> temperatures and hence evapotranspiration and soil processes. </w:t>
            </w:r>
            <w:r w:rsidR="005A488F">
              <w:t xml:space="preserve">The predicted rising cloud cap will affect rainforest habitats (ANU 2009). </w:t>
            </w:r>
            <w:r>
              <w:t xml:space="preserve">The </w:t>
            </w:r>
            <w:r w:rsidR="00E005F0">
              <w:t>slow-growing</w:t>
            </w:r>
            <w:r>
              <w:t xml:space="preserv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with extremely low recruitment and complex recruitment requirements will not adjust and respond to the predicted shifts in altitude that temperate rainforest communities are predicted to undergo </w:t>
            </w:r>
            <w:r>
              <w:fldChar w:fldCharType="begin" w:fldLock="1"/>
            </w:r>
            <w:r>
              <w:instrText>ADDIN CSL_CITATION {"citationItems":[{"id":"ITEM-1","itemData":{"DOI":"10.1071/BT10319","ISSN":"00671924","abstract":"The potential for anthropogenic climate change to impact upon native vegetation has emphasised the need for monitoring and for dynamic management regimes. Potential impacts are numerous, but will likely include the upslope movement of species' ranges and increasing in situ turnover (compositional change) within plant assemblages. By assessing the potential impacts of climate change on subtropical rainforest communities in south-east Queensland through the establishment of an altitudinal transect, we aimed to establish the baseline composition of the vegetation and to develop two hypotheses against which climate change scenarios can be tested. The study identified existing high levels of turnover across tree assemblages from low to mid elevations absent at higher elevations and we predict: (1) subtropical rainforest communities which currently sit at the level of the cloud base (800-900m) will experience increasing floristic turnover, and (2) novel vegetation communities will emerge as species move upslope in response to a changing climate. Monitoring floristic turnover as a surrogate for shifting climatic habitats may be confounded both by a lack of knowledge regarding the underlying turnover rates of rainforest communities and by the disparity in temporal scales of tree community turnover and accelerating anthropogenic climate change. The identification of 'break points' in the relationship between current vegetation communities and gradients of precipitation and temperature will allow better direction of monitoring efforts. © 2011 CSIRO.","author":[{"dropping-particle":"","family":"Laidlaw","given":"M. J.","non-dropping-particle":"","parse-names":false,"suffix":""},{"dropping-particle":"","family":"McDonald","given":"W. J.F.","non-dropping-particle":"","parse-names":false,"suffix":""},{"dropping-particle":"","family":"Hunter","given":"R. John","non-dropping-particle":"","parse-names":false,"suffix":""},{"dropping-particle":"","family":"Putland","given":"D. A.","non-dropping-particle":"","parse-names":false,"suffix":""},{"dropping-particle":"","family":"Kitching","given":"R. L.","non-dropping-particle":"","parse-names":false,"suffix":""}],"container-title":"Australian Journal of Botany","id":"ITEM-1","issue":"5","issued":{"date-parts":[["2011"]]},"page":"440-449","title":"The potential impacts of climate change on Australian subtropical rainforest","type":"article-journal","volume":"59"},"uris":["http://www.mendeley.com/documents/?uuid=dae45cb6-a200-4674-8daa-9aa551ef5ce7"]}],"mendeley":{"formattedCitation":"(Laidlaw et al. 2011)","plainTextFormattedCitation":"(Laidlaw et al. 2011)","previouslyFormattedCitation":"(Laidlaw et al. 2011)"},"properties":{"noteIndex":0},"schema":"https://github.com/citation-style-language/schema/raw/master/csl-citation.json"}</w:instrText>
            </w:r>
            <w:r>
              <w:fldChar w:fldCharType="separate"/>
            </w:r>
            <w:r w:rsidRPr="003274AE">
              <w:rPr>
                <w:noProof/>
              </w:rPr>
              <w:t>(Laidlaw et al. 2011)</w:t>
            </w:r>
            <w:r>
              <w:fldChar w:fldCharType="end"/>
            </w:r>
            <w:r>
              <w:t xml:space="preserve">. </w:t>
            </w:r>
            <w:r w:rsidR="00FB3BF7">
              <w:t>This</w:t>
            </w:r>
            <w:r w:rsidR="00B45A75">
              <w:t>,</w:t>
            </w:r>
            <w:r w:rsidR="00FB3BF7">
              <w:t xml:space="preserve"> in combination with a rising cloud base and increased frequency and severity of </w:t>
            </w:r>
            <w:r w:rsidR="00334FE6">
              <w:t xml:space="preserve">maximum temperatures and </w:t>
            </w:r>
            <w:r w:rsidR="00FB3BF7">
              <w:t xml:space="preserve">bushfires are predicted to severely </w:t>
            </w:r>
            <w:r>
              <w:t xml:space="preserve">impact all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FB3BF7">
              <w:t>within one generation (a low confidence estimate of generation is more than 2</w:t>
            </w:r>
            <w:r w:rsidR="00B23CC8">
              <w:t>9</w:t>
            </w:r>
            <w:r w:rsidR="00FB3BF7">
              <w:t xml:space="preserve"> years). Thus</w:t>
            </w:r>
            <w:r w:rsidR="0078783E">
              <w:t>,</w:t>
            </w:r>
            <w:r w:rsidR="00FB3BF7">
              <w:t xml:space="preserve"> a </w:t>
            </w:r>
            <w:r>
              <w:t xml:space="preserve">location </w:t>
            </w:r>
            <w:r w:rsidR="00FB3BF7">
              <w:t xml:space="preserve">of one was assigned. </w:t>
            </w:r>
          </w:p>
        </w:tc>
      </w:tr>
      <w:tr w:rsidR="004B6BF1" w14:paraId="05D42DF0" w14:textId="77777777" w:rsidTr="000E6E1B">
        <w:trPr>
          <w:cantSplit/>
        </w:trPr>
        <w:tc>
          <w:tcPr>
            <w:tcW w:w="1672" w:type="dxa"/>
          </w:tcPr>
          <w:p w14:paraId="4179EB76" w14:textId="77777777" w:rsidR="004B6BF1" w:rsidRDefault="004B6BF1" w:rsidP="00F00EF6">
            <w:pPr>
              <w:pStyle w:val="TableHeading"/>
              <w:keepNext w:val="0"/>
              <w:rPr>
                <w:rStyle w:val="Strong"/>
                <w:b/>
                <w:bCs w:val="0"/>
              </w:rPr>
            </w:pPr>
            <w:r w:rsidRPr="00D20C80">
              <w:rPr>
                <w:rStyle w:val="Strong"/>
                <w:b/>
                <w:bCs w:val="0"/>
              </w:rPr>
              <w:t>Fragmentation</w:t>
            </w:r>
          </w:p>
          <w:p w14:paraId="7D4AE934" w14:textId="77777777" w:rsidR="004B6BF1" w:rsidRPr="00D20C80" w:rsidRDefault="004B6BF1" w:rsidP="00F00EF6">
            <w:pPr>
              <w:pStyle w:val="TableText"/>
              <w:rPr>
                <w:rStyle w:val="Strong"/>
                <w:b w:val="0"/>
                <w:bCs w:val="0"/>
              </w:rPr>
            </w:pPr>
          </w:p>
        </w:tc>
        <w:tc>
          <w:tcPr>
            <w:tcW w:w="7388" w:type="dxa"/>
            <w:gridSpan w:val="4"/>
            <w:shd w:val="clear" w:color="auto" w:fill="auto"/>
          </w:tcPr>
          <w:p w14:paraId="094060F4" w14:textId="00536568" w:rsidR="004B6BF1" w:rsidRDefault="00416463" w:rsidP="00F00EF6">
            <w:pPr>
              <w:pStyle w:val="TableText"/>
            </w:pPr>
            <w:r>
              <w:t>S</w:t>
            </w:r>
            <w:r w:rsidR="00E005F0">
              <w:t>ome s</w:t>
            </w:r>
            <w:r>
              <w:t xml:space="preserve">ubpopulations are separated by unsuitable </w:t>
            </w:r>
            <w:r w:rsidR="00E005F0">
              <w:t>habitats</w:t>
            </w:r>
            <w:r>
              <w:t xml:space="preserve"> (areas of agricultural or urban landscapes) and are between four and 24 km apart. </w:t>
            </w:r>
            <w:r w:rsidR="00FB3BF7">
              <w:t xml:space="preserve">Others </w:t>
            </w:r>
            <w:r>
              <w:t>are separated by altitudinal changes accompanied by vegetative shifts in dominant habitat types. Whilst birds can traverse these territories</w:t>
            </w:r>
            <w:r w:rsidR="00E005F0">
              <w:t xml:space="preserve"> it</w:t>
            </w:r>
            <w:r w:rsidR="7D9844BE">
              <w:t xml:space="preserve"> i</w:t>
            </w:r>
            <w:r w:rsidR="00E005F0">
              <w:t>s</w:t>
            </w:r>
            <w:r>
              <w:t xml:space="preserve"> unlikely that the insect pollinators do. </w:t>
            </w:r>
            <w:r w:rsidR="00E970AB">
              <w:t>Localised</w:t>
            </w:r>
            <w:r>
              <w:t xml:space="preserve"> pollination patterns may have isolated the</w:t>
            </w:r>
            <w:r w:rsidR="005F77F1">
              <w:t>se</w:t>
            </w:r>
            <w:r>
              <w:t xml:space="preserve"> geographically distant subpopulations. </w:t>
            </w:r>
            <w:r w:rsidR="005F77F1">
              <w:t xml:space="preserve">Genetic research is required to confirm this hypothesis. </w:t>
            </w:r>
          </w:p>
        </w:tc>
      </w:tr>
      <w:tr w:rsidR="004B6BF1" w14:paraId="44028964" w14:textId="77777777" w:rsidTr="000E6E1B">
        <w:trPr>
          <w:cantSplit/>
        </w:trPr>
        <w:tc>
          <w:tcPr>
            <w:tcW w:w="1672" w:type="dxa"/>
          </w:tcPr>
          <w:p w14:paraId="37F2F3A1" w14:textId="77777777" w:rsidR="004B6BF1" w:rsidRDefault="004B6BF1" w:rsidP="00F00EF6">
            <w:pPr>
              <w:pStyle w:val="TableHeading"/>
              <w:keepNext w:val="0"/>
              <w:rPr>
                <w:rStyle w:val="Strong"/>
                <w:b/>
                <w:sz w:val="22"/>
              </w:rPr>
            </w:pPr>
            <w:r w:rsidRPr="00D20C80">
              <w:rPr>
                <w:rStyle w:val="Strong"/>
                <w:b/>
                <w:bCs w:val="0"/>
              </w:rPr>
              <w:lastRenderedPageBreak/>
              <w:t>Fluctuations</w:t>
            </w:r>
          </w:p>
          <w:p w14:paraId="7E793E1A" w14:textId="77777777" w:rsidR="004B6BF1" w:rsidRPr="00D20C80" w:rsidRDefault="004B6BF1" w:rsidP="00F00EF6">
            <w:pPr>
              <w:pStyle w:val="TableText"/>
              <w:rPr>
                <w:rStyle w:val="Strong"/>
                <w:b w:val="0"/>
                <w:bCs w:val="0"/>
              </w:rPr>
            </w:pPr>
          </w:p>
        </w:tc>
        <w:tc>
          <w:tcPr>
            <w:tcW w:w="7388" w:type="dxa"/>
            <w:gridSpan w:val="4"/>
            <w:shd w:val="clear" w:color="auto" w:fill="auto"/>
          </w:tcPr>
          <w:p w14:paraId="041C129B" w14:textId="1A65FF64" w:rsidR="004B6BF1" w:rsidRDefault="00D84499" w:rsidP="00416463">
            <w:pPr>
              <w:pStyle w:val="TableText"/>
            </w:pPr>
            <w:proofErr w:type="spellStart"/>
            <w:r w:rsidRPr="009359EA">
              <w:rPr>
                <w:i/>
                <w:iCs/>
              </w:rPr>
              <w:t>Corokia</w:t>
            </w:r>
            <w:proofErr w:type="spellEnd"/>
            <w:r w:rsidRPr="009359EA">
              <w:rPr>
                <w:i/>
                <w:iCs/>
              </w:rPr>
              <w:t xml:space="preserve"> </w:t>
            </w:r>
            <w:proofErr w:type="spellStart"/>
            <w:r w:rsidRPr="009359EA">
              <w:rPr>
                <w:i/>
                <w:iCs/>
              </w:rPr>
              <w:t>whiteana</w:t>
            </w:r>
            <w:proofErr w:type="spellEnd"/>
            <w:r w:rsidRPr="00416463">
              <w:t xml:space="preserve"> </w:t>
            </w:r>
            <w:r w:rsidR="00416463" w:rsidRPr="00416463">
              <w:t xml:space="preserve">is </w:t>
            </w:r>
            <w:r w:rsidR="005F77F1">
              <w:t xml:space="preserve">a long-lived resprouting species with low fecundity and low recruitment. It is </w:t>
            </w:r>
            <w:r w:rsidR="00416463" w:rsidRPr="00416463">
              <w:t>not subject to extreme fluct</w:t>
            </w:r>
            <w:r w:rsidR="005F77F1">
              <w:t>uations</w:t>
            </w:r>
            <w:r w:rsidR="00416463" w:rsidRPr="00416463">
              <w:t xml:space="preserve"> in </w:t>
            </w:r>
            <w:r w:rsidR="004B6BF1" w:rsidRPr="00416463">
              <w:t xml:space="preserve">EOO, AOO, number of subpopulations, </w:t>
            </w:r>
            <w:proofErr w:type="gramStart"/>
            <w:r w:rsidR="004B6BF1" w:rsidRPr="00416463">
              <w:t>locations</w:t>
            </w:r>
            <w:proofErr w:type="gramEnd"/>
            <w:r w:rsidR="004B6BF1" w:rsidRPr="00416463">
              <w:t xml:space="preserve"> or mature individuals </w:t>
            </w:r>
          </w:p>
        </w:tc>
      </w:tr>
    </w:tbl>
    <w:p w14:paraId="3A25A39C" w14:textId="77777777" w:rsidR="004B6BF1" w:rsidRPr="004B6BF1" w:rsidRDefault="004B6BF1" w:rsidP="004B6BF1"/>
    <w:p w14:paraId="1CDBDD5A" w14:textId="3559D693" w:rsidR="003A06CA" w:rsidRDefault="00C2736A" w:rsidP="00D447A7">
      <w:pPr>
        <w:pStyle w:val="Caption"/>
        <w:rPr>
          <w:lang w:eastAsia="ja-JP"/>
        </w:rPr>
      </w:pPr>
      <w:r>
        <w:rPr>
          <w:lang w:eastAsia="ja-JP"/>
        </w:rPr>
        <w:t xml:space="preserve">Criterion 1 </w:t>
      </w:r>
      <w:r w:rsidR="00933A0D">
        <w:rPr>
          <w:lang w:eastAsia="ja-JP"/>
        </w:rPr>
        <w:t xml:space="preserve">Population </w:t>
      </w:r>
      <w:r w:rsidR="00E005F0">
        <w:rPr>
          <w:lang w:eastAsia="ja-JP"/>
        </w:rPr>
        <w:t>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3832141C" w14:textId="77777777" w:rsidTr="0050535B">
        <w:trPr>
          <w:cantSplit/>
          <w:trHeight w:val="606"/>
        </w:trPr>
        <w:tc>
          <w:tcPr>
            <w:tcW w:w="9975" w:type="dxa"/>
            <w:gridSpan w:val="6"/>
            <w:shd w:val="clear" w:color="auto" w:fill="595959" w:themeFill="text1" w:themeFillTint="A6"/>
            <w:vAlign w:val="center"/>
          </w:tcPr>
          <w:p w14:paraId="39C791D3"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0C6E52F2"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3A4272"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A140C2B" w14:textId="77777777" w:rsidR="00DD3067" w:rsidRPr="00936152" w:rsidRDefault="00DD3067" w:rsidP="00476948">
            <w:pPr>
              <w:pStyle w:val="TableText"/>
              <w:keepNext/>
              <w:rPr>
                <w:rStyle w:val="Strong"/>
              </w:rPr>
            </w:pPr>
            <w:r w:rsidRPr="00936152">
              <w:rPr>
                <w:rStyle w:val="Strong"/>
              </w:rPr>
              <w:t>Critically Endangered</w:t>
            </w:r>
          </w:p>
          <w:p w14:paraId="6E23B817"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B5A4EE7" w14:textId="77777777" w:rsidR="00DD3067" w:rsidRPr="00936152" w:rsidRDefault="00DD3067" w:rsidP="00476948">
            <w:pPr>
              <w:pStyle w:val="TableText"/>
              <w:keepNext/>
              <w:rPr>
                <w:rStyle w:val="Strong"/>
              </w:rPr>
            </w:pPr>
            <w:r w:rsidRPr="00936152">
              <w:rPr>
                <w:rStyle w:val="Strong"/>
              </w:rPr>
              <w:t>Endangered</w:t>
            </w:r>
          </w:p>
          <w:p w14:paraId="0291DA33"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06C87C2" w14:textId="77777777" w:rsidR="00DD3067" w:rsidRPr="00936152" w:rsidRDefault="00DD3067" w:rsidP="00476948">
            <w:pPr>
              <w:pStyle w:val="TableText"/>
              <w:keepNext/>
              <w:rPr>
                <w:rStyle w:val="Strong"/>
              </w:rPr>
            </w:pPr>
            <w:r w:rsidRPr="00936152">
              <w:rPr>
                <w:rStyle w:val="Strong"/>
              </w:rPr>
              <w:t>Vulnerable</w:t>
            </w:r>
          </w:p>
          <w:p w14:paraId="4EA0DDEB"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01B9C73A"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F70C7D5"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24AF1FE1"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6D66CAFC"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1B8613FE" w14:textId="77777777" w:rsidR="00DD3067" w:rsidRPr="00556843" w:rsidRDefault="00DD3067" w:rsidP="00476948">
            <w:pPr>
              <w:pStyle w:val="TableText"/>
              <w:keepNext/>
            </w:pPr>
            <w:r w:rsidRPr="00556843">
              <w:t>≥ 50%</w:t>
            </w:r>
          </w:p>
        </w:tc>
      </w:tr>
      <w:tr w:rsidR="00DD3067" w:rsidRPr="00556843" w14:paraId="546055A3"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4F1CA847"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19708C15"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DBAB568"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ECE1DF6" w14:textId="77777777" w:rsidR="00DD3067" w:rsidRPr="00556843" w:rsidRDefault="00DD3067" w:rsidP="00476948">
            <w:pPr>
              <w:pStyle w:val="TableText"/>
              <w:keepNext/>
            </w:pPr>
            <w:r w:rsidRPr="00556843">
              <w:t>≥ 30%</w:t>
            </w:r>
          </w:p>
        </w:tc>
      </w:tr>
      <w:tr w:rsidR="00266DC5" w:rsidRPr="00556843" w14:paraId="42CD7CA4"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0EC21DF1"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48036437"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45287EA0"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3D8EA880"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4E31151"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5801F168" wp14:editId="5D97169E">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497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361C0999"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6CA8FCC2" w14:textId="77777777" w:rsidR="00266DC5" w:rsidRDefault="00266DC5" w:rsidP="000D55BC">
            <w:pPr>
              <w:pStyle w:val="TableText"/>
              <w:ind w:left="312" w:hanging="312"/>
            </w:pPr>
            <w:r w:rsidRPr="00556843">
              <w:t>(b)</w:t>
            </w:r>
            <w:r w:rsidRPr="00556843">
              <w:tab/>
              <w:t>an index of abundance appropriate to the taxon</w:t>
            </w:r>
          </w:p>
          <w:p w14:paraId="29F597F0"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4DD29699" w14:textId="77777777" w:rsidR="00266DC5" w:rsidRPr="00556843" w:rsidRDefault="00266DC5" w:rsidP="000D55BC">
            <w:pPr>
              <w:pStyle w:val="TableText"/>
              <w:ind w:left="312" w:hanging="312"/>
            </w:pPr>
            <w:r w:rsidRPr="00556843">
              <w:t>(d)</w:t>
            </w:r>
            <w:r w:rsidRPr="00556843">
              <w:tab/>
              <w:t>actual or potential levels of exploitation</w:t>
            </w:r>
          </w:p>
          <w:p w14:paraId="22E83F34" w14:textId="314EBF01" w:rsidR="00266DC5" w:rsidRPr="00556843" w:rsidRDefault="00266DC5" w:rsidP="000D55BC">
            <w:pPr>
              <w:pStyle w:val="TableText"/>
              <w:ind w:left="312" w:hanging="312"/>
            </w:pPr>
            <w:r w:rsidRPr="00556843">
              <w:t>(e)</w:t>
            </w:r>
            <w:r w:rsidRPr="00556843">
              <w:tab/>
              <w:t xml:space="preserve">the effects of introduced taxa, </w:t>
            </w:r>
            <w:r w:rsidR="00E970AB">
              <w:t>hybridisation</w:t>
            </w:r>
            <w:r w:rsidRPr="00556843">
              <w:t xml:space="preserve">, pathogens, pollutants, </w:t>
            </w:r>
            <w:proofErr w:type="gramStart"/>
            <w:r w:rsidRPr="00556843">
              <w:t>competitors</w:t>
            </w:r>
            <w:proofErr w:type="gramEnd"/>
            <w:r w:rsidRPr="00556843">
              <w:t xml:space="preserve"> or parasites</w:t>
            </w:r>
          </w:p>
        </w:tc>
      </w:tr>
    </w:tbl>
    <w:p w14:paraId="603375BE" w14:textId="77777777" w:rsidR="000F3D21" w:rsidRDefault="00C2736A" w:rsidP="00B52E90">
      <w:pPr>
        <w:pStyle w:val="Heading3"/>
        <w:rPr>
          <w:lang w:eastAsia="ja-JP"/>
        </w:rPr>
      </w:pPr>
      <w:r>
        <w:rPr>
          <w:lang w:eastAsia="ja-JP"/>
        </w:rPr>
        <w:t>Criterion 1 e</w:t>
      </w:r>
      <w:r w:rsidR="000F3D21">
        <w:rPr>
          <w:lang w:eastAsia="ja-JP"/>
        </w:rPr>
        <w:t>vidence</w:t>
      </w:r>
    </w:p>
    <w:p w14:paraId="10580286" w14:textId="547D204A" w:rsidR="000F3D21" w:rsidRDefault="00CF2E6D" w:rsidP="000F3D21">
      <w:pPr>
        <w:rPr>
          <w:lang w:eastAsia="ja-JP"/>
        </w:rPr>
      </w:pPr>
      <w:r>
        <w:rPr>
          <w:b/>
          <w:bCs/>
          <w:lang w:eastAsia="ja-JP"/>
        </w:rPr>
        <w:t>Insufficient data to determine eligibility</w:t>
      </w:r>
    </w:p>
    <w:p w14:paraId="4BEEF1FC" w14:textId="6887F591" w:rsidR="001A1759" w:rsidRPr="001A1759" w:rsidRDefault="001A1759" w:rsidP="001A1759">
      <w:pPr>
        <w:rPr>
          <w:i/>
          <w:iCs/>
          <w:lang w:eastAsia="ja-JP"/>
        </w:rPr>
      </w:pPr>
      <w:r w:rsidRPr="001A1759">
        <w:rPr>
          <w:i/>
          <w:iCs/>
          <w:lang w:eastAsia="ja-JP"/>
        </w:rPr>
        <w:t>Population decline</w:t>
      </w:r>
      <w:r>
        <w:rPr>
          <w:i/>
          <w:iCs/>
          <w:lang w:eastAsia="ja-JP"/>
        </w:rPr>
        <w:t xml:space="preserve"> is less than 30 percent</w:t>
      </w:r>
    </w:p>
    <w:p w14:paraId="1F89DCAE" w14:textId="062753F7" w:rsidR="001A1759" w:rsidRPr="001A1759" w:rsidRDefault="001A1759" w:rsidP="001A1759">
      <w:r>
        <w:rPr>
          <w:lang w:eastAsia="ja-JP"/>
        </w:rPr>
        <w:t xml:space="preserve">The 2019-2020 bushfires overlapped with eight percent of the modelled range of </w:t>
      </w:r>
      <w:proofErr w:type="spellStart"/>
      <w:r>
        <w:rPr>
          <w:lang w:eastAsia="ja-JP"/>
        </w:rPr>
        <w:t>Corokia</w:t>
      </w:r>
      <w:proofErr w:type="spellEnd"/>
      <w:r>
        <w:rPr>
          <w:lang w:eastAsia="ja-JP"/>
        </w:rPr>
        <w:t xml:space="preserve">. </w:t>
      </w:r>
      <w:r w:rsidRPr="001A1759">
        <w:t xml:space="preserve">Three percent overlapped with high severity fire areas and 0.1 percent </w:t>
      </w:r>
      <w:r w:rsidR="00E274E7">
        <w:t>with</w:t>
      </w:r>
      <w:r w:rsidRPr="001A1759">
        <w:t xml:space="preserve"> very high severity fire areas </w:t>
      </w:r>
      <w:r w:rsidRPr="001A1759">
        <w:fldChar w:fldCharType="begin" w:fldLock="1"/>
      </w:r>
      <w:r w:rsidRPr="001A1759">
        <w:instrText>ADDIN CSL_CITATION {"citationItems":[{"id":"ITEM-1","itemData":{"DOI":"10.1111/ddi.13265","ISSN":"14724642","abstract":"Aim: To quantify the impact of the 2019–2020 megafires on Australian plant diversity by assessing burnt area across 26,062 species ranges and the effects of fire history on recovery potential. Further, to exemplify a strategic approach to prioritizing plant species affected by fire for recovery actions and conservation planning at a national scale. Location: Australia. Methods: We combine data on geographic range, fire extent, response traits and fire history to assess the proportion of species ranges burnt in both the 2019–2020 fires and the past. Results: Across Australia, suitable habitat for 69% of all plant species was burnt (17,197 species) by the 2019–2020 fires and herbarium specimens confirm the presence of 9,092 of these species across the fire extent since 1950. Burnt ranges include those of 587 plants listed as threatened under national legislation (44% of Australia's threatened plants). A total of 3,998 of the 17,197 fire-affected species are known to resprout after fire, but at least 2,928 must complete their entire life cycle—from germinant to reproducing adult—prior to subsequent fires, as they are killed by fire. Data on previous fires show that, for 257 species, the historical intervals between fire events across their range are likely too short to allow regeneration. For a further 411 species, future fires during recovery will increase extinction risk as current populations are dominated by immature individuals. Main conclusion: Many Australian plant species have strategies to persist under certain fire regimes, and will recover given time, suitable conditions and low exposure to threats. However, short fire intervals both before and after the 2019–2020 fire season pose a serious risk to the recovery of at least 595 species. Persistent knowledge gaps about species fire response and post-fire population persistence threaten the effective long-term management of Australian vegetation in an increasingly pyric world.","author":[{"dropping-particle":"V.","family":"Gallagher","given":"Rachael","non-dropping-particle":"","parse-names":false,"suffix":""},{"dropping-particle":"","family":"Allen","given":"Stuart","non-dropping-particle":"","parse-names":false,"suffix":""},{"dropping-particle":"","family":"Mackenzie","given":"Berin D.E.","non-dropping-particle":"","parse-names":false,"suffix":""},{"dropping-particle":"","family":"Yates","given":"Colin J.","non-dropping-particle":"","parse-names":false,"suffix":""},{"dropping-particle":"","family":"Gosper","given":"Carl R.","non-dropping-particle":"","parse-names":false,"suffix":""},{"dropping-particle":"","family":"Keith","given":"David A.","non-dropping-particle":"","parse-names":false,"suffix":""},{"dropping-particle":"","family":"Merow","given":"Cory","non-dropping-particle":"","parse-names":false,"suffix":""},{"dropping-particle":"","family":"White","given":"Matthew D.","non-dropping-particle":"","parse-names":false,"suffix":""},{"dropping-particle":"","family":"Wenk","given":"Elizabeth","non-dropping-particle":"","parse-names":false,"suffix":""},{"dropping-particle":"","family":"Maitner","given":"Brian S.","non-dropping-particle":"","parse-names":false,"suffix":""},{"dropping-particle":"","family":"He","given":"Kang","non-dropping-particle":"","parse-names":false,"suffix":""},{"dropping-particle":"","family":"Adams","given":"Vanessa M.","non-dropping-particle":"","parse-names":false,"suffix":""},{"dropping-particle":"","family":"Auld","given":"Tony D.","non-dropping-particle":"","parse-names":false,"suffix":""}],"container-title":"Diversity and Distributions","id":"ITEM-1","issue":"7","issued":{"date-parts":[["2021"]]},"page":"1166-1179","title":"High fire frequency and the impact of the 2019–2020 megafires on Australian plant diversity","type":"article-journal","volume":"27"},"uris":["http://www.mendeley.com/documents/?uuid=3d43ab64-bd58-4111-9278-0fee3c0d4355"]}],"mendeley":{"formattedCitation":"(Gallagher et al. 2021)","plainTextFormattedCitation":"(Gallagher et al. 2021)","previouslyFormattedCitation":"(Gallagher et al. 2021)"},"properties":{"noteIndex":0},"schema":"https://github.com/citation-style-language/schema/raw/master/csl-citation.json"}</w:instrText>
      </w:r>
      <w:r w:rsidRPr="001A1759">
        <w:fldChar w:fldCharType="separate"/>
      </w:r>
      <w:r w:rsidRPr="001A1759">
        <w:rPr>
          <w:noProof/>
        </w:rPr>
        <w:t>(Gallagher et al. 2021)</w:t>
      </w:r>
      <w:r w:rsidRPr="001A1759">
        <w:fldChar w:fldCharType="end"/>
      </w:r>
      <w:r w:rsidRPr="001A1759">
        <w:t xml:space="preserve">. </w:t>
      </w:r>
      <w:r w:rsidR="00E274E7">
        <w:t>N</w:t>
      </w:r>
      <w:r w:rsidRPr="001A1759">
        <w:t>o post-fire surveys have been conducted specifically for the species</w:t>
      </w:r>
      <w:r w:rsidR="00E274E7">
        <w:t>. O</w:t>
      </w:r>
      <w:r w:rsidRPr="001A1759">
        <w:t xml:space="preserve">bservations of post-fire regrowth from undamaged stems or from </w:t>
      </w:r>
      <w:r w:rsidR="00E005F0">
        <w:t>rootstock</w:t>
      </w:r>
      <w:r w:rsidRPr="001A1759">
        <w:t xml:space="preserve"> has been observed after light to medium fires (Robert </w:t>
      </w:r>
      <w:proofErr w:type="spellStart"/>
      <w:r w:rsidRPr="001A1759">
        <w:t>Kooyman</w:t>
      </w:r>
      <w:proofErr w:type="spellEnd"/>
      <w:r w:rsidRPr="001A1759">
        <w:t xml:space="preserve"> and Andrew </w:t>
      </w:r>
      <w:proofErr w:type="spellStart"/>
      <w:r w:rsidRPr="001A1759">
        <w:t>Benwell</w:t>
      </w:r>
      <w:proofErr w:type="spellEnd"/>
      <w:r w:rsidRPr="001A1759">
        <w:t xml:space="preserve"> </w:t>
      </w:r>
      <w:r w:rsidR="00971C10">
        <w:t>2021. pers</w:t>
      </w:r>
      <w:r w:rsidRPr="001A1759">
        <w:t xml:space="preserve"> comm 28 July), though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rsidRPr="001A1759">
        <w:t xml:space="preserve"> </w:t>
      </w:r>
      <w:r w:rsidRPr="001A1759">
        <w:t>is killed in hot fires (</w:t>
      </w:r>
      <w:proofErr w:type="spellStart"/>
      <w:r w:rsidRPr="001A1759">
        <w:t>Kooyman</w:t>
      </w:r>
      <w:proofErr w:type="spellEnd"/>
      <w:r w:rsidRPr="001A1759">
        <w:t xml:space="preserve"> </w:t>
      </w:r>
      <w:r w:rsidR="00E274E7">
        <w:t xml:space="preserve">&amp; Mallee </w:t>
      </w:r>
      <w:r w:rsidRPr="001A1759">
        <w:t>202</w:t>
      </w:r>
      <w:r w:rsidR="00E274E7">
        <w:t>0</w:t>
      </w:r>
      <w:r w:rsidRPr="001A1759">
        <w:t xml:space="preserve">). </w:t>
      </w:r>
      <w:r>
        <w:t xml:space="preserve">From these observations we can anticipate a decline of 3–4 percent in the total population due to </w:t>
      </w:r>
      <w:r w:rsidR="00E005F0">
        <w:t>bushfires</w:t>
      </w:r>
      <w:r>
        <w:t xml:space="preserve">. There are no survey data to suggest </w:t>
      </w:r>
      <w:r w:rsidR="00CF2E6D">
        <w:t xml:space="preserve">either a historical or recent </w:t>
      </w:r>
      <w:r w:rsidR="00A73FD7">
        <w:t xml:space="preserve">decline of over 30 percent </w:t>
      </w:r>
      <w:r w:rsidR="00CF2E6D">
        <w:t>has occurred due to</w:t>
      </w:r>
      <w:r>
        <w:t xml:space="preserve"> any other threatening process.</w:t>
      </w:r>
      <w:r w:rsidR="0044257E">
        <w:t xml:space="preserve"> </w:t>
      </w:r>
    </w:p>
    <w:p w14:paraId="1464B74A" w14:textId="77777777" w:rsidR="00CF2E6D" w:rsidRPr="00346064" w:rsidRDefault="00CF2E6D" w:rsidP="00CF2E6D">
      <w:pPr>
        <w:keepNext/>
        <w:rPr>
          <w:bCs/>
          <w:i/>
          <w:iCs/>
        </w:rPr>
      </w:pPr>
      <w:r>
        <w:rPr>
          <w:bCs/>
          <w:i/>
          <w:iCs/>
        </w:rPr>
        <w:lastRenderedPageBreak/>
        <w:t>Conclusion</w:t>
      </w:r>
    </w:p>
    <w:p w14:paraId="76D83EB0" w14:textId="77777777" w:rsidR="00CF2E6D" w:rsidRPr="003558BA" w:rsidRDefault="00CF2E6D" w:rsidP="00CF2E6D">
      <w:pPr>
        <w:rPr>
          <w:lang w:eastAsia="ja-JP"/>
        </w:rPr>
      </w:pPr>
      <w:r w:rsidRPr="000A5525">
        <w:rPr>
          <w:bCs/>
        </w:rPr>
        <w:t>There are insufficient data to demonstrate if the species is eligible for listing under this criterion. However, the</w:t>
      </w:r>
      <w:r w:rsidRPr="00374C7B">
        <w:rPr>
          <w:bCs/>
        </w:rPr>
        <w:t xml:space="preserve"> purpose of this consultation document is to elicit additional information to better understand the species’ status. This conclusion should therefore </w:t>
      </w:r>
      <w:proofErr w:type="gramStart"/>
      <w:r w:rsidRPr="00374C7B">
        <w:rPr>
          <w:bCs/>
        </w:rPr>
        <w:t>be considered to be</w:t>
      </w:r>
      <w:proofErr w:type="gramEnd"/>
      <w:r w:rsidRPr="00374C7B">
        <w:rPr>
          <w:bCs/>
        </w:rPr>
        <w:t xml:space="preserve"> tentative at this stage, as it may be changed as a result of responses to this consultation process.</w:t>
      </w:r>
    </w:p>
    <w:p w14:paraId="3226404F" w14:textId="5BEBB9B4" w:rsidR="003558BA" w:rsidRPr="003558BA" w:rsidRDefault="003558BA" w:rsidP="001A1759">
      <w:pPr>
        <w:pStyle w:val="Instructiontext"/>
        <w:rPr>
          <w:lang w:eastAsia="ja-JP"/>
        </w:rPr>
      </w:pPr>
    </w:p>
    <w:p w14:paraId="007DE8FA" w14:textId="7777777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5A7A8445" w14:textId="77777777" w:rsidTr="00B6264B">
        <w:trPr>
          <w:trHeight w:val="350"/>
        </w:trPr>
        <w:tc>
          <w:tcPr>
            <w:tcW w:w="10738" w:type="dxa"/>
            <w:gridSpan w:val="4"/>
            <w:tcBorders>
              <w:bottom w:val="nil"/>
            </w:tcBorders>
            <w:shd w:val="clear" w:color="auto" w:fill="595959" w:themeFill="text1" w:themeFillTint="A6"/>
            <w:vAlign w:val="center"/>
          </w:tcPr>
          <w:p w14:paraId="795F5CDD"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43B9E79D" w14:textId="77777777" w:rsidTr="00B6264B">
        <w:tc>
          <w:tcPr>
            <w:tcW w:w="4111" w:type="dxa"/>
            <w:tcBorders>
              <w:top w:val="nil"/>
              <w:bottom w:val="nil"/>
              <w:right w:val="nil"/>
            </w:tcBorders>
          </w:tcPr>
          <w:p w14:paraId="2931255B"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5D72E92D" w14:textId="77777777" w:rsidR="00B6264B" w:rsidRPr="00795F43" w:rsidRDefault="00B6264B" w:rsidP="000E630E">
            <w:pPr>
              <w:pStyle w:val="TableText"/>
              <w:keepNext/>
              <w:rPr>
                <w:rStyle w:val="Strong"/>
              </w:rPr>
            </w:pPr>
            <w:r w:rsidRPr="00795F43">
              <w:rPr>
                <w:rStyle w:val="Strong"/>
              </w:rPr>
              <w:t>Critically Endangered</w:t>
            </w:r>
          </w:p>
          <w:p w14:paraId="1C684A60"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7FA1559" w14:textId="77777777" w:rsidR="00B6264B" w:rsidRPr="00556843" w:rsidRDefault="00B6264B" w:rsidP="000E630E">
            <w:pPr>
              <w:pStyle w:val="TableText"/>
              <w:keepNext/>
              <w:rPr>
                <w:b/>
              </w:rPr>
            </w:pPr>
            <w:r w:rsidRPr="00556843">
              <w:rPr>
                <w:b/>
              </w:rPr>
              <w:t>Endangered</w:t>
            </w:r>
          </w:p>
          <w:p w14:paraId="0011D453"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470B1139" w14:textId="77777777" w:rsidR="00B6264B" w:rsidRPr="00556843" w:rsidRDefault="00B6264B" w:rsidP="000E630E">
            <w:pPr>
              <w:pStyle w:val="TableText"/>
              <w:keepNext/>
              <w:rPr>
                <w:b/>
              </w:rPr>
            </w:pPr>
            <w:r w:rsidRPr="00556843">
              <w:rPr>
                <w:b/>
              </w:rPr>
              <w:t>Vulnerable</w:t>
            </w:r>
          </w:p>
          <w:p w14:paraId="0EA0A3D5" w14:textId="77777777" w:rsidR="00B6264B" w:rsidRPr="00556843" w:rsidRDefault="00B6264B" w:rsidP="000E630E">
            <w:pPr>
              <w:pStyle w:val="TableText"/>
              <w:keepNext/>
              <w:rPr>
                <w:b/>
              </w:rPr>
            </w:pPr>
            <w:r w:rsidRPr="00556843">
              <w:rPr>
                <w:b/>
              </w:rPr>
              <w:t>Limited</w:t>
            </w:r>
          </w:p>
        </w:tc>
      </w:tr>
      <w:tr w:rsidR="00B6264B" w:rsidRPr="00556843" w14:paraId="05F9B595"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4DF74594"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22352CEA"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D08C0EE"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03DE65F2"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5B6C491D"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57B7BF3D"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F306426"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E7EC93E"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20FB1549"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3328BC14" w14:textId="77777777" w:rsidTr="00B6264B">
        <w:tc>
          <w:tcPr>
            <w:tcW w:w="10738" w:type="dxa"/>
            <w:gridSpan w:val="4"/>
            <w:tcBorders>
              <w:top w:val="nil"/>
              <w:bottom w:val="nil"/>
            </w:tcBorders>
          </w:tcPr>
          <w:p w14:paraId="643DD532"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39FAAE18"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3CC407BC"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4769812D"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58D78EF"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0F653DA5" w14:textId="77777777" w:rsidR="00B6264B" w:rsidRPr="00556843" w:rsidRDefault="00B6264B" w:rsidP="000E630E">
            <w:pPr>
              <w:pStyle w:val="TableText"/>
              <w:keepNext/>
              <w:rPr>
                <w:b/>
              </w:rPr>
            </w:pPr>
            <w:r w:rsidRPr="00556843">
              <w:rPr>
                <w:b/>
              </w:rPr>
              <w:t>≤ 10</w:t>
            </w:r>
          </w:p>
        </w:tc>
      </w:tr>
      <w:tr w:rsidR="00B6264B" w:rsidRPr="00556843" w14:paraId="4C615B56"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60F5AFAD"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01D801A9" w14:textId="77777777" w:rsidTr="00B6264B">
        <w:tc>
          <w:tcPr>
            <w:tcW w:w="10738" w:type="dxa"/>
            <w:gridSpan w:val="4"/>
            <w:tcBorders>
              <w:top w:val="single" w:sz="4" w:space="0" w:color="FFFFFF" w:themeColor="background1"/>
            </w:tcBorders>
            <w:shd w:val="clear" w:color="auto" w:fill="BFBFBF" w:themeFill="background1" w:themeFillShade="BF"/>
          </w:tcPr>
          <w:p w14:paraId="4DF9C3C3"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56C4607F"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1504EACC" w14:textId="77777777" w:rsidR="00D7702D" w:rsidRPr="009D7E68" w:rsidRDefault="00D7702D" w:rsidP="00D7702D">
      <w:pPr>
        <w:rPr>
          <w:b/>
          <w:bCs/>
          <w:lang w:eastAsia="ja-JP"/>
        </w:rPr>
      </w:pPr>
      <w:r w:rsidRPr="009D7E68">
        <w:rPr>
          <w:rStyle w:val="Strong"/>
        </w:rPr>
        <w:t>Eligible under Criterion 2</w:t>
      </w:r>
      <w:r w:rsidRPr="009D7E68">
        <w:rPr>
          <w:bCs/>
          <w:lang w:eastAsia="ja-JP"/>
        </w:rPr>
        <w:t xml:space="preserve"> </w:t>
      </w:r>
      <w:r w:rsidRPr="000E04CB">
        <w:rPr>
          <w:b/>
          <w:lang w:eastAsia="ja-JP"/>
        </w:rPr>
        <w:t>B1ab(</w:t>
      </w:r>
      <w:proofErr w:type="spellStart"/>
      <w:proofErr w:type="gramStart"/>
      <w:r w:rsidRPr="000E04CB">
        <w:rPr>
          <w:b/>
          <w:lang w:eastAsia="ja-JP"/>
        </w:rPr>
        <w:t>i,ii</w:t>
      </w:r>
      <w:proofErr w:type="gramEnd"/>
      <w:r w:rsidRPr="000E04CB">
        <w:rPr>
          <w:b/>
          <w:lang w:eastAsia="ja-JP"/>
        </w:rPr>
        <w:t>,iii,iv,v</w:t>
      </w:r>
      <w:proofErr w:type="spellEnd"/>
      <w:r w:rsidRPr="000E04CB">
        <w:rPr>
          <w:b/>
          <w:lang w:eastAsia="ja-JP"/>
        </w:rPr>
        <w:t>)+2ab(</w:t>
      </w:r>
      <w:proofErr w:type="spellStart"/>
      <w:r w:rsidRPr="000E04CB">
        <w:rPr>
          <w:b/>
          <w:lang w:eastAsia="ja-JP"/>
        </w:rPr>
        <w:t>i,ii,iii,iv,v</w:t>
      </w:r>
      <w:proofErr w:type="spellEnd"/>
      <w:r w:rsidRPr="000E04CB">
        <w:rPr>
          <w:b/>
          <w:lang w:eastAsia="ja-JP"/>
        </w:rPr>
        <w:t xml:space="preserve">) </w:t>
      </w:r>
      <w:r w:rsidRPr="002F7749">
        <w:rPr>
          <w:rStyle w:val="Strong"/>
        </w:rPr>
        <w:t>for listing as</w:t>
      </w:r>
      <w:r w:rsidRPr="002F7749">
        <w:rPr>
          <w:b/>
          <w:lang w:eastAsia="ja-JP"/>
        </w:rPr>
        <w:t xml:space="preserve"> </w:t>
      </w:r>
      <w:sdt>
        <w:sdtPr>
          <w:rPr>
            <w:b/>
          </w:rPr>
          <w:id w:val="1424234358"/>
          <w:placeholder>
            <w:docPart w:val="264BDAA5EF7D484EAAD3451A6D2001DA"/>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E09C6" w:rsidRPr="000E04CB">
            <w:rPr>
              <w:b/>
            </w:rPr>
            <w:t>Endangered</w:t>
          </w:r>
        </w:sdtContent>
      </w:sdt>
      <w:r w:rsidRPr="009D7E68">
        <w:rPr>
          <w:b/>
          <w:bCs/>
          <w:lang w:eastAsia="ja-JP"/>
        </w:rPr>
        <w:t xml:space="preserve"> </w:t>
      </w:r>
    </w:p>
    <w:p w14:paraId="5FB1F7F0" w14:textId="77777777" w:rsidR="00CF2E6D" w:rsidRPr="005A5126" w:rsidRDefault="00CF2E6D" w:rsidP="00D7702D">
      <w:pPr>
        <w:rPr>
          <w:i/>
          <w:iCs/>
          <w:lang w:eastAsia="ja-JP"/>
        </w:rPr>
      </w:pPr>
      <w:r w:rsidRPr="005A5126">
        <w:rPr>
          <w:i/>
          <w:iCs/>
          <w:lang w:eastAsia="ja-JP"/>
        </w:rPr>
        <w:t>Geographic distribution and generation length</w:t>
      </w:r>
    </w:p>
    <w:p w14:paraId="78B05E96" w14:textId="1F2235B5" w:rsidR="00D7702D" w:rsidRDefault="00D84499" w:rsidP="00D7702D">
      <w:pPr>
        <w:rPr>
          <w:lang w:eastAsia="ja-JP"/>
        </w:rPr>
      </w:pPr>
      <w:proofErr w:type="spellStart"/>
      <w:r w:rsidRPr="009359EA">
        <w:rPr>
          <w:i/>
          <w:iCs/>
        </w:rPr>
        <w:t>Corokia</w:t>
      </w:r>
      <w:proofErr w:type="spellEnd"/>
      <w:r w:rsidRPr="009359EA">
        <w:rPr>
          <w:i/>
          <w:iCs/>
        </w:rPr>
        <w:t xml:space="preserve"> </w:t>
      </w:r>
      <w:proofErr w:type="spellStart"/>
      <w:r w:rsidRPr="009359EA">
        <w:rPr>
          <w:i/>
          <w:iCs/>
        </w:rPr>
        <w:t>whiteana</w:t>
      </w:r>
      <w:proofErr w:type="spellEnd"/>
      <w:r>
        <w:rPr>
          <w:lang w:eastAsia="ja-JP"/>
        </w:rPr>
        <w:t xml:space="preserve"> </w:t>
      </w:r>
      <w:r w:rsidR="00CF2E6D">
        <w:rPr>
          <w:lang w:eastAsia="ja-JP"/>
        </w:rPr>
        <w:t>has an extent of occurrence (</w:t>
      </w:r>
      <w:r w:rsidR="00D7702D">
        <w:rPr>
          <w:lang w:eastAsia="ja-JP"/>
        </w:rPr>
        <w:t>EOO</w:t>
      </w:r>
      <w:r w:rsidR="00CF2E6D">
        <w:rPr>
          <w:lang w:eastAsia="ja-JP"/>
        </w:rPr>
        <w:t>) of 860 km</w:t>
      </w:r>
      <w:r w:rsidR="00CF2E6D" w:rsidRPr="00CF2E6D">
        <w:rPr>
          <w:vertAlign w:val="superscript"/>
          <w:lang w:eastAsia="ja-JP"/>
        </w:rPr>
        <w:t>2</w:t>
      </w:r>
      <w:r w:rsidR="00D7702D">
        <w:rPr>
          <w:lang w:eastAsia="ja-JP"/>
        </w:rPr>
        <w:t xml:space="preserve"> and</w:t>
      </w:r>
      <w:r w:rsidR="00CF2E6D">
        <w:rPr>
          <w:lang w:eastAsia="ja-JP"/>
        </w:rPr>
        <w:t xml:space="preserve"> </w:t>
      </w:r>
      <w:r w:rsidR="00E005F0">
        <w:rPr>
          <w:lang w:eastAsia="ja-JP"/>
        </w:rPr>
        <w:t xml:space="preserve">an </w:t>
      </w:r>
      <w:r w:rsidR="00CF2E6D">
        <w:rPr>
          <w:lang w:eastAsia="ja-JP"/>
        </w:rPr>
        <w:t>area of occupancy (</w:t>
      </w:r>
      <w:r w:rsidR="00D7702D">
        <w:rPr>
          <w:lang w:eastAsia="ja-JP"/>
        </w:rPr>
        <w:t>AOO</w:t>
      </w:r>
      <w:r w:rsidR="00CF2E6D">
        <w:rPr>
          <w:lang w:eastAsia="ja-JP"/>
        </w:rPr>
        <w:t>) of 152 km</w:t>
      </w:r>
      <w:r w:rsidR="00CF2E6D" w:rsidRPr="00CF2E6D">
        <w:rPr>
          <w:vertAlign w:val="superscript"/>
          <w:lang w:eastAsia="ja-JP"/>
        </w:rPr>
        <w:t>2</w:t>
      </w:r>
      <w:r w:rsidR="00D7702D">
        <w:rPr>
          <w:lang w:eastAsia="ja-JP"/>
        </w:rPr>
        <w:t xml:space="preserve"> </w:t>
      </w:r>
      <w:r w:rsidR="00CF2E6D">
        <w:rPr>
          <w:lang w:eastAsia="ja-JP"/>
        </w:rPr>
        <w:t xml:space="preserve">though as the shrub is sparse and </w:t>
      </w:r>
      <w:proofErr w:type="gramStart"/>
      <w:r w:rsidR="00CF2E6D">
        <w:rPr>
          <w:lang w:eastAsia="ja-JP"/>
        </w:rPr>
        <w:t>fairly inconspicuous</w:t>
      </w:r>
      <w:proofErr w:type="gramEnd"/>
      <w:r w:rsidR="00E005F0">
        <w:rPr>
          <w:lang w:eastAsia="ja-JP"/>
        </w:rPr>
        <w:t>,</w:t>
      </w:r>
      <w:r w:rsidR="00CF2E6D">
        <w:rPr>
          <w:lang w:eastAsia="ja-JP"/>
        </w:rPr>
        <w:t xml:space="preserve"> the AOO is likely an underestimate. </w:t>
      </w:r>
    </w:p>
    <w:p w14:paraId="21298F77" w14:textId="1144BC59" w:rsidR="00D7702D" w:rsidRDefault="00D7702D" w:rsidP="00D7702D">
      <w:pPr>
        <w:rPr>
          <w:lang w:eastAsia="ja-JP"/>
        </w:rPr>
      </w:pPr>
    </w:p>
    <w:p w14:paraId="14FA507E" w14:textId="1962639D" w:rsidR="000E5704" w:rsidRPr="00F12BC0" w:rsidRDefault="000E5704" w:rsidP="00D7702D">
      <w:pPr>
        <w:rPr>
          <w:i/>
          <w:iCs/>
          <w:lang w:eastAsia="ja-JP"/>
        </w:rPr>
      </w:pPr>
      <w:r w:rsidRPr="00F12BC0">
        <w:rPr>
          <w:i/>
          <w:iCs/>
          <w:lang w:eastAsia="ja-JP"/>
        </w:rPr>
        <w:t>Severely fragmented</w:t>
      </w:r>
    </w:p>
    <w:p w14:paraId="5E9F1D67" w14:textId="67034CC1" w:rsidR="00681307" w:rsidRDefault="00D84499" w:rsidP="00681307">
      <w:proofErr w:type="spellStart"/>
      <w:r w:rsidRPr="009359EA">
        <w:rPr>
          <w:i/>
          <w:iCs/>
        </w:rPr>
        <w:t>Corokia</w:t>
      </w:r>
      <w:proofErr w:type="spellEnd"/>
      <w:r w:rsidRPr="009359EA">
        <w:rPr>
          <w:i/>
          <w:iCs/>
        </w:rPr>
        <w:t xml:space="preserve"> </w:t>
      </w:r>
      <w:proofErr w:type="spellStart"/>
      <w:r w:rsidRPr="009359EA">
        <w:rPr>
          <w:i/>
          <w:iCs/>
        </w:rPr>
        <w:t>whiteana</w:t>
      </w:r>
      <w:proofErr w:type="spellEnd"/>
      <w:r>
        <w:t xml:space="preserve"> </w:t>
      </w:r>
      <w:r w:rsidR="00517E72">
        <w:t xml:space="preserve">is considered severely fragmented as all mature individuals occur in small (~ eight individuals) subpopulations, isolated both ecologically and geographically from each other. </w:t>
      </w:r>
      <w:proofErr w:type="spellStart"/>
      <w:r w:rsidRPr="009359EA">
        <w:rPr>
          <w:i/>
          <w:iCs/>
        </w:rPr>
        <w:t>Corokia</w:t>
      </w:r>
      <w:proofErr w:type="spellEnd"/>
      <w:r w:rsidRPr="009359EA">
        <w:rPr>
          <w:i/>
          <w:iCs/>
        </w:rPr>
        <w:t xml:space="preserve"> </w:t>
      </w:r>
      <w:proofErr w:type="spellStart"/>
      <w:r w:rsidRPr="009359EA">
        <w:rPr>
          <w:i/>
          <w:iCs/>
        </w:rPr>
        <w:t>whiteana</w:t>
      </w:r>
      <w:proofErr w:type="spellEnd"/>
      <w:r>
        <w:t xml:space="preserve"> </w:t>
      </w:r>
      <w:r w:rsidR="00681307">
        <w:t xml:space="preserve">has extremely low fecundity (&lt;10 fruit per reproductive year, and each fruit with only one seed each). Seedling trials at the Australian </w:t>
      </w:r>
      <w:proofErr w:type="spellStart"/>
      <w:r w:rsidR="00681307">
        <w:t>PlantBank</w:t>
      </w:r>
      <w:proofErr w:type="spellEnd"/>
      <w:r w:rsidR="00681307">
        <w:t xml:space="preserve"> suggest that conditions for successful germination are very specific (Graeme Errington </w:t>
      </w:r>
      <w:r w:rsidR="00971C10">
        <w:t>2021. pers</w:t>
      </w:r>
      <w:r w:rsidR="00681307">
        <w:t xml:space="preserve"> comm 2 Aug). There </w:t>
      </w:r>
      <w:r w:rsidR="39DE1A31">
        <w:t xml:space="preserve">have been </w:t>
      </w:r>
      <w:r w:rsidR="00681307">
        <w:t xml:space="preserve">no </w:t>
      </w:r>
      <w:r w:rsidR="15E26061">
        <w:t>observations</w:t>
      </w:r>
      <w:r w:rsidR="00681307">
        <w:t xml:space="preserve"> of seedlings occurring near mature </w:t>
      </w:r>
      <w:proofErr w:type="spellStart"/>
      <w:r w:rsidRPr="009359EA">
        <w:rPr>
          <w:i/>
          <w:iCs/>
        </w:rPr>
        <w:t>Corokia</w:t>
      </w:r>
      <w:proofErr w:type="spellEnd"/>
      <w:r w:rsidRPr="009359EA">
        <w:rPr>
          <w:i/>
          <w:iCs/>
        </w:rPr>
        <w:t xml:space="preserve"> </w:t>
      </w:r>
      <w:proofErr w:type="spellStart"/>
      <w:r w:rsidRPr="009359EA">
        <w:rPr>
          <w:i/>
          <w:iCs/>
        </w:rPr>
        <w:t>whiteana</w:t>
      </w:r>
      <w:proofErr w:type="spellEnd"/>
      <w:r>
        <w:t xml:space="preserve"> </w:t>
      </w:r>
      <w:r w:rsidR="00681307">
        <w:t xml:space="preserve">in the field (Justin </w:t>
      </w:r>
      <w:r w:rsidR="00681307">
        <w:lastRenderedPageBreak/>
        <w:t xml:space="preserve">Mallee, Robert </w:t>
      </w:r>
      <w:proofErr w:type="spellStart"/>
      <w:r w:rsidR="00681307">
        <w:t>Kooyman</w:t>
      </w:r>
      <w:proofErr w:type="spellEnd"/>
      <w:r w:rsidR="00681307">
        <w:t xml:space="preserve">, Andrew </w:t>
      </w:r>
      <w:proofErr w:type="spellStart"/>
      <w:r w:rsidR="00681307">
        <w:t>Benwell</w:t>
      </w:r>
      <w:proofErr w:type="spellEnd"/>
      <w:r w:rsidR="00681307">
        <w:t xml:space="preserve"> </w:t>
      </w:r>
      <w:r w:rsidR="00971C10">
        <w:t>2021. pers</w:t>
      </w:r>
      <w:r w:rsidR="00681307">
        <w:t xml:space="preserve"> comm 27–28 July) and so replacement of adult plants via recruitment is predicted to be very low. The distance and pattern of dispersal by birds would depend on fruit seasonality, seed passage time and foraging behaviour of the </w:t>
      </w:r>
      <w:proofErr w:type="gramStart"/>
      <w:r w:rsidR="00681307">
        <w:t>particular bird</w:t>
      </w:r>
      <w:proofErr w:type="gramEnd"/>
      <w:r w:rsidR="00681307">
        <w:t xml:space="preserve"> species. The small number of </w:t>
      </w:r>
      <w:r w:rsidR="007A0ECA">
        <w:t>fruits</w:t>
      </w:r>
      <w:r w:rsidR="00681307">
        <w:t xml:space="preserve"> produced on a </w:t>
      </w:r>
      <w:proofErr w:type="spellStart"/>
      <w:r w:rsidRPr="009359EA">
        <w:rPr>
          <w:i/>
          <w:iCs/>
        </w:rPr>
        <w:t>Corokia</w:t>
      </w:r>
      <w:proofErr w:type="spellEnd"/>
      <w:r w:rsidRPr="009359EA">
        <w:rPr>
          <w:i/>
          <w:iCs/>
        </w:rPr>
        <w:t xml:space="preserve"> </w:t>
      </w:r>
      <w:proofErr w:type="spellStart"/>
      <w:r w:rsidRPr="009359EA">
        <w:rPr>
          <w:i/>
          <w:iCs/>
        </w:rPr>
        <w:t>whiteana</w:t>
      </w:r>
      <w:proofErr w:type="spellEnd"/>
      <w:r>
        <w:t xml:space="preserve"> </w:t>
      </w:r>
      <w:r w:rsidR="00681307">
        <w:t xml:space="preserve">would not attract </w:t>
      </w:r>
      <w:proofErr w:type="gramStart"/>
      <w:r w:rsidR="00681307">
        <w:t>a large number of</w:t>
      </w:r>
      <w:proofErr w:type="gramEnd"/>
      <w:r w:rsidR="00681307">
        <w:t xml:space="preserve"> birds</w:t>
      </w:r>
      <w:r w:rsidR="00F47BBE">
        <w:t xml:space="preserve"> </w:t>
      </w:r>
      <w:r w:rsidR="00A73FD7">
        <w:t>to</w:t>
      </w:r>
      <w:r w:rsidR="00681307">
        <w:t xml:space="preserve"> creat</w:t>
      </w:r>
      <w:r w:rsidR="00A73FD7">
        <w:t>e</w:t>
      </w:r>
      <w:r w:rsidR="00681307">
        <w:t xml:space="preserve"> connectivity between fruiting areas. Consumption of </w:t>
      </w:r>
      <w:proofErr w:type="spellStart"/>
      <w:r w:rsidRPr="009359EA">
        <w:rPr>
          <w:i/>
          <w:iCs/>
        </w:rPr>
        <w:t>Corokia</w:t>
      </w:r>
      <w:proofErr w:type="spellEnd"/>
      <w:r w:rsidRPr="009359EA">
        <w:rPr>
          <w:i/>
          <w:iCs/>
        </w:rPr>
        <w:t xml:space="preserve"> </w:t>
      </w:r>
      <w:proofErr w:type="spellStart"/>
      <w:r w:rsidRPr="009359EA">
        <w:rPr>
          <w:i/>
          <w:iCs/>
        </w:rPr>
        <w:t>whiteana</w:t>
      </w:r>
      <w:proofErr w:type="spellEnd"/>
      <w:r>
        <w:t xml:space="preserve"> </w:t>
      </w:r>
      <w:r w:rsidR="00681307">
        <w:t xml:space="preserve">fruit is assumed to be </w:t>
      </w:r>
      <w:r w:rsidR="00E005F0">
        <w:t>opportunistic</w:t>
      </w:r>
      <w:r w:rsidR="00681307">
        <w:t xml:space="preserve"> and by locally foraging frugivores. </w:t>
      </w:r>
      <w:proofErr w:type="spellStart"/>
      <w:r w:rsidRPr="009359EA">
        <w:rPr>
          <w:i/>
          <w:iCs/>
        </w:rPr>
        <w:t>Corokia</w:t>
      </w:r>
      <w:proofErr w:type="spellEnd"/>
      <w:r w:rsidRPr="009359EA">
        <w:rPr>
          <w:i/>
          <w:iCs/>
        </w:rPr>
        <w:t xml:space="preserve"> </w:t>
      </w:r>
      <w:proofErr w:type="spellStart"/>
      <w:r w:rsidRPr="009359EA">
        <w:rPr>
          <w:i/>
          <w:iCs/>
        </w:rPr>
        <w:t>whiteana</w:t>
      </w:r>
      <w:proofErr w:type="spellEnd"/>
      <w:r>
        <w:t xml:space="preserve"> </w:t>
      </w:r>
      <w:r w:rsidR="00681307">
        <w:t xml:space="preserve">are rarely clumped and are often dispersed as a low cover species throughout wet sclerophyll </w:t>
      </w:r>
      <w:proofErr w:type="gramStart"/>
      <w:r w:rsidR="00681307">
        <w:t>forests</w:t>
      </w:r>
      <w:proofErr w:type="gramEnd"/>
      <w:r w:rsidR="00681307">
        <w:t xml:space="preserve"> (</w:t>
      </w:r>
      <w:proofErr w:type="spellStart"/>
      <w:r w:rsidR="00681307">
        <w:t>Kooyman</w:t>
      </w:r>
      <w:proofErr w:type="spellEnd"/>
      <w:r w:rsidR="00681307">
        <w:t xml:space="preserve"> 2021</w:t>
      </w:r>
      <w:r w:rsidR="00F90F08">
        <w:t>.</w:t>
      </w:r>
      <w:r w:rsidR="00681307">
        <w:t xml:space="preserve"> unpublished data</w:t>
      </w:r>
      <w:r w:rsidR="00F90F08">
        <w:t>,</w:t>
      </w:r>
      <w:r w:rsidR="00681307">
        <w:t xml:space="preserve"> 9 Aug). </w:t>
      </w:r>
    </w:p>
    <w:p w14:paraId="2B279774" w14:textId="32408BE7" w:rsidR="00CF2E6D" w:rsidRDefault="00CF2E6D" w:rsidP="00D7702D">
      <w:r>
        <w:t xml:space="preserve">The proposed subpopulations are: </w:t>
      </w:r>
    </w:p>
    <w:p w14:paraId="36249C81" w14:textId="553FA9C0" w:rsidR="00CF2E6D" w:rsidRDefault="000E6E1B" w:rsidP="00F46DF5">
      <w:pPr>
        <w:pStyle w:val="ListParagraph"/>
        <w:numPr>
          <w:ilvl w:val="0"/>
          <w:numId w:val="10"/>
        </w:numPr>
      </w:pPr>
      <w:r>
        <w:t xml:space="preserve">Upper </w:t>
      </w:r>
      <w:proofErr w:type="spellStart"/>
      <w:r>
        <w:t>Duroby</w:t>
      </w:r>
      <w:proofErr w:type="spellEnd"/>
      <w:r w:rsidR="00CF2E6D">
        <w:t xml:space="preserve"> (</w:t>
      </w:r>
      <w:proofErr w:type="spellStart"/>
      <w:r w:rsidR="00CF2E6D">
        <w:t>Duroby</w:t>
      </w:r>
      <w:proofErr w:type="spellEnd"/>
      <w:r w:rsidR="00CF2E6D">
        <w:t xml:space="preserve"> Nature Reserve/Hogan’s Scrub), </w:t>
      </w:r>
    </w:p>
    <w:p w14:paraId="2A82DDF8" w14:textId="7E8AD097" w:rsidR="00CF2E6D" w:rsidRDefault="00CF2E6D" w:rsidP="00F46DF5">
      <w:pPr>
        <w:pStyle w:val="ListParagraph"/>
        <w:numPr>
          <w:ilvl w:val="0"/>
          <w:numId w:val="10"/>
        </w:numPr>
      </w:pPr>
      <w:r>
        <w:t xml:space="preserve">Yelgun (coastal), </w:t>
      </w:r>
    </w:p>
    <w:p w14:paraId="4837EFB2" w14:textId="4620AD75" w:rsidR="00CF2E6D" w:rsidRDefault="00CF2E6D" w:rsidP="00F46DF5">
      <w:pPr>
        <w:pStyle w:val="ListParagraph"/>
        <w:numPr>
          <w:ilvl w:val="0"/>
          <w:numId w:val="10"/>
        </w:numPr>
      </w:pPr>
      <w:r>
        <w:t xml:space="preserve">Brunswick Heads (coastal), </w:t>
      </w:r>
    </w:p>
    <w:p w14:paraId="2855A92C" w14:textId="79444659" w:rsidR="00CF2E6D" w:rsidRDefault="00CF2E6D" w:rsidP="00F46DF5">
      <w:pPr>
        <w:pStyle w:val="ListParagraph"/>
        <w:numPr>
          <w:ilvl w:val="0"/>
          <w:numId w:val="10"/>
        </w:numPr>
      </w:pPr>
      <w:r>
        <w:t xml:space="preserve">Clarrie Hall Dam area, Upper Wilson’s Creek and </w:t>
      </w:r>
      <w:proofErr w:type="spellStart"/>
      <w:r>
        <w:t>Koonyum</w:t>
      </w:r>
      <w:proofErr w:type="spellEnd"/>
      <w:r>
        <w:t xml:space="preserve"> Range (Mt Jerusalem National Park and surrounds), </w:t>
      </w:r>
    </w:p>
    <w:p w14:paraId="52823FE9" w14:textId="0AD6E71A" w:rsidR="00CF2E6D" w:rsidRDefault="00CF2E6D" w:rsidP="00F46DF5">
      <w:pPr>
        <w:pStyle w:val="ListParagraph"/>
        <w:numPr>
          <w:ilvl w:val="0"/>
          <w:numId w:val="10"/>
        </w:numPr>
      </w:pPr>
      <w:r>
        <w:t xml:space="preserve">Nightcap National Park and </w:t>
      </w:r>
      <w:proofErr w:type="spellStart"/>
      <w:r>
        <w:t>Whian</w:t>
      </w:r>
      <w:proofErr w:type="spellEnd"/>
      <w:r>
        <w:t xml:space="preserve"> </w:t>
      </w:r>
      <w:proofErr w:type="spellStart"/>
      <w:r>
        <w:t>Whian</w:t>
      </w:r>
      <w:proofErr w:type="spellEnd"/>
      <w:r>
        <w:t xml:space="preserve"> Conservation Area</w:t>
      </w:r>
    </w:p>
    <w:p w14:paraId="3E4139A8" w14:textId="6B043011" w:rsidR="00CF2E6D" w:rsidRDefault="00CF2E6D" w:rsidP="00F46DF5">
      <w:pPr>
        <w:pStyle w:val="ListParagraph"/>
        <w:numPr>
          <w:ilvl w:val="0"/>
          <w:numId w:val="10"/>
        </w:numPr>
      </w:pPr>
      <w:r>
        <w:t xml:space="preserve">The Channon. </w:t>
      </w:r>
    </w:p>
    <w:p w14:paraId="155A530B" w14:textId="26C29598" w:rsidR="0002535F" w:rsidRDefault="000E5704" w:rsidP="00D7702D">
      <w:r>
        <w:t xml:space="preserve">All </w:t>
      </w:r>
      <w:r w:rsidR="1C48F6C5">
        <w:t>are separated by</w:t>
      </w:r>
      <w:r>
        <w:t xml:space="preserve"> distances </w:t>
      </w:r>
      <w:r w:rsidR="00D61E30">
        <w:t>&gt;4</w:t>
      </w:r>
      <w:r>
        <w:t xml:space="preserve"> km</w:t>
      </w:r>
      <w:r w:rsidR="0002535F">
        <w:t xml:space="preserve">. The current distribution </w:t>
      </w:r>
      <w:r w:rsidR="00D61E30">
        <w:t xml:space="preserve">could be </w:t>
      </w:r>
      <w:r>
        <w:t xml:space="preserve">a result of </w:t>
      </w:r>
      <w:r w:rsidR="00D61E30">
        <w:t xml:space="preserve">either </w:t>
      </w:r>
      <w:r>
        <w:t xml:space="preserve">a historical retraction of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F12BC0">
        <w:t xml:space="preserve">to current </w:t>
      </w:r>
      <w:r w:rsidR="0055405B">
        <w:t>remnant vegetation</w:t>
      </w:r>
      <w:r>
        <w:t xml:space="preserve"> or </w:t>
      </w:r>
      <w:r w:rsidR="0055405B">
        <w:t xml:space="preserve">expansion by </w:t>
      </w:r>
      <w:r>
        <w:t>founding events</w:t>
      </w:r>
      <w:r w:rsidR="0055405B">
        <w:t xml:space="preserve"> (</w:t>
      </w:r>
      <w:r w:rsidR="00A73FD7">
        <w:t xml:space="preserve">possibly </w:t>
      </w:r>
      <w:r w:rsidR="0055405B">
        <w:t xml:space="preserve">facilitated by </w:t>
      </w:r>
      <w:r>
        <w:t>bird dispersal</w:t>
      </w:r>
      <w:r w:rsidR="0055405B">
        <w:t>)</w:t>
      </w:r>
      <w:r>
        <w:t xml:space="preserve">. </w:t>
      </w:r>
      <w:r w:rsidR="0055405B">
        <w:t xml:space="preserve">The occurrence in atypical locations such as Yelgun and Brunswick Heads suggests the latter, though perhaps both are true. </w:t>
      </w:r>
    </w:p>
    <w:p w14:paraId="1941A46F" w14:textId="11F1A271" w:rsidR="0055405B" w:rsidRDefault="003D43DE" w:rsidP="00D7702D">
      <w:r>
        <w:t xml:space="preserve">Each of the subpopulations </w:t>
      </w:r>
      <w:r w:rsidR="00E005F0">
        <w:t>is</w:t>
      </w:r>
      <w:r>
        <w:t xml:space="preserve"> separated by </w:t>
      </w:r>
      <w:r w:rsidR="0002535F">
        <w:t>unsuitable</w:t>
      </w:r>
      <w:r>
        <w:t xml:space="preserve"> habitat </w:t>
      </w:r>
      <w:r w:rsidR="0002535F">
        <w:t>(typically areas</w:t>
      </w:r>
      <w:r>
        <w:t xml:space="preserve"> of agricultural or urban landscapes</w:t>
      </w:r>
      <w:r w:rsidR="0002535F">
        <w:t>)</w:t>
      </w:r>
      <w:r>
        <w:t xml:space="preserve">. </w:t>
      </w:r>
      <w:r w:rsidR="0002535F">
        <w:t xml:space="preserve">Some are separated by altitudinal changes </w:t>
      </w:r>
      <w:r w:rsidR="00E274E7">
        <w:t>and</w:t>
      </w:r>
      <w:r w:rsidR="0002535F">
        <w:t xml:space="preserve"> vegetative shifts in dominant habitat types. </w:t>
      </w:r>
      <w:r>
        <w:t>Whilst birds can traverse these territories</w:t>
      </w:r>
      <w:r w:rsidR="00E005F0">
        <w:t>; it’s</w:t>
      </w:r>
      <w:r>
        <w:t xml:space="preserve"> unlikely that the insect pollinators do. </w:t>
      </w:r>
      <w:r w:rsidR="00E274E7">
        <w:t xml:space="preserve">The pollinators of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E274E7">
        <w:t xml:space="preserve">are unknown, </w:t>
      </w:r>
      <w:r w:rsidR="00E005F0">
        <w:t>though</w:t>
      </w:r>
      <w:r w:rsidR="00E274E7">
        <w:t xml:space="preserve"> a</w:t>
      </w:r>
      <w:r>
        <w:t xml:space="preserve"> related species, </w:t>
      </w:r>
      <w:proofErr w:type="spellStart"/>
      <w:r w:rsidRPr="005E7D4D">
        <w:rPr>
          <w:i/>
          <w:iCs/>
        </w:rPr>
        <w:t>Corokia</w:t>
      </w:r>
      <w:proofErr w:type="spellEnd"/>
      <w:r w:rsidRPr="005E7D4D">
        <w:rPr>
          <w:i/>
          <w:iCs/>
        </w:rPr>
        <w:t xml:space="preserve"> cotoneaster</w:t>
      </w:r>
      <w:r w:rsidR="00E005F0">
        <w:rPr>
          <w:i/>
          <w:iCs/>
        </w:rPr>
        <w:t>,</w:t>
      </w:r>
      <w:r>
        <w:t xml:space="preserve"> is self-compatible and pollinated by a wide range of insects </w:t>
      </w:r>
      <w:r>
        <w:fldChar w:fldCharType="begin" w:fldLock="1"/>
      </w:r>
      <w:r>
        <w:instrText>ADDIN CSL_CITATION {"citationItems":[{"id":"ITEM-1","itemData":{"DOI":"10.1080/0028825X.1994.10410481","ISSN":"11758643","abstract":"Corokia cotoneaster (Escalloniaceae) is an evergreen, divaricating shrub endemic to New Zealand. Although it has small, simple, open flowers and is neither dichogamous nor markedly herko-gamous, the pollination system exhibits some specialised features. C. cotoneaster is visited by a wide range of insects, but a single species of native bee appears to be the effective pollinator. In addition, C. cotoneaster is self-incompatible, an unusual condition in the New Zealand flora. It is suggested that the divaricating habit may impose particular constraints on the reproductive biology of this and other species. © 1994 Taylor &amp; Francis Group, LLC.","author":[{"dropping-particle":"","family":"Webb","given":"C. J.","non-dropping-particle":"","parse-names":false,"suffix":""}],"container-title":"New Zealand Journal of Botany","id":"ITEM-1","issue":"3","issued":{"date-parts":[["1994"]]},"page":"385-392","title":"Pollination, self-incompatibility, and fruit production in corokia cotoneaster (escalloniaceae)","type":"article-journal","volume":"32"},"uris":["http://www.mendeley.com/documents/?uuid=9274ef18-2db5-4103-b215-550451a8b5ab"]}],"mendeley":{"formattedCitation":"(Webb 1994)","plainTextFormattedCitation":"(Webb 1994)","previouslyFormattedCitation":"(Webb 1994)"},"properties":{"noteIndex":0},"schema":"https://github.com/citation-style-language/schema/raw/master/csl-citation.json"}</w:instrText>
      </w:r>
      <w:r>
        <w:fldChar w:fldCharType="separate"/>
      </w:r>
      <w:r w:rsidRPr="002F3736">
        <w:rPr>
          <w:noProof/>
        </w:rPr>
        <w:t>(Webb 1994)</w:t>
      </w:r>
      <w:r>
        <w:fldChar w:fldCharType="end"/>
      </w:r>
      <w:r>
        <w:t xml:space="preserve">. </w:t>
      </w:r>
      <w:r w:rsidR="00E970AB">
        <w:t>Localised</w:t>
      </w:r>
      <w:r>
        <w:t xml:space="preserve"> pollination patterns may </w:t>
      </w:r>
      <w:r w:rsidR="0055405B">
        <w:t xml:space="preserve">continue to </w:t>
      </w:r>
      <w:r w:rsidR="00E005F0">
        <w:t>isolate</w:t>
      </w:r>
      <w:r>
        <w:t xml:space="preserve"> the geographically distant subpopulations</w:t>
      </w:r>
      <w:r w:rsidR="0055405B">
        <w:t xml:space="preserve">. Each subpopulation is likely at risk from extirpation as many of them are small, consisting of a low number of </w:t>
      </w:r>
      <w:r w:rsidR="00E005F0">
        <w:t>individuals</w:t>
      </w:r>
      <w:r w:rsidR="0055405B">
        <w:t xml:space="preserve"> </w:t>
      </w:r>
      <w:r>
        <w:t>(</w:t>
      </w:r>
      <w:proofErr w:type="gramStart"/>
      <w:r>
        <w:t>e.g.</w:t>
      </w:r>
      <w:proofErr w:type="gramEnd"/>
      <w:r>
        <w:t xml:space="preserve"> </w:t>
      </w:r>
      <w:r w:rsidR="0055405B">
        <w:t xml:space="preserve">only </w:t>
      </w:r>
      <w:r>
        <w:t>six at Yelgun)</w:t>
      </w:r>
      <w:r w:rsidR="0055405B">
        <w:t xml:space="preserve">. Should one of these subpopulations fail, </w:t>
      </w:r>
      <w:r w:rsidR="00E970AB">
        <w:t>recolonisation</w:t>
      </w:r>
      <w:r>
        <w:t xml:space="preserve"> </w:t>
      </w:r>
      <w:r w:rsidR="0055405B">
        <w:t>is unlikely</w:t>
      </w:r>
      <w:r w:rsidR="00E274E7">
        <w:t xml:space="preserve">. </w:t>
      </w:r>
    </w:p>
    <w:p w14:paraId="385B22F8" w14:textId="4B4BB4F3" w:rsidR="003D43DE" w:rsidRDefault="0002535F" w:rsidP="00D7702D">
      <w:r>
        <w:t xml:space="preserve">The most abundant </w:t>
      </w:r>
      <w:r w:rsidR="0055405B">
        <w:t>sub</w:t>
      </w:r>
      <w:r>
        <w:t xml:space="preserve">populations are </w:t>
      </w:r>
      <w:r w:rsidR="008C225D">
        <w:t>th</w:t>
      </w:r>
      <w:r w:rsidR="00E274E7">
        <w:t xml:space="preserve">ose at </w:t>
      </w:r>
      <w:r w:rsidR="008C225D">
        <w:t>Nightcap</w:t>
      </w:r>
      <w:r w:rsidR="00E274E7">
        <w:t xml:space="preserve"> Range</w:t>
      </w:r>
      <w:r w:rsidR="008C225D">
        <w:t>/</w:t>
      </w:r>
      <w:r w:rsidR="00E274E7">
        <w:t xml:space="preserve"> </w:t>
      </w:r>
      <w:proofErr w:type="spellStart"/>
      <w:r w:rsidR="008C225D">
        <w:t>Whian</w:t>
      </w:r>
      <w:proofErr w:type="spellEnd"/>
      <w:r w:rsidR="008C225D">
        <w:t xml:space="preserve"> </w:t>
      </w:r>
      <w:proofErr w:type="spellStart"/>
      <w:r w:rsidR="008C225D">
        <w:t>Whian</w:t>
      </w:r>
      <w:proofErr w:type="spellEnd"/>
      <w:r w:rsidR="008C225D">
        <w:t xml:space="preserve"> </w:t>
      </w:r>
      <w:r w:rsidR="00E274E7">
        <w:t xml:space="preserve">Conservation Area </w:t>
      </w:r>
      <w:r w:rsidR="0055405B">
        <w:t>and Mt Jerusalem National Park. Even in these areas</w:t>
      </w:r>
      <w:r w:rsidR="00E005F0">
        <w:t>,</w:t>
      </w:r>
      <w:r w:rsidR="0055405B">
        <w:t xml:space="preserv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55405B">
        <w:t xml:space="preserve">is </w:t>
      </w:r>
      <w:r w:rsidR="00F12BC0">
        <w:t xml:space="preserve">still considered </w:t>
      </w:r>
      <w:r w:rsidR="0055405B">
        <w:t>“</w:t>
      </w:r>
      <w:r w:rsidR="00F12BC0">
        <w:t>rare</w:t>
      </w:r>
      <w:r w:rsidR="0055405B">
        <w:t>”</w:t>
      </w:r>
      <w:r w:rsidR="00F12BC0">
        <w:t xml:space="preserve"> and </w:t>
      </w:r>
      <w:r w:rsidR="0055405B">
        <w:t>“</w:t>
      </w:r>
      <w:r w:rsidR="00F12BC0">
        <w:t>low cover</w:t>
      </w:r>
      <w:r w:rsidR="0055405B">
        <w:t>”</w:t>
      </w:r>
      <w:r w:rsidR="00F12BC0">
        <w:t xml:space="preserve"> (</w:t>
      </w:r>
      <w:proofErr w:type="spellStart"/>
      <w:r w:rsidR="00F12BC0">
        <w:t>Kooyman</w:t>
      </w:r>
      <w:proofErr w:type="spellEnd"/>
      <w:r w:rsidR="00F12BC0">
        <w:t xml:space="preserve"> 2021</w:t>
      </w:r>
      <w:r w:rsidR="00971C10">
        <w:t>.</w:t>
      </w:r>
      <w:r w:rsidR="00F12BC0">
        <w:t xml:space="preserve"> </w:t>
      </w:r>
      <w:r w:rsidR="00F303CB">
        <w:t>pers comm, unpublished data 9 Aug</w:t>
      </w:r>
      <w:r w:rsidR="00F12BC0">
        <w:t>)</w:t>
      </w:r>
      <w:r w:rsidR="008C225D">
        <w:t xml:space="preserve">. </w:t>
      </w:r>
      <w:r w:rsidR="00F303CB">
        <w:t>Four of the s</w:t>
      </w:r>
      <w:r w:rsidR="00BB15C9">
        <w:t>ix</w:t>
      </w:r>
      <w:r w:rsidR="00F303CB">
        <w:t xml:space="preserve"> subpopulations (</w:t>
      </w:r>
      <w:r w:rsidR="000E6E1B">
        <w:t xml:space="preserve">Upper </w:t>
      </w:r>
      <w:proofErr w:type="spellStart"/>
      <w:r w:rsidR="000E6E1B">
        <w:t>Duroby</w:t>
      </w:r>
      <w:proofErr w:type="spellEnd"/>
      <w:r w:rsidR="008C225D">
        <w:t>, Yelgun, Brunswick Heads and The Channon</w:t>
      </w:r>
      <w:r w:rsidR="00F303CB">
        <w:t>)</w:t>
      </w:r>
      <w:r w:rsidR="008C225D">
        <w:t xml:space="preserve"> </w:t>
      </w:r>
      <w:r w:rsidR="00F303CB">
        <w:t>are</w:t>
      </w:r>
      <w:r w:rsidR="00F12BC0">
        <w:t xml:space="preserve"> </w:t>
      </w:r>
      <w:r w:rsidR="00A14F97">
        <w:t>in small and</w:t>
      </w:r>
      <w:r w:rsidR="00F303CB">
        <w:t xml:space="preserve"> isolated </w:t>
      </w:r>
      <w:r w:rsidR="00A14F97">
        <w:t xml:space="preserve">patches, separated </w:t>
      </w:r>
      <w:r w:rsidR="00F303CB">
        <w:t>from each other by u</w:t>
      </w:r>
      <w:r w:rsidR="00F12BC0">
        <w:t>nsuitable habitats</w:t>
      </w:r>
      <w:r w:rsidR="00F303CB">
        <w:t xml:space="preserve">. </w:t>
      </w:r>
      <w:r w:rsidR="0045694A">
        <w:t>T</w:t>
      </w:r>
      <w:r w:rsidR="00F12BC0">
        <w:t>he long</w:t>
      </w:r>
      <w:r w:rsidR="00F303CB">
        <w:t>-</w:t>
      </w:r>
      <w:r w:rsidR="00F12BC0">
        <w:t>term viability</w:t>
      </w:r>
      <w:r w:rsidR="0045694A">
        <w:t xml:space="preserve"> of these subpopulations is questionable and in the event of </w:t>
      </w:r>
      <w:r w:rsidR="00FE5D58">
        <w:t xml:space="preserve">a </w:t>
      </w:r>
      <w:r w:rsidR="0045694A">
        <w:t>disturbance, the</w:t>
      </w:r>
      <w:r w:rsidR="00F12BC0">
        <w:t xml:space="preserve"> </w:t>
      </w:r>
      <w:r w:rsidR="00E970AB">
        <w:t>recolonisation</w:t>
      </w:r>
      <w:r w:rsidR="00F12BC0">
        <w:t xml:space="preserve"> </w:t>
      </w:r>
      <w:r w:rsidR="00F303CB">
        <w:t>of these locations is unlikely</w:t>
      </w:r>
      <w:r w:rsidR="00F12BC0">
        <w:t xml:space="preserve">. </w:t>
      </w:r>
      <w:r w:rsidR="00E274E7">
        <w:t xml:space="preserve">Therefore,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E274E7">
        <w:t xml:space="preserve">is considered severely fragmented. </w:t>
      </w:r>
    </w:p>
    <w:p w14:paraId="009FE5EF" w14:textId="4E5F64DA" w:rsidR="000E5704" w:rsidRDefault="000E5704" w:rsidP="00D7702D">
      <w:pPr>
        <w:rPr>
          <w:lang w:eastAsia="ja-JP"/>
        </w:rPr>
      </w:pPr>
    </w:p>
    <w:p w14:paraId="3CACED44" w14:textId="6F9D2AD7" w:rsidR="00F303CB" w:rsidRPr="00B340FC" w:rsidRDefault="00F303CB" w:rsidP="00D7702D">
      <w:pPr>
        <w:rPr>
          <w:i/>
          <w:iCs/>
          <w:lang w:eastAsia="ja-JP"/>
        </w:rPr>
      </w:pPr>
      <w:r w:rsidRPr="00B340FC">
        <w:rPr>
          <w:i/>
          <w:iCs/>
          <w:lang w:eastAsia="ja-JP"/>
        </w:rPr>
        <w:t>Number of locations</w:t>
      </w:r>
      <w:r w:rsidR="0033354B">
        <w:rPr>
          <w:i/>
          <w:iCs/>
          <w:lang w:eastAsia="ja-JP"/>
        </w:rPr>
        <w:t xml:space="preserve"> - bushfire</w:t>
      </w:r>
    </w:p>
    <w:p w14:paraId="16827CDC" w14:textId="487DFEAA" w:rsidR="008817AB" w:rsidRDefault="00F303CB" w:rsidP="00554668">
      <w:r>
        <w:rPr>
          <w:lang w:eastAsia="ja-JP"/>
        </w:rPr>
        <w:t xml:space="preserve">Each of the </w:t>
      </w:r>
      <w:r w:rsidR="00BB15C9">
        <w:rPr>
          <w:lang w:eastAsia="ja-JP"/>
        </w:rPr>
        <w:t>six</w:t>
      </w:r>
      <w:r>
        <w:rPr>
          <w:lang w:eastAsia="ja-JP"/>
        </w:rPr>
        <w:t xml:space="preserve"> subpopulations would have variable susceptibility to</w:t>
      </w:r>
      <w:r w:rsidR="004A5534">
        <w:rPr>
          <w:lang w:eastAsia="ja-JP"/>
        </w:rPr>
        <w:t xml:space="preserve"> various</w:t>
      </w:r>
      <w:r>
        <w:rPr>
          <w:lang w:eastAsia="ja-JP"/>
        </w:rPr>
        <w:t xml:space="preserve"> threatening processes. </w:t>
      </w:r>
      <w:r w:rsidR="00257495">
        <w:rPr>
          <w:lang w:eastAsia="ja-JP"/>
        </w:rPr>
        <w:t>Five</w:t>
      </w:r>
      <w:r w:rsidR="00E274E7">
        <w:rPr>
          <w:lang w:eastAsia="ja-JP"/>
        </w:rPr>
        <w:t xml:space="preserve"> subpopulations are on protected tenures (Nature Reserves, National Park</w:t>
      </w:r>
      <w:r w:rsidR="00422A46">
        <w:rPr>
          <w:lang w:eastAsia="ja-JP"/>
        </w:rPr>
        <w:t>, Conservation Area</w:t>
      </w:r>
      <w:r w:rsidR="00257495">
        <w:rPr>
          <w:lang w:eastAsia="ja-JP"/>
        </w:rPr>
        <w:t>s</w:t>
      </w:r>
      <w:r w:rsidR="00422A46">
        <w:rPr>
          <w:lang w:eastAsia="ja-JP"/>
        </w:rPr>
        <w:t>)</w:t>
      </w:r>
      <w:r w:rsidR="00257495">
        <w:rPr>
          <w:lang w:eastAsia="ja-JP"/>
        </w:rPr>
        <w:t xml:space="preserve">, The Channon subpopulation is not on a protected tenure, and the </w:t>
      </w:r>
      <w:r w:rsidR="00CE7A0A">
        <w:rPr>
          <w:lang w:eastAsia="ja-JP"/>
        </w:rPr>
        <w:t xml:space="preserve">sites </w:t>
      </w:r>
      <w:r w:rsidR="00257495">
        <w:rPr>
          <w:lang w:eastAsia="ja-JP"/>
        </w:rPr>
        <w:lastRenderedPageBreak/>
        <w:t xml:space="preserve">surrounding the Clarrie Hall dam are </w:t>
      </w:r>
      <w:r w:rsidR="00637F39">
        <w:rPr>
          <w:lang w:eastAsia="ja-JP"/>
        </w:rPr>
        <w:t>predominantly</w:t>
      </w:r>
      <w:r w:rsidR="00257495">
        <w:rPr>
          <w:lang w:eastAsia="ja-JP"/>
        </w:rPr>
        <w:t xml:space="preserve"> on Tweed Council managed lands. </w:t>
      </w:r>
      <w:bookmarkStart w:id="13" w:name="_Hlk80272213"/>
      <w:r w:rsidR="003C286B">
        <w:rPr>
          <w:lang w:eastAsia="ja-JP"/>
        </w:rPr>
        <w:t>Four of the s</w:t>
      </w:r>
      <w:r w:rsidR="00BB15C9">
        <w:rPr>
          <w:lang w:eastAsia="ja-JP"/>
        </w:rPr>
        <w:t>ix</w:t>
      </w:r>
      <w:r w:rsidR="00AC33AC">
        <w:rPr>
          <w:lang w:eastAsia="ja-JP"/>
        </w:rPr>
        <w:t xml:space="preserve"> subpopulations are predicted to contain less than ten individuals (</w:t>
      </w:r>
      <w:r w:rsidR="000E6E1B">
        <w:rPr>
          <w:lang w:eastAsia="ja-JP"/>
        </w:rPr>
        <w:t xml:space="preserve">Upper </w:t>
      </w:r>
      <w:proofErr w:type="spellStart"/>
      <w:r w:rsidR="000E6E1B">
        <w:rPr>
          <w:lang w:eastAsia="ja-JP"/>
        </w:rPr>
        <w:t>Duroby</w:t>
      </w:r>
      <w:proofErr w:type="spellEnd"/>
      <w:r w:rsidR="00AC33AC">
        <w:rPr>
          <w:lang w:eastAsia="ja-JP"/>
        </w:rPr>
        <w:t>, Yelgun, Brunswick Heads &amp; the Channon), and thus are not likely to be viable long term</w:t>
      </w:r>
      <w:r w:rsidR="00B45A75">
        <w:rPr>
          <w:lang w:eastAsia="ja-JP"/>
        </w:rPr>
        <w:t>, these sites would be particularly vulnerable to a single severe fire</w:t>
      </w:r>
      <w:r w:rsidR="00554668">
        <w:rPr>
          <w:lang w:eastAsia="ja-JP"/>
        </w:rPr>
        <w:t xml:space="preserve"> and would result in the complete loss of the relevant subpopulation</w:t>
      </w:r>
      <w:r w:rsidR="00AC33AC">
        <w:rPr>
          <w:lang w:eastAsia="ja-JP"/>
        </w:rPr>
        <w:t xml:space="preserve">. </w:t>
      </w:r>
      <w:r w:rsidR="00554668">
        <w:rPr>
          <w:lang w:eastAsia="ja-JP"/>
        </w:rPr>
        <w:t>The remaining t</w:t>
      </w:r>
      <w:r w:rsidR="00BB15C9">
        <w:rPr>
          <w:lang w:eastAsia="ja-JP"/>
        </w:rPr>
        <w:t>wo</w:t>
      </w:r>
      <w:r w:rsidR="00554668">
        <w:rPr>
          <w:lang w:eastAsia="ja-JP"/>
        </w:rPr>
        <w:t xml:space="preserve"> subpopulations (</w:t>
      </w:r>
      <w:r w:rsidR="00554668">
        <w:t>Clarrie Hall Dam area</w:t>
      </w:r>
      <w:r w:rsidR="00BB15C9">
        <w:t>,</w:t>
      </w:r>
      <w:r w:rsidR="00554668">
        <w:t xml:space="preserve"> Upper Wilson’s Creek and </w:t>
      </w:r>
      <w:proofErr w:type="spellStart"/>
      <w:r w:rsidR="00554668">
        <w:t>Koonyum</w:t>
      </w:r>
      <w:proofErr w:type="spellEnd"/>
      <w:r w:rsidR="00554668">
        <w:t xml:space="preserve"> Range</w:t>
      </w:r>
      <w:r w:rsidR="00BB15C9">
        <w:t>, and</w:t>
      </w:r>
      <w:r w:rsidR="00554668">
        <w:t xml:space="preserve"> Nightcap National Park and </w:t>
      </w:r>
      <w:proofErr w:type="spellStart"/>
      <w:r w:rsidR="00554668">
        <w:t>Whian</w:t>
      </w:r>
      <w:proofErr w:type="spellEnd"/>
      <w:r w:rsidR="00554668">
        <w:t xml:space="preserve"> </w:t>
      </w:r>
      <w:proofErr w:type="spellStart"/>
      <w:r w:rsidR="00554668">
        <w:t>Whian</w:t>
      </w:r>
      <w:proofErr w:type="spellEnd"/>
      <w:r w:rsidR="00554668">
        <w:t>)</w:t>
      </w:r>
      <w:r w:rsidR="0033354B">
        <w:t xml:space="preserve"> are more spread out over an area of approximately 225km</w:t>
      </w:r>
      <w:r w:rsidR="0033354B" w:rsidRPr="007A23E9">
        <w:rPr>
          <w:vertAlign w:val="superscript"/>
        </w:rPr>
        <w:t>2</w:t>
      </w:r>
      <w:r w:rsidR="0033354B">
        <w:t xml:space="preserve">; an area that </w:t>
      </w:r>
      <w:r w:rsidR="006F182D">
        <w:t xml:space="preserve">is connected by vegetation and </w:t>
      </w:r>
      <w:r w:rsidR="0033354B">
        <w:t xml:space="preserve">may be impacted </w:t>
      </w:r>
      <w:r w:rsidR="006F182D">
        <w:t xml:space="preserve">by a single fire season. Using bushfire season as the threatening process, the number of locations is five. </w:t>
      </w:r>
    </w:p>
    <w:p w14:paraId="02B33488" w14:textId="5648B3A6" w:rsidR="003B57AD" w:rsidRDefault="003B57AD" w:rsidP="00554668"/>
    <w:p w14:paraId="31189C34" w14:textId="5F2B06B5" w:rsidR="0033354B" w:rsidRPr="007A23E9" w:rsidRDefault="0033354B" w:rsidP="007A23E9">
      <w:pPr>
        <w:rPr>
          <w:i/>
          <w:iCs/>
        </w:rPr>
      </w:pPr>
      <w:r w:rsidRPr="007A23E9">
        <w:rPr>
          <w:i/>
          <w:iCs/>
        </w:rPr>
        <w:t>Number of locations – climate change</w:t>
      </w:r>
      <w:r w:rsidR="00A14F97">
        <w:rPr>
          <w:i/>
          <w:iCs/>
        </w:rPr>
        <w:t xml:space="preserve"> impacts on geographically fragmented and ecologically isolated subpopulations</w:t>
      </w:r>
    </w:p>
    <w:bookmarkEnd w:id="13"/>
    <w:p w14:paraId="1532A426" w14:textId="78B8D71D" w:rsidR="003322B9" w:rsidRDefault="008817AB" w:rsidP="003322B9">
      <w:r>
        <w:rPr>
          <w:lang w:eastAsia="ja-JP"/>
        </w:rPr>
        <w:t>Climate change is predicted to increase annual mean and maximum temperatures in northern NSW (</w:t>
      </w:r>
      <w:r w:rsidR="003C286B">
        <w:rPr>
          <w:lang w:eastAsia="ja-JP"/>
        </w:rPr>
        <w:t xml:space="preserve">an increase of </w:t>
      </w:r>
      <w:r>
        <w:rPr>
          <w:lang w:eastAsia="ja-JP"/>
        </w:rPr>
        <w:t>0.4–1.0℃ by 2039 and 1.5–2.4℃ in t</w:t>
      </w:r>
      <w:r w:rsidR="003C286B">
        <w:rPr>
          <w:lang w:eastAsia="ja-JP"/>
        </w:rPr>
        <w:t>he distant future 2060–2079</w:t>
      </w:r>
      <w:r>
        <w:rPr>
          <w:lang w:eastAsia="ja-JP"/>
        </w:rPr>
        <w:t xml:space="preserve">). The number of hot days </w:t>
      </w:r>
      <w:r w:rsidR="003C286B">
        <w:rPr>
          <w:lang w:eastAsia="ja-JP"/>
        </w:rPr>
        <w:t xml:space="preserve">(maximum temperature greater than 35℃) </w:t>
      </w:r>
      <w:r>
        <w:rPr>
          <w:lang w:eastAsia="ja-JP"/>
        </w:rPr>
        <w:t xml:space="preserve">will increase and the number of cold nights </w:t>
      </w:r>
      <w:r w:rsidR="003C286B">
        <w:rPr>
          <w:lang w:eastAsia="ja-JP"/>
        </w:rPr>
        <w:t xml:space="preserve">(minimum temperature less than </w:t>
      </w:r>
      <w:r w:rsidR="00912DF5">
        <w:rPr>
          <w:lang w:eastAsia="ja-JP"/>
        </w:rPr>
        <w:t>2℃</w:t>
      </w:r>
      <w:r w:rsidR="003C286B">
        <w:rPr>
          <w:lang w:eastAsia="ja-JP"/>
        </w:rPr>
        <w:t xml:space="preserve">) </w:t>
      </w:r>
      <w:r>
        <w:rPr>
          <w:lang w:eastAsia="ja-JP"/>
        </w:rPr>
        <w:t xml:space="preserve">will decrease. Average fire weather and severe fire weather days will increase in summer and spring as rainfall decreases in winter, though increases in autumn and spring </w:t>
      </w:r>
      <w:r>
        <w:rPr>
          <w:lang w:eastAsia="ja-JP"/>
        </w:rPr>
        <w:fldChar w:fldCharType="begin" w:fldLock="1"/>
      </w:r>
      <w:r>
        <w:rPr>
          <w:lang w:eastAsia="ja-JP"/>
        </w:rPr>
        <w:instrText>ADDIN CSL_CITATION {"citationItems":[{"id":"ITEM-1","itemData":{"author":[{"dropping-particle":"","family":"NSW Government","given":"","non-dropping-particle":"","parse-names":false,"suffix":""}],"id":"ITEM-1","issued":{"date-parts":[["2014"]]},"publisher-place":"Sydney","title":"North Coast Climate change snapshot Overview of North Coast Region climate change","type":"report"},"uris":["http://www.mendeley.com/documents/?uuid=7cf71101-c7a2-4524-bc53-1fa9b3833940"]}],"mendeley":{"formattedCitation":"(NSW Government 2014b)","plainTextFormattedCitation":"(NSW Government 2014b)","previouslyFormattedCitation":"(NSW Government 2014b)"},"properties":{"noteIndex":0},"schema":"https://github.com/citation-style-language/schema/raw/master/csl-citation.json"}</w:instrText>
      </w:r>
      <w:r>
        <w:rPr>
          <w:lang w:eastAsia="ja-JP"/>
        </w:rPr>
        <w:fldChar w:fldCharType="separate"/>
      </w:r>
      <w:r w:rsidRPr="00F303CB">
        <w:rPr>
          <w:noProof/>
          <w:lang w:eastAsia="ja-JP"/>
        </w:rPr>
        <w:t>(NSW Government 2014b)</w:t>
      </w:r>
      <w:r>
        <w:rPr>
          <w:lang w:eastAsia="ja-JP"/>
        </w:rPr>
        <w:fldChar w:fldCharType="end"/>
      </w:r>
      <w:r>
        <w:rPr>
          <w:lang w:eastAsia="ja-JP"/>
        </w:rPr>
        <w:t xml:space="preserve">. Subtropical rainforests are predicted to be susceptible to these changes, and are predicted to experience floristic turnover and altitudinal shifts </w:t>
      </w:r>
      <w:r>
        <w:fldChar w:fldCharType="begin" w:fldLock="1"/>
      </w:r>
      <w:r>
        <w:instrText>ADDIN CSL_CITATION {"citationItems":[{"id":"ITEM-1","itemData":{"DOI":"10.1071/BT10319","ISSN":"00671924","abstract":"The potential for anthropogenic climate change to impact upon native vegetation has emphasised the need for monitoring and for dynamic management regimes. Potential impacts are numerous, but will likely include the upslope movement of species' ranges and increasing in situ turnover (compositional change) within plant assemblages. By assessing the potential impacts of climate change on subtropical rainforest communities in south-east Queensland through the establishment of an altitudinal transect, we aimed to establish the baseline composition of the vegetation and to develop two hypotheses against which climate change scenarios can be tested. The study identified existing high levels of turnover across tree assemblages from low to mid elevations absent at higher elevations and we predict: (1) subtropical rainforest communities which currently sit at the level of the cloud base (800-900m) will experience increasing floristic turnover, and (2) novel vegetation communities will emerge as species move upslope in response to a changing climate. Monitoring floristic turnover as a surrogate for shifting climatic habitats may be confounded both by a lack of knowledge regarding the underlying turnover rates of rainforest communities and by the disparity in temporal scales of tree community turnover and accelerating anthropogenic climate change. The identification of 'break points' in the relationship between current vegetation communities and gradients of precipitation and temperature will allow better direction of monitoring efforts. © 2011 CSIRO.","author":[{"dropping-particle":"","family":"Laidlaw","given":"M. J.","non-dropping-particle":"","parse-names":false,"suffix":""},{"dropping-particle":"","family":"McDonald","given":"W. J.F.","non-dropping-particle":"","parse-names":false,"suffix":""},{"dropping-particle":"","family":"Hunter","given":"R. John","non-dropping-particle":"","parse-names":false,"suffix":""},{"dropping-particle":"","family":"Putland","given":"D. A.","non-dropping-particle":"","parse-names":false,"suffix":""},{"dropping-particle":"","family":"Kitching","given":"R. L.","non-dropping-particle":"","parse-names":false,"suffix":""}],"container-title":"Australian Journal of Botany","id":"ITEM-1","issue":"5","issued":{"date-parts":[["2011"]]},"page":"440-449","title":"The potential impacts of climate change on Australian subtropical rainforest","type":"article-journal","volume":"59"},"uris":["http://www.mendeley.com/documents/?uuid=dae45cb6-a200-4674-8daa-9aa551ef5ce7"]}],"mendeley":{"formattedCitation":"(Laidlaw et al. 2011)","plainTextFormattedCitation":"(Laidlaw et al. 2011)","previouslyFormattedCitation":"(Laidlaw et al. 2011)"},"properties":{"noteIndex":0},"schema":"https://github.com/citation-style-language/schema/raw/master/csl-citation.json"}</w:instrText>
      </w:r>
      <w:r>
        <w:fldChar w:fldCharType="separate"/>
      </w:r>
      <w:r w:rsidRPr="003274AE">
        <w:rPr>
          <w:noProof/>
        </w:rPr>
        <w:t>(Laidlaw et al. 2011)</w:t>
      </w:r>
      <w:r>
        <w:fldChar w:fldCharType="end"/>
      </w:r>
      <w:r>
        <w:t xml:space="preserve">.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5B373B">
        <w:t xml:space="preserve">is geographically fragmented and ecologically isolated (see severely fragmented section above). These changing climate conditions presumably also impact pollinators and dispersers, though further research is required to determine the </w:t>
      </w:r>
      <w:r w:rsidR="00DE34D5">
        <w:t>effect</w:t>
      </w:r>
      <w:r w:rsidR="005B373B">
        <w:t xml:space="preserve"> on </w:t>
      </w:r>
      <w:proofErr w:type="spellStart"/>
      <w:r w:rsidR="005B373B" w:rsidRPr="00A060E9">
        <w:rPr>
          <w:i/>
          <w:iCs/>
        </w:rPr>
        <w:t>Corokia</w:t>
      </w:r>
      <w:proofErr w:type="spellEnd"/>
      <w:r w:rsidR="005B373B" w:rsidRPr="00A060E9">
        <w:rPr>
          <w:i/>
          <w:iCs/>
        </w:rPr>
        <w:t xml:space="preserve"> </w:t>
      </w:r>
      <w:proofErr w:type="spellStart"/>
      <w:r w:rsidR="005B373B" w:rsidRPr="00A060E9">
        <w:rPr>
          <w:i/>
          <w:iCs/>
        </w:rPr>
        <w:t>whiteana</w:t>
      </w:r>
      <w:r w:rsidR="005B373B" w:rsidRPr="00A060E9">
        <w:t>’s</w:t>
      </w:r>
      <w:proofErr w:type="spellEnd"/>
      <w:r w:rsidR="005B373B">
        <w:t xml:space="preserve"> population structure and survival. </w:t>
      </w:r>
      <w:proofErr w:type="spellStart"/>
      <w:r w:rsidR="005B373B" w:rsidRPr="00A060E9">
        <w:rPr>
          <w:i/>
          <w:iCs/>
        </w:rPr>
        <w:t>Corokia</w:t>
      </w:r>
      <w:proofErr w:type="spellEnd"/>
      <w:r w:rsidR="005B373B" w:rsidRPr="00A060E9">
        <w:rPr>
          <w:i/>
          <w:iCs/>
        </w:rPr>
        <w:t xml:space="preserve"> </w:t>
      </w:r>
      <w:proofErr w:type="spellStart"/>
      <w:r w:rsidR="005B373B" w:rsidRPr="00A060E9">
        <w:rPr>
          <w:i/>
          <w:iCs/>
        </w:rPr>
        <w:t>whiteana</w:t>
      </w:r>
      <w:proofErr w:type="spellEnd"/>
      <w:r w:rsidR="005B373B">
        <w:t xml:space="preserve"> </w:t>
      </w:r>
      <w:r w:rsidR="003322B9">
        <w:t xml:space="preserve">appears to require a specific set of environmental attributes characterised by the ecotone between two habitat types (wet sclerophyll and open rainforest). Moisture, light and soil types are likely be key predictors of suitable habitat. As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3322B9">
        <w:t>are often found on the edge of wet sclerophyll forests, any shift in habitat will impact the species, as the biological traits mentioned above will not enable it to “keep up” with surrounding vegetation changes.</w:t>
      </w:r>
      <w:r w:rsidR="003322B9">
        <w:rPr>
          <w:lang w:eastAsia="ja-JP"/>
        </w:rPr>
        <w:t xml:space="preserve"> </w:t>
      </w:r>
    </w:p>
    <w:p w14:paraId="002115DC" w14:textId="2E830B76" w:rsidR="00AC33AC" w:rsidRDefault="008817AB" w:rsidP="00DD7913">
      <w:pPr>
        <w:rPr>
          <w:lang w:eastAsia="ja-JP"/>
        </w:rPr>
      </w:pPr>
      <w:r>
        <w:t>Th</w:t>
      </w:r>
      <w:r w:rsidR="003322B9">
        <w:t xml:space="preserve">e predicted climate changes (NSW Government 2014b) and </w:t>
      </w:r>
      <w:r>
        <w:t xml:space="preserve">rising cloud base (ANU 2009), </w:t>
      </w:r>
      <w:r w:rsidR="003322B9">
        <w:t xml:space="preserve">combined with </w:t>
      </w:r>
      <w:r>
        <w:t xml:space="preserve">increased frequency and severity of bushfires are predicted to severely impact all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within one generation (a low confidence estimate of generation is more </w:t>
      </w:r>
      <w:proofErr w:type="gramStart"/>
      <w:r>
        <w:t>than</w:t>
      </w:r>
      <w:r w:rsidR="00B23CC8">
        <w:t xml:space="preserve"> </w:t>
      </w:r>
      <w:r>
        <w:t xml:space="preserve"> </w:t>
      </w:r>
      <w:r w:rsidR="00B23CC8">
        <w:t>29</w:t>
      </w:r>
      <w:proofErr w:type="gramEnd"/>
      <w:r w:rsidR="00B23CC8">
        <w:t xml:space="preserve"> </w:t>
      </w:r>
      <w:r>
        <w:t>years)</w:t>
      </w:r>
      <w:r w:rsidR="00334FE6">
        <w:t>; t</w:t>
      </w:r>
      <w:r w:rsidR="003322B9">
        <w:t>hus</w:t>
      </w:r>
      <w:r w:rsidR="00334FE6">
        <w:t xml:space="preserve"> the number of locations is estimated to be one</w:t>
      </w:r>
      <w:r w:rsidR="003322B9">
        <w:t xml:space="preserve">. </w:t>
      </w:r>
    </w:p>
    <w:p w14:paraId="43F4CA55" w14:textId="3DA7BF17" w:rsidR="00D7702D" w:rsidRPr="009F121B" w:rsidRDefault="00400C36" w:rsidP="00DD7913">
      <w:pPr>
        <w:rPr>
          <w:i/>
          <w:iCs/>
          <w:lang w:eastAsia="ja-JP"/>
        </w:rPr>
      </w:pPr>
      <w:r w:rsidRPr="00400C36">
        <w:rPr>
          <w:i/>
          <w:iCs/>
          <w:lang w:eastAsia="ja-JP"/>
        </w:rPr>
        <w:t>Continuing decline</w:t>
      </w:r>
      <w:r w:rsidR="00DD7913">
        <w:rPr>
          <w:i/>
          <w:iCs/>
          <w:lang w:eastAsia="ja-JP"/>
        </w:rPr>
        <w:t xml:space="preserve"> </w:t>
      </w:r>
      <w:r w:rsidR="009F121B" w:rsidRPr="009F121B">
        <w:rPr>
          <w:i/>
          <w:iCs/>
          <w:lang w:eastAsia="ja-JP"/>
        </w:rPr>
        <w:t>in</w:t>
      </w:r>
      <w:r w:rsidR="00E005F0">
        <w:rPr>
          <w:i/>
          <w:iCs/>
          <w:lang w:eastAsia="ja-JP"/>
        </w:rPr>
        <w:t xml:space="preserve"> the </w:t>
      </w:r>
      <w:r w:rsidR="009F121B" w:rsidRPr="009F121B">
        <w:rPr>
          <w:i/>
          <w:iCs/>
        </w:rPr>
        <w:t xml:space="preserve">extent of occurrence; area of occupancy; area, extent and/or quality of habitat; </w:t>
      </w:r>
      <w:r w:rsidR="00E005F0">
        <w:rPr>
          <w:i/>
          <w:iCs/>
        </w:rPr>
        <w:t xml:space="preserve">the </w:t>
      </w:r>
      <w:r w:rsidR="009F121B" w:rsidRPr="009F121B">
        <w:rPr>
          <w:i/>
          <w:iCs/>
        </w:rPr>
        <w:t>number of subpopulations;</w:t>
      </w:r>
      <w:r w:rsidR="009F121B">
        <w:rPr>
          <w:i/>
          <w:iCs/>
        </w:rPr>
        <w:t xml:space="preserve"> </w:t>
      </w:r>
      <w:r w:rsidR="00E005F0">
        <w:rPr>
          <w:i/>
          <w:iCs/>
        </w:rPr>
        <w:t xml:space="preserve">the </w:t>
      </w:r>
      <w:r w:rsidR="009F121B" w:rsidRPr="009F121B">
        <w:rPr>
          <w:i/>
          <w:iCs/>
        </w:rPr>
        <w:t>number of mature individuals</w:t>
      </w:r>
      <w:r w:rsidR="009F121B" w:rsidRPr="009F121B">
        <w:rPr>
          <w:i/>
          <w:iCs/>
          <w:lang w:eastAsia="ja-JP"/>
        </w:rPr>
        <w:t xml:space="preserve"> </w:t>
      </w:r>
    </w:p>
    <w:p w14:paraId="06E4AC0C" w14:textId="745B732C" w:rsidR="00D7702D" w:rsidRDefault="00B96D5E" w:rsidP="00D7702D">
      <w:pPr>
        <w:rPr>
          <w:lang w:eastAsia="ja-JP"/>
        </w:rPr>
      </w:pPr>
      <w:r>
        <w:rPr>
          <w:lang w:eastAsia="ja-JP"/>
        </w:rPr>
        <w:t xml:space="preserve">The 2019-2020 bushfires were </w:t>
      </w:r>
      <w:r w:rsidR="00637F39">
        <w:rPr>
          <w:lang w:eastAsia="ja-JP"/>
        </w:rPr>
        <w:t>preceded</w:t>
      </w:r>
      <w:r>
        <w:rPr>
          <w:lang w:eastAsia="ja-JP"/>
        </w:rPr>
        <w:t xml:space="preserve"> </w:t>
      </w:r>
      <w:r w:rsidR="00CE7A0A">
        <w:rPr>
          <w:lang w:eastAsia="ja-JP"/>
        </w:rPr>
        <w:t xml:space="preserve">by several years of </w:t>
      </w:r>
      <w:r>
        <w:rPr>
          <w:lang w:eastAsia="ja-JP"/>
        </w:rPr>
        <w:t>drought and extreme weather conditions. The bushfires were unprecedented as the extent and intensity exceeded any event in recorded history for the Nightcap range</w:t>
      </w:r>
      <w:r w:rsidR="00400C36">
        <w:rPr>
          <w:lang w:eastAsia="ja-JP"/>
        </w:rPr>
        <w:t xml:space="preserve"> </w:t>
      </w:r>
      <w:r w:rsidR="00400C36">
        <w:rPr>
          <w:lang w:eastAsia="ja-JP"/>
        </w:rPr>
        <w:fldChar w:fldCharType="begin" w:fldLock="1"/>
      </w:r>
      <w:r w:rsidR="00400C36">
        <w:rPr>
          <w:lang w:eastAsia="ja-JP"/>
        </w:rPr>
        <w:instrText>ADDIN CSL_CITATION {"citationItems":[{"id":"ITEM-1","itemData":{"author":[{"dropping-particle":"","family":"Kooyman","given":"Robert","non-dropping-particle":"","parse-names":false,"suffix":""},{"dropping-particle":"","family":"Mallee","given":"Justin","non-dropping-particle":"","parse-names":false,"suffix":""}],"id":"ITEM-1","issued":{"date-parts":[["2020"]]},"number-of-pages":"1-25","publisher-place":"Sydney","title":"Results of surveys and assessment of threatened rainforest species in the Nightcap Range including fire impacts on Peach Myrtle (Uromyrtus australis), and plot-based monitoring of Nightcap Oak (Eidothea hardeniana). Report prepared for SoS North Coast Bra","type":"report"},"uris":["http://www.mendeley.com/documents/?uuid=190155e1-0521-478d-af24-31c2f148edd2"]}],"mendeley":{"formattedCitation":"(Kooyman &amp; Mallee 2020)","plainTextFormattedCitation":"(Kooyman &amp; Mallee 2020)","previouslyFormattedCitation":"(Kooyman &amp; Mallee 2020)"},"properties":{"noteIndex":0},"schema":"https://github.com/citation-style-language/schema/raw/master/csl-citation.json"}</w:instrText>
      </w:r>
      <w:r w:rsidR="00400C36">
        <w:rPr>
          <w:lang w:eastAsia="ja-JP"/>
        </w:rPr>
        <w:fldChar w:fldCharType="separate"/>
      </w:r>
      <w:r w:rsidR="00400C36" w:rsidRPr="00400C36">
        <w:rPr>
          <w:noProof/>
          <w:lang w:eastAsia="ja-JP"/>
        </w:rPr>
        <w:t>(Kooyman &amp; Mallee 2020)</w:t>
      </w:r>
      <w:r w:rsidR="00400C36">
        <w:rPr>
          <w:lang w:eastAsia="ja-JP"/>
        </w:rPr>
        <w:fldChar w:fldCharType="end"/>
      </w:r>
      <w:r w:rsidR="00DD7913">
        <w:rPr>
          <w:lang w:eastAsia="ja-JP"/>
        </w:rPr>
        <w:t xml:space="preserve"> and will likely have changed some habitats permanently</w:t>
      </w:r>
      <w:r>
        <w:rPr>
          <w:lang w:eastAsia="ja-JP"/>
        </w:rPr>
        <w:t>.</w:t>
      </w:r>
      <w:r w:rsidR="00400C36">
        <w:rPr>
          <w:lang w:eastAsia="ja-JP"/>
        </w:rPr>
        <w:t xml:space="preserve"> As the</w:t>
      </w:r>
      <w:r w:rsidR="00334FE6">
        <w:rPr>
          <w:lang w:eastAsia="ja-JP"/>
        </w:rPr>
        <w:t xml:space="preserve"> climate</w:t>
      </w:r>
      <w:r w:rsidR="00400C36">
        <w:rPr>
          <w:lang w:eastAsia="ja-JP"/>
        </w:rPr>
        <w:t xml:space="preserve"> conditions which create these fires are predicted to increase in</w:t>
      </w:r>
      <w:r w:rsidR="00DD7913">
        <w:rPr>
          <w:lang w:eastAsia="ja-JP"/>
        </w:rPr>
        <w:t xml:space="preserve"> frequency and intensity in</w:t>
      </w:r>
      <w:r w:rsidR="00400C36">
        <w:rPr>
          <w:lang w:eastAsia="ja-JP"/>
        </w:rPr>
        <w:t xml:space="preserve">to the future </w:t>
      </w:r>
      <w:r w:rsidR="00400C36">
        <w:rPr>
          <w:lang w:eastAsia="ja-JP"/>
        </w:rPr>
        <w:fldChar w:fldCharType="begin" w:fldLock="1"/>
      </w:r>
      <w:r w:rsidR="003274AE">
        <w:rPr>
          <w:lang w:eastAsia="ja-JP"/>
        </w:rPr>
        <w:instrText>ADDIN CSL_CITATION {"citationItems":[{"id":"ITEM-1","itemData":{"author":[{"dropping-particle":"","family":"NSW Government","given":"","non-dropping-particle":"","parse-names":false,"suffix":""}],"id":"ITEM-1","issued":{"date-parts":[["2014"]]},"publisher-place":"Sydney","title":"North Coast Climate change snapshot Overview of North Coast Region climate change","type":"report"},"uris":["http://www.mendeley.com/documents/?uuid=7cf71101-c7a2-4524-bc53-1fa9b3833940"]}],"mendeley":{"formattedCitation":"(NSW Government 2014b)","plainTextFormattedCitation":"(NSW Government 2014b)","previouslyFormattedCitation":"(NSW Government 2014b)"},"properties":{"noteIndex":0},"schema":"https://github.com/citation-style-language/schema/raw/master/csl-citation.json"}</w:instrText>
      </w:r>
      <w:r w:rsidR="00400C36">
        <w:rPr>
          <w:lang w:eastAsia="ja-JP"/>
        </w:rPr>
        <w:fldChar w:fldCharType="separate"/>
      </w:r>
      <w:r w:rsidR="00400C36" w:rsidRPr="00400C36">
        <w:rPr>
          <w:noProof/>
          <w:lang w:eastAsia="ja-JP"/>
        </w:rPr>
        <w:t>(</w:t>
      </w:r>
      <w:r w:rsidR="00334FE6">
        <w:rPr>
          <w:noProof/>
          <w:lang w:eastAsia="ja-JP"/>
        </w:rPr>
        <w:t xml:space="preserve">see Number of Locations above, </w:t>
      </w:r>
      <w:r w:rsidR="00400C36" w:rsidRPr="00400C36">
        <w:rPr>
          <w:noProof/>
          <w:lang w:eastAsia="ja-JP"/>
        </w:rPr>
        <w:t>NSW Government 2014b)</w:t>
      </w:r>
      <w:r w:rsidR="00637F39">
        <w:rPr>
          <w:noProof/>
          <w:lang w:eastAsia="ja-JP"/>
        </w:rPr>
        <w:t>,</w:t>
      </w:r>
      <w:r w:rsidR="00400C36">
        <w:rPr>
          <w:lang w:eastAsia="ja-JP"/>
        </w:rPr>
        <w:fldChar w:fldCharType="end"/>
      </w:r>
      <w:r w:rsidR="00400C36">
        <w:rPr>
          <w:lang w:eastAsia="ja-JP"/>
        </w:rPr>
        <w:t xml:space="preserve"> it can be inferred that a resulting decline in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rPr>
          <w:lang w:eastAsia="ja-JP"/>
        </w:rPr>
        <w:t xml:space="preserve"> </w:t>
      </w:r>
      <w:r w:rsidR="00400C36">
        <w:rPr>
          <w:lang w:eastAsia="ja-JP"/>
        </w:rPr>
        <w:t>EOO, AOO, quality of habitat, number of subpopulations and number of mature individuals will also occur</w:t>
      </w:r>
      <w:r w:rsidR="002B5797">
        <w:rPr>
          <w:lang w:eastAsia="ja-JP"/>
        </w:rPr>
        <w:t xml:space="preserve"> within the next one to three generations. </w:t>
      </w:r>
    </w:p>
    <w:p w14:paraId="5D54522A" w14:textId="735E5FDC" w:rsidR="009F121B" w:rsidRDefault="009F121B" w:rsidP="00D7702D">
      <w:r>
        <w:rPr>
          <w:lang w:eastAsia="ja-JP"/>
        </w:rPr>
        <w:lastRenderedPageBreak/>
        <w:t xml:space="preserve">The distribution </w:t>
      </w:r>
      <w:r w:rsidR="00E005F0">
        <w:rPr>
          <w:lang w:eastAsia="ja-JP"/>
        </w:rPr>
        <w:t xml:space="preserve">is extremely patchy, and the </w:t>
      </w:r>
      <w:r>
        <w:rPr>
          <w:lang w:eastAsia="ja-JP"/>
        </w:rPr>
        <w:t xml:space="preserve">slow growth and poor fecundity </w:t>
      </w:r>
      <w:r w:rsidR="00E005F0">
        <w:rPr>
          <w:lang w:eastAsia="ja-JP"/>
        </w:rPr>
        <w:t>will result in reduced</w:t>
      </w:r>
      <w:r>
        <w:rPr>
          <w:lang w:eastAsia="ja-JP"/>
        </w:rPr>
        <w:t xml:space="preserve"> recruitment and </w:t>
      </w:r>
      <w:r w:rsidR="00E005F0">
        <w:rPr>
          <w:lang w:eastAsia="ja-JP"/>
        </w:rPr>
        <w:t xml:space="preserve">the slow </w:t>
      </w:r>
      <w:r>
        <w:rPr>
          <w:lang w:eastAsia="ja-JP"/>
        </w:rPr>
        <w:t xml:space="preserve">recovery of the species. As threatening processes increase, the loss of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rPr>
          <w:lang w:eastAsia="ja-JP"/>
        </w:rPr>
        <w:t xml:space="preserve"> </w:t>
      </w:r>
      <w:r>
        <w:rPr>
          <w:lang w:eastAsia="ja-JP"/>
        </w:rPr>
        <w:t>will exceed the ability to replace individuals, resulting in a decline in EOO</w:t>
      </w:r>
      <w:r w:rsidR="00E005F0">
        <w:rPr>
          <w:lang w:eastAsia="ja-JP"/>
        </w:rPr>
        <w:t xml:space="preserve">, </w:t>
      </w:r>
      <w:r>
        <w:rPr>
          <w:lang w:eastAsia="ja-JP"/>
        </w:rPr>
        <w:t>AOO</w:t>
      </w:r>
      <w:r w:rsidR="00E005F0">
        <w:rPr>
          <w:lang w:eastAsia="ja-JP"/>
        </w:rPr>
        <w:t>, the n</w:t>
      </w:r>
      <w:r>
        <w:rPr>
          <w:lang w:eastAsia="ja-JP"/>
        </w:rPr>
        <w:t xml:space="preserve">umber of subpopulations and </w:t>
      </w:r>
      <w:r w:rsidR="00E005F0">
        <w:rPr>
          <w:lang w:eastAsia="ja-JP"/>
        </w:rPr>
        <w:t xml:space="preserve">the </w:t>
      </w:r>
      <w:r>
        <w:rPr>
          <w:lang w:eastAsia="ja-JP"/>
        </w:rPr>
        <w:t xml:space="preserve">number of mature individuals. </w:t>
      </w:r>
    </w:p>
    <w:p w14:paraId="01927EE6" w14:textId="77777777" w:rsidR="009F121B" w:rsidRPr="009F121B" w:rsidRDefault="009F121B" w:rsidP="00D7702D">
      <w:pPr>
        <w:rPr>
          <w:bCs/>
          <w:i/>
          <w:iCs/>
          <w:lang w:eastAsia="ja-JP"/>
        </w:rPr>
      </w:pPr>
      <w:r w:rsidRPr="009F121B">
        <w:rPr>
          <w:bCs/>
          <w:i/>
          <w:iCs/>
          <w:lang w:eastAsia="ja-JP"/>
        </w:rPr>
        <w:t>Conclusion</w:t>
      </w:r>
    </w:p>
    <w:p w14:paraId="2747ED1D" w14:textId="6C7D72A6" w:rsidR="00D7702D" w:rsidRPr="009F121B" w:rsidRDefault="00D7702D" w:rsidP="00D7702D">
      <w:pPr>
        <w:rPr>
          <w:lang w:eastAsia="ja-JP"/>
        </w:rPr>
      </w:pPr>
      <w:r w:rsidRPr="009D7E68">
        <w:rPr>
          <w:bCs/>
          <w:lang w:eastAsia="ja-JP"/>
        </w:rPr>
        <w:t xml:space="preserve">The Committee considers that the species’ Extent </w:t>
      </w:r>
      <w:proofErr w:type="gramStart"/>
      <w:r w:rsidRPr="009D7E68">
        <w:rPr>
          <w:bCs/>
          <w:lang w:eastAsia="ja-JP"/>
        </w:rPr>
        <w:t>Of</w:t>
      </w:r>
      <w:proofErr w:type="gramEnd"/>
      <w:r w:rsidRPr="009D7E68">
        <w:rPr>
          <w:bCs/>
          <w:lang w:eastAsia="ja-JP"/>
        </w:rPr>
        <w:t xml:space="preserve"> Occurrence (EOO) and Area Of Occupancy (AOO) is restricted, and </w:t>
      </w:r>
      <w:r>
        <w:rPr>
          <w:bCs/>
          <w:lang w:eastAsia="ja-JP"/>
        </w:rPr>
        <w:t>the</w:t>
      </w:r>
      <w:r w:rsidRPr="009D7E68">
        <w:rPr>
          <w:bCs/>
          <w:lang w:eastAsia="ja-JP"/>
        </w:rPr>
        <w:t xml:space="preserve"> number of locations is restricted and continuing decline is estimated </w:t>
      </w:r>
      <w:r>
        <w:rPr>
          <w:bCs/>
          <w:lang w:eastAsia="ja-JP"/>
        </w:rPr>
        <w:t>for</w:t>
      </w:r>
      <w:r>
        <w:rPr>
          <w:lang w:eastAsia="ja-JP"/>
        </w:rPr>
        <w:t xml:space="preserve"> the </w:t>
      </w:r>
      <w:r w:rsidRPr="009D7E68">
        <w:rPr>
          <w:bCs/>
          <w:lang w:eastAsia="ja-JP"/>
        </w:rPr>
        <w:t>extent of occurrence</w:t>
      </w:r>
      <w:r>
        <w:rPr>
          <w:bCs/>
          <w:lang w:eastAsia="ja-JP"/>
        </w:rPr>
        <w:t xml:space="preserve">, </w:t>
      </w:r>
      <w:r w:rsidRPr="009D7E68">
        <w:rPr>
          <w:bCs/>
          <w:lang w:eastAsia="ja-JP"/>
        </w:rPr>
        <w:t>area of occupancy</w:t>
      </w:r>
      <w:r>
        <w:rPr>
          <w:bCs/>
          <w:lang w:eastAsia="ja-JP"/>
        </w:rPr>
        <w:t>, the</w:t>
      </w:r>
      <w:r w:rsidRPr="009D7E68">
        <w:rPr>
          <w:bCs/>
          <w:lang w:eastAsia="ja-JP"/>
        </w:rPr>
        <w:t xml:space="preserve"> area, extent and or quality</w:t>
      </w:r>
      <w:r w:rsidR="00CE7A0A">
        <w:rPr>
          <w:bCs/>
          <w:lang w:eastAsia="ja-JP"/>
        </w:rPr>
        <w:t xml:space="preserve"> of</w:t>
      </w:r>
      <w:r w:rsidRPr="009D7E68">
        <w:rPr>
          <w:bCs/>
          <w:lang w:eastAsia="ja-JP"/>
        </w:rPr>
        <w:t xml:space="preserve"> habitat</w:t>
      </w:r>
      <w:r>
        <w:rPr>
          <w:bCs/>
          <w:lang w:eastAsia="ja-JP"/>
        </w:rPr>
        <w:t xml:space="preserve">, the </w:t>
      </w:r>
      <w:r w:rsidRPr="009D7E68">
        <w:rPr>
          <w:bCs/>
          <w:lang w:eastAsia="ja-JP"/>
        </w:rPr>
        <w:t xml:space="preserve">number of locations or subpopulations </w:t>
      </w:r>
      <w:r>
        <w:rPr>
          <w:bCs/>
          <w:lang w:eastAsia="ja-JP"/>
        </w:rPr>
        <w:t xml:space="preserve">and as a result, the </w:t>
      </w:r>
      <w:r w:rsidRPr="009D7E68">
        <w:rPr>
          <w:bCs/>
          <w:lang w:eastAsia="ja-JP"/>
        </w:rPr>
        <w:t>number of mature individuals.</w:t>
      </w:r>
      <w:r w:rsidR="009F121B">
        <w:rPr>
          <w:lang w:eastAsia="ja-JP"/>
        </w:rPr>
        <w:t xml:space="preserve"> </w:t>
      </w:r>
      <w:r w:rsidRPr="009D7E68">
        <w:rPr>
          <w:bCs/>
          <w:lang w:eastAsia="ja-JP"/>
        </w:rPr>
        <w:t xml:space="preserve">Therefore, the species </w:t>
      </w:r>
      <w:r w:rsidRPr="3857C1C5">
        <w:rPr>
          <w:lang w:eastAsia="ja-JP"/>
        </w:rPr>
        <w:t>me</w:t>
      </w:r>
      <w:r w:rsidR="3C7551DC" w:rsidRPr="3857C1C5">
        <w:rPr>
          <w:lang w:eastAsia="ja-JP"/>
        </w:rPr>
        <w:t>e</w:t>
      </w:r>
      <w:r w:rsidRPr="3857C1C5">
        <w:rPr>
          <w:lang w:eastAsia="ja-JP"/>
        </w:rPr>
        <w:t>t</w:t>
      </w:r>
      <w:r w:rsidR="272EACA5" w:rsidRPr="3857C1C5">
        <w:rPr>
          <w:lang w:eastAsia="ja-JP"/>
        </w:rPr>
        <w:t>s</w:t>
      </w:r>
      <w:r w:rsidRPr="009D7E68">
        <w:rPr>
          <w:bCs/>
          <w:lang w:eastAsia="ja-JP"/>
        </w:rPr>
        <w:t xml:space="preserve"> the relevant elements of Criterion 2 to make it eligible for listing as </w:t>
      </w:r>
      <w:sdt>
        <w:sdtPr>
          <w:id w:val="1576013644"/>
          <w:placeholder>
            <w:docPart w:val="7CDB6BA7851AB849907712AB0ABBB9C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E09C6">
            <w:t>Endangered</w:t>
          </w:r>
        </w:sdtContent>
      </w:sdt>
      <w:r w:rsidRPr="009D7E68">
        <w:rPr>
          <w:bCs/>
          <w:lang w:eastAsia="ja-JP"/>
        </w:rPr>
        <w:t>.</w:t>
      </w:r>
    </w:p>
    <w:p w14:paraId="66C7D4A4" w14:textId="77777777" w:rsidR="009F121B" w:rsidRPr="0018709B" w:rsidRDefault="009F121B" w:rsidP="009F121B">
      <w:pPr>
        <w:spacing w:after="240"/>
        <w:rPr>
          <w:rFonts w:cs="Arial"/>
        </w:rPr>
      </w:pPr>
      <w:r w:rsidRPr="00717B03">
        <w:rPr>
          <w:rFonts w:cs="Arial"/>
        </w:rPr>
        <w:t xml:space="preserve">However, the purpose of this consultation document is to elicit additional information to better understand the </w:t>
      </w:r>
      <w:r>
        <w:rPr>
          <w:rFonts w:cs="Arial"/>
        </w:rPr>
        <w:t>sub</w:t>
      </w:r>
      <w:r w:rsidRPr="00717B03">
        <w:rPr>
          <w:rFonts w:cs="Arial"/>
        </w:rPr>
        <w:t xml:space="preserve">species’ status. This conclusion </w:t>
      </w:r>
      <w:r>
        <w:rPr>
          <w:rFonts w:cs="Arial"/>
        </w:rPr>
        <w:t xml:space="preserve">is based on the acceptance that this species is severely fragmented and </w:t>
      </w:r>
      <w:r w:rsidRPr="00717B03">
        <w:rPr>
          <w:rFonts w:cs="Arial"/>
        </w:rPr>
        <w:t xml:space="preserve">should therefore </w:t>
      </w:r>
      <w:proofErr w:type="gramStart"/>
      <w:r w:rsidRPr="00717B03">
        <w:rPr>
          <w:rFonts w:cs="Arial"/>
        </w:rPr>
        <w:t>be considered to be</w:t>
      </w:r>
      <w:proofErr w:type="gramEnd"/>
      <w:r w:rsidRPr="00717B03">
        <w:rPr>
          <w:rFonts w:cs="Arial"/>
        </w:rPr>
        <w:t xml:space="preserve"> tentative at this stage, as it may be changed as a result of responses to this consultation process.</w:t>
      </w:r>
    </w:p>
    <w:p w14:paraId="75F06040" w14:textId="77777777" w:rsidR="009F121B" w:rsidRPr="009D7E68" w:rsidRDefault="009F121B" w:rsidP="00D7702D">
      <w:pPr>
        <w:rPr>
          <w:bCs/>
          <w:lang w:eastAsia="ja-JP"/>
        </w:rPr>
      </w:pPr>
    </w:p>
    <w:p w14:paraId="09EB216F"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50CA045E"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1C6E5BF2"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7AC880B4" w14:textId="77777777" w:rsidTr="002B134C">
        <w:tc>
          <w:tcPr>
            <w:tcW w:w="3395" w:type="dxa"/>
            <w:gridSpan w:val="2"/>
            <w:tcBorders>
              <w:top w:val="nil"/>
              <w:left w:val="single" w:sz="4" w:space="0" w:color="auto"/>
              <w:bottom w:val="nil"/>
              <w:right w:val="nil"/>
            </w:tcBorders>
          </w:tcPr>
          <w:p w14:paraId="71165F7D"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025A3A58" w14:textId="77777777" w:rsidR="002B134C" w:rsidRPr="00556843" w:rsidRDefault="002B134C" w:rsidP="00F658E8">
            <w:pPr>
              <w:pStyle w:val="TableText"/>
              <w:keepNext/>
              <w:rPr>
                <w:b/>
              </w:rPr>
            </w:pPr>
            <w:r w:rsidRPr="00556843">
              <w:rPr>
                <w:b/>
              </w:rPr>
              <w:t>Critically Endangered</w:t>
            </w:r>
          </w:p>
          <w:p w14:paraId="5A7D063A"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964CB1F" w14:textId="77777777" w:rsidR="002B134C" w:rsidRPr="00556843" w:rsidRDefault="002B134C" w:rsidP="00F658E8">
            <w:pPr>
              <w:pStyle w:val="TableText"/>
              <w:keepNext/>
              <w:rPr>
                <w:b/>
              </w:rPr>
            </w:pPr>
            <w:r w:rsidRPr="00556843">
              <w:rPr>
                <w:b/>
              </w:rPr>
              <w:t>Endangered</w:t>
            </w:r>
          </w:p>
          <w:p w14:paraId="7AD12BE4"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458DBC8B" w14:textId="77777777" w:rsidR="002B134C" w:rsidRPr="00556843" w:rsidRDefault="002B134C" w:rsidP="00F658E8">
            <w:pPr>
              <w:pStyle w:val="TableText"/>
              <w:keepNext/>
              <w:rPr>
                <w:b/>
              </w:rPr>
            </w:pPr>
            <w:r w:rsidRPr="00556843">
              <w:rPr>
                <w:b/>
              </w:rPr>
              <w:t>Vulnerable</w:t>
            </w:r>
          </w:p>
          <w:p w14:paraId="6986FDEE" w14:textId="77777777" w:rsidR="002B134C" w:rsidRPr="00556843" w:rsidRDefault="002B134C" w:rsidP="00F658E8">
            <w:pPr>
              <w:pStyle w:val="TableText"/>
              <w:keepNext/>
              <w:rPr>
                <w:b/>
              </w:rPr>
            </w:pPr>
            <w:r w:rsidRPr="00556843">
              <w:rPr>
                <w:b/>
              </w:rPr>
              <w:t>Limited</w:t>
            </w:r>
          </w:p>
        </w:tc>
      </w:tr>
      <w:tr w:rsidR="002B134C" w:rsidRPr="00556843" w14:paraId="418C1C27"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78FE7325"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54945916"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A2A8A91"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2D12B3E5" w14:textId="77777777" w:rsidR="002B134C" w:rsidRPr="00556843" w:rsidRDefault="002B134C" w:rsidP="00F658E8">
            <w:pPr>
              <w:pStyle w:val="TableText"/>
              <w:keepNext/>
            </w:pPr>
            <w:r w:rsidRPr="00556843">
              <w:rPr>
                <w:b/>
              </w:rPr>
              <w:t xml:space="preserve">&lt; 10,000 </w:t>
            </w:r>
          </w:p>
        </w:tc>
      </w:tr>
      <w:tr w:rsidR="002B134C" w:rsidRPr="00556843" w14:paraId="75AFE157"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3720D458"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017EF516"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E8CFA8C"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174B77D" w14:textId="77777777" w:rsidR="002B134C" w:rsidRPr="00556843" w:rsidRDefault="002B134C" w:rsidP="00F658E8">
            <w:pPr>
              <w:pStyle w:val="TableText"/>
              <w:keepNext/>
              <w:rPr>
                <w:b/>
              </w:rPr>
            </w:pPr>
          </w:p>
        </w:tc>
      </w:tr>
      <w:tr w:rsidR="002B134C" w:rsidRPr="00556843" w14:paraId="3E7627ED"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764C9E1"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 xml:space="preserve">An observed, </w:t>
            </w:r>
            <w:proofErr w:type="gramStart"/>
            <w:r w:rsidRPr="00556843">
              <w:t>estimated</w:t>
            </w:r>
            <w:proofErr w:type="gramEnd"/>
            <w:r w:rsidRPr="00556843">
              <w:t xml:space="preserve">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0A1AB1B" w14:textId="77777777" w:rsidR="002B134C" w:rsidRPr="00556843" w:rsidRDefault="002B134C" w:rsidP="00F658E8">
            <w:pPr>
              <w:pStyle w:val="TableText"/>
              <w:keepNext/>
              <w:rPr>
                <w:b/>
              </w:rPr>
            </w:pPr>
            <w:r w:rsidRPr="00556843">
              <w:rPr>
                <w:b/>
              </w:rPr>
              <w:t>Very high rate</w:t>
            </w:r>
          </w:p>
          <w:p w14:paraId="052E1A15" w14:textId="77777777" w:rsidR="002B134C" w:rsidRPr="00556843" w:rsidRDefault="002B134C" w:rsidP="00F658E8">
            <w:pPr>
              <w:pStyle w:val="TableText"/>
              <w:keepNext/>
              <w:rPr>
                <w:b/>
              </w:rPr>
            </w:pPr>
            <w:r w:rsidRPr="00556843">
              <w:rPr>
                <w:b/>
              </w:rPr>
              <w:t>25% in 3 years or 1 generation</w:t>
            </w:r>
          </w:p>
          <w:p w14:paraId="54AB411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48EBEDCF" w14:textId="77777777" w:rsidR="002B134C" w:rsidRPr="00556843" w:rsidRDefault="002B134C" w:rsidP="00F658E8">
            <w:pPr>
              <w:pStyle w:val="TableText"/>
              <w:keepNext/>
              <w:rPr>
                <w:b/>
              </w:rPr>
            </w:pPr>
            <w:r w:rsidRPr="00556843">
              <w:rPr>
                <w:b/>
              </w:rPr>
              <w:t>High rate</w:t>
            </w:r>
          </w:p>
          <w:p w14:paraId="1E0F06BA" w14:textId="77777777" w:rsidR="002B134C" w:rsidRPr="00556843" w:rsidRDefault="002B134C" w:rsidP="00F658E8">
            <w:pPr>
              <w:pStyle w:val="TableText"/>
              <w:keepNext/>
              <w:rPr>
                <w:b/>
              </w:rPr>
            </w:pPr>
            <w:r w:rsidRPr="00556843">
              <w:rPr>
                <w:b/>
              </w:rPr>
              <w:t>20% in 5 years or 2 generation</w:t>
            </w:r>
          </w:p>
          <w:p w14:paraId="4181CFF5"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2C13C14C" w14:textId="77777777" w:rsidR="002B134C" w:rsidRPr="00556843" w:rsidRDefault="002B134C" w:rsidP="00F658E8">
            <w:pPr>
              <w:pStyle w:val="TableText"/>
              <w:keepNext/>
              <w:rPr>
                <w:b/>
              </w:rPr>
            </w:pPr>
            <w:r w:rsidRPr="00556843">
              <w:rPr>
                <w:b/>
              </w:rPr>
              <w:t>Substantial rate</w:t>
            </w:r>
          </w:p>
          <w:p w14:paraId="0CEB4B8B" w14:textId="77777777" w:rsidR="002B134C" w:rsidRPr="00556843" w:rsidRDefault="002B134C" w:rsidP="00F658E8">
            <w:pPr>
              <w:pStyle w:val="TableText"/>
              <w:keepNext/>
              <w:rPr>
                <w:b/>
              </w:rPr>
            </w:pPr>
            <w:r w:rsidRPr="00556843">
              <w:rPr>
                <w:b/>
              </w:rPr>
              <w:t>10% in 10 years or 3 generations</w:t>
            </w:r>
          </w:p>
          <w:p w14:paraId="39BDB93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5578AA24"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55E67F7F"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06B60129" w14:textId="77777777" w:rsidR="002B134C" w:rsidRPr="00556843" w:rsidRDefault="002B134C" w:rsidP="00F658E8">
            <w:pPr>
              <w:pStyle w:val="TableText"/>
              <w:keepNext/>
            </w:pPr>
          </w:p>
        </w:tc>
        <w:tc>
          <w:tcPr>
            <w:tcW w:w="1833" w:type="dxa"/>
            <w:tcBorders>
              <w:top w:val="nil"/>
              <w:left w:val="nil"/>
              <w:bottom w:val="nil"/>
              <w:right w:val="nil"/>
            </w:tcBorders>
          </w:tcPr>
          <w:p w14:paraId="0F572317"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1CE9EEBE" w14:textId="77777777" w:rsidR="002B134C" w:rsidRPr="00556843" w:rsidRDefault="002B134C" w:rsidP="00F658E8">
            <w:pPr>
              <w:pStyle w:val="TableText"/>
              <w:keepNext/>
            </w:pPr>
          </w:p>
        </w:tc>
      </w:tr>
      <w:tr w:rsidR="002B134C" w:rsidRPr="00556843" w14:paraId="7F6784E2"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11240CFC"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2F12D439"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0645CC9"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254848D6"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611F0DF6" w14:textId="77777777" w:rsidR="002B134C" w:rsidRPr="00556843" w:rsidRDefault="002B134C" w:rsidP="00F658E8">
            <w:pPr>
              <w:pStyle w:val="TableText"/>
              <w:keepNext/>
              <w:rPr>
                <w:b/>
              </w:rPr>
            </w:pPr>
            <w:r w:rsidRPr="00556843">
              <w:rPr>
                <w:b/>
              </w:rPr>
              <w:t>≤ 1,000</w:t>
            </w:r>
          </w:p>
        </w:tc>
      </w:tr>
      <w:tr w:rsidR="002B134C" w:rsidRPr="00556843" w14:paraId="6F41E6C9"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4161CF3B"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057F175"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8D70C58"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D014297"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146484A8" w14:textId="77777777" w:rsidR="002B134C" w:rsidRPr="00556843" w:rsidRDefault="002B134C" w:rsidP="00F658E8">
            <w:pPr>
              <w:pStyle w:val="TableText"/>
              <w:keepNext/>
              <w:rPr>
                <w:b/>
              </w:rPr>
            </w:pPr>
            <w:r w:rsidRPr="00556843">
              <w:rPr>
                <w:b/>
              </w:rPr>
              <w:t>100%</w:t>
            </w:r>
          </w:p>
        </w:tc>
      </w:tr>
      <w:tr w:rsidR="002B134C" w:rsidRPr="00556843" w14:paraId="2FCF4EAD"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4E3FB158"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7C834E6A"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5464235B"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20AD34CD" w14:textId="77777777" w:rsidR="002B134C" w:rsidRPr="00556843" w:rsidRDefault="002B134C" w:rsidP="00F658E8">
            <w:pPr>
              <w:pStyle w:val="TableText"/>
              <w:keepNext/>
            </w:pPr>
          </w:p>
        </w:tc>
      </w:tr>
    </w:tbl>
    <w:p w14:paraId="3F0A1126" w14:textId="77777777" w:rsidR="002B69E4" w:rsidRPr="002B69E4" w:rsidRDefault="00C2736A" w:rsidP="00CD30FC">
      <w:pPr>
        <w:pStyle w:val="Heading3"/>
        <w:spacing w:before="240"/>
        <w:ind w:left="964" w:hanging="964"/>
      </w:pPr>
      <w:r>
        <w:t>Criterion 3 e</w:t>
      </w:r>
      <w:r w:rsidR="002B69E4" w:rsidRPr="002B69E4">
        <w:t>vidence</w:t>
      </w:r>
    </w:p>
    <w:p w14:paraId="4A9AB376" w14:textId="77777777" w:rsidR="00410221" w:rsidRDefault="00410221" w:rsidP="00410221">
      <w:pPr>
        <w:rPr>
          <w:lang w:eastAsia="ja-JP"/>
        </w:rPr>
      </w:pPr>
      <w:r>
        <w:rPr>
          <w:b/>
          <w:bCs/>
          <w:lang w:eastAsia="ja-JP"/>
        </w:rPr>
        <w:t>Insufficient data to determine eligibility</w:t>
      </w:r>
    </w:p>
    <w:p w14:paraId="0518609F" w14:textId="28CEED15" w:rsidR="009923DA" w:rsidRPr="002B5023" w:rsidRDefault="009923DA" w:rsidP="009923DA">
      <w:pPr>
        <w:rPr>
          <w:i/>
          <w:iCs/>
        </w:rPr>
      </w:pPr>
      <w:r w:rsidRPr="002B5023">
        <w:rPr>
          <w:i/>
          <w:iCs/>
        </w:rPr>
        <w:t xml:space="preserve">Population size </w:t>
      </w:r>
      <w:r w:rsidR="002B5023" w:rsidRPr="002B5023">
        <w:rPr>
          <w:i/>
          <w:iCs/>
        </w:rPr>
        <w:t>&lt; 2,500</w:t>
      </w:r>
    </w:p>
    <w:p w14:paraId="795E5FE6" w14:textId="17156BA1" w:rsidR="009923DA" w:rsidRDefault="004A5534" w:rsidP="009923DA">
      <w:r>
        <w:t>T</w:t>
      </w:r>
      <w:r w:rsidR="002F4849">
        <w:t xml:space="preserve">he </w:t>
      </w:r>
      <w:r w:rsidR="009923DA">
        <w:t xml:space="preserve">total population </w:t>
      </w:r>
      <w:r w:rsidR="002F4849">
        <w:t xml:space="preserve">is </w:t>
      </w:r>
      <w:r>
        <w:t xml:space="preserve">estimated to be </w:t>
      </w:r>
      <w:r w:rsidR="002F4849">
        <w:t xml:space="preserve">less than </w:t>
      </w:r>
      <w:r w:rsidR="009923DA">
        <w:t xml:space="preserve">1000 individuals (Robert </w:t>
      </w:r>
      <w:proofErr w:type="spellStart"/>
      <w:r w:rsidR="009923DA">
        <w:t>Kooyman</w:t>
      </w:r>
      <w:proofErr w:type="spellEnd"/>
      <w:r w:rsidR="009923DA">
        <w:t xml:space="preserve"> </w:t>
      </w:r>
      <w:r w:rsidR="00971C10">
        <w:t>2021. pers</w:t>
      </w:r>
      <w:r w:rsidR="009923DA">
        <w:t xml:space="preserve"> comm 9 Aug)</w:t>
      </w:r>
      <w:r w:rsidRPr="004A5534">
        <w:t xml:space="preserve"> </w:t>
      </w:r>
      <w:r>
        <w:t xml:space="preserve">This expert opinion is based on decades of field surveys of species densities in </w:t>
      </w:r>
      <w:r w:rsidR="00FE5D58">
        <w:t xml:space="preserve">the </w:t>
      </w:r>
      <w:r>
        <w:t>Nightcap Range</w:t>
      </w:r>
      <w:r w:rsidR="009923DA">
        <w:t xml:space="preserve">. </w:t>
      </w:r>
      <w:r w:rsidR="002F4849">
        <w:t xml:space="preserve">This is within the range estimated using </w:t>
      </w:r>
      <w:r w:rsidR="00FE5D58">
        <w:t xml:space="preserve">the </w:t>
      </w:r>
      <w:r w:rsidR="002F4849">
        <w:t xml:space="preserve">number of sightings (78) multiplied by mean </w:t>
      </w:r>
      <w:r>
        <w:t xml:space="preserve">observed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rsidR="002F4849">
        <w:t>densities (eight</w:t>
      </w:r>
      <w:r>
        <w:t xml:space="preserve"> per site</w:t>
      </w:r>
      <w:r w:rsidR="002F4849">
        <w:t xml:space="preserve">). </w:t>
      </w:r>
    </w:p>
    <w:p w14:paraId="5EE6450E" w14:textId="77777777" w:rsidR="006C5F4C" w:rsidRPr="00D75A84" w:rsidRDefault="006C5F4C" w:rsidP="006C5F4C">
      <w:pPr>
        <w:rPr>
          <w:i/>
          <w:iCs/>
        </w:rPr>
      </w:pPr>
      <w:r w:rsidRPr="00D75A84">
        <w:rPr>
          <w:i/>
          <w:iCs/>
        </w:rPr>
        <w:t>Projected declines</w:t>
      </w:r>
    </w:p>
    <w:p w14:paraId="42F41FB9" w14:textId="31744CE7" w:rsidR="006C5F4C" w:rsidRDefault="006C5F4C" w:rsidP="006C5F4C">
      <w:r>
        <w:t xml:space="preserve">There </w:t>
      </w:r>
      <w:r w:rsidR="003B57AD">
        <w:t xml:space="preserve">are </w:t>
      </w:r>
      <w:r>
        <w:t xml:space="preserve">insufficient data to determine generation length with certainty, and </w:t>
      </w:r>
      <w:r w:rsidR="00E005F0">
        <w:t>similarly,</w:t>
      </w:r>
      <w:r>
        <w:t xml:space="preserve"> there </w:t>
      </w:r>
      <w:r w:rsidR="003B57AD">
        <w:t xml:space="preserve">are </w:t>
      </w:r>
      <w:r>
        <w:t xml:space="preserve">insufficient data to project </w:t>
      </w:r>
      <w:r w:rsidR="004A5534">
        <w:t>a r</w:t>
      </w:r>
      <w:r w:rsidR="00324EB5">
        <w:t xml:space="preserve">ate of </w:t>
      </w:r>
      <w:r>
        <w:t xml:space="preserve">decline for this species. </w:t>
      </w:r>
    </w:p>
    <w:p w14:paraId="2C861B7A" w14:textId="29C90A80" w:rsidR="00D75A84" w:rsidRPr="00D75A84" w:rsidRDefault="00D75A84" w:rsidP="00B3433F">
      <w:pPr>
        <w:rPr>
          <w:i/>
          <w:iCs/>
        </w:rPr>
      </w:pPr>
      <w:r w:rsidRPr="00D75A84">
        <w:rPr>
          <w:i/>
          <w:iCs/>
        </w:rPr>
        <w:t>Number of individuals in each subpopulation</w:t>
      </w:r>
    </w:p>
    <w:p w14:paraId="42D668B8" w14:textId="743FFBF3" w:rsidR="00B3433F" w:rsidRDefault="00B3433F" w:rsidP="00B3433F">
      <w:r>
        <w:t>The percentage of mature individuals in each of the proposed subpopulations are</w:t>
      </w:r>
      <w:r w:rsidR="002F4849">
        <w:t xml:space="preserve"> based on visual estimates of sightings records and abundance records in Quinn et al. (1995)</w:t>
      </w:r>
      <w:r>
        <w:t xml:space="preserve">: </w:t>
      </w:r>
    </w:p>
    <w:p w14:paraId="367C2D0A" w14:textId="1B4E5A2D" w:rsidR="00B3433F" w:rsidRDefault="000E6E1B" w:rsidP="00F46DF5">
      <w:pPr>
        <w:pStyle w:val="ListParagraph"/>
        <w:numPr>
          <w:ilvl w:val="0"/>
          <w:numId w:val="11"/>
        </w:numPr>
      </w:pPr>
      <w:r>
        <w:t xml:space="preserve">Upper </w:t>
      </w:r>
      <w:proofErr w:type="spellStart"/>
      <w:r>
        <w:t>Duroby</w:t>
      </w:r>
      <w:proofErr w:type="spellEnd"/>
      <w:r w:rsidR="00B3433F">
        <w:t>,</w:t>
      </w:r>
      <w:r w:rsidR="002F4849">
        <w:t xml:space="preserve"> 0.6 percent</w:t>
      </w:r>
      <w:r w:rsidR="00B3433F">
        <w:t xml:space="preserve">, observed </w:t>
      </w:r>
    </w:p>
    <w:p w14:paraId="54D8BC70" w14:textId="0A8385B9" w:rsidR="00B3433F" w:rsidRDefault="00B3433F" w:rsidP="00F46DF5">
      <w:pPr>
        <w:pStyle w:val="ListParagraph"/>
        <w:numPr>
          <w:ilvl w:val="0"/>
          <w:numId w:val="11"/>
        </w:numPr>
      </w:pPr>
      <w:r>
        <w:t xml:space="preserve">Yelgun, </w:t>
      </w:r>
      <w:r w:rsidR="002F4849">
        <w:t>0.6 percent</w:t>
      </w:r>
      <w:r>
        <w:t xml:space="preserve">, observed </w:t>
      </w:r>
    </w:p>
    <w:p w14:paraId="19C1EC6E" w14:textId="72ADC4CC" w:rsidR="00B3433F" w:rsidRDefault="00B3433F" w:rsidP="00F46DF5">
      <w:pPr>
        <w:pStyle w:val="ListParagraph"/>
        <w:numPr>
          <w:ilvl w:val="0"/>
          <w:numId w:val="11"/>
        </w:numPr>
      </w:pPr>
      <w:r>
        <w:lastRenderedPageBreak/>
        <w:t xml:space="preserve">Brunswick Heads, </w:t>
      </w:r>
      <w:r w:rsidR="002F4849">
        <w:t>0.8 percent</w:t>
      </w:r>
      <w:r>
        <w:t xml:space="preserve">, estimated </w:t>
      </w:r>
    </w:p>
    <w:p w14:paraId="3F980656" w14:textId="3778F93F" w:rsidR="00B3433F" w:rsidRDefault="00B3433F" w:rsidP="00F46DF5">
      <w:pPr>
        <w:pStyle w:val="ListParagraph"/>
        <w:numPr>
          <w:ilvl w:val="0"/>
          <w:numId w:val="11"/>
        </w:numPr>
      </w:pPr>
      <w:r>
        <w:t xml:space="preserve">Clarrie Hall Dam area, </w:t>
      </w:r>
      <w:r w:rsidR="002F4849">
        <w:t>five percent</w:t>
      </w:r>
      <w:r>
        <w:t xml:space="preserve">, estimated </w:t>
      </w:r>
    </w:p>
    <w:p w14:paraId="4637EAEE" w14:textId="21614649" w:rsidR="00B3433F" w:rsidRDefault="00B3433F" w:rsidP="00F46DF5">
      <w:pPr>
        <w:pStyle w:val="ListParagraph"/>
        <w:numPr>
          <w:ilvl w:val="0"/>
          <w:numId w:val="11"/>
        </w:numPr>
      </w:pPr>
      <w:r>
        <w:t xml:space="preserve">Upper Wilson’s Creek and </w:t>
      </w:r>
      <w:proofErr w:type="spellStart"/>
      <w:r>
        <w:t>Koonyum</w:t>
      </w:r>
      <w:proofErr w:type="spellEnd"/>
      <w:r>
        <w:t xml:space="preserve"> Range, </w:t>
      </w:r>
      <w:r w:rsidR="002F4849">
        <w:t>20 percent</w:t>
      </w:r>
      <w:r>
        <w:t xml:space="preserve">, estimated </w:t>
      </w:r>
    </w:p>
    <w:p w14:paraId="6A3C968F" w14:textId="0F63C7F7" w:rsidR="00B3433F" w:rsidRDefault="00B3433F" w:rsidP="00F46DF5">
      <w:pPr>
        <w:pStyle w:val="ListParagraph"/>
        <w:numPr>
          <w:ilvl w:val="0"/>
          <w:numId w:val="11"/>
        </w:numPr>
      </w:pPr>
      <w:r>
        <w:t xml:space="preserve">Nightcap National Park and </w:t>
      </w:r>
      <w:proofErr w:type="spellStart"/>
      <w:r>
        <w:t>Whian</w:t>
      </w:r>
      <w:proofErr w:type="spellEnd"/>
      <w:r>
        <w:t xml:space="preserve"> </w:t>
      </w:r>
      <w:proofErr w:type="spellStart"/>
      <w:r>
        <w:t>Whian</w:t>
      </w:r>
      <w:proofErr w:type="spellEnd"/>
      <w:r>
        <w:t xml:space="preserve"> Conservation Area</w:t>
      </w:r>
      <w:r w:rsidR="00D75A84">
        <w:t xml:space="preserve">, </w:t>
      </w:r>
      <w:r w:rsidR="002F4849">
        <w:t>70 percent,</w:t>
      </w:r>
      <w:r w:rsidR="0032578A">
        <w:t xml:space="preserve"> estimated</w:t>
      </w:r>
      <w:r w:rsidR="00D75A84">
        <w:t xml:space="preserve"> </w:t>
      </w:r>
    </w:p>
    <w:p w14:paraId="3168CD95" w14:textId="42E142B6" w:rsidR="00B3433F" w:rsidRDefault="00B3433F" w:rsidP="00F46DF5">
      <w:pPr>
        <w:pStyle w:val="ListParagraph"/>
        <w:numPr>
          <w:ilvl w:val="0"/>
          <w:numId w:val="11"/>
        </w:numPr>
      </w:pPr>
      <w:r>
        <w:t>The Channon</w:t>
      </w:r>
      <w:r w:rsidR="00D75A84">
        <w:t xml:space="preserve">, </w:t>
      </w:r>
      <w:r w:rsidR="002F4849">
        <w:t>two percent</w:t>
      </w:r>
      <w:r w:rsidR="00D75A84">
        <w:t xml:space="preserve">, estimated </w:t>
      </w:r>
    </w:p>
    <w:p w14:paraId="56C91203" w14:textId="6F0759E2" w:rsidR="006C5F4C" w:rsidRDefault="006C5F4C" w:rsidP="006C5F4C">
      <w:r>
        <w:t xml:space="preserve">The majority (70% and approximately 700 individuals) occurs in one identified subpopulation (Night Cap Range and </w:t>
      </w:r>
      <w:proofErr w:type="spellStart"/>
      <w:r>
        <w:t>Whian</w:t>
      </w:r>
      <w:proofErr w:type="spellEnd"/>
      <w:r>
        <w:t xml:space="preserve"> </w:t>
      </w:r>
      <w:proofErr w:type="spellStart"/>
      <w:r>
        <w:t>Whian</w:t>
      </w:r>
      <w:proofErr w:type="spellEnd"/>
      <w:r>
        <w:t xml:space="preserve"> Conservation Area). </w:t>
      </w:r>
    </w:p>
    <w:p w14:paraId="62A60D6F" w14:textId="020ABF32" w:rsidR="000253EC" w:rsidRPr="000253EC" w:rsidRDefault="000253EC" w:rsidP="006C5F4C">
      <w:pPr>
        <w:spacing w:after="240"/>
        <w:rPr>
          <w:bCs/>
          <w:i/>
          <w:iCs/>
        </w:rPr>
      </w:pPr>
      <w:r w:rsidRPr="000253EC">
        <w:rPr>
          <w:bCs/>
          <w:i/>
          <w:iCs/>
        </w:rPr>
        <w:t>Conclusion</w:t>
      </w:r>
    </w:p>
    <w:p w14:paraId="32814ABE" w14:textId="1C25F4DB" w:rsidR="006C5F4C" w:rsidRDefault="002B69E4" w:rsidP="006C5F4C">
      <w:pPr>
        <w:spacing w:after="240"/>
        <w:rPr>
          <w:rFonts w:cs="Arial"/>
        </w:rPr>
      </w:pPr>
      <w:r w:rsidRPr="006C5F4C">
        <w:rPr>
          <w:bCs/>
        </w:rPr>
        <w:t xml:space="preserve">The total number of mature individuals is </w:t>
      </w:r>
      <w:r w:rsidR="006C5F4C" w:rsidRPr="006C5F4C">
        <w:rPr>
          <w:bCs/>
        </w:rPr>
        <w:t>less than 1000</w:t>
      </w:r>
      <w:r w:rsidR="00FE5D58">
        <w:rPr>
          <w:bCs/>
        </w:rPr>
        <w:t>,</w:t>
      </w:r>
      <w:r w:rsidRPr="006C5F4C">
        <w:rPr>
          <w:bCs/>
        </w:rPr>
        <w:t xml:space="preserve"> which is </w:t>
      </w:r>
      <w:r w:rsidR="006C5F4C" w:rsidRPr="006C5F4C">
        <w:rPr>
          <w:bCs/>
        </w:rPr>
        <w:t>low</w:t>
      </w:r>
      <w:r w:rsidR="00FE5D58">
        <w:rPr>
          <w:bCs/>
        </w:rPr>
        <w:t>. However,</w:t>
      </w:r>
      <w:r w:rsidRPr="006C5F4C">
        <w:rPr>
          <w:bCs/>
        </w:rPr>
        <w:t xml:space="preserve"> there are insufficient data available to suggest whether the number</w:t>
      </w:r>
      <w:r w:rsidR="006F4DAF">
        <w:rPr>
          <w:bCs/>
        </w:rPr>
        <w:t>s have</w:t>
      </w:r>
      <w:r w:rsidR="003322B9">
        <w:rPr>
          <w:bCs/>
        </w:rPr>
        <w:t xml:space="preserve"> </w:t>
      </w:r>
      <w:r w:rsidR="007A23E9">
        <w:rPr>
          <w:bCs/>
        </w:rPr>
        <w:t>declined or</w:t>
      </w:r>
      <w:r w:rsidRPr="006C5F4C">
        <w:rPr>
          <w:bCs/>
        </w:rPr>
        <w:t xml:space="preserve"> will continue to decline at a </w:t>
      </w:r>
      <w:r w:rsidR="006C5F4C" w:rsidRPr="006C5F4C">
        <w:rPr>
          <w:bCs/>
        </w:rPr>
        <w:t>high</w:t>
      </w:r>
      <w:r w:rsidR="003322B9">
        <w:rPr>
          <w:bCs/>
        </w:rPr>
        <w:t xml:space="preserve"> rate</w:t>
      </w:r>
      <w:r w:rsidRPr="006C5F4C">
        <w:rPr>
          <w:bCs/>
        </w:rPr>
        <w:t>. Therefore, the species has not met this required element of this criterion.</w:t>
      </w:r>
      <w:r w:rsidR="006C5F4C" w:rsidRPr="006C5F4C">
        <w:rPr>
          <w:rFonts w:cs="Arial"/>
        </w:rPr>
        <w:t xml:space="preserve"> </w:t>
      </w:r>
    </w:p>
    <w:p w14:paraId="1D64192E" w14:textId="777A865B" w:rsidR="006C5F4C" w:rsidRPr="0018709B" w:rsidRDefault="006C5F4C" w:rsidP="006C5F4C">
      <w:pPr>
        <w:spacing w:after="240"/>
        <w:rPr>
          <w:rFonts w:cs="Arial"/>
        </w:rPr>
      </w:pPr>
      <w:r w:rsidRPr="00717B03">
        <w:rPr>
          <w:rFonts w:cs="Arial"/>
        </w:rPr>
        <w:t xml:space="preserve">However, the purpose of this consultation document is to elicit additional information to better understand the </w:t>
      </w:r>
      <w:r>
        <w:rPr>
          <w:rFonts w:cs="Arial"/>
        </w:rPr>
        <w:t>sub</w:t>
      </w:r>
      <w:r w:rsidRPr="00717B03">
        <w:rPr>
          <w:rFonts w:cs="Arial"/>
        </w:rPr>
        <w:t xml:space="preserve">species’ status. This conclusion </w:t>
      </w:r>
      <w:r>
        <w:rPr>
          <w:rFonts w:cs="Arial"/>
        </w:rPr>
        <w:t xml:space="preserve">is based on the acceptance that this species is severely fragmented and </w:t>
      </w:r>
      <w:r w:rsidRPr="00717B03">
        <w:rPr>
          <w:rFonts w:cs="Arial"/>
        </w:rPr>
        <w:t xml:space="preserve">should therefore </w:t>
      </w:r>
      <w:proofErr w:type="gramStart"/>
      <w:r w:rsidRPr="00717B03">
        <w:rPr>
          <w:rFonts w:cs="Arial"/>
        </w:rPr>
        <w:t>be considered to be</w:t>
      </w:r>
      <w:proofErr w:type="gramEnd"/>
      <w:r w:rsidRPr="00717B03">
        <w:rPr>
          <w:rFonts w:cs="Arial"/>
        </w:rPr>
        <w:t xml:space="preserve"> tentative at this stage, as it may be changed as a result of responses to this consultation process.</w:t>
      </w:r>
    </w:p>
    <w:p w14:paraId="36A64432" w14:textId="2426A8B1" w:rsidR="008A6658" w:rsidRPr="006157FE" w:rsidRDefault="008A6658" w:rsidP="002B69E4">
      <w:pPr>
        <w:rPr>
          <w:lang w:eastAsia="ja-JP"/>
        </w:rPr>
      </w:pPr>
    </w:p>
    <w:p w14:paraId="2392FCF2" w14:textId="77777777" w:rsidR="00166185" w:rsidRDefault="00166185"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389B92A3"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58FE8E07" w14:textId="77777777" w:rsidR="00166185" w:rsidRPr="00166185" w:rsidRDefault="00166185" w:rsidP="000E630E">
            <w:pPr>
              <w:pStyle w:val="TableText"/>
              <w:keepNext/>
            </w:pPr>
          </w:p>
        </w:tc>
      </w:tr>
      <w:tr w:rsidR="00166185" w:rsidRPr="00166185" w14:paraId="189F4804"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35546DD"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398C6959" w14:textId="77777777" w:rsidR="00166185" w:rsidRPr="009E3E71" w:rsidRDefault="00166185" w:rsidP="000E630E">
            <w:pPr>
              <w:pStyle w:val="TableText"/>
              <w:keepNext/>
              <w:rPr>
                <w:rStyle w:val="Strong"/>
              </w:rPr>
            </w:pPr>
            <w:r w:rsidRPr="009E3E71">
              <w:rPr>
                <w:rStyle w:val="Strong"/>
              </w:rPr>
              <w:t>Critically Endangered</w:t>
            </w:r>
          </w:p>
          <w:p w14:paraId="5AB245BC"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042A254D" w14:textId="77777777" w:rsidR="00166185" w:rsidRPr="009E3E71" w:rsidRDefault="00166185" w:rsidP="000E630E">
            <w:pPr>
              <w:pStyle w:val="TableText"/>
              <w:keepNext/>
              <w:rPr>
                <w:rStyle w:val="Strong"/>
              </w:rPr>
            </w:pPr>
            <w:r w:rsidRPr="009E3E71">
              <w:rPr>
                <w:rStyle w:val="Strong"/>
              </w:rPr>
              <w:t>Endangered</w:t>
            </w:r>
          </w:p>
          <w:p w14:paraId="5FE5B2F1"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0A0EBBB1" w14:textId="77777777" w:rsidR="00166185" w:rsidRPr="009E3E71" w:rsidRDefault="00166185" w:rsidP="000E630E">
            <w:pPr>
              <w:pStyle w:val="TableText"/>
              <w:keepNext/>
              <w:rPr>
                <w:rStyle w:val="Strong"/>
              </w:rPr>
            </w:pPr>
            <w:r w:rsidRPr="009E3E71">
              <w:rPr>
                <w:rStyle w:val="Strong"/>
              </w:rPr>
              <w:t>Vulnerable</w:t>
            </w:r>
          </w:p>
          <w:p w14:paraId="72433D9B" w14:textId="77777777" w:rsidR="00166185" w:rsidRPr="009E3E71" w:rsidRDefault="00166185" w:rsidP="000E630E">
            <w:pPr>
              <w:pStyle w:val="TableText"/>
              <w:keepNext/>
              <w:rPr>
                <w:rStyle w:val="Strong"/>
              </w:rPr>
            </w:pPr>
            <w:r w:rsidRPr="009E3E71">
              <w:rPr>
                <w:rStyle w:val="Strong"/>
              </w:rPr>
              <w:t>Low</w:t>
            </w:r>
          </w:p>
        </w:tc>
      </w:tr>
      <w:tr w:rsidR="00166185" w:rsidRPr="00166185" w14:paraId="516F5E9E"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319A79BA"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0E3C97DC"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59A8ABE"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54C9813A"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2E244AB9"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388DB75B"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2FBFDD60"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E9C7201"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2CE912B"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49A3DB63"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15358F3" w14:textId="0694C8E0"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1" w:history="1">
        <w:r w:rsidRPr="00166185">
          <w:rPr>
            <w:rStyle w:val="Hyperlink"/>
            <w:bCs/>
            <w:i/>
            <w:iCs/>
          </w:rPr>
          <w:t>common assessment method</w:t>
        </w:r>
      </w:hyperlink>
      <w:r w:rsidRPr="00166185">
        <w:t>.</w:t>
      </w:r>
    </w:p>
    <w:p w14:paraId="35882F88" w14:textId="77777777" w:rsidR="00C2736A" w:rsidRPr="00C2736A" w:rsidRDefault="00C2736A">
      <w:pPr>
        <w:pStyle w:val="Heading3"/>
        <w:ind w:left="964" w:hanging="964"/>
      </w:pPr>
      <w:r>
        <w:t>Criterion 4 e</w:t>
      </w:r>
      <w:r w:rsidR="00BE530B" w:rsidRPr="00BE530B">
        <w:t>vidence</w:t>
      </w:r>
    </w:p>
    <w:p w14:paraId="4494324C" w14:textId="00679F9B" w:rsidR="00ED2D87" w:rsidRDefault="00BE530B" w:rsidP="00BE530B">
      <w:pPr>
        <w:rPr>
          <w:b/>
          <w:bCs/>
        </w:rPr>
      </w:pPr>
      <w:r w:rsidRPr="00C14D04">
        <w:rPr>
          <w:rStyle w:val="Strong"/>
        </w:rPr>
        <w:t xml:space="preserve">Eligible under Criterion </w:t>
      </w:r>
      <w:r w:rsidRPr="002C0FFE">
        <w:rPr>
          <w:rStyle w:val="Strong"/>
        </w:rPr>
        <w:t>4</w:t>
      </w:r>
      <w:r w:rsidRPr="002C0FFE">
        <w:rPr>
          <w:b/>
          <w:bCs/>
        </w:rPr>
        <w:t xml:space="preserve"> </w:t>
      </w:r>
      <w:r w:rsidR="008D5FB2" w:rsidRPr="002C0FFE">
        <w:rPr>
          <w:b/>
          <w:bCs/>
        </w:rPr>
        <w:t>D1</w:t>
      </w:r>
      <w:r w:rsidRPr="002C0FFE">
        <w:rPr>
          <w:b/>
          <w:bCs/>
        </w:rPr>
        <w:t xml:space="preserve"> </w:t>
      </w:r>
      <w:r w:rsidRPr="002C0FFE">
        <w:rPr>
          <w:rStyle w:val="Strong"/>
        </w:rPr>
        <w:t>for listing as</w:t>
      </w:r>
      <w:r w:rsidRPr="002C0FFE">
        <w:rPr>
          <w:b/>
          <w:bCs/>
        </w:rPr>
        <w:t xml:space="preserve"> </w:t>
      </w:r>
      <w:sdt>
        <w:sdtPr>
          <w:rPr>
            <w:b/>
            <w:bCs/>
          </w:rPr>
          <w:id w:val="66926998"/>
          <w:placeholder>
            <w:docPart w:val="89C13962DD6AF848B64669D6EA8EF61F"/>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4E09C6" w:rsidRPr="000E04CB">
            <w:rPr>
              <w:b/>
              <w:bCs/>
            </w:rPr>
            <w:t>Vulnerable</w:t>
          </w:r>
        </w:sdtContent>
      </w:sdt>
      <w:r w:rsidR="00085069">
        <w:rPr>
          <w:b/>
          <w:bCs/>
        </w:rPr>
        <w:t xml:space="preserve"> </w:t>
      </w:r>
    </w:p>
    <w:p w14:paraId="5979E844" w14:textId="3264AB75" w:rsidR="006C5F4C" w:rsidRPr="002B5023" w:rsidRDefault="006C5F4C" w:rsidP="006C5F4C">
      <w:pPr>
        <w:rPr>
          <w:i/>
          <w:iCs/>
        </w:rPr>
      </w:pPr>
      <w:r w:rsidRPr="002B5023">
        <w:rPr>
          <w:i/>
          <w:iCs/>
        </w:rPr>
        <w:t xml:space="preserve">Population size &lt; </w:t>
      </w:r>
      <w:r>
        <w:rPr>
          <w:i/>
          <w:iCs/>
        </w:rPr>
        <w:t>1000</w:t>
      </w:r>
    </w:p>
    <w:p w14:paraId="47DB374C" w14:textId="78127E84" w:rsidR="00324EB5" w:rsidRDefault="00324EB5" w:rsidP="00324EB5">
      <w:r>
        <w:t xml:space="preserve">The total population is estimated to be less than 1000 individuals (Robert </w:t>
      </w:r>
      <w:proofErr w:type="spellStart"/>
      <w:r>
        <w:t>Kooyman</w:t>
      </w:r>
      <w:proofErr w:type="spellEnd"/>
      <w:r>
        <w:t xml:space="preserve"> </w:t>
      </w:r>
      <w:r w:rsidR="00971C10">
        <w:t>2021. pers</w:t>
      </w:r>
      <w:r>
        <w:t xml:space="preserve"> comm 9 Aug)</w:t>
      </w:r>
      <w:r w:rsidR="00836B42">
        <w:t>.</w:t>
      </w:r>
      <w:r w:rsidRPr="004A5534">
        <w:t xml:space="preserve"> </w:t>
      </w:r>
      <w:r>
        <w:t xml:space="preserve">This expert opinion is based on decades of field surveys of species densities in </w:t>
      </w:r>
      <w:r w:rsidR="00E005F0">
        <w:t xml:space="preserve">the </w:t>
      </w:r>
      <w:r>
        <w:lastRenderedPageBreak/>
        <w:t xml:space="preserve">Nightcap Range. This is within the range estimated using </w:t>
      </w:r>
      <w:r w:rsidR="00E005F0">
        <w:t xml:space="preserve">the </w:t>
      </w:r>
      <w:r>
        <w:t xml:space="preserve">number of sightings (78) multiplied by mean observed </w:t>
      </w:r>
      <w:proofErr w:type="spellStart"/>
      <w:r w:rsidR="00D84499" w:rsidRPr="009359EA">
        <w:rPr>
          <w:i/>
          <w:iCs/>
        </w:rPr>
        <w:t>Corokia</w:t>
      </w:r>
      <w:proofErr w:type="spellEnd"/>
      <w:r w:rsidR="00D84499" w:rsidRPr="009359EA">
        <w:rPr>
          <w:i/>
          <w:iCs/>
        </w:rPr>
        <w:t xml:space="preserve"> </w:t>
      </w:r>
      <w:proofErr w:type="spellStart"/>
      <w:r w:rsidR="00D84499" w:rsidRPr="009359EA">
        <w:rPr>
          <w:i/>
          <w:iCs/>
        </w:rPr>
        <w:t>whiteana</w:t>
      </w:r>
      <w:proofErr w:type="spellEnd"/>
      <w:r w:rsidR="00D84499">
        <w:t xml:space="preserve"> </w:t>
      </w:r>
      <w:r>
        <w:t xml:space="preserve">densities (eight per site). </w:t>
      </w:r>
    </w:p>
    <w:p w14:paraId="605427DA" w14:textId="3A47BD0E" w:rsidR="000253EC" w:rsidRPr="000253EC" w:rsidRDefault="000253EC" w:rsidP="00BE530B">
      <w:pPr>
        <w:rPr>
          <w:bCs/>
          <w:i/>
          <w:iCs/>
        </w:rPr>
      </w:pPr>
      <w:r w:rsidRPr="000253EC">
        <w:rPr>
          <w:bCs/>
          <w:i/>
          <w:iCs/>
        </w:rPr>
        <w:t>Conclusion</w:t>
      </w:r>
    </w:p>
    <w:p w14:paraId="6360E2DC" w14:textId="3269ACA0" w:rsidR="00BE530B" w:rsidRPr="00BE530B" w:rsidRDefault="00BE530B" w:rsidP="00BE530B">
      <w:pPr>
        <w:rPr>
          <w:bCs/>
        </w:rPr>
      </w:pPr>
      <w:r w:rsidRPr="00BE530B">
        <w:rPr>
          <w:bCs/>
        </w:rPr>
        <w:t xml:space="preserve">The </w:t>
      </w:r>
      <w:r w:rsidRPr="002C0FFE">
        <w:rPr>
          <w:bCs/>
        </w:rPr>
        <w:t xml:space="preserve">Committee considers that the total number of mature individuals is </w:t>
      </w:r>
      <w:r w:rsidR="006C5F4C" w:rsidRPr="002C0FFE">
        <w:rPr>
          <w:bCs/>
        </w:rPr>
        <w:t>less than 1000</w:t>
      </w:r>
      <w:r w:rsidR="00FE5D58">
        <w:rPr>
          <w:bCs/>
        </w:rPr>
        <w:t>,</w:t>
      </w:r>
      <w:r w:rsidRPr="002C0FFE">
        <w:rPr>
          <w:bCs/>
        </w:rPr>
        <w:t xml:space="preserve"> which is low. Therefore, the species has met the relevant elements of Criterion 4 to make it eligible for</w:t>
      </w:r>
      <w:r w:rsidRPr="00BE530B">
        <w:rPr>
          <w:bCs/>
        </w:rPr>
        <w:t xml:space="preserve"> listing as </w:t>
      </w:r>
      <w:sdt>
        <w:sdtPr>
          <w:id w:val="-124400582"/>
          <w:placeholder>
            <w:docPart w:val="4E98D2E9BF37EE489FD2500183E5BDCE"/>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004E09C6">
            <w:t>D Vulnerable</w:t>
          </w:r>
        </w:sdtContent>
      </w:sdt>
    </w:p>
    <w:p w14:paraId="4BE0F2F5" w14:textId="61118181" w:rsidR="002C0FFE" w:rsidRPr="0018709B" w:rsidRDefault="002C0FFE" w:rsidP="002C0FFE">
      <w:pPr>
        <w:spacing w:after="240"/>
        <w:rPr>
          <w:rFonts w:cs="Arial"/>
        </w:rPr>
      </w:pPr>
      <w:r w:rsidRPr="00717B03">
        <w:rPr>
          <w:rFonts w:cs="Arial"/>
        </w:rPr>
        <w:t xml:space="preserve">However, the purpose of this consultation document is to elicit additional information to better understand the </w:t>
      </w:r>
      <w:r>
        <w:rPr>
          <w:rFonts w:cs="Arial"/>
        </w:rPr>
        <w:t>sub</w:t>
      </w:r>
      <w:r w:rsidRPr="00717B03">
        <w:rPr>
          <w:rFonts w:cs="Arial"/>
        </w:rPr>
        <w:t xml:space="preserve">species’ status. This conclusion </w:t>
      </w:r>
      <w:r>
        <w:rPr>
          <w:rFonts w:cs="Arial"/>
        </w:rPr>
        <w:t xml:space="preserve">is based on the acceptance that this species is severely fragmented and </w:t>
      </w:r>
      <w:r w:rsidRPr="00717B03">
        <w:rPr>
          <w:rFonts w:cs="Arial"/>
        </w:rPr>
        <w:t xml:space="preserve">should therefore </w:t>
      </w:r>
      <w:proofErr w:type="gramStart"/>
      <w:r w:rsidRPr="00717B03">
        <w:rPr>
          <w:rFonts w:cs="Arial"/>
        </w:rPr>
        <w:t>be considered to be</w:t>
      </w:r>
      <w:proofErr w:type="gramEnd"/>
      <w:r w:rsidRPr="00717B03">
        <w:rPr>
          <w:rFonts w:cs="Arial"/>
        </w:rPr>
        <w:t xml:space="preserve"> tentative at this stage, as it may be changed as a result of responses to this consultation process.</w:t>
      </w:r>
    </w:p>
    <w:p w14:paraId="752A9937" w14:textId="0FD57B25" w:rsidR="00BE530B" w:rsidRPr="00BE530B" w:rsidRDefault="00BE530B" w:rsidP="006C5F4C">
      <w:pPr>
        <w:pStyle w:val="Instructiontext"/>
        <w:rPr>
          <w:bCs/>
        </w:rPr>
      </w:pPr>
    </w:p>
    <w:p w14:paraId="27D81E57"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7E83CBD7"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2910A482"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44099AF6" w14:textId="77777777" w:rsidTr="001C7420">
        <w:trPr>
          <w:trHeight w:val="439"/>
        </w:trPr>
        <w:tc>
          <w:tcPr>
            <w:tcW w:w="4042" w:type="dxa"/>
            <w:tcBorders>
              <w:top w:val="nil"/>
              <w:left w:val="single" w:sz="4" w:space="0" w:color="auto"/>
              <w:bottom w:val="nil"/>
              <w:right w:val="nil"/>
            </w:tcBorders>
          </w:tcPr>
          <w:p w14:paraId="212FF549"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7E1C6DD" w14:textId="77777777" w:rsidR="00AD2722" w:rsidRPr="009E3E71" w:rsidRDefault="00AD2722" w:rsidP="000E630E">
            <w:pPr>
              <w:pStyle w:val="TableText"/>
              <w:keepNext/>
              <w:rPr>
                <w:rStyle w:val="Strong"/>
              </w:rPr>
            </w:pPr>
            <w:r w:rsidRPr="009E3E71">
              <w:rPr>
                <w:rStyle w:val="Strong"/>
              </w:rPr>
              <w:t>Critically Endangered</w:t>
            </w:r>
          </w:p>
          <w:p w14:paraId="3B96E1DB"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66352AC" w14:textId="77777777" w:rsidR="00AD2722" w:rsidRPr="009E3E71" w:rsidRDefault="00AD2722" w:rsidP="000E630E">
            <w:pPr>
              <w:pStyle w:val="TableText"/>
              <w:keepNext/>
              <w:rPr>
                <w:rStyle w:val="Strong"/>
              </w:rPr>
            </w:pPr>
            <w:r w:rsidRPr="009E3E71">
              <w:rPr>
                <w:rStyle w:val="Strong"/>
              </w:rPr>
              <w:t>Endangered</w:t>
            </w:r>
          </w:p>
          <w:p w14:paraId="4B67483B"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544ADEAB" w14:textId="77777777" w:rsidR="00AD2722" w:rsidRPr="009E3E71" w:rsidRDefault="00AD2722" w:rsidP="000E630E">
            <w:pPr>
              <w:pStyle w:val="TableText"/>
              <w:keepNext/>
              <w:rPr>
                <w:rStyle w:val="Strong"/>
              </w:rPr>
            </w:pPr>
            <w:r w:rsidRPr="009E3E71">
              <w:rPr>
                <w:rStyle w:val="Strong"/>
              </w:rPr>
              <w:t>Vulnerable</w:t>
            </w:r>
          </w:p>
          <w:p w14:paraId="574D1ACA"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52893C9C"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3F8AB891"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47D76D6A"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2E8D5413"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7EDF2B33"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14BB3EC0" w14:textId="09641AC0" w:rsidR="3857C1C5" w:rsidRDefault="3857C1C5"/>
    <w:p w14:paraId="75E71AE3" w14:textId="77777777" w:rsidR="00AD2722" w:rsidRPr="00AD2722" w:rsidRDefault="00C2736A" w:rsidP="00A41058">
      <w:pPr>
        <w:pStyle w:val="Heading3"/>
        <w:spacing w:before="240"/>
        <w:ind w:left="964" w:hanging="964"/>
      </w:pPr>
      <w:r>
        <w:t>Criterion 5 e</w:t>
      </w:r>
      <w:r w:rsidR="00AD2722" w:rsidRPr="00AD2722">
        <w:t>vidence</w:t>
      </w:r>
    </w:p>
    <w:p w14:paraId="7E09F3C9" w14:textId="3C1F9F90" w:rsidR="00AD2722" w:rsidRPr="00D7702D" w:rsidRDefault="00AD2722" w:rsidP="00D7702D">
      <w:pPr>
        <w:rPr>
          <w:b/>
          <w:bCs/>
        </w:rPr>
      </w:pPr>
      <w:r w:rsidRPr="00D75A84">
        <w:rPr>
          <w:rStyle w:val="Strong"/>
        </w:rPr>
        <w:t>Insufficient data to determine eligibility</w:t>
      </w:r>
      <w:r w:rsidRPr="00A41058">
        <w:rPr>
          <w:rStyle w:val="Strong"/>
        </w:rPr>
        <w:t xml:space="preserve"> </w:t>
      </w:r>
    </w:p>
    <w:p w14:paraId="7D1B1BC7" w14:textId="77777777" w:rsidR="000253EC" w:rsidRDefault="00AD2722" w:rsidP="00AD2722">
      <w:pPr>
        <w:rPr>
          <w:bCs/>
        </w:rPr>
      </w:pPr>
      <w:r w:rsidRPr="00AD2722">
        <w:rPr>
          <w:bCs/>
        </w:rPr>
        <w:t xml:space="preserve">Population viability analysis has not been undertaken. </w:t>
      </w:r>
    </w:p>
    <w:p w14:paraId="1405A6E5" w14:textId="77777777" w:rsidR="000253EC" w:rsidRPr="00346064" w:rsidRDefault="000253EC" w:rsidP="000253EC">
      <w:pPr>
        <w:rPr>
          <w:bCs/>
          <w:i/>
          <w:iCs/>
        </w:rPr>
      </w:pPr>
      <w:r>
        <w:rPr>
          <w:bCs/>
          <w:i/>
          <w:iCs/>
        </w:rPr>
        <w:t>Conclusion</w:t>
      </w:r>
    </w:p>
    <w:p w14:paraId="37E04D93" w14:textId="77777777" w:rsidR="000253EC" w:rsidRDefault="000253EC" w:rsidP="000253EC">
      <w:pPr>
        <w:rPr>
          <w:lang w:eastAsia="ja-JP"/>
        </w:rPr>
      </w:pPr>
      <w:r w:rsidRPr="000A5525">
        <w:rPr>
          <w:bCs/>
        </w:rPr>
        <w:t>There are insufficient data to demonstrate if the species is eligible for listing under this criterion. However, the</w:t>
      </w:r>
      <w:r w:rsidRPr="00374C7B">
        <w:rPr>
          <w:bCs/>
        </w:rPr>
        <w:t xml:space="preserve"> purpose of this consultation document is to elicit additional information to better understand the species’ status. This conclusion should therefore </w:t>
      </w:r>
      <w:proofErr w:type="gramStart"/>
      <w:r w:rsidRPr="00374C7B">
        <w:rPr>
          <w:bCs/>
        </w:rPr>
        <w:t>be considered to be</w:t>
      </w:r>
      <w:proofErr w:type="gramEnd"/>
      <w:r w:rsidRPr="00374C7B">
        <w:rPr>
          <w:bCs/>
        </w:rPr>
        <w:t xml:space="preserve"> tentative at this stage, as it may be changed as a result of responses to this consultation process.</w:t>
      </w:r>
      <w:r>
        <w:rPr>
          <w:bCs/>
        </w:rPr>
        <w:t xml:space="preserve"> </w:t>
      </w:r>
    </w:p>
    <w:p w14:paraId="7B3D0E47" w14:textId="77777777" w:rsidR="00AD2722" w:rsidRPr="00AD2722" w:rsidRDefault="00AD2722" w:rsidP="00F20180">
      <w:pPr>
        <w:pStyle w:val="Heading3"/>
        <w:ind w:left="964" w:hanging="964"/>
      </w:pPr>
      <w:r w:rsidRPr="00AD2722">
        <w:t>Adequacy of survey</w:t>
      </w:r>
    </w:p>
    <w:p w14:paraId="3A3080C4" w14:textId="77777777" w:rsidR="00E4374F" w:rsidRDefault="00AD2722" w:rsidP="00745F00">
      <w:r w:rsidRPr="00D7702D">
        <w:t>The survey effort has been considered adequate and there is sufficient scientific evidence to support the assessment.</w:t>
      </w:r>
    </w:p>
    <w:p w14:paraId="51A8DBAE" w14:textId="55062A5F" w:rsidR="00AD2722" w:rsidRDefault="00AD2722" w:rsidP="00243014">
      <w:pPr>
        <w:pStyle w:val="Heading3"/>
      </w:pPr>
      <w:r w:rsidRPr="00AD2722">
        <w:t>Listing and Recovery Plan Recommendations</w:t>
      </w:r>
    </w:p>
    <w:p w14:paraId="68B464D8" w14:textId="6456BFDE" w:rsidR="00A04B57" w:rsidRPr="00AD2722" w:rsidRDefault="000253EC">
      <w:r>
        <w:t xml:space="preserve">No recovery plan is in place for </w:t>
      </w:r>
      <w:proofErr w:type="spellStart"/>
      <w:r w:rsidR="00E005F0" w:rsidRPr="00A060E9">
        <w:rPr>
          <w:i/>
          <w:iCs/>
        </w:rPr>
        <w:t>Corokia</w:t>
      </w:r>
      <w:proofErr w:type="spellEnd"/>
      <w:r w:rsidR="00FE014A" w:rsidRPr="00A060E9">
        <w:rPr>
          <w:i/>
          <w:iCs/>
        </w:rPr>
        <w:t xml:space="preserve"> </w:t>
      </w:r>
      <w:proofErr w:type="spellStart"/>
      <w:r w:rsidR="00FE014A" w:rsidRPr="00A060E9">
        <w:rPr>
          <w:i/>
          <w:iCs/>
        </w:rPr>
        <w:t>whiteana</w:t>
      </w:r>
      <w:proofErr w:type="spellEnd"/>
      <w:r>
        <w:t xml:space="preserve">. A decision about whether there should be a recovery plan for this species has not yet been determined. The purpose of this consultation document is to elicit additional information to help inform this decision. </w:t>
      </w:r>
    </w:p>
    <w:p w14:paraId="7434DE6C" w14:textId="77777777" w:rsidR="00AD44EA" w:rsidRDefault="00AD44EA" w:rsidP="000202F4">
      <w:pPr>
        <w:pStyle w:val="Normalsmall"/>
        <w:pageBreakBefore/>
      </w:pPr>
      <w:r>
        <w:lastRenderedPageBreak/>
        <w:t>© Commonwealth of Australi</w:t>
      </w:r>
      <w:r w:rsidRPr="00396BDE">
        <w:t>a 202</w:t>
      </w:r>
      <w:r w:rsidR="008C5A24" w:rsidRPr="00396BDE">
        <w:t>1</w:t>
      </w:r>
      <w:r w:rsidR="00D431C8">
        <w:t xml:space="preserve"> </w:t>
      </w:r>
      <w:r w:rsidR="00D431C8" w:rsidRPr="00D431C8">
        <w:rPr>
          <w:noProof/>
        </w:rPr>
        <w:drawing>
          <wp:inline distT="0" distB="0" distL="0" distR="0" wp14:anchorId="084BA490" wp14:editId="58F4D0C6">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25166" cy="218731"/>
                    </a:xfrm>
                    <a:prstGeom prst="rect">
                      <a:avLst/>
                    </a:prstGeom>
                  </pic:spPr>
                </pic:pic>
              </a:graphicData>
            </a:graphic>
          </wp:inline>
        </w:drawing>
      </w:r>
    </w:p>
    <w:p w14:paraId="2B45BFA2" w14:textId="77777777" w:rsidR="00AD44EA" w:rsidRDefault="00AD44EA" w:rsidP="00AD44EA">
      <w:pPr>
        <w:pStyle w:val="Normalsmall"/>
        <w:rPr>
          <w:rStyle w:val="Strong"/>
        </w:rPr>
      </w:pPr>
      <w:r>
        <w:rPr>
          <w:rStyle w:val="Strong"/>
        </w:rPr>
        <w:t>Ownership of intellectual property rights</w:t>
      </w:r>
    </w:p>
    <w:p w14:paraId="2DD580FF"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72C273A0" w14:textId="77777777" w:rsidR="00AD44EA" w:rsidRDefault="00AD44EA" w:rsidP="00AD44EA">
      <w:pPr>
        <w:pStyle w:val="Normalsmall"/>
        <w:rPr>
          <w:rStyle w:val="Strong"/>
        </w:rPr>
      </w:pPr>
      <w:r>
        <w:rPr>
          <w:rStyle w:val="Strong"/>
        </w:rPr>
        <w:t>Creative Commons licence</w:t>
      </w:r>
    </w:p>
    <w:p w14:paraId="28DABBC9" w14:textId="77777777" w:rsidR="00AD44EA" w:rsidRDefault="00AD44EA" w:rsidP="00AD44EA">
      <w:pPr>
        <w:pStyle w:val="Normalsmall"/>
      </w:pPr>
      <w:r>
        <w:t xml:space="preserve">All material in this publication is licensed under a </w:t>
      </w:r>
      <w:hyperlink r:id="rId43"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6A62CED5" w14:textId="77777777" w:rsidR="00AD44EA" w:rsidRDefault="00AD44EA" w:rsidP="00AD44EA">
      <w:pPr>
        <w:pStyle w:val="Normalsmall"/>
      </w:pPr>
      <w:r>
        <w:t xml:space="preserve">Inquiries about the licence and any use of this document should be emailed to </w:t>
      </w:r>
      <w:hyperlink r:id="rId44" w:history="1">
        <w:r w:rsidRPr="00CD29E9">
          <w:rPr>
            <w:rStyle w:val="Hyperlink"/>
          </w:rPr>
          <w:t>copyright@awe.gov.au</w:t>
        </w:r>
      </w:hyperlink>
      <w:r>
        <w:t>.</w:t>
      </w:r>
    </w:p>
    <w:p w14:paraId="6BA59FC9" w14:textId="77777777" w:rsidR="00AD44EA" w:rsidRDefault="00AD44EA" w:rsidP="00AD44EA">
      <w:pPr>
        <w:pStyle w:val="Normalsmall"/>
        <w:rPr>
          <w:rStyle w:val="Strong"/>
        </w:rPr>
      </w:pPr>
      <w:r>
        <w:rPr>
          <w:rStyle w:val="Strong"/>
        </w:rPr>
        <w:t>Cataloguing data</w:t>
      </w:r>
    </w:p>
    <w:p w14:paraId="4BEFDD20" w14:textId="416C1366" w:rsidR="00AD44EA" w:rsidRDefault="00AD44EA" w:rsidP="00AD44EA">
      <w:pPr>
        <w:pStyle w:val="Normalsmall"/>
      </w:pPr>
      <w:r>
        <w:t xml:space="preserve">This publication (and any material sourced from it) should be attributed as: </w:t>
      </w:r>
      <w:r w:rsidRPr="00AD44EA">
        <w:t xml:space="preserve">Department of Agriculture, Water and the </w:t>
      </w:r>
      <w:r w:rsidRPr="00396BDE">
        <w:t>Environment 202</w:t>
      </w:r>
      <w:r w:rsidR="00196365" w:rsidRPr="00396BDE">
        <w:t>1</w:t>
      </w:r>
      <w:r w:rsidRPr="00396BDE">
        <w:t xml:space="preserve">, </w:t>
      </w:r>
      <w:r>
        <w:rPr>
          <w:i/>
        </w:rPr>
        <w:t xml:space="preserve">Conservation </w:t>
      </w:r>
      <w:r w:rsidR="0010557C">
        <w:rPr>
          <w:i/>
        </w:rPr>
        <w:t>A</w:t>
      </w:r>
      <w:r>
        <w:rPr>
          <w:i/>
        </w:rPr>
        <w:t xml:space="preserve">dvice for </w:t>
      </w:r>
      <w:proofErr w:type="spellStart"/>
      <w:r w:rsidR="00196365">
        <w:rPr>
          <w:i/>
        </w:rPr>
        <w:t>Corokia</w:t>
      </w:r>
      <w:proofErr w:type="spellEnd"/>
      <w:r w:rsidR="00196365">
        <w:rPr>
          <w:i/>
        </w:rPr>
        <w:t xml:space="preserve"> </w:t>
      </w:r>
      <w:proofErr w:type="spellStart"/>
      <w:r w:rsidR="00196365">
        <w:rPr>
          <w:i/>
        </w:rPr>
        <w:t>whiteana</w:t>
      </w:r>
      <w:proofErr w:type="spellEnd"/>
      <w:r>
        <w:t xml:space="preserve">, Canberra. </w:t>
      </w:r>
      <w:r w:rsidR="003E1291" w:rsidRPr="00D431C8">
        <w:rPr>
          <w:noProof/>
        </w:rPr>
        <w:drawing>
          <wp:inline distT="0" distB="0" distL="0" distR="0" wp14:anchorId="42FA1911" wp14:editId="0FA0728D">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25166" cy="218731"/>
                    </a:xfrm>
                    <a:prstGeom prst="rect">
                      <a:avLst/>
                    </a:prstGeom>
                  </pic:spPr>
                </pic:pic>
              </a:graphicData>
            </a:graphic>
          </wp:inline>
        </w:drawing>
      </w:r>
    </w:p>
    <w:p w14:paraId="2A06FFEF" w14:textId="5F32D109" w:rsidR="00AD44EA" w:rsidRDefault="00AD44EA" w:rsidP="00AD44EA">
      <w:pPr>
        <w:pStyle w:val="Normalsmall"/>
      </w:pPr>
      <w:r>
        <w:t xml:space="preserve">This publication is </w:t>
      </w:r>
      <w:r w:rsidRPr="00E20810">
        <w:t>available at</w:t>
      </w:r>
      <w:r w:rsidR="00BA28D1">
        <w:t xml:space="preserve"> the </w:t>
      </w:r>
      <w:hyperlink r:id="rId45" w:history="1">
        <w:r w:rsidR="00BA28D1" w:rsidRPr="00BA28D1">
          <w:rPr>
            <w:rStyle w:val="Hyperlink"/>
          </w:rPr>
          <w:t xml:space="preserve">SPRAT profile for </w:t>
        </w:r>
        <w:proofErr w:type="spellStart"/>
        <w:r w:rsidR="00196365" w:rsidRPr="00196365">
          <w:rPr>
            <w:rStyle w:val="Hyperlink"/>
            <w:i/>
            <w:iCs/>
          </w:rPr>
          <w:t>Corokia</w:t>
        </w:r>
        <w:proofErr w:type="spellEnd"/>
        <w:r w:rsidR="00196365" w:rsidRPr="00196365">
          <w:rPr>
            <w:rStyle w:val="Hyperlink"/>
            <w:i/>
            <w:iCs/>
          </w:rPr>
          <w:t xml:space="preserve"> </w:t>
        </w:r>
        <w:proofErr w:type="spellStart"/>
        <w:r w:rsidR="00196365" w:rsidRPr="00196365">
          <w:rPr>
            <w:rStyle w:val="Hyperlink"/>
            <w:i/>
            <w:iCs/>
          </w:rPr>
          <w:t>whiteana</w:t>
        </w:r>
        <w:proofErr w:type="spellEnd"/>
        <w:r w:rsidR="00BA28D1" w:rsidRPr="00BA28D1">
          <w:rPr>
            <w:rStyle w:val="Hyperlink"/>
            <w:i/>
          </w:rPr>
          <w:t>.</w:t>
        </w:r>
      </w:hyperlink>
    </w:p>
    <w:p w14:paraId="69954AD0"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1F640959" w14:textId="77777777" w:rsidR="00AD44EA" w:rsidRDefault="00AD44EA" w:rsidP="00AD44EA">
      <w:pPr>
        <w:pStyle w:val="Normalsmall"/>
        <w:spacing w:after="0"/>
      </w:pPr>
      <w:r>
        <w:t>GPO Box 858</w:t>
      </w:r>
      <w:r w:rsidR="00B16806">
        <w:t>,</w:t>
      </w:r>
      <w:r>
        <w:t xml:space="preserve"> Canberra ACT 2601</w:t>
      </w:r>
    </w:p>
    <w:p w14:paraId="5BC75181" w14:textId="77777777" w:rsidR="00AD44EA" w:rsidRDefault="00AD44EA" w:rsidP="00AD44EA">
      <w:pPr>
        <w:pStyle w:val="Normalsmall"/>
        <w:spacing w:after="0"/>
      </w:pPr>
      <w:r>
        <w:t xml:space="preserve">Telephone </w:t>
      </w:r>
      <w:r w:rsidRPr="00773056">
        <w:t>1800 900 090</w:t>
      </w:r>
    </w:p>
    <w:p w14:paraId="088EA838" w14:textId="77777777" w:rsidR="00AD44EA" w:rsidRDefault="00AD44EA" w:rsidP="00AD44EA">
      <w:pPr>
        <w:pStyle w:val="Normalsmall"/>
      </w:pPr>
      <w:r w:rsidRPr="00E20810">
        <w:t xml:space="preserve">Web </w:t>
      </w:r>
      <w:hyperlink r:id="rId46" w:history="1">
        <w:r w:rsidRPr="00E20810">
          <w:rPr>
            <w:rStyle w:val="Hyperlink"/>
          </w:rPr>
          <w:t>awe.gov.au</w:t>
        </w:r>
      </w:hyperlink>
    </w:p>
    <w:p w14:paraId="63D82477"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75FBC4F1" w14:textId="77777777" w:rsidR="00AD44EA" w:rsidRPr="00196365" w:rsidRDefault="00AD44EA" w:rsidP="00AD44EA">
      <w:pPr>
        <w:pStyle w:val="Normalsmall"/>
        <w:rPr>
          <w:rStyle w:val="Strong"/>
        </w:rPr>
      </w:pPr>
      <w:r w:rsidRPr="00196365">
        <w:rPr>
          <w:rStyle w:val="Strong"/>
        </w:rPr>
        <w:t>Acknowledgements</w:t>
      </w:r>
    </w:p>
    <w:p w14:paraId="6736F56A" w14:textId="51DB031A" w:rsidR="00196365" w:rsidRDefault="00196365" w:rsidP="00196365">
      <w:pPr>
        <w:widowControl w:val="0"/>
        <w:autoSpaceDE w:val="0"/>
        <w:autoSpaceDN w:val="0"/>
        <w:adjustRightInd w:val="0"/>
        <w:spacing w:line="240" w:lineRule="auto"/>
      </w:pPr>
      <w:r>
        <w:t>The following people made significant contributions</w:t>
      </w:r>
      <w:r w:rsidR="00F55752">
        <w:t xml:space="preserve">, which greatly improved our understanding of </w:t>
      </w:r>
      <w:proofErr w:type="spellStart"/>
      <w:r w:rsidR="00F55752">
        <w:t>Corokia</w:t>
      </w:r>
      <w:proofErr w:type="spellEnd"/>
      <w:r w:rsidR="00F55752">
        <w:t xml:space="preserve">, and thus improved </w:t>
      </w:r>
      <w:r>
        <w:t>this conservation advice</w:t>
      </w:r>
      <w:r w:rsidR="00F55752">
        <w:t>. Those people</w:t>
      </w:r>
      <w:r>
        <w:t xml:space="preserve"> includ</w:t>
      </w:r>
      <w:r w:rsidR="00F55752">
        <w:t>ed</w:t>
      </w:r>
      <w:r>
        <w:t xml:space="preserve">: Justin Mallee, Andrew </w:t>
      </w:r>
      <w:proofErr w:type="spellStart"/>
      <w:r>
        <w:t>Benwell</w:t>
      </w:r>
      <w:proofErr w:type="spellEnd"/>
      <w:r>
        <w:t xml:space="preserve">, Robert </w:t>
      </w:r>
      <w:proofErr w:type="spellStart"/>
      <w:r>
        <w:t>Kooyman</w:t>
      </w:r>
      <w:proofErr w:type="spellEnd"/>
      <w:r w:rsidR="00F55752">
        <w:t xml:space="preserve">, Sally </w:t>
      </w:r>
      <w:proofErr w:type="gramStart"/>
      <w:r w:rsidR="00F55752">
        <w:t>Cooper</w:t>
      </w:r>
      <w:proofErr w:type="gramEnd"/>
      <w:r>
        <w:t xml:space="preserve"> and Graeme Errington. </w:t>
      </w:r>
    </w:p>
    <w:p w14:paraId="46CACFE4" w14:textId="6AA76380" w:rsidR="009E30E5" w:rsidRPr="00AF6941" w:rsidRDefault="009E30E5" w:rsidP="00F55752">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28D00B03" w14:textId="77777777" w:rsidTr="005F3E72">
        <w:trPr>
          <w:cantSplit/>
          <w:tblHeader/>
        </w:trPr>
        <w:tc>
          <w:tcPr>
            <w:tcW w:w="3020" w:type="dxa"/>
            <w:tcBorders>
              <w:top w:val="single" w:sz="4" w:space="0" w:color="auto"/>
              <w:bottom w:val="single" w:sz="4" w:space="0" w:color="auto"/>
            </w:tcBorders>
          </w:tcPr>
          <w:p w14:paraId="6D964082"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3835A8FF"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7DA11C85" w14:textId="77777777" w:rsidR="009E30E5" w:rsidRDefault="00EE0F9A" w:rsidP="009E30E5">
            <w:pPr>
              <w:pStyle w:val="TableHeading"/>
            </w:pPr>
            <w:r>
              <w:t>Date</w:t>
            </w:r>
            <w:r w:rsidR="009E30E5">
              <w:t xml:space="preserve"> [dd mm </w:t>
            </w:r>
            <w:proofErr w:type="spellStart"/>
            <w:r w:rsidR="009E30E5">
              <w:t>yyyy</w:t>
            </w:r>
            <w:proofErr w:type="spellEnd"/>
            <w:r w:rsidR="009E30E5">
              <w:t>]</w:t>
            </w:r>
          </w:p>
        </w:tc>
      </w:tr>
      <w:tr w:rsidR="009E30E5" w14:paraId="5BF752E5" w14:textId="77777777" w:rsidTr="009E30E5">
        <w:tc>
          <w:tcPr>
            <w:tcW w:w="3020" w:type="dxa"/>
            <w:tcBorders>
              <w:top w:val="single" w:sz="4" w:space="0" w:color="auto"/>
            </w:tcBorders>
          </w:tcPr>
          <w:p w14:paraId="50432CC2" w14:textId="112A7683" w:rsidR="009E30E5" w:rsidRDefault="00F55752" w:rsidP="009E30E5">
            <w:pPr>
              <w:pStyle w:val="TableText"/>
            </w:pPr>
            <w:r>
              <w:t>Conservation Advice</w:t>
            </w:r>
          </w:p>
        </w:tc>
        <w:tc>
          <w:tcPr>
            <w:tcW w:w="3020" w:type="dxa"/>
            <w:tcBorders>
              <w:top w:val="single" w:sz="4" w:space="0" w:color="auto"/>
            </w:tcBorders>
          </w:tcPr>
          <w:p w14:paraId="3C18F0EF" w14:textId="34C40E47" w:rsidR="009E30E5" w:rsidRDefault="00F55752" w:rsidP="009E30E5">
            <w:pPr>
              <w:pStyle w:val="TableText"/>
            </w:pPr>
            <w:r>
              <w:t xml:space="preserve">Approved Conservation Advice for </w:t>
            </w:r>
            <w:proofErr w:type="spellStart"/>
            <w:r w:rsidRPr="00F55752">
              <w:rPr>
                <w:i/>
                <w:iCs/>
              </w:rPr>
              <w:t>Corokia</w:t>
            </w:r>
            <w:proofErr w:type="spellEnd"/>
            <w:r w:rsidRPr="00F55752">
              <w:rPr>
                <w:i/>
                <w:iCs/>
              </w:rPr>
              <w:t xml:space="preserve"> </w:t>
            </w:r>
            <w:proofErr w:type="spellStart"/>
            <w:r w:rsidRPr="00F55752">
              <w:rPr>
                <w:i/>
                <w:iCs/>
              </w:rPr>
              <w:t>whiteana</w:t>
            </w:r>
            <w:proofErr w:type="spellEnd"/>
          </w:p>
        </w:tc>
        <w:tc>
          <w:tcPr>
            <w:tcW w:w="3020" w:type="dxa"/>
            <w:tcBorders>
              <w:top w:val="single" w:sz="4" w:space="0" w:color="auto"/>
            </w:tcBorders>
          </w:tcPr>
          <w:p w14:paraId="23DFCE3A" w14:textId="759DB62E" w:rsidR="009E30E5" w:rsidRDefault="00F55752" w:rsidP="009E30E5">
            <w:pPr>
              <w:pStyle w:val="TableText"/>
            </w:pPr>
            <w:r>
              <w:t>01 10 2008</w:t>
            </w:r>
          </w:p>
        </w:tc>
      </w:tr>
      <w:tr w:rsidR="009E30E5" w14:paraId="4F6AD9FE" w14:textId="77777777" w:rsidTr="009E30E5">
        <w:tc>
          <w:tcPr>
            <w:tcW w:w="3020" w:type="dxa"/>
          </w:tcPr>
          <w:p w14:paraId="3A341480" w14:textId="77777777" w:rsidR="009E30E5" w:rsidRDefault="00D17C18" w:rsidP="009E30E5">
            <w:pPr>
              <w:pStyle w:val="TableText"/>
            </w:pPr>
            <w:r>
              <w:t>–</w:t>
            </w:r>
          </w:p>
        </w:tc>
        <w:tc>
          <w:tcPr>
            <w:tcW w:w="3020" w:type="dxa"/>
          </w:tcPr>
          <w:p w14:paraId="7B034F42" w14:textId="77777777" w:rsidR="009E30E5" w:rsidRDefault="00D17C18" w:rsidP="009E30E5">
            <w:pPr>
              <w:pStyle w:val="TableText"/>
            </w:pPr>
            <w:r>
              <w:t>–</w:t>
            </w:r>
          </w:p>
        </w:tc>
        <w:tc>
          <w:tcPr>
            <w:tcW w:w="3020" w:type="dxa"/>
          </w:tcPr>
          <w:p w14:paraId="4904923C" w14:textId="77777777" w:rsidR="009E30E5" w:rsidRDefault="00D17C18" w:rsidP="009E30E5">
            <w:pPr>
              <w:pStyle w:val="TableText"/>
            </w:pPr>
            <w:r>
              <w:t>–</w:t>
            </w:r>
          </w:p>
        </w:tc>
      </w:tr>
    </w:tbl>
    <w:p w14:paraId="5139C914" w14:textId="77777777" w:rsidR="009E30E5" w:rsidRPr="009E30E5" w:rsidRDefault="009E30E5" w:rsidP="009E30E5"/>
    <w:sectPr w:rsidR="009E30E5" w:rsidRPr="009E30E5" w:rsidSect="002F232F">
      <w:headerReference w:type="even" r:id="rId47"/>
      <w:headerReference w:type="default" r:id="rId48"/>
      <w:headerReference w:type="first" r:id="rId49"/>
      <w:footerReference w:type="first" r:id="rId5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5174" w14:textId="77777777" w:rsidR="0062336B" w:rsidRDefault="0062336B">
      <w:r>
        <w:separator/>
      </w:r>
    </w:p>
    <w:p w14:paraId="110AA383" w14:textId="77777777" w:rsidR="0062336B" w:rsidRDefault="0062336B"/>
    <w:p w14:paraId="602FA04B" w14:textId="77777777" w:rsidR="0062336B" w:rsidRDefault="0062336B"/>
    <w:p w14:paraId="1E2556EF" w14:textId="77777777" w:rsidR="0062336B" w:rsidRDefault="0062336B"/>
  </w:endnote>
  <w:endnote w:type="continuationSeparator" w:id="0">
    <w:p w14:paraId="1507D6AF" w14:textId="77777777" w:rsidR="0062336B" w:rsidRDefault="0062336B">
      <w:r>
        <w:continuationSeparator/>
      </w:r>
    </w:p>
    <w:p w14:paraId="68C3A534" w14:textId="77777777" w:rsidR="0062336B" w:rsidRDefault="0062336B"/>
    <w:p w14:paraId="34A5AD7C" w14:textId="77777777" w:rsidR="0062336B" w:rsidRDefault="0062336B"/>
    <w:p w14:paraId="52FD2F9C" w14:textId="77777777" w:rsidR="0062336B" w:rsidRDefault="0062336B"/>
  </w:endnote>
  <w:endnote w:type="continuationNotice" w:id="1">
    <w:p w14:paraId="7D039087" w14:textId="77777777" w:rsidR="0062336B" w:rsidRDefault="0062336B">
      <w:pPr>
        <w:pStyle w:val="Footer"/>
      </w:pPr>
    </w:p>
    <w:p w14:paraId="0CCC7957" w14:textId="77777777" w:rsidR="0062336B" w:rsidRDefault="0062336B"/>
    <w:p w14:paraId="1B57C078" w14:textId="77777777" w:rsidR="0062336B" w:rsidRDefault="0062336B"/>
    <w:p w14:paraId="107F8879" w14:textId="77777777" w:rsidR="0062336B" w:rsidRDefault="00623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FD62" w14:textId="77777777" w:rsidR="00E322AE" w:rsidRDefault="00E322AE" w:rsidP="00E02D9C">
    <w:pPr>
      <w:pStyle w:val="Footer"/>
    </w:pPr>
    <w:r>
      <w:t>Threatened Species Scientific Committee</w:t>
    </w:r>
  </w:p>
  <w:p w14:paraId="328E8D6A" w14:textId="77777777" w:rsidR="00E322AE" w:rsidRDefault="00E322AE"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60FF" w14:textId="77777777" w:rsidR="00E322AE" w:rsidRDefault="00E322AE" w:rsidP="002F232F">
    <w:pPr>
      <w:pStyle w:val="Footer"/>
    </w:pPr>
    <w:r>
      <w:t xml:space="preserve">Department of Agriculture, </w:t>
    </w:r>
    <w:proofErr w:type="gramStart"/>
    <w:r>
      <w:t>Water</w:t>
    </w:r>
    <w:proofErr w:type="gramEnd"/>
    <w:r>
      <w:t xml:space="preserve"> and the Environment</w:t>
    </w:r>
  </w:p>
  <w:p w14:paraId="1783D14F" w14:textId="77777777" w:rsidR="00E322AE" w:rsidRDefault="00E322AE"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5B3A" w14:textId="77777777" w:rsidR="00E322AE" w:rsidRDefault="00E322AE" w:rsidP="002F232F">
    <w:pPr>
      <w:pStyle w:val="Footer"/>
    </w:pPr>
    <w:r>
      <w:t>Threatened Species Scientific Committee</w:t>
    </w:r>
  </w:p>
  <w:p w14:paraId="553A9F27" w14:textId="77777777" w:rsidR="00E322AE" w:rsidRDefault="00E322AE"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62CE" w14:textId="77777777" w:rsidR="0062336B" w:rsidRDefault="0062336B">
      <w:r>
        <w:separator/>
      </w:r>
    </w:p>
    <w:p w14:paraId="3B9A7478" w14:textId="77777777" w:rsidR="0062336B" w:rsidRDefault="0062336B"/>
    <w:p w14:paraId="2F72EE32" w14:textId="77777777" w:rsidR="0062336B" w:rsidRDefault="0062336B"/>
    <w:p w14:paraId="6728BC65" w14:textId="77777777" w:rsidR="0062336B" w:rsidRDefault="0062336B"/>
  </w:footnote>
  <w:footnote w:type="continuationSeparator" w:id="0">
    <w:p w14:paraId="7210D45A" w14:textId="77777777" w:rsidR="0062336B" w:rsidRDefault="0062336B">
      <w:r>
        <w:continuationSeparator/>
      </w:r>
    </w:p>
    <w:p w14:paraId="0AAF69F9" w14:textId="77777777" w:rsidR="0062336B" w:rsidRDefault="0062336B"/>
    <w:p w14:paraId="068130E1" w14:textId="77777777" w:rsidR="0062336B" w:rsidRDefault="0062336B"/>
    <w:p w14:paraId="253CDCCA" w14:textId="77777777" w:rsidR="0062336B" w:rsidRDefault="0062336B"/>
  </w:footnote>
  <w:footnote w:type="continuationNotice" w:id="1">
    <w:p w14:paraId="2D43F5C3" w14:textId="77777777" w:rsidR="0062336B" w:rsidRDefault="0062336B">
      <w:pPr>
        <w:pStyle w:val="Footer"/>
      </w:pPr>
    </w:p>
    <w:p w14:paraId="23380FEF" w14:textId="77777777" w:rsidR="0062336B" w:rsidRDefault="0062336B"/>
    <w:p w14:paraId="38C8125A" w14:textId="77777777" w:rsidR="0062336B" w:rsidRDefault="0062336B"/>
    <w:p w14:paraId="6E74C7F5" w14:textId="77777777" w:rsidR="0062336B" w:rsidRDefault="00623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7DBB" w14:textId="57DB2B65" w:rsidR="00E322AE" w:rsidRDefault="00E322AE">
    <w:pPr>
      <w:pStyle w:val="Header"/>
    </w:pPr>
  </w:p>
  <w:p w14:paraId="4F0054C3" w14:textId="77777777" w:rsidR="00E322AE" w:rsidRDefault="00E322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0CD8" w14:textId="0E1C9E3B" w:rsidR="00E322AE" w:rsidRDefault="00E322AE" w:rsidP="000202F4">
    <w:pPr>
      <w:pStyle w:val="Header"/>
    </w:pPr>
    <w:r w:rsidRPr="00292620">
      <w:rPr>
        <w:i/>
        <w:iCs/>
        <w:noProof/>
      </w:rPr>
      <w:t>Corokia whiteana</w:t>
    </w:r>
    <w:r>
      <w:t xml:space="preserve">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9D1B" w14:textId="706B1A41" w:rsidR="00E322AE" w:rsidRDefault="00E322AE" w:rsidP="00C37215">
    <w:pPr>
      <w:pStyle w:val="Header"/>
      <w:tabs>
        <w:tab w:val="clear" w:pos="4820"/>
        <w:tab w:val="left" w:pos="7992"/>
      </w:tabs>
      <w:jc w:val="left"/>
    </w:pPr>
    <w:r>
      <w:rPr>
        <w:noProof/>
        <w:lang w:eastAsia="en-AU"/>
      </w:rPr>
      <w:drawing>
        <wp:inline distT="0" distB="0" distL="0" distR="0" wp14:anchorId="589B9418" wp14:editId="638D2FBD">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5C25" w14:textId="3D7CF6B8" w:rsidR="00E322AE" w:rsidRDefault="00E322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BECC" w14:textId="7E11CCA1" w:rsidR="00E322AE" w:rsidRDefault="00E322AE" w:rsidP="004B6BF1">
    <w:pPr>
      <w:pStyle w:val="Header"/>
    </w:pPr>
    <w:r w:rsidRPr="004B6BF1">
      <w:rPr>
        <w:i/>
        <w:iCs/>
        <w:noProof/>
      </w:rPr>
      <w:t>Corokia whiteana</w:t>
    </w:r>
    <w:r>
      <w:t xml:space="preserve">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43C7" w14:textId="7AEEFD6B" w:rsidR="00E322AE" w:rsidRPr="003E30FD" w:rsidRDefault="00E322AE" w:rsidP="005208A6">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3AC5F74B" w14:textId="77777777" w:rsidR="00E322AE" w:rsidRPr="00D728A1" w:rsidRDefault="00E322AE"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57ACD575" w14:textId="77777777" w:rsidR="00E322AE" w:rsidRDefault="00E322AE"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9D907CD"/>
    <w:multiLevelType w:val="hybridMultilevel"/>
    <w:tmpl w:val="DCC61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3C5E08"/>
    <w:multiLevelType w:val="hybridMultilevel"/>
    <w:tmpl w:val="DCC61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5"/>
  </w:num>
  <w:num w:numId="6">
    <w:abstractNumId w:val="8"/>
  </w:num>
  <w:num w:numId="7">
    <w:abstractNumId w:val="4"/>
  </w:num>
  <w:num w:numId="8">
    <w:abstractNumId w:val="7"/>
  </w:num>
  <w:num w:numId="9">
    <w:abstractNumId w:val="1"/>
  </w:num>
  <w:num w:numId="10">
    <w:abstractNumId w:val="11"/>
  </w:num>
  <w:num w:numId="11">
    <w:abstractNumId w:val="12"/>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93"/>
    <w:rsid w:val="000011D8"/>
    <w:rsid w:val="000057F8"/>
    <w:rsid w:val="000075C7"/>
    <w:rsid w:val="00010D07"/>
    <w:rsid w:val="00010EBA"/>
    <w:rsid w:val="0001339B"/>
    <w:rsid w:val="000138CD"/>
    <w:rsid w:val="000202F4"/>
    <w:rsid w:val="00020F55"/>
    <w:rsid w:val="000213FD"/>
    <w:rsid w:val="0002419A"/>
    <w:rsid w:val="0002535F"/>
    <w:rsid w:val="000253EC"/>
    <w:rsid w:val="00025619"/>
    <w:rsid w:val="00025E12"/>
    <w:rsid w:val="00033701"/>
    <w:rsid w:val="000341E0"/>
    <w:rsid w:val="00041499"/>
    <w:rsid w:val="00042401"/>
    <w:rsid w:val="00044575"/>
    <w:rsid w:val="0004459D"/>
    <w:rsid w:val="0004550E"/>
    <w:rsid w:val="00055AFD"/>
    <w:rsid w:val="00063C71"/>
    <w:rsid w:val="00063E78"/>
    <w:rsid w:val="00065F4B"/>
    <w:rsid w:val="00071129"/>
    <w:rsid w:val="0007233A"/>
    <w:rsid w:val="00073C60"/>
    <w:rsid w:val="000755CA"/>
    <w:rsid w:val="00082347"/>
    <w:rsid w:val="000835A0"/>
    <w:rsid w:val="00085069"/>
    <w:rsid w:val="0008655C"/>
    <w:rsid w:val="000942E9"/>
    <w:rsid w:val="00094C09"/>
    <w:rsid w:val="00094F22"/>
    <w:rsid w:val="000959C5"/>
    <w:rsid w:val="00097670"/>
    <w:rsid w:val="000A0247"/>
    <w:rsid w:val="000A4134"/>
    <w:rsid w:val="000A513D"/>
    <w:rsid w:val="000A5C2B"/>
    <w:rsid w:val="000A6133"/>
    <w:rsid w:val="000A722E"/>
    <w:rsid w:val="000A79AA"/>
    <w:rsid w:val="000B10C0"/>
    <w:rsid w:val="000B5E97"/>
    <w:rsid w:val="000B7CE7"/>
    <w:rsid w:val="000C1AC9"/>
    <w:rsid w:val="000C55A6"/>
    <w:rsid w:val="000D0D2F"/>
    <w:rsid w:val="000D1830"/>
    <w:rsid w:val="000D4BBD"/>
    <w:rsid w:val="000D5045"/>
    <w:rsid w:val="000D51F3"/>
    <w:rsid w:val="000D55BC"/>
    <w:rsid w:val="000D738D"/>
    <w:rsid w:val="000D7FAF"/>
    <w:rsid w:val="000E04CB"/>
    <w:rsid w:val="000E5704"/>
    <w:rsid w:val="000E630E"/>
    <w:rsid w:val="000E690C"/>
    <w:rsid w:val="000E699F"/>
    <w:rsid w:val="000E6E1B"/>
    <w:rsid w:val="000F018A"/>
    <w:rsid w:val="000F194B"/>
    <w:rsid w:val="000F30DC"/>
    <w:rsid w:val="000F3D21"/>
    <w:rsid w:val="000F44B2"/>
    <w:rsid w:val="000F615D"/>
    <w:rsid w:val="000F6D5A"/>
    <w:rsid w:val="00102FDA"/>
    <w:rsid w:val="0010557C"/>
    <w:rsid w:val="00105970"/>
    <w:rsid w:val="001112AB"/>
    <w:rsid w:val="00113B98"/>
    <w:rsid w:val="00114207"/>
    <w:rsid w:val="0011667C"/>
    <w:rsid w:val="001200FA"/>
    <w:rsid w:val="00120CED"/>
    <w:rsid w:val="00121076"/>
    <w:rsid w:val="0012461E"/>
    <w:rsid w:val="00127671"/>
    <w:rsid w:val="00130A0B"/>
    <w:rsid w:val="00133292"/>
    <w:rsid w:val="001376F1"/>
    <w:rsid w:val="00137F5A"/>
    <w:rsid w:val="00145862"/>
    <w:rsid w:val="00145DB1"/>
    <w:rsid w:val="00154B5B"/>
    <w:rsid w:val="00155BA9"/>
    <w:rsid w:val="001573B8"/>
    <w:rsid w:val="0016081E"/>
    <w:rsid w:val="00161E8C"/>
    <w:rsid w:val="001633F4"/>
    <w:rsid w:val="00165364"/>
    <w:rsid w:val="00166185"/>
    <w:rsid w:val="00170795"/>
    <w:rsid w:val="00172CCD"/>
    <w:rsid w:val="00172CFB"/>
    <w:rsid w:val="001739A8"/>
    <w:rsid w:val="00174E44"/>
    <w:rsid w:val="00177744"/>
    <w:rsid w:val="0017795A"/>
    <w:rsid w:val="00180329"/>
    <w:rsid w:val="0018058D"/>
    <w:rsid w:val="00180FCB"/>
    <w:rsid w:val="00186635"/>
    <w:rsid w:val="001866D5"/>
    <w:rsid w:val="00192245"/>
    <w:rsid w:val="001955CB"/>
    <w:rsid w:val="0019598A"/>
    <w:rsid w:val="00196365"/>
    <w:rsid w:val="001A0FF1"/>
    <w:rsid w:val="001A1759"/>
    <w:rsid w:val="001A2D13"/>
    <w:rsid w:val="001A3C77"/>
    <w:rsid w:val="001A431C"/>
    <w:rsid w:val="001B077B"/>
    <w:rsid w:val="001B19FD"/>
    <w:rsid w:val="001B2BE2"/>
    <w:rsid w:val="001B441B"/>
    <w:rsid w:val="001B55AE"/>
    <w:rsid w:val="001B6655"/>
    <w:rsid w:val="001B729C"/>
    <w:rsid w:val="001C0493"/>
    <w:rsid w:val="001C31E1"/>
    <w:rsid w:val="001C3F42"/>
    <w:rsid w:val="001C7420"/>
    <w:rsid w:val="001E17D5"/>
    <w:rsid w:val="001E3289"/>
    <w:rsid w:val="001E4765"/>
    <w:rsid w:val="001E5092"/>
    <w:rsid w:val="001E5131"/>
    <w:rsid w:val="001E68C4"/>
    <w:rsid w:val="001E7C8D"/>
    <w:rsid w:val="001F1C51"/>
    <w:rsid w:val="00200175"/>
    <w:rsid w:val="00202562"/>
    <w:rsid w:val="002056AD"/>
    <w:rsid w:val="002070E9"/>
    <w:rsid w:val="0021433D"/>
    <w:rsid w:val="00216BA8"/>
    <w:rsid w:val="00221209"/>
    <w:rsid w:val="0022142B"/>
    <w:rsid w:val="00223138"/>
    <w:rsid w:val="0023010D"/>
    <w:rsid w:val="00230A8A"/>
    <w:rsid w:val="0023149B"/>
    <w:rsid w:val="002319AB"/>
    <w:rsid w:val="00232977"/>
    <w:rsid w:val="00237FDF"/>
    <w:rsid w:val="00243014"/>
    <w:rsid w:val="0024549B"/>
    <w:rsid w:val="00251F5A"/>
    <w:rsid w:val="00252237"/>
    <w:rsid w:val="00252454"/>
    <w:rsid w:val="002526DD"/>
    <w:rsid w:val="00256A28"/>
    <w:rsid w:val="00257495"/>
    <w:rsid w:val="002626C8"/>
    <w:rsid w:val="00266DC5"/>
    <w:rsid w:val="00274B8A"/>
    <w:rsid w:val="00276B2A"/>
    <w:rsid w:val="00276E5C"/>
    <w:rsid w:val="002802A2"/>
    <w:rsid w:val="002803B8"/>
    <w:rsid w:val="00280857"/>
    <w:rsid w:val="00280DCC"/>
    <w:rsid w:val="0028144F"/>
    <w:rsid w:val="0028148E"/>
    <w:rsid w:val="00284E69"/>
    <w:rsid w:val="0028601D"/>
    <w:rsid w:val="00286E84"/>
    <w:rsid w:val="002906BC"/>
    <w:rsid w:val="00291107"/>
    <w:rsid w:val="00292620"/>
    <w:rsid w:val="00292F01"/>
    <w:rsid w:val="0029531A"/>
    <w:rsid w:val="00297049"/>
    <w:rsid w:val="002970BE"/>
    <w:rsid w:val="0029756F"/>
    <w:rsid w:val="002A0B5E"/>
    <w:rsid w:val="002A1ECE"/>
    <w:rsid w:val="002A4C30"/>
    <w:rsid w:val="002A6BDE"/>
    <w:rsid w:val="002A7652"/>
    <w:rsid w:val="002B01EE"/>
    <w:rsid w:val="002B134C"/>
    <w:rsid w:val="002B1F3E"/>
    <w:rsid w:val="002B5023"/>
    <w:rsid w:val="002B5797"/>
    <w:rsid w:val="002B69E4"/>
    <w:rsid w:val="002B6A3F"/>
    <w:rsid w:val="002B76C9"/>
    <w:rsid w:val="002B7705"/>
    <w:rsid w:val="002C0AD0"/>
    <w:rsid w:val="002C0D0D"/>
    <w:rsid w:val="002C0FFE"/>
    <w:rsid w:val="002D12E1"/>
    <w:rsid w:val="002D74FC"/>
    <w:rsid w:val="002E2A02"/>
    <w:rsid w:val="002E31FA"/>
    <w:rsid w:val="002E32CA"/>
    <w:rsid w:val="002E34B7"/>
    <w:rsid w:val="002E557B"/>
    <w:rsid w:val="002E6F84"/>
    <w:rsid w:val="002F232F"/>
    <w:rsid w:val="002F34D8"/>
    <w:rsid w:val="002F3AEA"/>
    <w:rsid w:val="002F4849"/>
    <w:rsid w:val="002F485E"/>
    <w:rsid w:val="002F4DAD"/>
    <w:rsid w:val="002F7749"/>
    <w:rsid w:val="003004EB"/>
    <w:rsid w:val="003045A0"/>
    <w:rsid w:val="003113EE"/>
    <w:rsid w:val="003169DD"/>
    <w:rsid w:val="003203D8"/>
    <w:rsid w:val="00322655"/>
    <w:rsid w:val="00322D99"/>
    <w:rsid w:val="00324EB5"/>
    <w:rsid w:val="0032578A"/>
    <w:rsid w:val="003274AE"/>
    <w:rsid w:val="003322B9"/>
    <w:rsid w:val="0033354B"/>
    <w:rsid w:val="00334FE6"/>
    <w:rsid w:val="00337360"/>
    <w:rsid w:val="003415D9"/>
    <w:rsid w:val="00342DD7"/>
    <w:rsid w:val="00343720"/>
    <w:rsid w:val="003437D5"/>
    <w:rsid w:val="003445EF"/>
    <w:rsid w:val="00344617"/>
    <w:rsid w:val="00346541"/>
    <w:rsid w:val="003468C2"/>
    <w:rsid w:val="00347206"/>
    <w:rsid w:val="00351E68"/>
    <w:rsid w:val="003558BA"/>
    <w:rsid w:val="00355F1B"/>
    <w:rsid w:val="003607B9"/>
    <w:rsid w:val="00360ACE"/>
    <w:rsid w:val="0037602E"/>
    <w:rsid w:val="003833F4"/>
    <w:rsid w:val="0038356D"/>
    <w:rsid w:val="003844EE"/>
    <w:rsid w:val="00387E7C"/>
    <w:rsid w:val="0039336C"/>
    <w:rsid w:val="00394AB6"/>
    <w:rsid w:val="00395CFA"/>
    <w:rsid w:val="00396A3E"/>
    <w:rsid w:val="00396BDE"/>
    <w:rsid w:val="003976CC"/>
    <w:rsid w:val="003A06CA"/>
    <w:rsid w:val="003A4214"/>
    <w:rsid w:val="003A6771"/>
    <w:rsid w:val="003A7E69"/>
    <w:rsid w:val="003B2A51"/>
    <w:rsid w:val="003B38BB"/>
    <w:rsid w:val="003B57AD"/>
    <w:rsid w:val="003B6A61"/>
    <w:rsid w:val="003B7E7C"/>
    <w:rsid w:val="003C286B"/>
    <w:rsid w:val="003C7B5E"/>
    <w:rsid w:val="003D191C"/>
    <w:rsid w:val="003D43DE"/>
    <w:rsid w:val="003E1291"/>
    <w:rsid w:val="003E30FD"/>
    <w:rsid w:val="003E5E90"/>
    <w:rsid w:val="003E6102"/>
    <w:rsid w:val="003E77D1"/>
    <w:rsid w:val="003F22EA"/>
    <w:rsid w:val="003F60E2"/>
    <w:rsid w:val="003F6EE8"/>
    <w:rsid w:val="0040031A"/>
    <w:rsid w:val="00400494"/>
    <w:rsid w:val="00400C36"/>
    <w:rsid w:val="00400D37"/>
    <w:rsid w:val="0040258A"/>
    <w:rsid w:val="00410221"/>
    <w:rsid w:val="00412830"/>
    <w:rsid w:val="00415563"/>
    <w:rsid w:val="00416463"/>
    <w:rsid w:val="00420251"/>
    <w:rsid w:val="00420E21"/>
    <w:rsid w:val="004218F0"/>
    <w:rsid w:val="00421E71"/>
    <w:rsid w:val="00421FA6"/>
    <w:rsid w:val="00422A46"/>
    <w:rsid w:val="004233F7"/>
    <w:rsid w:val="004236E0"/>
    <w:rsid w:val="004247E0"/>
    <w:rsid w:val="00426129"/>
    <w:rsid w:val="00432BB0"/>
    <w:rsid w:val="0043513C"/>
    <w:rsid w:val="00437E66"/>
    <w:rsid w:val="00440C79"/>
    <w:rsid w:val="0044236D"/>
    <w:rsid w:val="0044257E"/>
    <w:rsid w:val="00442761"/>
    <w:rsid w:val="00442A80"/>
    <w:rsid w:val="0044391F"/>
    <w:rsid w:val="00453B21"/>
    <w:rsid w:val="0045694A"/>
    <w:rsid w:val="00460C44"/>
    <w:rsid w:val="00460D54"/>
    <w:rsid w:val="0046168A"/>
    <w:rsid w:val="00473104"/>
    <w:rsid w:val="00473DF9"/>
    <w:rsid w:val="00475FF3"/>
    <w:rsid w:val="00476948"/>
    <w:rsid w:val="00480713"/>
    <w:rsid w:val="00480C78"/>
    <w:rsid w:val="00481223"/>
    <w:rsid w:val="00482558"/>
    <w:rsid w:val="00486C20"/>
    <w:rsid w:val="00492C3D"/>
    <w:rsid w:val="004940DE"/>
    <w:rsid w:val="0049477E"/>
    <w:rsid w:val="004A3350"/>
    <w:rsid w:val="004A5534"/>
    <w:rsid w:val="004B06F9"/>
    <w:rsid w:val="004B1469"/>
    <w:rsid w:val="004B38BC"/>
    <w:rsid w:val="004B4A69"/>
    <w:rsid w:val="004B6BF1"/>
    <w:rsid w:val="004C14D0"/>
    <w:rsid w:val="004C3033"/>
    <w:rsid w:val="004C3C00"/>
    <w:rsid w:val="004C4253"/>
    <w:rsid w:val="004C49CE"/>
    <w:rsid w:val="004C6D5B"/>
    <w:rsid w:val="004C77BF"/>
    <w:rsid w:val="004C7F78"/>
    <w:rsid w:val="004D2790"/>
    <w:rsid w:val="004D2E53"/>
    <w:rsid w:val="004D48AF"/>
    <w:rsid w:val="004D4959"/>
    <w:rsid w:val="004D61C9"/>
    <w:rsid w:val="004E09C6"/>
    <w:rsid w:val="004E60AB"/>
    <w:rsid w:val="004E7AAB"/>
    <w:rsid w:val="004F32AB"/>
    <w:rsid w:val="004F412F"/>
    <w:rsid w:val="004F5120"/>
    <w:rsid w:val="004F5429"/>
    <w:rsid w:val="0050079E"/>
    <w:rsid w:val="00501322"/>
    <w:rsid w:val="00501D99"/>
    <w:rsid w:val="005033A2"/>
    <w:rsid w:val="0050438E"/>
    <w:rsid w:val="00504740"/>
    <w:rsid w:val="00504E67"/>
    <w:rsid w:val="0050535B"/>
    <w:rsid w:val="0050545D"/>
    <w:rsid w:val="005059FD"/>
    <w:rsid w:val="00510CEA"/>
    <w:rsid w:val="0051202F"/>
    <w:rsid w:val="00513053"/>
    <w:rsid w:val="005140B6"/>
    <w:rsid w:val="00514A37"/>
    <w:rsid w:val="00516DFB"/>
    <w:rsid w:val="0051701F"/>
    <w:rsid w:val="005171E6"/>
    <w:rsid w:val="00517E72"/>
    <w:rsid w:val="005208A6"/>
    <w:rsid w:val="005219AD"/>
    <w:rsid w:val="005306BA"/>
    <w:rsid w:val="0054151D"/>
    <w:rsid w:val="0054559E"/>
    <w:rsid w:val="0055033C"/>
    <w:rsid w:val="0055405B"/>
    <w:rsid w:val="00554668"/>
    <w:rsid w:val="00556398"/>
    <w:rsid w:val="005568E4"/>
    <w:rsid w:val="0056348C"/>
    <w:rsid w:val="00563809"/>
    <w:rsid w:val="00565F5A"/>
    <w:rsid w:val="00570F2A"/>
    <w:rsid w:val="00571C6E"/>
    <w:rsid w:val="005729AE"/>
    <w:rsid w:val="00573B2C"/>
    <w:rsid w:val="005763D8"/>
    <w:rsid w:val="005775D1"/>
    <w:rsid w:val="0058168E"/>
    <w:rsid w:val="005825AD"/>
    <w:rsid w:val="0058583E"/>
    <w:rsid w:val="00590E2A"/>
    <w:rsid w:val="005960E3"/>
    <w:rsid w:val="0059777E"/>
    <w:rsid w:val="005A02CB"/>
    <w:rsid w:val="005A3DAB"/>
    <w:rsid w:val="005A488F"/>
    <w:rsid w:val="005A5126"/>
    <w:rsid w:val="005A5154"/>
    <w:rsid w:val="005B0F33"/>
    <w:rsid w:val="005B2DA0"/>
    <w:rsid w:val="005B373B"/>
    <w:rsid w:val="005B3D88"/>
    <w:rsid w:val="005C0D9B"/>
    <w:rsid w:val="005C12AB"/>
    <w:rsid w:val="005C4878"/>
    <w:rsid w:val="005D0B73"/>
    <w:rsid w:val="005D2006"/>
    <w:rsid w:val="005D22D0"/>
    <w:rsid w:val="005D3AAC"/>
    <w:rsid w:val="005D452F"/>
    <w:rsid w:val="005D5124"/>
    <w:rsid w:val="005D7F8D"/>
    <w:rsid w:val="005E07DA"/>
    <w:rsid w:val="005E1B19"/>
    <w:rsid w:val="005E4AF2"/>
    <w:rsid w:val="005E59A4"/>
    <w:rsid w:val="005E72DF"/>
    <w:rsid w:val="005F0E4D"/>
    <w:rsid w:val="005F23CA"/>
    <w:rsid w:val="005F376D"/>
    <w:rsid w:val="005F3E72"/>
    <w:rsid w:val="005F77F1"/>
    <w:rsid w:val="00601F36"/>
    <w:rsid w:val="00601FF6"/>
    <w:rsid w:val="00602223"/>
    <w:rsid w:val="00603B19"/>
    <w:rsid w:val="00605A86"/>
    <w:rsid w:val="00605BF7"/>
    <w:rsid w:val="00607399"/>
    <w:rsid w:val="00607696"/>
    <w:rsid w:val="00611FAC"/>
    <w:rsid w:val="006129B6"/>
    <w:rsid w:val="00612AA8"/>
    <w:rsid w:val="006134A7"/>
    <w:rsid w:val="0061515E"/>
    <w:rsid w:val="006157FE"/>
    <w:rsid w:val="006167EE"/>
    <w:rsid w:val="00622D0D"/>
    <w:rsid w:val="0062336B"/>
    <w:rsid w:val="00624A10"/>
    <w:rsid w:val="00625A55"/>
    <w:rsid w:val="00637F39"/>
    <w:rsid w:val="006400E6"/>
    <w:rsid w:val="0064377C"/>
    <w:rsid w:val="00643D03"/>
    <w:rsid w:val="00643EE8"/>
    <w:rsid w:val="0064540C"/>
    <w:rsid w:val="0064551D"/>
    <w:rsid w:val="006505A3"/>
    <w:rsid w:val="0065073D"/>
    <w:rsid w:val="00651F93"/>
    <w:rsid w:val="00652A21"/>
    <w:rsid w:val="00655AF5"/>
    <w:rsid w:val="00655BD3"/>
    <w:rsid w:val="006604F0"/>
    <w:rsid w:val="0066106F"/>
    <w:rsid w:val="00661CF1"/>
    <w:rsid w:val="00666D24"/>
    <w:rsid w:val="006673D6"/>
    <w:rsid w:val="00677456"/>
    <w:rsid w:val="006807B3"/>
    <w:rsid w:val="006807F1"/>
    <w:rsid w:val="00681307"/>
    <w:rsid w:val="0068304E"/>
    <w:rsid w:val="00683895"/>
    <w:rsid w:val="00683B26"/>
    <w:rsid w:val="006857A8"/>
    <w:rsid w:val="00685944"/>
    <w:rsid w:val="00687DED"/>
    <w:rsid w:val="00691AC8"/>
    <w:rsid w:val="00694DC3"/>
    <w:rsid w:val="00695903"/>
    <w:rsid w:val="00695BF3"/>
    <w:rsid w:val="006974EF"/>
    <w:rsid w:val="006975EE"/>
    <w:rsid w:val="00697EA2"/>
    <w:rsid w:val="006A0F0C"/>
    <w:rsid w:val="006A4AD1"/>
    <w:rsid w:val="006A5604"/>
    <w:rsid w:val="006A6526"/>
    <w:rsid w:val="006A6BBE"/>
    <w:rsid w:val="006A7709"/>
    <w:rsid w:val="006A78FE"/>
    <w:rsid w:val="006A7AEA"/>
    <w:rsid w:val="006B0802"/>
    <w:rsid w:val="006C07A3"/>
    <w:rsid w:val="006C225D"/>
    <w:rsid w:val="006C480C"/>
    <w:rsid w:val="006C5497"/>
    <w:rsid w:val="006C5AE4"/>
    <w:rsid w:val="006C5F4C"/>
    <w:rsid w:val="006C7342"/>
    <w:rsid w:val="006D0068"/>
    <w:rsid w:val="006D3581"/>
    <w:rsid w:val="006D384D"/>
    <w:rsid w:val="006D5993"/>
    <w:rsid w:val="006D6C77"/>
    <w:rsid w:val="006D7510"/>
    <w:rsid w:val="006D779F"/>
    <w:rsid w:val="006E04A7"/>
    <w:rsid w:val="006E3AB2"/>
    <w:rsid w:val="006E4B81"/>
    <w:rsid w:val="006E5CC3"/>
    <w:rsid w:val="006E6507"/>
    <w:rsid w:val="006E7B8E"/>
    <w:rsid w:val="006F182D"/>
    <w:rsid w:val="006F1D0B"/>
    <w:rsid w:val="006F34F8"/>
    <w:rsid w:val="006F4AC3"/>
    <w:rsid w:val="006F4DAF"/>
    <w:rsid w:val="006F6134"/>
    <w:rsid w:val="007019A7"/>
    <w:rsid w:val="0070330D"/>
    <w:rsid w:val="0070330E"/>
    <w:rsid w:val="00703A2C"/>
    <w:rsid w:val="00703DF6"/>
    <w:rsid w:val="007062CB"/>
    <w:rsid w:val="007063FF"/>
    <w:rsid w:val="0071082A"/>
    <w:rsid w:val="00711F92"/>
    <w:rsid w:val="0071552D"/>
    <w:rsid w:val="00715C18"/>
    <w:rsid w:val="00720F63"/>
    <w:rsid w:val="007210AB"/>
    <w:rsid w:val="0072328F"/>
    <w:rsid w:val="007269A3"/>
    <w:rsid w:val="00726AE2"/>
    <w:rsid w:val="00730CF3"/>
    <w:rsid w:val="00731E99"/>
    <w:rsid w:val="00734925"/>
    <w:rsid w:val="00734AEC"/>
    <w:rsid w:val="0073584B"/>
    <w:rsid w:val="007405CB"/>
    <w:rsid w:val="00740F3A"/>
    <w:rsid w:val="0074317F"/>
    <w:rsid w:val="00743AA2"/>
    <w:rsid w:val="0074480F"/>
    <w:rsid w:val="00745F00"/>
    <w:rsid w:val="0074658B"/>
    <w:rsid w:val="00746B45"/>
    <w:rsid w:val="00746BAB"/>
    <w:rsid w:val="007475D8"/>
    <w:rsid w:val="007531FC"/>
    <w:rsid w:val="0075388B"/>
    <w:rsid w:val="0076046D"/>
    <w:rsid w:val="00760FF8"/>
    <w:rsid w:val="0076197C"/>
    <w:rsid w:val="00763F74"/>
    <w:rsid w:val="0076542A"/>
    <w:rsid w:val="00765819"/>
    <w:rsid w:val="007659DF"/>
    <w:rsid w:val="00765AE4"/>
    <w:rsid w:val="00772527"/>
    <w:rsid w:val="0077351A"/>
    <w:rsid w:val="00774D6C"/>
    <w:rsid w:val="00774EAA"/>
    <w:rsid w:val="00776042"/>
    <w:rsid w:val="0077667D"/>
    <w:rsid w:val="00780907"/>
    <w:rsid w:val="0078307B"/>
    <w:rsid w:val="00783314"/>
    <w:rsid w:val="00783F28"/>
    <w:rsid w:val="00785AC0"/>
    <w:rsid w:val="0078783E"/>
    <w:rsid w:val="00787EB2"/>
    <w:rsid w:val="00792E2B"/>
    <w:rsid w:val="00794BA6"/>
    <w:rsid w:val="00795F43"/>
    <w:rsid w:val="007A02FE"/>
    <w:rsid w:val="007A0EAB"/>
    <w:rsid w:val="007A0ECA"/>
    <w:rsid w:val="007A23E9"/>
    <w:rsid w:val="007A3729"/>
    <w:rsid w:val="007A5898"/>
    <w:rsid w:val="007A7A33"/>
    <w:rsid w:val="007B028A"/>
    <w:rsid w:val="007B1BA0"/>
    <w:rsid w:val="007B40C1"/>
    <w:rsid w:val="007B62AC"/>
    <w:rsid w:val="007C0912"/>
    <w:rsid w:val="007C1000"/>
    <w:rsid w:val="007C5B94"/>
    <w:rsid w:val="007D0BB0"/>
    <w:rsid w:val="007D296C"/>
    <w:rsid w:val="007E2ACF"/>
    <w:rsid w:val="007E2BD0"/>
    <w:rsid w:val="007E5824"/>
    <w:rsid w:val="007F07C8"/>
    <w:rsid w:val="007F4024"/>
    <w:rsid w:val="007F4224"/>
    <w:rsid w:val="00802773"/>
    <w:rsid w:val="00802C21"/>
    <w:rsid w:val="00805DF5"/>
    <w:rsid w:val="008064B3"/>
    <w:rsid w:val="00807052"/>
    <w:rsid w:val="00814CBA"/>
    <w:rsid w:val="00820849"/>
    <w:rsid w:val="0082249A"/>
    <w:rsid w:val="008246DF"/>
    <w:rsid w:val="00826439"/>
    <w:rsid w:val="008314B4"/>
    <w:rsid w:val="00832E99"/>
    <w:rsid w:val="00832FAC"/>
    <w:rsid w:val="00833933"/>
    <w:rsid w:val="00836B42"/>
    <w:rsid w:val="0084039C"/>
    <w:rsid w:val="00840E76"/>
    <w:rsid w:val="00846BD0"/>
    <w:rsid w:val="0085136A"/>
    <w:rsid w:val="00855316"/>
    <w:rsid w:val="008570BE"/>
    <w:rsid w:val="0086194F"/>
    <w:rsid w:val="0086619D"/>
    <w:rsid w:val="00871C8E"/>
    <w:rsid w:val="00872E14"/>
    <w:rsid w:val="008745FF"/>
    <w:rsid w:val="00880060"/>
    <w:rsid w:val="00880E00"/>
    <w:rsid w:val="00881197"/>
    <w:rsid w:val="00881205"/>
    <w:rsid w:val="008817AB"/>
    <w:rsid w:val="00881F33"/>
    <w:rsid w:val="00885209"/>
    <w:rsid w:val="008861BF"/>
    <w:rsid w:val="00887CFD"/>
    <w:rsid w:val="008938D3"/>
    <w:rsid w:val="00895793"/>
    <w:rsid w:val="0089596B"/>
    <w:rsid w:val="008A0BD4"/>
    <w:rsid w:val="008A17E1"/>
    <w:rsid w:val="008A18B0"/>
    <w:rsid w:val="008A24A1"/>
    <w:rsid w:val="008A35DD"/>
    <w:rsid w:val="008A3D0A"/>
    <w:rsid w:val="008A51E7"/>
    <w:rsid w:val="008A54E9"/>
    <w:rsid w:val="008A6658"/>
    <w:rsid w:val="008A6F13"/>
    <w:rsid w:val="008B00FB"/>
    <w:rsid w:val="008B118D"/>
    <w:rsid w:val="008B1DB2"/>
    <w:rsid w:val="008B39BF"/>
    <w:rsid w:val="008B5DCA"/>
    <w:rsid w:val="008B78CE"/>
    <w:rsid w:val="008C225D"/>
    <w:rsid w:val="008C531D"/>
    <w:rsid w:val="008C5A24"/>
    <w:rsid w:val="008D19AA"/>
    <w:rsid w:val="008D2312"/>
    <w:rsid w:val="008D2DCF"/>
    <w:rsid w:val="008D4C1F"/>
    <w:rsid w:val="008D4C2A"/>
    <w:rsid w:val="008D4E8C"/>
    <w:rsid w:val="008D5FB2"/>
    <w:rsid w:val="008D71CD"/>
    <w:rsid w:val="008E2333"/>
    <w:rsid w:val="008E4C40"/>
    <w:rsid w:val="008E51A8"/>
    <w:rsid w:val="008E6481"/>
    <w:rsid w:val="008E7368"/>
    <w:rsid w:val="008E7C80"/>
    <w:rsid w:val="008F1B3D"/>
    <w:rsid w:val="008F3A00"/>
    <w:rsid w:val="008F57A7"/>
    <w:rsid w:val="00903833"/>
    <w:rsid w:val="00907B9E"/>
    <w:rsid w:val="00910D84"/>
    <w:rsid w:val="00911931"/>
    <w:rsid w:val="00912DF5"/>
    <w:rsid w:val="009137FE"/>
    <w:rsid w:val="00913A44"/>
    <w:rsid w:val="00916F8B"/>
    <w:rsid w:val="009205A9"/>
    <w:rsid w:val="00920BF0"/>
    <w:rsid w:val="00921F7C"/>
    <w:rsid w:val="009262B2"/>
    <w:rsid w:val="00927D81"/>
    <w:rsid w:val="00930234"/>
    <w:rsid w:val="00931643"/>
    <w:rsid w:val="00931D7A"/>
    <w:rsid w:val="00932DA2"/>
    <w:rsid w:val="00933A0D"/>
    <w:rsid w:val="00933B07"/>
    <w:rsid w:val="009341C1"/>
    <w:rsid w:val="00934607"/>
    <w:rsid w:val="00935CDF"/>
    <w:rsid w:val="00936152"/>
    <w:rsid w:val="00942315"/>
    <w:rsid w:val="00942C00"/>
    <w:rsid w:val="00944EEC"/>
    <w:rsid w:val="009468FD"/>
    <w:rsid w:val="00947982"/>
    <w:rsid w:val="009502E2"/>
    <w:rsid w:val="00952F77"/>
    <w:rsid w:val="00953F4C"/>
    <w:rsid w:val="0095692A"/>
    <w:rsid w:val="00956DC6"/>
    <w:rsid w:val="0095701C"/>
    <w:rsid w:val="00957A21"/>
    <w:rsid w:val="00960FFD"/>
    <w:rsid w:val="00962432"/>
    <w:rsid w:val="009638AE"/>
    <w:rsid w:val="0096495B"/>
    <w:rsid w:val="00965595"/>
    <w:rsid w:val="009709D2"/>
    <w:rsid w:val="00971C10"/>
    <w:rsid w:val="00972E40"/>
    <w:rsid w:val="0097373D"/>
    <w:rsid w:val="009746AB"/>
    <w:rsid w:val="00975E38"/>
    <w:rsid w:val="0097684A"/>
    <w:rsid w:val="00980788"/>
    <w:rsid w:val="0098092F"/>
    <w:rsid w:val="009918E2"/>
    <w:rsid w:val="009922A0"/>
    <w:rsid w:val="009923DA"/>
    <w:rsid w:val="00992DB8"/>
    <w:rsid w:val="009939D9"/>
    <w:rsid w:val="0099413F"/>
    <w:rsid w:val="00995B7F"/>
    <w:rsid w:val="009970C8"/>
    <w:rsid w:val="00997EF5"/>
    <w:rsid w:val="009A1768"/>
    <w:rsid w:val="009A5676"/>
    <w:rsid w:val="009A5850"/>
    <w:rsid w:val="009A615F"/>
    <w:rsid w:val="009A7056"/>
    <w:rsid w:val="009A799D"/>
    <w:rsid w:val="009B1303"/>
    <w:rsid w:val="009B2175"/>
    <w:rsid w:val="009B2322"/>
    <w:rsid w:val="009B5162"/>
    <w:rsid w:val="009B60C0"/>
    <w:rsid w:val="009C33A3"/>
    <w:rsid w:val="009C4AC4"/>
    <w:rsid w:val="009C5EFA"/>
    <w:rsid w:val="009C7457"/>
    <w:rsid w:val="009D41D2"/>
    <w:rsid w:val="009E0E09"/>
    <w:rsid w:val="009E13C2"/>
    <w:rsid w:val="009E2BC4"/>
    <w:rsid w:val="009E30E5"/>
    <w:rsid w:val="009E3E71"/>
    <w:rsid w:val="009E59CA"/>
    <w:rsid w:val="009E7A91"/>
    <w:rsid w:val="009F08D5"/>
    <w:rsid w:val="009F10A8"/>
    <w:rsid w:val="009F121B"/>
    <w:rsid w:val="009F1A26"/>
    <w:rsid w:val="009F2B1B"/>
    <w:rsid w:val="009F4586"/>
    <w:rsid w:val="009F5905"/>
    <w:rsid w:val="00A0179C"/>
    <w:rsid w:val="00A034C7"/>
    <w:rsid w:val="00A03B2E"/>
    <w:rsid w:val="00A0427D"/>
    <w:rsid w:val="00A04612"/>
    <w:rsid w:val="00A04B57"/>
    <w:rsid w:val="00A060E9"/>
    <w:rsid w:val="00A06B1C"/>
    <w:rsid w:val="00A06FC3"/>
    <w:rsid w:val="00A07DF2"/>
    <w:rsid w:val="00A12094"/>
    <w:rsid w:val="00A14299"/>
    <w:rsid w:val="00A14BC6"/>
    <w:rsid w:val="00A14F97"/>
    <w:rsid w:val="00A15314"/>
    <w:rsid w:val="00A21391"/>
    <w:rsid w:val="00A2217C"/>
    <w:rsid w:val="00A229C3"/>
    <w:rsid w:val="00A23AF2"/>
    <w:rsid w:val="00A24136"/>
    <w:rsid w:val="00A32FFB"/>
    <w:rsid w:val="00A33B04"/>
    <w:rsid w:val="00A37B41"/>
    <w:rsid w:val="00A41058"/>
    <w:rsid w:val="00A45C2B"/>
    <w:rsid w:val="00A51891"/>
    <w:rsid w:val="00A527AD"/>
    <w:rsid w:val="00A5399A"/>
    <w:rsid w:val="00A54B60"/>
    <w:rsid w:val="00A56664"/>
    <w:rsid w:val="00A60CB6"/>
    <w:rsid w:val="00A61CB2"/>
    <w:rsid w:val="00A625CA"/>
    <w:rsid w:val="00A62941"/>
    <w:rsid w:val="00A62F8B"/>
    <w:rsid w:val="00A64604"/>
    <w:rsid w:val="00A64A84"/>
    <w:rsid w:val="00A65D7F"/>
    <w:rsid w:val="00A7089F"/>
    <w:rsid w:val="00A72E1A"/>
    <w:rsid w:val="00A73DD2"/>
    <w:rsid w:val="00A73FD7"/>
    <w:rsid w:val="00A76F32"/>
    <w:rsid w:val="00A7740E"/>
    <w:rsid w:val="00A77652"/>
    <w:rsid w:val="00A7798C"/>
    <w:rsid w:val="00A81027"/>
    <w:rsid w:val="00A83ACF"/>
    <w:rsid w:val="00A84071"/>
    <w:rsid w:val="00A85421"/>
    <w:rsid w:val="00A85E32"/>
    <w:rsid w:val="00A86AB2"/>
    <w:rsid w:val="00A876F6"/>
    <w:rsid w:val="00A87EFD"/>
    <w:rsid w:val="00A941C6"/>
    <w:rsid w:val="00A96BBC"/>
    <w:rsid w:val="00AA0A06"/>
    <w:rsid w:val="00AA2903"/>
    <w:rsid w:val="00AA2925"/>
    <w:rsid w:val="00AA3FF4"/>
    <w:rsid w:val="00AA5B46"/>
    <w:rsid w:val="00AA5BD8"/>
    <w:rsid w:val="00AA6060"/>
    <w:rsid w:val="00AA70E3"/>
    <w:rsid w:val="00AA74F0"/>
    <w:rsid w:val="00AB0FBE"/>
    <w:rsid w:val="00AB1E34"/>
    <w:rsid w:val="00AB3764"/>
    <w:rsid w:val="00AC049E"/>
    <w:rsid w:val="00AC1F52"/>
    <w:rsid w:val="00AC33AC"/>
    <w:rsid w:val="00AC3A2A"/>
    <w:rsid w:val="00AC5F6E"/>
    <w:rsid w:val="00AD0E20"/>
    <w:rsid w:val="00AD2182"/>
    <w:rsid w:val="00AD2722"/>
    <w:rsid w:val="00AD2D38"/>
    <w:rsid w:val="00AD44EA"/>
    <w:rsid w:val="00AD60E4"/>
    <w:rsid w:val="00AE1129"/>
    <w:rsid w:val="00AE31DA"/>
    <w:rsid w:val="00AE4893"/>
    <w:rsid w:val="00AE4D3F"/>
    <w:rsid w:val="00AE749B"/>
    <w:rsid w:val="00AF0C5D"/>
    <w:rsid w:val="00AF0EC2"/>
    <w:rsid w:val="00AF4755"/>
    <w:rsid w:val="00AF5211"/>
    <w:rsid w:val="00AF527D"/>
    <w:rsid w:val="00AF6941"/>
    <w:rsid w:val="00AF6CF8"/>
    <w:rsid w:val="00B00236"/>
    <w:rsid w:val="00B012AB"/>
    <w:rsid w:val="00B01AD0"/>
    <w:rsid w:val="00B01FB8"/>
    <w:rsid w:val="00B0203B"/>
    <w:rsid w:val="00B038DF"/>
    <w:rsid w:val="00B150DF"/>
    <w:rsid w:val="00B153C6"/>
    <w:rsid w:val="00B16806"/>
    <w:rsid w:val="00B170BA"/>
    <w:rsid w:val="00B17200"/>
    <w:rsid w:val="00B21C20"/>
    <w:rsid w:val="00B23CC8"/>
    <w:rsid w:val="00B27E5A"/>
    <w:rsid w:val="00B340FC"/>
    <w:rsid w:val="00B3433F"/>
    <w:rsid w:val="00B3750C"/>
    <w:rsid w:val="00B40315"/>
    <w:rsid w:val="00B40556"/>
    <w:rsid w:val="00B411FF"/>
    <w:rsid w:val="00B45A75"/>
    <w:rsid w:val="00B460E7"/>
    <w:rsid w:val="00B4649B"/>
    <w:rsid w:val="00B47B83"/>
    <w:rsid w:val="00B52017"/>
    <w:rsid w:val="00B52E90"/>
    <w:rsid w:val="00B54C08"/>
    <w:rsid w:val="00B55CA6"/>
    <w:rsid w:val="00B568E7"/>
    <w:rsid w:val="00B60BF3"/>
    <w:rsid w:val="00B6264B"/>
    <w:rsid w:val="00B626D5"/>
    <w:rsid w:val="00B63452"/>
    <w:rsid w:val="00B64C33"/>
    <w:rsid w:val="00B64FEB"/>
    <w:rsid w:val="00B66CC6"/>
    <w:rsid w:val="00B706ED"/>
    <w:rsid w:val="00B75142"/>
    <w:rsid w:val="00B7745D"/>
    <w:rsid w:val="00B810EC"/>
    <w:rsid w:val="00B84FCB"/>
    <w:rsid w:val="00B85665"/>
    <w:rsid w:val="00B86956"/>
    <w:rsid w:val="00B86BDB"/>
    <w:rsid w:val="00B900F0"/>
    <w:rsid w:val="00B92695"/>
    <w:rsid w:val="00B94AF9"/>
    <w:rsid w:val="00B967B9"/>
    <w:rsid w:val="00B96D5E"/>
    <w:rsid w:val="00B97EEA"/>
    <w:rsid w:val="00BA28D1"/>
    <w:rsid w:val="00BA5DC7"/>
    <w:rsid w:val="00BA5E0A"/>
    <w:rsid w:val="00BB15C9"/>
    <w:rsid w:val="00BB2E0D"/>
    <w:rsid w:val="00BB365A"/>
    <w:rsid w:val="00BB3E03"/>
    <w:rsid w:val="00BC749F"/>
    <w:rsid w:val="00BD04E1"/>
    <w:rsid w:val="00BD0ED2"/>
    <w:rsid w:val="00BD22A1"/>
    <w:rsid w:val="00BD2367"/>
    <w:rsid w:val="00BD5AA5"/>
    <w:rsid w:val="00BD5ADE"/>
    <w:rsid w:val="00BD67DE"/>
    <w:rsid w:val="00BD7983"/>
    <w:rsid w:val="00BE1AEB"/>
    <w:rsid w:val="00BE4FE4"/>
    <w:rsid w:val="00BE530B"/>
    <w:rsid w:val="00BF2381"/>
    <w:rsid w:val="00BF4914"/>
    <w:rsid w:val="00BF6502"/>
    <w:rsid w:val="00BF6AC7"/>
    <w:rsid w:val="00BF752E"/>
    <w:rsid w:val="00C032B2"/>
    <w:rsid w:val="00C0457A"/>
    <w:rsid w:val="00C0578E"/>
    <w:rsid w:val="00C116F9"/>
    <w:rsid w:val="00C1341A"/>
    <w:rsid w:val="00C145FB"/>
    <w:rsid w:val="00C14D04"/>
    <w:rsid w:val="00C15DA3"/>
    <w:rsid w:val="00C171E4"/>
    <w:rsid w:val="00C17381"/>
    <w:rsid w:val="00C2128B"/>
    <w:rsid w:val="00C21813"/>
    <w:rsid w:val="00C23646"/>
    <w:rsid w:val="00C24F49"/>
    <w:rsid w:val="00C2736A"/>
    <w:rsid w:val="00C304AA"/>
    <w:rsid w:val="00C31D9B"/>
    <w:rsid w:val="00C3331E"/>
    <w:rsid w:val="00C358D7"/>
    <w:rsid w:val="00C35E9E"/>
    <w:rsid w:val="00C36DEB"/>
    <w:rsid w:val="00C371D5"/>
    <w:rsid w:val="00C37215"/>
    <w:rsid w:val="00C41F9C"/>
    <w:rsid w:val="00C42E53"/>
    <w:rsid w:val="00C51603"/>
    <w:rsid w:val="00C52C46"/>
    <w:rsid w:val="00C5493E"/>
    <w:rsid w:val="00C64607"/>
    <w:rsid w:val="00C64C7F"/>
    <w:rsid w:val="00C658DA"/>
    <w:rsid w:val="00C65E2F"/>
    <w:rsid w:val="00C705C6"/>
    <w:rsid w:val="00C72F10"/>
    <w:rsid w:val="00C7602F"/>
    <w:rsid w:val="00C763CC"/>
    <w:rsid w:val="00C77652"/>
    <w:rsid w:val="00C77CE3"/>
    <w:rsid w:val="00C815C0"/>
    <w:rsid w:val="00C8541A"/>
    <w:rsid w:val="00C871F9"/>
    <w:rsid w:val="00C9428B"/>
    <w:rsid w:val="00C95107"/>
    <w:rsid w:val="00CA32C5"/>
    <w:rsid w:val="00CA3BFF"/>
    <w:rsid w:val="00CA4B6B"/>
    <w:rsid w:val="00CA6D34"/>
    <w:rsid w:val="00CA7C3F"/>
    <w:rsid w:val="00CB3BC1"/>
    <w:rsid w:val="00CB7F45"/>
    <w:rsid w:val="00CC062B"/>
    <w:rsid w:val="00CC5663"/>
    <w:rsid w:val="00CC6BE6"/>
    <w:rsid w:val="00CC7B1E"/>
    <w:rsid w:val="00CC7E29"/>
    <w:rsid w:val="00CD291E"/>
    <w:rsid w:val="00CD30FC"/>
    <w:rsid w:val="00CD40A1"/>
    <w:rsid w:val="00CD419E"/>
    <w:rsid w:val="00CD441B"/>
    <w:rsid w:val="00CD5CF2"/>
    <w:rsid w:val="00CE18A3"/>
    <w:rsid w:val="00CE2EE7"/>
    <w:rsid w:val="00CE7A0A"/>
    <w:rsid w:val="00CF0A90"/>
    <w:rsid w:val="00CF270B"/>
    <w:rsid w:val="00CF2E6D"/>
    <w:rsid w:val="00D01038"/>
    <w:rsid w:val="00D03483"/>
    <w:rsid w:val="00D06356"/>
    <w:rsid w:val="00D07B55"/>
    <w:rsid w:val="00D16408"/>
    <w:rsid w:val="00D17C18"/>
    <w:rsid w:val="00D24058"/>
    <w:rsid w:val="00D302F1"/>
    <w:rsid w:val="00D322B3"/>
    <w:rsid w:val="00D34ADB"/>
    <w:rsid w:val="00D35115"/>
    <w:rsid w:val="00D37773"/>
    <w:rsid w:val="00D409F0"/>
    <w:rsid w:val="00D431C8"/>
    <w:rsid w:val="00D43428"/>
    <w:rsid w:val="00D43922"/>
    <w:rsid w:val="00D447A7"/>
    <w:rsid w:val="00D447F8"/>
    <w:rsid w:val="00D450F8"/>
    <w:rsid w:val="00D45274"/>
    <w:rsid w:val="00D45E0E"/>
    <w:rsid w:val="00D47187"/>
    <w:rsid w:val="00D516CF"/>
    <w:rsid w:val="00D60C9A"/>
    <w:rsid w:val="00D60D9A"/>
    <w:rsid w:val="00D61E30"/>
    <w:rsid w:val="00D666DC"/>
    <w:rsid w:val="00D7056B"/>
    <w:rsid w:val="00D728A1"/>
    <w:rsid w:val="00D74F06"/>
    <w:rsid w:val="00D759FF"/>
    <w:rsid w:val="00D75A84"/>
    <w:rsid w:val="00D7702D"/>
    <w:rsid w:val="00D81936"/>
    <w:rsid w:val="00D830A9"/>
    <w:rsid w:val="00D84499"/>
    <w:rsid w:val="00D85801"/>
    <w:rsid w:val="00D86EDB"/>
    <w:rsid w:val="00D91156"/>
    <w:rsid w:val="00D93E30"/>
    <w:rsid w:val="00D945A0"/>
    <w:rsid w:val="00D965AE"/>
    <w:rsid w:val="00D96C40"/>
    <w:rsid w:val="00DA16D6"/>
    <w:rsid w:val="00DA5471"/>
    <w:rsid w:val="00DA65E7"/>
    <w:rsid w:val="00DB5C4C"/>
    <w:rsid w:val="00DB8584"/>
    <w:rsid w:val="00DC3D9D"/>
    <w:rsid w:val="00DC4577"/>
    <w:rsid w:val="00DC5926"/>
    <w:rsid w:val="00DD0B83"/>
    <w:rsid w:val="00DD3067"/>
    <w:rsid w:val="00DD4163"/>
    <w:rsid w:val="00DD66FB"/>
    <w:rsid w:val="00DD6E1F"/>
    <w:rsid w:val="00DD7913"/>
    <w:rsid w:val="00DE00A7"/>
    <w:rsid w:val="00DE34D5"/>
    <w:rsid w:val="00DE4612"/>
    <w:rsid w:val="00DE7BBE"/>
    <w:rsid w:val="00DF2483"/>
    <w:rsid w:val="00DF3D4C"/>
    <w:rsid w:val="00DF4B35"/>
    <w:rsid w:val="00DF57BF"/>
    <w:rsid w:val="00E005F0"/>
    <w:rsid w:val="00E02D9C"/>
    <w:rsid w:val="00E061EB"/>
    <w:rsid w:val="00E13A6A"/>
    <w:rsid w:val="00E22344"/>
    <w:rsid w:val="00E25445"/>
    <w:rsid w:val="00E25A4B"/>
    <w:rsid w:val="00E26D9F"/>
    <w:rsid w:val="00E274E7"/>
    <w:rsid w:val="00E30C87"/>
    <w:rsid w:val="00E322AE"/>
    <w:rsid w:val="00E325CB"/>
    <w:rsid w:val="00E3282F"/>
    <w:rsid w:val="00E349E8"/>
    <w:rsid w:val="00E34AF8"/>
    <w:rsid w:val="00E362EF"/>
    <w:rsid w:val="00E36F63"/>
    <w:rsid w:val="00E418DC"/>
    <w:rsid w:val="00E4374F"/>
    <w:rsid w:val="00E4466C"/>
    <w:rsid w:val="00E47B4E"/>
    <w:rsid w:val="00E50CCA"/>
    <w:rsid w:val="00E5498E"/>
    <w:rsid w:val="00E560BF"/>
    <w:rsid w:val="00E61E77"/>
    <w:rsid w:val="00E6238F"/>
    <w:rsid w:val="00E63622"/>
    <w:rsid w:val="00E65F26"/>
    <w:rsid w:val="00E66543"/>
    <w:rsid w:val="00E707AE"/>
    <w:rsid w:val="00E70B20"/>
    <w:rsid w:val="00E72434"/>
    <w:rsid w:val="00E73F60"/>
    <w:rsid w:val="00E8348F"/>
    <w:rsid w:val="00E838B6"/>
    <w:rsid w:val="00E83AA3"/>
    <w:rsid w:val="00E8423F"/>
    <w:rsid w:val="00E84D66"/>
    <w:rsid w:val="00E869F7"/>
    <w:rsid w:val="00E93125"/>
    <w:rsid w:val="00E970AB"/>
    <w:rsid w:val="00EA073B"/>
    <w:rsid w:val="00EA0DA1"/>
    <w:rsid w:val="00EA2E37"/>
    <w:rsid w:val="00EA4D74"/>
    <w:rsid w:val="00EA690A"/>
    <w:rsid w:val="00EB10A4"/>
    <w:rsid w:val="00EB1F7F"/>
    <w:rsid w:val="00EB24DC"/>
    <w:rsid w:val="00EB33D2"/>
    <w:rsid w:val="00EC0E63"/>
    <w:rsid w:val="00EC1B80"/>
    <w:rsid w:val="00EC2908"/>
    <w:rsid w:val="00EC6DFD"/>
    <w:rsid w:val="00EC7103"/>
    <w:rsid w:val="00EC7C3F"/>
    <w:rsid w:val="00ED07EC"/>
    <w:rsid w:val="00ED2D87"/>
    <w:rsid w:val="00ED2F41"/>
    <w:rsid w:val="00ED30E7"/>
    <w:rsid w:val="00ED7AE5"/>
    <w:rsid w:val="00EE0F9A"/>
    <w:rsid w:val="00EE1E7A"/>
    <w:rsid w:val="00EE24D3"/>
    <w:rsid w:val="00EE4544"/>
    <w:rsid w:val="00EE4E28"/>
    <w:rsid w:val="00EF1ACF"/>
    <w:rsid w:val="00EF3899"/>
    <w:rsid w:val="00EF57AF"/>
    <w:rsid w:val="00EF6FFB"/>
    <w:rsid w:val="00F00EF6"/>
    <w:rsid w:val="00F03209"/>
    <w:rsid w:val="00F05DED"/>
    <w:rsid w:val="00F11913"/>
    <w:rsid w:val="00F12BC0"/>
    <w:rsid w:val="00F13D60"/>
    <w:rsid w:val="00F17C1F"/>
    <w:rsid w:val="00F20180"/>
    <w:rsid w:val="00F21257"/>
    <w:rsid w:val="00F22A63"/>
    <w:rsid w:val="00F23281"/>
    <w:rsid w:val="00F303CB"/>
    <w:rsid w:val="00F31FE0"/>
    <w:rsid w:val="00F321A6"/>
    <w:rsid w:val="00F34AD4"/>
    <w:rsid w:val="00F35B65"/>
    <w:rsid w:val="00F36D94"/>
    <w:rsid w:val="00F427CA"/>
    <w:rsid w:val="00F45D97"/>
    <w:rsid w:val="00F46DF5"/>
    <w:rsid w:val="00F47BBE"/>
    <w:rsid w:val="00F510A0"/>
    <w:rsid w:val="00F52949"/>
    <w:rsid w:val="00F52A16"/>
    <w:rsid w:val="00F5322A"/>
    <w:rsid w:val="00F5467D"/>
    <w:rsid w:val="00F55752"/>
    <w:rsid w:val="00F55A73"/>
    <w:rsid w:val="00F6192D"/>
    <w:rsid w:val="00F64C25"/>
    <w:rsid w:val="00F64E7E"/>
    <w:rsid w:val="00F658E8"/>
    <w:rsid w:val="00F66952"/>
    <w:rsid w:val="00F677A9"/>
    <w:rsid w:val="00F67C02"/>
    <w:rsid w:val="00F730C8"/>
    <w:rsid w:val="00F73455"/>
    <w:rsid w:val="00F83E8F"/>
    <w:rsid w:val="00F90266"/>
    <w:rsid w:val="00F90F08"/>
    <w:rsid w:val="00F92E66"/>
    <w:rsid w:val="00F932BC"/>
    <w:rsid w:val="00F9338A"/>
    <w:rsid w:val="00F96CC2"/>
    <w:rsid w:val="00F97653"/>
    <w:rsid w:val="00FA0C5B"/>
    <w:rsid w:val="00FA250D"/>
    <w:rsid w:val="00FA39C1"/>
    <w:rsid w:val="00FA6142"/>
    <w:rsid w:val="00FA66DA"/>
    <w:rsid w:val="00FB08F7"/>
    <w:rsid w:val="00FB1187"/>
    <w:rsid w:val="00FB1937"/>
    <w:rsid w:val="00FB3BF7"/>
    <w:rsid w:val="00FB3DC0"/>
    <w:rsid w:val="00FB4650"/>
    <w:rsid w:val="00FB5637"/>
    <w:rsid w:val="00FB5E4E"/>
    <w:rsid w:val="00FC0EFA"/>
    <w:rsid w:val="00FC1DA7"/>
    <w:rsid w:val="00FC6E46"/>
    <w:rsid w:val="00FD0B84"/>
    <w:rsid w:val="00FD1166"/>
    <w:rsid w:val="00FD4592"/>
    <w:rsid w:val="00FD515C"/>
    <w:rsid w:val="00FE0139"/>
    <w:rsid w:val="00FE014A"/>
    <w:rsid w:val="00FE0F63"/>
    <w:rsid w:val="00FE23C9"/>
    <w:rsid w:val="00FE5D58"/>
    <w:rsid w:val="00FE674B"/>
    <w:rsid w:val="00FF3ECD"/>
    <w:rsid w:val="011264D7"/>
    <w:rsid w:val="01AA00B8"/>
    <w:rsid w:val="02310044"/>
    <w:rsid w:val="02A3320C"/>
    <w:rsid w:val="02AE3538"/>
    <w:rsid w:val="02D3E09F"/>
    <w:rsid w:val="036A4684"/>
    <w:rsid w:val="03CB6E9B"/>
    <w:rsid w:val="04ED09A4"/>
    <w:rsid w:val="056FE57A"/>
    <w:rsid w:val="057547ED"/>
    <w:rsid w:val="057E79EA"/>
    <w:rsid w:val="05962FF9"/>
    <w:rsid w:val="05E7DAFE"/>
    <w:rsid w:val="06967529"/>
    <w:rsid w:val="072A6D8B"/>
    <w:rsid w:val="07522390"/>
    <w:rsid w:val="088B962F"/>
    <w:rsid w:val="08964AA1"/>
    <w:rsid w:val="08A6E24D"/>
    <w:rsid w:val="08B379EA"/>
    <w:rsid w:val="099FC4C8"/>
    <w:rsid w:val="0A4597D7"/>
    <w:rsid w:val="0A733B5C"/>
    <w:rsid w:val="0ACA8404"/>
    <w:rsid w:val="0AF78EDF"/>
    <w:rsid w:val="0B41934C"/>
    <w:rsid w:val="0BCEA674"/>
    <w:rsid w:val="0C084BB6"/>
    <w:rsid w:val="0C647F9F"/>
    <w:rsid w:val="0D27D414"/>
    <w:rsid w:val="0DACA43C"/>
    <w:rsid w:val="0DC98D5F"/>
    <w:rsid w:val="0E3E18EF"/>
    <w:rsid w:val="0EA635F2"/>
    <w:rsid w:val="0F1EB546"/>
    <w:rsid w:val="0F652326"/>
    <w:rsid w:val="0F74816A"/>
    <w:rsid w:val="100A8AB3"/>
    <w:rsid w:val="10E230EC"/>
    <w:rsid w:val="1133B926"/>
    <w:rsid w:val="11C96AF8"/>
    <w:rsid w:val="139BE77D"/>
    <w:rsid w:val="13B168F2"/>
    <w:rsid w:val="1419D1AE"/>
    <w:rsid w:val="143E7860"/>
    <w:rsid w:val="15107856"/>
    <w:rsid w:val="15E26061"/>
    <w:rsid w:val="164160ED"/>
    <w:rsid w:val="164192C3"/>
    <w:rsid w:val="166373D4"/>
    <w:rsid w:val="16B8B233"/>
    <w:rsid w:val="17065BD0"/>
    <w:rsid w:val="17F03FE4"/>
    <w:rsid w:val="1819E69D"/>
    <w:rsid w:val="184C4293"/>
    <w:rsid w:val="1909B83B"/>
    <w:rsid w:val="199326F5"/>
    <w:rsid w:val="1A0331F0"/>
    <w:rsid w:val="1B027604"/>
    <w:rsid w:val="1B5AEC5C"/>
    <w:rsid w:val="1B73262A"/>
    <w:rsid w:val="1C139D29"/>
    <w:rsid w:val="1C1E6114"/>
    <w:rsid w:val="1C48F6C5"/>
    <w:rsid w:val="1C570E2C"/>
    <w:rsid w:val="1C674ACC"/>
    <w:rsid w:val="1CCB458F"/>
    <w:rsid w:val="1CCFE55E"/>
    <w:rsid w:val="1D1C8EF1"/>
    <w:rsid w:val="1D309460"/>
    <w:rsid w:val="1D4B3A96"/>
    <w:rsid w:val="1D527738"/>
    <w:rsid w:val="1D5906F1"/>
    <w:rsid w:val="1D5B8A55"/>
    <w:rsid w:val="1D70C5D6"/>
    <w:rsid w:val="1D8CF7DC"/>
    <w:rsid w:val="1E906CA7"/>
    <w:rsid w:val="1EA979AE"/>
    <w:rsid w:val="1FD8C331"/>
    <w:rsid w:val="207EA5DD"/>
    <w:rsid w:val="209CA027"/>
    <w:rsid w:val="23368C2E"/>
    <w:rsid w:val="235E86A9"/>
    <w:rsid w:val="23A0F6B9"/>
    <w:rsid w:val="23A377E4"/>
    <w:rsid w:val="23C04539"/>
    <w:rsid w:val="24CEAA02"/>
    <w:rsid w:val="264804B5"/>
    <w:rsid w:val="27068684"/>
    <w:rsid w:val="272EACA5"/>
    <w:rsid w:val="27679148"/>
    <w:rsid w:val="277F9EA5"/>
    <w:rsid w:val="27A749FF"/>
    <w:rsid w:val="27C13CE6"/>
    <w:rsid w:val="28007A3E"/>
    <w:rsid w:val="28D732F7"/>
    <w:rsid w:val="297C5428"/>
    <w:rsid w:val="29C0E858"/>
    <w:rsid w:val="2A798493"/>
    <w:rsid w:val="2C804C42"/>
    <w:rsid w:val="2D2666D2"/>
    <w:rsid w:val="2D2D07DB"/>
    <w:rsid w:val="2D9C0BBD"/>
    <w:rsid w:val="2DCFB43C"/>
    <w:rsid w:val="2EE26BE5"/>
    <w:rsid w:val="2F3117D3"/>
    <w:rsid w:val="2F4D27E7"/>
    <w:rsid w:val="31752A5A"/>
    <w:rsid w:val="31933F47"/>
    <w:rsid w:val="32B0FBE4"/>
    <w:rsid w:val="32ECF667"/>
    <w:rsid w:val="3321416B"/>
    <w:rsid w:val="33A2BF4F"/>
    <w:rsid w:val="343CC05E"/>
    <w:rsid w:val="345C8F6B"/>
    <w:rsid w:val="34930754"/>
    <w:rsid w:val="34E3389E"/>
    <w:rsid w:val="35080549"/>
    <w:rsid w:val="3591E47C"/>
    <w:rsid w:val="35965241"/>
    <w:rsid w:val="3645ADC5"/>
    <w:rsid w:val="3715F74B"/>
    <w:rsid w:val="371E4F36"/>
    <w:rsid w:val="3738C315"/>
    <w:rsid w:val="373E813D"/>
    <w:rsid w:val="383A80FE"/>
    <w:rsid w:val="3857C1C5"/>
    <w:rsid w:val="395387CB"/>
    <w:rsid w:val="39B745A2"/>
    <w:rsid w:val="39DE1A31"/>
    <w:rsid w:val="3A2BD926"/>
    <w:rsid w:val="3A85E8B3"/>
    <w:rsid w:val="3B190918"/>
    <w:rsid w:val="3B9E3043"/>
    <w:rsid w:val="3C516C83"/>
    <w:rsid w:val="3C7551DC"/>
    <w:rsid w:val="3CAB1B93"/>
    <w:rsid w:val="3D2B5871"/>
    <w:rsid w:val="3D3A00A4"/>
    <w:rsid w:val="3D5807CB"/>
    <w:rsid w:val="3D83CF31"/>
    <w:rsid w:val="3D96E901"/>
    <w:rsid w:val="3E0917BC"/>
    <w:rsid w:val="3E2B9F1B"/>
    <w:rsid w:val="3E817FC5"/>
    <w:rsid w:val="3E9BC78C"/>
    <w:rsid w:val="3F2DAC8D"/>
    <w:rsid w:val="3F8517DB"/>
    <w:rsid w:val="3FAFE3A9"/>
    <w:rsid w:val="3FC56613"/>
    <w:rsid w:val="4059BE24"/>
    <w:rsid w:val="40EFFD36"/>
    <w:rsid w:val="41021B09"/>
    <w:rsid w:val="41AD31AE"/>
    <w:rsid w:val="43307A35"/>
    <w:rsid w:val="444DF692"/>
    <w:rsid w:val="44974030"/>
    <w:rsid w:val="44D563AD"/>
    <w:rsid w:val="45A46B5D"/>
    <w:rsid w:val="4755E40D"/>
    <w:rsid w:val="4757A4C3"/>
    <w:rsid w:val="4766863D"/>
    <w:rsid w:val="477F060C"/>
    <w:rsid w:val="487F1BC3"/>
    <w:rsid w:val="49A2BADF"/>
    <w:rsid w:val="4A17D089"/>
    <w:rsid w:val="4A6A3B1C"/>
    <w:rsid w:val="4A9E26FF"/>
    <w:rsid w:val="4AA7E7C5"/>
    <w:rsid w:val="4ACAE718"/>
    <w:rsid w:val="4AE4E35B"/>
    <w:rsid w:val="4B86CA12"/>
    <w:rsid w:val="4C0AFC34"/>
    <w:rsid w:val="4C66B779"/>
    <w:rsid w:val="4DF4D8D8"/>
    <w:rsid w:val="4E57A4CE"/>
    <w:rsid w:val="4E58265B"/>
    <w:rsid w:val="4EA51D6B"/>
    <w:rsid w:val="4FDAE97B"/>
    <w:rsid w:val="500CCF62"/>
    <w:rsid w:val="5019108D"/>
    <w:rsid w:val="520A840E"/>
    <w:rsid w:val="520B538C"/>
    <w:rsid w:val="522CA113"/>
    <w:rsid w:val="5289D85C"/>
    <w:rsid w:val="52C2FF4D"/>
    <w:rsid w:val="52F73EC9"/>
    <w:rsid w:val="533283B7"/>
    <w:rsid w:val="5445AF48"/>
    <w:rsid w:val="54686461"/>
    <w:rsid w:val="55756993"/>
    <w:rsid w:val="5636BD7D"/>
    <w:rsid w:val="56E7E055"/>
    <w:rsid w:val="5788A12C"/>
    <w:rsid w:val="58500EBF"/>
    <w:rsid w:val="588B328B"/>
    <w:rsid w:val="58B5C890"/>
    <w:rsid w:val="58C5A9E4"/>
    <w:rsid w:val="58F42378"/>
    <w:rsid w:val="5910D13B"/>
    <w:rsid w:val="59293933"/>
    <w:rsid w:val="59890280"/>
    <w:rsid w:val="598E878E"/>
    <w:rsid w:val="5A52F9B7"/>
    <w:rsid w:val="5AA2F115"/>
    <w:rsid w:val="5ADACC11"/>
    <w:rsid w:val="5B2DC86C"/>
    <w:rsid w:val="5BD0D670"/>
    <w:rsid w:val="5C13FF53"/>
    <w:rsid w:val="5C21D625"/>
    <w:rsid w:val="5DF2E42F"/>
    <w:rsid w:val="5DFE64D4"/>
    <w:rsid w:val="5E3A956D"/>
    <w:rsid w:val="5E83FC7A"/>
    <w:rsid w:val="5E89C754"/>
    <w:rsid w:val="5EA1420B"/>
    <w:rsid w:val="6105147D"/>
    <w:rsid w:val="611774CD"/>
    <w:rsid w:val="611BC9DB"/>
    <w:rsid w:val="613BF4F9"/>
    <w:rsid w:val="616D817D"/>
    <w:rsid w:val="6178848B"/>
    <w:rsid w:val="61DF4E92"/>
    <w:rsid w:val="61EE750B"/>
    <w:rsid w:val="61FE26E3"/>
    <w:rsid w:val="622AE6FC"/>
    <w:rsid w:val="62B48DCA"/>
    <w:rsid w:val="630E0690"/>
    <w:rsid w:val="6327F88F"/>
    <w:rsid w:val="644DCC03"/>
    <w:rsid w:val="6490AE94"/>
    <w:rsid w:val="64C1A825"/>
    <w:rsid w:val="64D2E2EA"/>
    <w:rsid w:val="65869103"/>
    <w:rsid w:val="65D62BE6"/>
    <w:rsid w:val="6604D3B0"/>
    <w:rsid w:val="6653E239"/>
    <w:rsid w:val="66ADCDAF"/>
    <w:rsid w:val="674105E8"/>
    <w:rsid w:val="6771FC47"/>
    <w:rsid w:val="6794933E"/>
    <w:rsid w:val="68398E89"/>
    <w:rsid w:val="685DB68F"/>
    <w:rsid w:val="68912925"/>
    <w:rsid w:val="68CBC814"/>
    <w:rsid w:val="69550FF9"/>
    <w:rsid w:val="69F986F0"/>
    <w:rsid w:val="6A1CF69C"/>
    <w:rsid w:val="6A51CEA2"/>
    <w:rsid w:val="6A813FD2"/>
    <w:rsid w:val="6CE3AC6C"/>
    <w:rsid w:val="6D4F2563"/>
    <w:rsid w:val="6D67D827"/>
    <w:rsid w:val="6D95546E"/>
    <w:rsid w:val="6DA44663"/>
    <w:rsid w:val="6DEF0775"/>
    <w:rsid w:val="6ECFD025"/>
    <w:rsid w:val="6ED60230"/>
    <w:rsid w:val="708B3E22"/>
    <w:rsid w:val="727F1149"/>
    <w:rsid w:val="72A9A2BA"/>
    <w:rsid w:val="732DC40C"/>
    <w:rsid w:val="73881DCF"/>
    <w:rsid w:val="73AF002E"/>
    <w:rsid w:val="73B4A587"/>
    <w:rsid w:val="742A2B92"/>
    <w:rsid w:val="744206FF"/>
    <w:rsid w:val="75205D90"/>
    <w:rsid w:val="75905C6E"/>
    <w:rsid w:val="75A48FB2"/>
    <w:rsid w:val="764C970E"/>
    <w:rsid w:val="773504EC"/>
    <w:rsid w:val="77FE4E80"/>
    <w:rsid w:val="7843E662"/>
    <w:rsid w:val="7888DBC8"/>
    <w:rsid w:val="794E74EF"/>
    <w:rsid w:val="79E059F0"/>
    <w:rsid w:val="7AEDDDCA"/>
    <w:rsid w:val="7B0524FF"/>
    <w:rsid w:val="7BC90333"/>
    <w:rsid w:val="7BEECF19"/>
    <w:rsid w:val="7BEFDA92"/>
    <w:rsid w:val="7C401C8C"/>
    <w:rsid w:val="7C9C134F"/>
    <w:rsid w:val="7D9844BE"/>
    <w:rsid w:val="7E86733F"/>
    <w:rsid w:val="7EFC6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02DAD"/>
  <w15:docId w15:val="{1061BF84-649F-6B40-9F57-030AEB6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paragraph" w:customStyle="1" w:styleId="figuretablenotesource0">
    <w:name w:val="figuretablenotesource"/>
    <w:basedOn w:val="Normal"/>
    <w:rsid w:val="002926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SSC">
    <w:name w:val="TSSC"/>
    <w:basedOn w:val="Normal"/>
    <w:qFormat/>
    <w:rsid w:val="00F46DF5"/>
    <w:pPr>
      <w:numPr>
        <w:numId w:val="12"/>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18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www.environment.nsw.gov.au/-/media/OEH/Corporate-Site/Documents/Parks-reserves-and-protected-areas/Parks-plans-of-management/tweed-caldera-parks-reserves-plan-of-management-040130.pdf" TargetMode="External"/><Relationship Id="rId39" Type="http://schemas.openxmlformats.org/officeDocument/2006/relationships/hyperlink" Target="https://www.awe.gov.au/sites/default/files/env/pages/d72dfd1a-f0d8-4699-8d43-5d95bbb02428/files/tssc-guidelines-assessing-species-2021.pdf" TargetMode="External"/><Relationship Id="rId21" Type="http://schemas.openxmlformats.org/officeDocument/2006/relationships/image" Target="media/image2.jpg"/><Relationship Id="rId34" Type="http://schemas.openxmlformats.org/officeDocument/2006/relationships/header" Target="header1.xml"/><Relationship Id="rId42" Type="http://schemas.openxmlformats.org/officeDocument/2006/relationships/image" Target="media/image5.png"/><Relationship Id="rId47" Type="http://schemas.openxmlformats.org/officeDocument/2006/relationships/header" Target="header4.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www.nationalparks.nsw.gov.au/about-npws/managing-fire-in-parks" TargetMode="External"/><Relationship Id="rId11" Type="http://schemas.openxmlformats.org/officeDocument/2006/relationships/footnotes" Target="footnotes.xml"/><Relationship Id="rId24" Type="http://schemas.openxmlformats.org/officeDocument/2006/relationships/hyperlink" Target="https://www.awe.gov.au/environment/environmental-information-data/databases-applications/snes" TargetMode="External"/><Relationship Id="rId32" Type="http://schemas.openxmlformats.org/officeDocument/2006/relationships/hyperlink" Target="https://www.environment.gov.au/resource/northern-rivers-regional-biodiversity-management-plan" TargetMode="External"/><Relationship Id="rId37" Type="http://schemas.openxmlformats.org/officeDocument/2006/relationships/header" Target="header3.xml"/><Relationship Id="rId40" Type="http://schemas.openxmlformats.org/officeDocument/2006/relationships/hyperlink" Target="https://nc.iucnredlist.org/redlist/content/attachment_files/RedListGuidelines.pdf" TargetMode="External"/><Relationship Id="rId45" Type="http://schemas.openxmlformats.org/officeDocument/2006/relationships/hyperlink" Target="http://www.environment.gov.au/cgi-bin/sprat/public/publicspecies.pl?taxon_id=17820" TargetMode="External"/><Relationship Id="rId53" Type="http://schemas.openxmlformats.org/officeDocument/2006/relationships/theme" Target="theme/theme1.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image" Target="media/image3.jpeg"/><Relationship Id="rId28" Type="http://schemas.openxmlformats.org/officeDocument/2006/relationships/hyperlink" Target="https://www.epa.nsw.gov.au/your-environment/native-forestry/integrated-forestry-operations-approvals/coastal-ifoa" TargetMode="External"/><Relationship Id="rId36" Type="http://schemas.openxmlformats.org/officeDocument/2006/relationships/footer" Target="footer1.xml"/><Relationship Id="rId49"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s://www.awe.gov.au/about/commitment/privacy" TargetMode="External"/><Relationship Id="rId31" Type="http://schemas.openxmlformats.org/officeDocument/2006/relationships/hyperlink" Target="https://www.environment.nsw.gov.au/research-and-publications/publications-search/nightcap-national-park-whian-whian-conservation-area-snows-gully-reserve-fire-management-strategy" TargetMode="External"/><Relationship Id="rId44" Type="http://schemas.openxmlformats.org/officeDocument/2006/relationships/hyperlink" Target="mailto:copyright@awe.gov.au" TargetMode="External"/><Relationship Id="rId52" Type="http://schemas.openxmlformats.org/officeDocument/2006/relationships/glossaryDocument" Target="glossary/document.xml"/><Relationship Id="rId48" Type="http://schemas.openxmlformats.org/officeDocument/2006/relationships/header" Target="header5.xml"/><Relationship Id="rId9" Type="http://schemas.openxmlformats.org/officeDocument/2006/relationships/settings" Target="settings.xml"/><Relationship Id="rId14" Type="http://schemas.openxmlformats.org/officeDocument/2006/relationships/hyperlink" Target="https://www.awe.gov.au/environment/biodiversity/threatened/recovery-plans" TargetMode="External"/><Relationship Id="rId22" Type="http://schemas.openxmlformats.org/officeDocument/2006/relationships/hyperlink" Target="http://www.environment.gov.au/cgi-bin/sprat/public/sprat.pl" TargetMode="External"/><Relationship Id="rId27" Type="http://schemas.openxmlformats.org/officeDocument/2006/relationships/hyperlink" Target="https://www.environment.nsw.gov.au/savingourspeciesapp/project.aspx?ProfileID=10178" TargetMode="External"/><Relationship Id="rId30" Type="http://schemas.openxmlformats.org/officeDocument/2006/relationships/hyperlink" Target="https://www.environment.nsw.gov.au/-/media/OEH/Corporate-Site/Documents/Parks-reserves-and-protected-areas/Parks-plans-of-management/duroby-nature-reserve-plan-of-management-101031.pdf" TargetMode="External"/><Relationship Id="rId35" Type="http://schemas.openxmlformats.org/officeDocument/2006/relationships/header" Target="header2.xml"/><Relationship Id="rId43" Type="http://schemas.openxmlformats.org/officeDocument/2006/relationships/hyperlink" Target="https://creativecommons.org/licenses/by/4.0/legalcode"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environment.gov.au/biodiversity/threatened/recovery-plans/border-ranges-rainforest-biodiversity-management-plan" TargetMode="External"/><Relationship Id="rId33" Type="http://schemas.openxmlformats.org/officeDocument/2006/relationships/hyperlink" Target="https://www.environment.gov.au/biodiversity/threatened/recovery-plans/northern-rivers-regional-biodiversity-management-plan-2010" TargetMode="External"/><Relationship Id="rId38" Type="http://schemas.openxmlformats.org/officeDocument/2006/relationships/footer" Target="footer2.xml"/><Relationship Id="rId46" Type="http://schemas.openxmlformats.org/officeDocument/2006/relationships/hyperlink" Target="http://agriculture.gov.au/" TargetMode="External"/><Relationship Id="rId20" Type="http://schemas.openxmlformats.org/officeDocument/2006/relationships/image" Target="media/image1.jpg"/><Relationship Id="rId41" Type="http://schemas.openxmlformats.org/officeDocument/2006/relationships/hyperlink" Target="https://www.awe.gov.au/environment/biodiversity/threatened/ca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553\OneDrive%20-%20Environment\HomeDrive\Profile\Desktop\I3%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73CB6497D0C4EB3F21BAD62170471"/>
        <w:category>
          <w:name w:val="General"/>
          <w:gallery w:val="placeholder"/>
        </w:category>
        <w:types>
          <w:type w:val="bbPlcHdr"/>
        </w:types>
        <w:behaviors>
          <w:behavior w:val="content"/>
        </w:behaviors>
        <w:guid w:val="{27C1662C-4766-014E-B840-D90D1C1C12AB}"/>
      </w:docPartPr>
      <w:docPartBody>
        <w:p w:rsidR="002E1220" w:rsidRDefault="007659DF">
          <w:pPr>
            <w:pStyle w:val="DA073CB6497D0C4EB3F21BAD62170471"/>
          </w:pPr>
          <w:r w:rsidRPr="0045331C">
            <w:rPr>
              <w:rStyle w:val="PlaceholderText"/>
            </w:rPr>
            <w:t>Choose an item.</w:t>
          </w:r>
        </w:p>
      </w:docPartBody>
    </w:docPart>
    <w:docPart>
      <w:docPartPr>
        <w:name w:val="4541BB77E21D114DB7F6362E3C7481B1"/>
        <w:category>
          <w:name w:val="General"/>
          <w:gallery w:val="placeholder"/>
        </w:category>
        <w:types>
          <w:type w:val="bbPlcHdr"/>
        </w:types>
        <w:behaviors>
          <w:behavior w:val="content"/>
        </w:behaviors>
        <w:guid w:val="{65545D31-E224-F24A-BBFB-E806FCB5842D}"/>
      </w:docPartPr>
      <w:docPartBody>
        <w:p w:rsidR="002E1220" w:rsidRDefault="007659DF">
          <w:pPr>
            <w:pStyle w:val="4541BB77E21D114DB7F6362E3C7481B1"/>
          </w:pPr>
          <w:r w:rsidRPr="0045331C">
            <w:rPr>
              <w:rStyle w:val="PlaceholderText"/>
            </w:rPr>
            <w:t>Choose an item.</w:t>
          </w:r>
        </w:p>
      </w:docPartBody>
    </w:docPart>
    <w:docPart>
      <w:docPartPr>
        <w:name w:val="6B2DF2B8A4DBB44BAB4CF14CA3F5D3BE"/>
        <w:category>
          <w:name w:val="General"/>
          <w:gallery w:val="placeholder"/>
        </w:category>
        <w:types>
          <w:type w:val="bbPlcHdr"/>
        </w:types>
        <w:behaviors>
          <w:behavior w:val="content"/>
        </w:behaviors>
        <w:guid w:val="{3D5AFB36-AED6-EC4C-9B65-87AC2EEF2B16}"/>
      </w:docPartPr>
      <w:docPartBody>
        <w:p w:rsidR="002E1220" w:rsidRDefault="007659DF">
          <w:pPr>
            <w:pStyle w:val="6B2DF2B8A4DBB44BAB4CF14CA3F5D3BE"/>
          </w:pPr>
          <w:r w:rsidRPr="0045331C">
            <w:rPr>
              <w:rStyle w:val="PlaceholderText"/>
            </w:rPr>
            <w:t>Choose an item.</w:t>
          </w:r>
        </w:p>
      </w:docPartBody>
    </w:docPart>
    <w:docPart>
      <w:docPartPr>
        <w:name w:val="6DC063205B898943AAB25A93BECB4B09"/>
        <w:category>
          <w:name w:val="General"/>
          <w:gallery w:val="placeholder"/>
        </w:category>
        <w:types>
          <w:type w:val="bbPlcHdr"/>
        </w:types>
        <w:behaviors>
          <w:behavior w:val="content"/>
        </w:behaviors>
        <w:guid w:val="{A6AFE2E2-B69E-4148-BF81-6953A62DB1FF}"/>
      </w:docPartPr>
      <w:docPartBody>
        <w:p w:rsidR="002E1220" w:rsidRDefault="007659DF">
          <w:pPr>
            <w:pStyle w:val="6DC063205B898943AAB25A93BECB4B09"/>
          </w:pPr>
          <w:r w:rsidRPr="0045331C">
            <w:rPr>
              <w:rStyle w:val="PlaceholderText"/>
            </w:rPr>
            <w:t>Choose an item.</w:t>
          </w:r>
        </w:p>
      </w:docPartBody>
    </w:docPart>
    <w:docPart>
      <w:docPartPr>
        <w:name w:val="BC126BA3C3BABC4C87E79D4574038FC5"/>
        <w:category>
          <w:name w:val="General"/>
          <w:gallery w:val="placeholder"/>
        </w:category>
        <w:types>
          <w:type w:val="bbPlcHdr"/>
        </w:types>
        <w:behaviors>
          <w:behavior w:val="content"/>
        </w:behaviors>
        <w:guid w:val="{8BD56912-C3AA-FB48-8AAC-8C8CA0303931}"/>
      </w:docPartPr>
      <w:docPartBody>
        <w:p w:rsidR="002E1220" w:rsidRDefault="007659DF">
          <w:pPr>
            <w:pStyle w:val="BC126BA3C3BABC4C87E79D4574038FC5"/>
          </w:pPr>
          <w:r w:rsidRPr="0045331C">
            <w:rPr>
              <w:rStyle w:val="PlaceholderText"/>
            </w:rPr>
            <w:t>Choose an item.</w:t>
          </w:r>
        </w:p>
      </w:docPartBody>
    </w:docPart>
    <w:docPart>
      <w:docPartPr>
        <w:name w:val="02CDD49AD7EE91419E04D29919F2674F"/>
        <w:category>
          <w:name w:val="General"/>
          <w:gallery w:val="placeholder"/>
        </w:category>
        <w:types>
          <w:type w:val="bbPlcHdr"/>
        </w:types>
        <w:behaviors>
          <w:behavior w:val="content"/>
        </w:behaviors>
        <w:guid w:val="{A540D39F-F902-3445-8FCB-505219AC3FFE}"/>
      </w:docPartPr>
      <w:docPartBody>
        <w:p w:rsidR="002E1220" w:rsidRDefault="007659DF">
          <w:pPr>
            <w:pStyle w:val="02CDD49AD7EE91419E04D29919F2674F"/>
          </w:pPr>
          <w:r w:rsidRPr="0045331C">
            <w:rPr>
              <w:rStyle w:val="PlaceholderText"/>
            </w:rPr>
            <w:t>Choose an item.</w:t>
          </w:r>
        </w:p>
      </w:docPartBody>
    </w:docPart>
    <w:docPart>
      <w:docPartPr>
        <w:name w:val="7F27D96A1F95044C98B638F9CF9F9828"/>
        <w:category>
          <w:name w:val="General"/>
          <w:gallery w:val="placeholder"/>
        </w:category>
        <w:types>
          <w:type w:val="bbPlcHdr"/>
        </w:types>
        <w:behaviors>
          <w:behavior w:val="content"/>
        </w:behaviors>
        <w:guid w:val="{143A5B9F-5722-0B41-B285-30B501AC8F1A}"/>
      </w:docPartPr>
      <w:docPartBody>
        <w:p w:rsidR="002E1220" w:rsidRDefault="007659DF">
          <w:pPr>
            <w:pStyle w:val="7F27D96A1F95044C98B638F9CF9F9828"/>
          </w:pPr>
          <w:r w:rsidRPr="0045331C">
            <w:rPr>
              <w:rStyle w:val="PlaceholderText"/>
            </w:rPr>
            <w:t>Choose an item.</w:t>
          </w:r>
        </w:p>
      </w:docPartBody>
    </w:docPart>
    <w:docPart>
      <w:docPartPr>
        <w:name w:val="17F6C0BAC5B4F94ABA3B6511240F2526"/>
        <w:category>
          <w:name w:val="General"/>
          <w:gallery w:val="placeholder"/>
        </w:category>
        <w:types>
          <w:type w:val="bbPlcHdr"/>
        </w:types>
        <w:behaviors>
          <w:behavior w:val="content"/>
        </w:behaviors>
        <w:guid w:val="{99C3D886-AA5F-9248-A4E1-C6C7FD18D6CF}"/>
      </w:docPartPr>
      <w:docPartBody>
        <w:p w:rsidR="002E1220" w:rsidRDefault="007659DF">
          <w:pPr>
            <w:pStyle w:val="17F6C0BAC5B4F94ABA3B6511240F2526"/>
          </w:pPr>
          <w:r w:rsidRPr="0045331C">
            <w:rPr>
              <w:rStyle w:val="PlaceholderText"/>
            </w:rPr>
            <w:t>Choose an item.</w:t>
          </w:r>
        </w:p>
      </w:docPartBody>
    </w:docPart>
    <w:docPart>
      <w:docPartPr>
        <w:name w:val="8815C20C6369AA47BA96AEE28EE4F2E9"/>
        <w:category>
          <w:name w:val="General"/>
          <w:gallery w:val="placeholder"/>
        </w:category>
        <w:types>
          <w:type w:val="bbPlcHdr"/>
        </w:types>
        <w:behaviors>
          <w:behavior w:val="content"/>
        </w:behaviors>
        <w:guid w:val="{A2791EE6-1B4C-F241-A606-932929A30FCE}"/>
      </w:docPartPr>
      <w:docPartBody>
        <w:p w:rsidR="002E1220" w:rsidRDefault="007659DF">
          <w:pPr>
            <w:pStyle w:val="8815C20C6369AA47BA96AEE28EE4F2E9"/>
          </w:pPr>
          <w:r w:rsidRPr="0045331C">
            <w:rPr>
              <w:rStyle w:val="PlaceholderText"/>
            </w:rPr>
            <w:t>Choose an item.</w:t>
          </w:r>
        </w:p>
      </w:docPartBody>
    </w:docPart>
    <w:docPart>
      <w:docPartPr>
        <w:name w:val="89C13962DD6AF848B64669D6EA8EF61F"/>
        <w:category>
          <w:name w:val="General"/>
          <w:gallery w:val="placeholder"/>
        </w:category>
        <w:types>
          <w:type w:val="bbPlcHdr"/>
        </w:types>
        <w:behaviors>
          <w:behavior w:val="content"/>
        </w:behaviors>
        <w:guid w:val="{24ED650B-7E3F-BF40-99B9-56617D566C0F}"/>
      </w:docPartPr>
      <w:docPartBody>
        <w:p w:rsidR="002E1220" w:rsidRDefault="007659DF">
          <w:pPr>
            <w:pStyle w:val="7CDB6BA7851AB849907712AB0ABBB9C2"/>
          </w:pPr>
          <w:r w:rsidRPr="00F20180">
            <w:rPr>
              <w:rStyle w:val="PlaceholderText"/>
              <w:highlight w:val="yellow"/>
            </w:rPr>
            <w:t>Choose an item.</w:t>
          </w:r>
        </w:p>
      </w:docPartBody>
    </w:docPart>
    <w:docPart>
      <w:docPartPr>
        <w:name w:val="4E98D2E9BF37EE489FD2500183E5BDCE"/>
        <w:category>
          <w:name w:val="General"/>
          <w:gallery w:val="placeholder"/>
        </w:category>
        <w:types>
          <w:type w:val="bbPlcHdr"/>
        </w:types>
        <w:behaviors>
          <w:behavior w:val="content"/>
        </w:behaviors>
        <w:guid w:val="{906CA5A7-57BB-A740-A910-93E6DFCCD444}"/>
      </w:docPartPr>
      <w:docPartBody>
        <w:p w:rsidR="002E1220" w:rsidRDefault="007659DF">
          <w:r w:rsidRPr="0045331C">
            <w:rPr>
              <w:rStyle w:val="PlaceholderText"/>
            </w:rPr>
            <w:t>Choose an item.</w:t>
          </w:r>
        </w:p>
      </w:docPartBody>
    </w:docPart>
    <w:docPart>
      <w:docPartPr>
        <w:name w:val="15C36939B6F1174E834DC92A0C2B7F03"/>
        <w:category>
          <w:name w:val="General"/>
          <w:gallery w:val="placeholder"/>
        </w:category>
        <w:types>
          <w:type w:val="bbPlcHdr"/>
        </w:types>
        <w:behaviors>
          <w:behavior w:val="content"/>
        </w:behaviors>
        <w:guid w:val="{2896B957-A432-1649-9B9D-7398978FF3F2}"/>
      </w:docPartPr>
      <w:docPartBody>
        <w:p w:rsidR="002E1220" w:rsidRDefault="004C3C00" w:rsidP="004C3C00">
          <w:r w:rsidRPr="004D61C9">
            <w:rPr>
              <w:rStyle w:val="PlaceholderText"/>
              <w:highlight w:val="yellow"/>
            </w:rPr>
            <w:t>Choose an item.</w:t>
          </w:r>
        </w:p>
      </w:docPartBody>
    </w:docPart>
    <w:docPart>
      <w:docPartPr>
        <w:name w:val="264BDAA5EF7D484EAAD3451A6D2001DA"/>
        <w:category>
          <w:name w:val="General"/>
          <w:gallery w:val="placeholder"/>
        </w:category>
        <w:types>
          <w:type w:val="bbPlcHdr"/>
        </w:types>
        <w:behaviors>
          <w:behavior w:val="content"/>
        </w:behaviors>
        <w:guid w:val="{7D66F35C-D473-7145-B667-F9DE5C37D3FA}"/>
      </w:docPartPr>
      <w:docPartBody>
        <w:p w:rsidR="002E1220" w:rsidRDefault="004C3C00" w:rsidP="004C3C00">
          <w:r w:rsidRPr="00F20180">
            <w:rPr>
              <w:rStyle w:val="PlaceholderText"/>
              <w:highlight w:val="yellow"/>
            </w:rPr>
            <w:t>Choose an item.</w:t>
          </w:r>
        </w:p>
      </w:docPartBody>
    </w:docPart>
    <w:docPart>
      <w:docPartPr>
        <w:name w:val="7CDB6BA7851AB849907712AB0ABBB9C2"/>
        <w:category>
          <w:name w:val="General"/>
          <w:gallery w:val="placeholder"/>
        </w:category>
        <w:types>
          <w:type w:val="bbPlcHdr"/>
        </w:types>
        <w:behaviors>
          <w:behavior w:val="content"/>
        </w:behaviors>
        <w:guid w:val="{B58A2D07-C5BD-5C4E-BFA7-4806EC8DE4CF}"/>
      </w:docPartPr>
      <w:docPartBody>
        <w:p w:rsidR="002E1220" w:rsidRDefault="004C3C00" w:rsidP="004C3C00">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00"/>
    <w:rsid w:val="00023C4E"/>
    <w:rsid w:val="0007168A"/>
    <w:rsid w:val="002C72B6"/>
    <w:rsid w:val="002C7944"/>
    <w:rsid w:val="002D6EE8"/>
    <w:rsid w:val="002E1220"/>
    <w:rsid w:val="003200AD"/>
    <w:rsid w:val="003A4FCE"/>
    <w:rsid w:val="003E085C"/>
    <w:rsid w:val="004B3358"/>
    <w:rsid w:val="004C356C"/>
    <w:rsid w:val="004C3C00"/>
    <w:rsid w:val="0055031A"/>
    <w:rsid w:val="005851E2"/>
    <w:rsid w:val="005B40B7"/>
    <w:rsid w:val="005F7AFE"/>
    <w:rsid w:val="006143E0"/>
    <w:rsid w:val="00623B66"/>
    <w:rsid w:val="006649E2"/>
    <w:rsid w:val="006E2A0A"/>
    <w:rsid w:val="007659DF"/>
    <w:rsid w:val="008B026F"/>
    <w:rsid w:val="008F7953"/>
    <w:rsid w:val="009178EF"/>
    <w:rsid w:val="0095137F"/>
    <w:rsid w:val="009D1253"/>
    <w:rsid w:val="00B902A6"/>
    <w:rsid w:val="00BF2841"/>
    <w:rsid w:val="00D042A9"/>
    <w:rsid w:val="00D56667"/>
    <w:rsid w:val="00D935A7"/>
    <w:rsid w:val="00E577D1"/>
    <w:rsid w:val="00E968CF"/>
    <w:rsid w:val="00F30B10"/>
    <w:rsid w:val="00F53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C00"/>
    <w:rPr>
      <w:color w:val="808080"/>
    </w:rPr>
  </w:style>
  <w:style w:type="paragraph" w:customStyle="1" w:styleId="DA073CB6497D0C4EB3F21BAD62170471">
    <w:name w:val="DA073CB6497D0C4EB3F21BAD62170471"/>
  </w:style>
  <w:style w:type="paragraph" w:customStyle="1" w:styleId="4541BB77E21D114DB7F6362E3C7481B1">
    <w:name w:val="4541BB77E21D114DB7F6362E3C7481B1"/>
  </w:style>
  <w:style w:type="paragraph" w:customStyle="1" w:styleId="6B2DF2B8A4DBB44BAB4CF14CA3F5D3BE">
    <w:name w:val="6B2DF2B8A4DBB44BAB4CF14CA3F5D3BE"/>
  </w:style>
  <w:style w:type="paragraph" w:customStyle="1" w:styleId="6DC063205B898943AAB25A93BECB4B09">
    <w:name w:val="6DC063205B898943AAB25A93BECB4B09"/>
  </w:style>
  <w:style w:type="paragraph" w:customStyle="1" w:styleId="BC126BA3C3BABC4C87E79D4574038FC5">
    <w:name w:val="BC126BA3C3BABC4C87E79D4574038FC5"/>
  </w:style>
  <w:style w:type="paragraph" w:customStyle="1" w:styleId="02CDD49AD7EE91419E04D29919F2674F">
    <w:name w:val="02CDD49AD7EE91419E04D29919F2674F"/>
  </w:style>
  <w:style w:type="paragraph" w:customStyle="1" w:styleId="7F27D96A1F95044C98B638F9CF9F9828">
    <w:name w:val="7F27D96A1F95044C98B638F9CF9F9828"/>
  </w:style>
  <w:style w:type="paragraph" w:customStyle="1" w:styleId="17F6C0BAC5B4F94ABA3B6511240F2526">
    <w:name w:val="17F6C0BAC5B4F94ABA3B6511240F2526"/>
  </w:style>
  <w:style w:type="paragraph" w:customStyle="1" w:styleId="8815C20C6369AA47BA96AEE28EE4F2E9">
    <w:name w:val="8815C20C6369AA47BA96AEE28EE4F2E9"/>
  </w:style>
  <w:style w:type="paragraph" w:customStyle="1" w:styleId="7CDB6BA7851AB849907712AB0ABBB9C2">
    <w:name w:val="7CDB6BA7851AB849907712AB0ABBB9C2"/>
    <w:rsid w:val="004C3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A9B071-82C1-FA49-A66A-8E082BE26D0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2.xml><?xml version="1.0" encoding="utf-8"?>
<ds:datastoreItem xmlns:ds="http://schemas.openxmlformats.org/officeDocument/2006/customXml" ds:itemID="{339C6CD7-B6AB-4F1B-9FAD-471FEAC24731}"/>
</file>

<file path=customXml/itemProps3.xml><?xml version="1.0" encoding="utf-8"?>
<ds:datastoreItem xmlns:ds="http://schemas.openxmlformats.org/officeDocument/2006/customXml" ds:itemID="{9D1CAD33-3B39-4665-A5E6-666D035120E9}">
  <ds:schemaRefs>
    <ds:schemaRef ds:uri="http://purl.org/dc/terms/"/>
    <ds:schemaRef ds:uri="http://purl.org/dc/dcmitype/"/>
    <ds:schemaRef ds:uri="http://schemas.microsoft.com/office/2006/documentManagement/types"/>
    <ds:schemaRef ds:uri="http://schemas.microsoft.com/sharepoint/v4"/>
    <ds:schemaRef ds:uri="http://purl.org/dc/elements/1.1/"/>
    <ds:schemaRef ds:uri="344c6e69-c594-4ca4-b341-09ae9dfc142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F0F1E34-858D-46F1-815F-064105FD460F}">
  <ds:schemaRefs>
    <ds:schemaRef ds:uri="http://schemas.microsoft.com/office/2006/metadata/customXsn"/>
  </ds:schemaRefs>
</ds:datastoreItem>
</file>

<file path=customXml/itemProps5.xml><?xml version="1.0" encoding="utf-8"?>
<ds:datastoreItem xmlns:ds="http://schemas.openxmlformats.org/officeDocument/2006/customXml" ds:itemID="{F04E5900-FCFB-46B0-ACE7-75456AD84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I3 Conservation Advice template.dotx</Template>
  <TotalTime>1</TotalTime>
  <Pages>41</Pages>
  <Words>28831</Words>
  <Characters>164343</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  Corokia whiteana</vt:lpstr>
    </vt:vector>
  </TitlesOfParts>
  <Company/>
  <LinksUpToDate>false</LinksUpToDate>
  <CharactersWithSpaces>192789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  Corokia whiteana</dc:title>
  <dc:creator>Department of Agriculture, Water and the Environment</dc:creator>
  <cp:lastModifiedBy>Bec Durack</cp:lastModifiedBy>
  <cp:revision>2</cp:revision>
  <cp:lastPrinted>2021-11-10T07:18:00Z</cp:lastPrinted>
  <dcterms:created xsi:type="dcterms:W3CDTF">2021-11-11T06:49:00Z</dcterms:created>
  <dcterms:modified xsi:type="dcterms:W3CDTF">2021-11-11T06:49:00Z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{95a10dc2-edff-483d-88e0-b1ce33892434}</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7th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 6th edition</vt:lpwstr>
  </property>
  <property fmtid="{D5CDD505-2E9C-101B-9397-08002B2CF9AE}" pid="19" name="Mendeley Recent Style Id 3_1">
    <vt:lpwstr>http://csl.mendeley.com/styles/536229741/BASA26May21-2</vt:lpwstr>
  </property>
  <property fmtid="{D5CDD505-2E9C-101B-9397-08002B2CF9AE}" pid="20" name="Mendeley Recent Style Name 3_1">
    <vt:lpwstr>BASA - 26may21</vt:lpwstr>
  </property>
  <property fmtid="{D5CDD505-2E9C-101B-9397-08002B2CF9AE}" pid="21" name="Mendeley Recent Style Id 4_1">
    <vt:lpwstr>http://csl.mendeley.com/styles/536229741/BASA26May21</vt:lpwstr>
  </property>
  <property fmtid="{D5CDD505-2E9C-101B-9397-08002B2CF9AE}" pid="22" name="Mendeley Recent Style Name 4_1">
    <vt:lpwstr>BASA - Jodie Haig</vt:lpwstr>
  </property>
  <property fmtid="{D5CDD505-2E9C-101B-9397-08002B2CF9AE}" pid="23" name="Mendeley Recent Style Id 5_1">
    <vt:lpwstr>http://www.zotero.org/styles/chicago-author-date</vt:lpwstr>
  </property>
  <property fmtid="{D5CDD505-2E9C-101B-9397-08002B2CF9AE}" pid="24" name="Mendeley Recent Style Name 5_1">
    <vt:lpwstr>Chicago Manual of Style 17th edition (author-date)</vt:lpwstr>
  </property>
  <property fmtid="{D5CDD505-2E9C-101B-9397-08002B2CF9AE}" pid="25" name="Mendeley Recent Style Id 6_1">
    <vt:lpwstr>http://www.zotero.org/styles/harvard-cite-them-right</vt:lpwstr>
  </property>
  <property fmtid="{D5CDD505-2E9C-101B-9397-08002B2CF9AE}" pid="26" name="Mendeley Recent Style Name 6_1">
    <vt:lpwstr>Cite Them Right 10th edition - Harvard</vt:lpwstr>
  </property>
  <property fmtid="{D5CDD505-2E9C-101B-9397-08002B2CF9AE}" pid="27" name="Mendeley Recent Style Id 7_1">
    <vt:lpwstr>http://www.zotero.org/styles/ieee</vt:lpwstr>
  </property>
  <property fmtid="{D5CDD505-2E9C-101B-9397-08002B2CF9AE}" pid="28" name="Mendeley Recent Style Name 7_1">
    <vt:lpwstr>IEEE</vt:lpwstr>
  </property>
  <property fmtid="{D5CDD505-2E9C-101B-9397-08002B2CF9AE}" pid="29" name="Mendeley Recent Style Id 8_1">
    <vt:lpwstr>http://www.zotero.org/styles/modern-humanities-research-association</vt:lpwstr>
  </property>
  <property fmtid="{D5CDD505-2E9C-101B-9397-08002B2CF9AE}" pid="30" name="Mendeley Recent Style Name 8_1">
    <vt:lpwstr>Modern Humanities Research Association 3rd edition (note with bibliography)</vt:lpwstr>
  </property>
  <property fmtid="{D5CDD505-2E9C-101B-9397-08002B2CF9AE}" pid="31" name="Mendeley Recent Style Id 9_1">
    <vt:lpwstr>http://www.zotero.org/styles/modern-language-association</vt:lpwstr>
  </property>
  <property fmtid="{D5CDD505-2E9C-101B-9397-08002B2CF9AE}" pid="32" name="Mendeley Recent Style Name 9_1">
    <vt:lpwstr>Modern Language Association 8th edition</vt:lpwstr>
  </property>
  <property fmtid="{D5CDD505-2E9C-101B-9397-08002B2CF9AE}" pid="33" name="Mendeley Document_1">
    <vt:lpwstr>True</vt:lpwstr>
  </property>
  <property fmtid="{D5CDD505-2E9C-101B-9397-08002B2CF9AE}" pid="34" name="Mendeley Unique User Id_1">
    <vt:lpwstr>1b14789f-a4d8-30ed-9bb7-11823ef9ee35</vt:lpwstr>
  </property>
  <property fmtid="{D5CDD505-2E9C-101B-9397-08002B2CF9AE}" pid="35" name="Mendeley Citation Style_1">
    <vt:lpwstr>http://csl.mendeley.com/styles/536229741/BASA26May21-2</vt:lpwstr>
  </property>
  <property fmtid="{D5CDD505-2E9C-101B-9397-08002B2CF9AE}" pid="36" name="grammarly_documentId">
    <vt:lpwstr>documentId_5953</vt:lpwstr>
  </property>
  <property fmtid="{D5CDD505-2E9C-101B-9397-08002B2CF9AE}" pid="37" name="grammarly_documentContext">
    <vt:lpwstr>{"goals":[],"domain":"general","emotions":[],"dialect":"australian"}</vt:lpwstr>
  </property>
</Properties>
</file>