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229B" w14:textId="77777777" w:rsidR="00C73C35" w:rsidRPr="00FE6C07" w:rsidRDefault="00C73C35" w:rsidP="00C73C35">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12188B4C" w14:textId="7DB5B0D3" w:rsidR="00C73C35" w:rsidRDefault="00C73C35" w:rsidP="00C73C35">
      <w:pPr>
        <w:spacing w:before="120" w:beforeAutospacing="1" w:after="240" w:afterAutospacing="1" w:line="240" w:lineRule="auto"/>
        <w:jc w:val="center"/>
        <w:rPr>
          <w:rFonts w:ascii="Arial" w:eastAsia="Times New Roman" w:hAnsi="Arial" w:cs="Arial"/>
          <w:b/>
          <w:bCs/>
          <w:i/>
          <w:iCs/>
          <w:snapToGrid w:val="0"/>
          <w:sz w:val="24"/>
          <w:szCs w:val="24"/>
        </w:rPr>
      </w:pPr>
      <w:proofErr w:type="spellStart"/>
      <w:r>
        <w:rPr>
          <w:rFonts w:ascii="Arial" w:eastAsia="Times New Roman" w:hAnsi="Arial" w:cs="Arial"/>
          <w:b/>
          <w:bCs/>
          <w:i/>
          <w:iCs/>
          <w:snapToGrid w:val="0"/>
          <w:sz w:val="24"/>
          <w:szCs w:val="24"/>
        </w:rPr>
        <w:t>Darwinia</w:t>
      </w:r>
      <w:proofErr w:type="spellEnd"/>
      <w:r>
        <w:rPr>
          <w:rFonts w:ascii="Arial" w:eastAsia="Times New Roman" w:hAnsi="Arial" w:cs="Arial"/>
          <w:b/>
          <w:bCs/>
          <w:i/>
          <w:iCs/>
          <w:snapToGrid w:val="0"/>
          <w:sz w:val="24"/>
          <w:szCs w:val="24"/>
        </w:rPr>
        <w:t xml:space="preserve"> </w:t>
      </w:r>
      <w:proofErr w:type="spellStart"/>
      <w:r>
        <w:rPr>
          <w:rFonts w:ascii="Arial" w:eastAsia="Times New Roman" w:hAnsi="Arial" w:cs="Arial"/>
          <w:b/>
          <w:bCs/>
          <w:i/>
          <w:iCs/>
          <w:snapToGrid w:val="0"/>
          <w:sz w:val="24"/>
          <w:szCs w:val="24"/>
        </w:rPr>
        <w:t>collina</w:t>
      </w:r>
      <w:proofErr w:type="spellEnd"/>
    </w:p>
    <w:p w14:paraId="52A4A72B" w14:textId="77777777" w:rsidR="00C73C35" w:rsidRPr="00FE6C07" w:rsidRDefault="00C73C35" w:rsidP="00C73C35">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615C2283" w14:textId="77777777" w:rsidR="00C73C35" w:rsidRDefault="00C73C35" w:rsidP="00C73C35">
      <w:pPr>
        <w:pStyle w:val="ListParagraph"/>
        <w:numPr>
          <w:ilvl w:val="0"/>
          <w:numId w:val="18"/>
        </w:numPr>
        <w:ind w:left="714" w:hanging="357"/>
        <w:contextualSpacing w:val="0"/>
        <w:rPr>
          <w:rFonts w:ascii="Arial" w:hAnsi="Arial" w:cs="Arial"/>
        </w:rPr>
      </w:pPr>
      <w:r w:rsidRPr="00C73C35">
        <w:rPr>
          <w:rFonts w:ascii="Arial" w:hAnsi="Arial" w:cs="Arial"/>
        </w:rPr>
        <w:t xml:space="preserve">the eligibility of </w:t>
      </w:r>
      <w:proofErr w:type="spellStart"/>
      <w:r w:rsidRPr="00C73C35">
        <w:rPr>
          <w:rFonts w:ascii="Arial" w:hAnsi="Arial" w:cs="Arial"/>
          <w:i/>
          <w:iCs/>
        </w:rPr>
        <w:t>Darwinia</w:t>
      </w:r>
      <w:proofErr w:type="spellEnd"/>
      <w:r w:rsidRPr="00C73C35">
        <w:rPr>
          <w:rFonts w:ascii="Arial" w:hAnsi="Arial" w:cs="Arial"/>
          <w:i/>
          <w:iCs/>
        </w:rPr>
        <w:t xml:space="preserve"> </w:t>
      </w:r>
      <w:proofErr w:type="spellStart"/>
      <w:r w:rsidRPr="00C73C35">
        <w:rPr>
          <w:rFonts w:ascii="Arial" w:hAnsi="Arial" w:cs="Arial"/>
          <w:i/>
          <w:iCs/>
        </w:rPr>
        <w:t>collina</w:t>
      </w:r>
      <w:proofErr w:type="spellEnd"/>
      <w:r w:rsidRPr="00C73C35">
        <w:rPr>
          <w:rFonts w:ascii="Arial" w:hAnsi="Arial" w:cs="Arial"/>
          <w:i/>
          <w:iCs/>
        </w:rPr>
        <w:t xml:space="preserve"> </w:t>
      </w:r>
      <w:r w:rsidRPr="00C73C35">
        <w:rPr>
          <w:rFonts w:ascii="Arial" w:hAnsi="Arial" w:cs="Arial"/>
        </w:rPr>
        <w:t xml:space="preserve">for inclusion on the EPBC Act threatened species list in the Critically Endangered category; and </w:t>
      </w:r>
    </w:p>
    <w:p w14:paraId="5AFCF138" w14:textId="264933FC" w:rsidR="00C73C35" w:rsidRPr="00C73C35" w:rsidRDefault="00C73C35" w:rsidP="00C73C35">
      <w:pPr>
        <w:pStyle w:val="ListParagraph"/>
        <w:numPr>
          <w:ilvl w:val="0"/>
          <w:numId w:val="18"/>
        </w:numPr>
        <w:rPr>
          <w:rFonts w:ascii="Arial" w:hAnsi="Arial" w:cs="Arial"/>
        </w:rPr>
      </w:pPr>
      <w:r w:rsidRPr="00C73C35">
        <w:rPr>
          <w:rFonts w:ascii="Arial" w:eastAsia="Times New Roman" w:hAnsi="Arial" w:cs="Arial"/>
          <w:lang w:eastAsia="en-AU"/>
        </w:rPr>
        <w:t>the necessary conservation actions for the above species.</w:t>
      </w:r>
    </w:p>
    <w:p w14:paraId="34BEC843" w14:textId="77777777" w:rsidR="00C73C35" w:rsidRDefault="00C73C35" w:rsidP="00C73C35">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161580CB" w14:textId="77777777" w:rsidR="00C73C35" w:rsidRPr="00FE6C07" w:rsidRDefault="00C73C35" w:rsidP="00C73C35">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51FAA60A" w14:textId="77777777" w:rsidR="00C73C35" w:rsidRPr="00FE6C07" w:rsidRDefault="00C73C35" w:rsidP="00C73C35">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17C0B39D" w14:textId="77777777" w:rsidR="00C73C35" w:rsidRPr="00FE6C07" w:rsidRDefault="00C73C35" w:rsidP="00C73C35">
      <w:pPr>
        <w:spacing w:after="0" w:line="240" w:lineRule="auto"/>
        <w:rPr>
          <w:rFonts w:ascii="Arial" w:eastAsia="Times New Roman" w:hAnsi="Arial" w:cs="Arial"/>
        </w:rPr>
      </w:pPr>
    </w:p>
    <w:p w14:paraId="56B749AD" w14:textId="77777777" w:rsidR="00C73C35" w:rsidRDefault="00C73C35" w:rsidP="00C73C35">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Pr>
            <w:rFonts w:ascii="Arial" w:eastAsia="Times New Roman" w:hAnsi="Arial" w:cs="Arial"/>
            <w:color w:val="0000FF"/>
            <w:u w:val="single"/>
          </w:rPr>
          <w:t>species.consultation@awe.gov.au</w:t>
        </w:r>
      </w:hyperlink>
    </w:p>
    <w:p w14:paraId="5092622A" w14:textId="77777777" w:rsidR="00C73C35" w:rsidRDefault="00C73C35" w:rsidP="00C73C35">
      <w:pPr>
        <w:spacing w:after="0" w:line="240" w:lineRule="auto"/>
        <w:rPr>
          <w:rFonts w:ascii="Arial" w:eastAsia="Times New Roman" w:hAnsi="Arial" w:cs="Arial"/>
        </w:rPr>
      </w:pPr>
    </w:p>
    <w:p w14:paraId="1ACCC9D0" w14:textId="77777777" w:rsidR="00C73C35" w:rsidRPr="00FE6C07" w:rsidRDefault="00C73C35" w:rsidP="00C73C35">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3D670143" w14:textId="77777777" w:rsidR="00C73C35" w:rsidRPr="00FE6C07" w:rsidRDefault="00C73C35" w:rsidP="00C73C35">
      <w:pPr>
        <w:spacing w:after="0" w:line="240" w:lineRule="auto"/>
        <w:rPr>
          <w:rFonts w:ascii="Arial" w:eastAsia="Times New Roman" w:hAnsi="Arial" w:cs="Arial"/>
        </w:rPr>
      </w:pPr>
    </w:p>
    <w:p w14:paraId="33A832DE" w14:textId="77777777" w:rsidR="00C73C35" w:rsidRPr="00FE6C07" w:rsidRDefault="00C73C35" w:rsidP="00C73C35">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56B44C15" w14:textId="77777777" w:rsidR="00C73C35" w:rsidRPr="00FE6C07" w:rsidRDefault="00C73C35" w:rsidP="00C73C35">
      <w:pPr>
        <w:spacing w:after="0" w:line="240" w:lineRule="auto"/>
        <w:rPr>
          <w:rFonts w:ascii="Arial" w:eastAsia="Times New Roman" w:hAnsi="Arial" w:cs="Arial"/>
          <w:color w:val="000000"/>
        </w:rPr>
      </w:pPr>
    </w:p>
    <w:p w14:paraId="5DD7AEDF" w14:textId="77777777" w:rsidR="00C73C35" w:rsidRPr="00FE6C07" w:rsidRDefault="00C73C35" w:rsidP="00C73C35">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365C9AC5" w14:textId="77777777" w:rsidR="00C73C35" w:rsidRPr="00E7625B" w:rsidRDefault="00C73C35" w:rsidP="00C73C35">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19AA57C7" w14:textId="77777777" w:rsidR="00C73C35" w:rsidRPr="00FE6C07" w:rsidRDefault="00C73C35" w:rsidP="00C73C35">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36F62976" w14:textId="77777777" w:rsidR="00C73C35" w:rsidRDefault="00C73C35" w:rsidP="00C73C35">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1CA1683D" w14:textId="77777777" w:rsidR="00C73C35" w:rsidRPr="00FE6C07" w:rsidRDefault="00C73C35" w:rsidP="00C73C35">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728B3DD" w14:textId="77777777" w:rsidR="00C73C35" w:rsidRPr="00FE6C07" w:rsidRDefault="00C73C35" w:rsidP="00C73C35">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6F891EF7" w14:textId="77777777" w:rsidR="00C73C35" w:rsidRPr="00FE6C07" w:rsidRDefault="00C73C35" w:rsidP="00C73C35">
      <w:pPr>
        <w:spacing w:after="0" w:line="240" w:lineRule="auto"/>
        <w:rPr>
          <w:rFonts w:ascii="Arial" w:eastAsia="Times New Roman" w:hAnsi="Arial" w:cs="Arial"/>
          <w:color w:val="000000"/>
        </w:rPr>
      </w:pPr>
    </w:p>
    <w:p w14:paraId="7A75E955" w14:textId="77777777" w:rsidR="00C73C35" w:rsidRPr="00FE6C07" w:rsidRDefault="00C73C35" w:rsidP="00C73C35">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1 February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C73C35" w:rsidRPr="00771DB7" w14:paraId="31214D69" w14:textId="77777777" w:rsidTr="00DE7FDE">
        <w:tc>
          <w:tcPr>
            <w:tcW w:w="9039" w:type="dxa"/>
            <w:tcBorders>
              <w:top w:val="single" w:sz="4" w:space="0" w:color="auto"/>
              <w:left w:val="single" w:sz="4" w:space="0" w:color="auto"/>
              <w:bottom w:val="single" w:sz="4" w:space="0" w:color="auto"/>
              <w:right w:val="single" w:sz="4" w:space="0" w:color="auto"/>
            </w:tcBorders>
            <w:shd w:val="pct15" w:color="auto" w:fill="auto"/>
          </w:tcPr>
          <w:p w14:paraId="1885489C" w14:textId="77777777" w:rsidR="00C73C35" w:rsidRPr="00771DB7" w:rsidRDefault="00C73C35" w:rsidP="00DE7FDE">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C3F3D59" w14:textId="77777777" w:rsidR="00C73C35" w:rsidRPr="00771DB7" w:rsidRDefault="00C73C35" w:rsidP="00DE7FDE">
            <w:pPr>
              <w:spacing w:after="0" w:line="240" w:lineRule="auto"/>
              <w:rPr>
                <w:rFonts w:ascii="Arial" w:eastAsia="Times New Roman" w:hAnsi="Arial" w:cs="Arial"/>
                <w:b/>
                <w:bCs/>
              </w:rPr>
            </w:pPr>
            <w:r w:rsidRPr="00771DB7">
              <w:rPr>
                <w:rFonts w:ascii="Arial" w:eastAsia="Times New Roman" w:hAnsi="Arial" w:cs="Arial"/>
                <w:b/>
                <w:bCs/>
              </w:rPr>
              <w:t>Page</w:t>
            </w:r>
          </w:p>
        </w:tc>
      </w:tr>
      <w:tr w:rsidR="00C73C35" w:rsidRPr="00771DB7" w14:paraId="62F529A0" w14:textId="77777777" w:rsidTr="00DE7FDE">
        <w:tc>
          <w:tcPr>
            <w:tcW w:w="9039" w:type="dxa"/>
            <w:tcBorders>
              <w:top w:val="single" w:sz="4" w:space="0" w:color="auto"/>
              <w:left w:val="single" w:sz="4" w:space="0" w:color="auto"/>
              <w:bottom w:val="single" w:sz="4" w:space="0" w:color="auto"/>
              <w:right w:val="single" w:sz="4" w:space="0" w:color="auto"/>
            </w:tcBorders>
          </w:tcPr>
          <w:p w14:paraId="65A372F5" w14:textId="77777777" w:rsidR="00C73C35" w:rsidRPr="009C3D0F" w:rsidRDefault="00C73C35" w:rsidP="00DE7FDE">
            <w:pPr>
              <w:spacing w:after="0" w:line="240" w:lineRule="auto"/>
              <w:rPr>
                <w:rFonts w:ascii="Arial" w:eastAsia="Times New Roman" w:hAnsi="Arial" w:cs="Arial"/>
              </w:rPr>
            </w:pPr>
            <w:r w:rsidRPr="009C3D0F">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4A7E1B96" w14:textId="77777777" w:rsidR="00C73C35" w:rsidRPr="009C3D0F" w:rsidRDefault="00C73C35" w:rsidP="00DE7FDE">
            <w:pPr>
              <w:spacing w:after="0" w:line="240" w:lineRule="auto"/>
              <w:jc w:val="center"/>
              <w:rPr>
                <w:rFonts w:ascii="Arial" w:eastAsia="Times New Roman" w:hAnsi="Arial" w:cs="Arial"/>
              </w:rPr>
            </w:pPr>
            <w:r w:rsidRPr="009C3D0F">
              <w:rPr>
                <w:rFonts w:ascii="Arial" w:hAnsi="Arial" w:cs="Arial"/>
              </w:rPr>
              <w:t>1</w:t>
            </w:r>
          </w:p>
        </w:tc>
      </w:tr>
      <w:tr w:rsidR="00C73C35" w:rsidRPr="00771DB7" w14:paraId="78AAA55D" w14:textId="77777777" w:rsidTr="00DE7FDE">
        <w:tc>
          <w:tcPr>
            <w:tcW w:w="9039" w:type="dxa"/>
            <w:tcBorders>
              <w:top w:val="single" w:sz="4" w:space="0" w:color="auto"/>
              <w:left w:val="single" w:sz="4" w:space="0" w:color="auto"/>
              <w:bottom w:val="single" w:sz="4" w:space="0" w:color="auto"/>
              <w:right w:val="single" w:sz="4" w:space="0" w:color="auto"/>
            </w:tcBorders>
          </w:tcPr>
          <w:p w14:paraId="724ABAAF" w14:textId="77777777" w:rsidR="00C73C35" w:rsidRPr="009C3D0F" w:rsidRDefault="00C73C35" w:rsidP="00DE7FDE">
            <w:pPr>
              <w:spacing w:after="0" w:line="240" w:lineRule="auto"/>
              <w:rPr>
                <w:rFonts w:ascii="Arial" w:eastAsia="Times New Roman" w:hAnsi="Arial" w:cs="Arial"/>
              </w:rPr>
            </w:pPr>
            <w:r w:rsidRPr="009C3D0F">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37E8CA6E" w14:textId="77777777" w:rsidR="00C73C35" w:rsidRPr="009C3D0F" w:rsidRDefault="00C73C35" w:rsidP="00DE7FDE">
            <w:pPr>
              <w:spacing w:after="0" w:line="240" w:lineRule="auto"/>
              <w:jc w:val="center"/>
              <w:rPr>
                <w:rFonts w:ascii="Arial" w:eastAsia="Times New Roman" w:hAnsi="Arial" w:cs="Arial"/>
              </w:rPr>
            </w:pPr>
            <w:r w:rsidRPr="009C3D0F">
              <w:rPr>
                <w:rFonts w:ascii="Arial" w:hAnsi="Arial" w:cs="Arial"/>
              </w:rPr>
              <w:t>2</w:t>
            </w:r>
          </w:p>
        </w:tc>
      </w:tr>
      <w:tr w:rsidR="00C73C35" w:rsidRPr="00771DB7" w14:paraId="7FBCE8B8" w14:textId="77777777" w:rsidTr="00DE7FDE">
        <w:tc>
          <w:tcPr>
            <w:tcW w:w="9039" w:type="dxa"/>
            <w:tcBorders>
              <w:top w:val="single" w:sz="4" w:space="0" w:color="auto"/>
              <w:left w:val="single" w:sz="4" w:space="0" w:color="auto"/>
              <w:bottom w:val="single" w:sz="4" w:space="0" w:color="auto"/>
              <w:right w:val="single" w:sz="4" w:space="0" w:color="auto"/>
            </w:tcBorders>
          </w:tcPr>
          <w:p w14:paraId="4596E4F5" w14:textId="77777777" w:rsidR="00C73C35" w:rsidRPr="009C3D0F" w:rsidRDefault="00C73C35" w:rsidP="00DE7FDE">
            <w:pPr>
              <w:spacing w:after="0" w:line="240" w:lineRule="auto"/>
              <w:rPr>
                <w:rFonts w:ascii="Arial" w:eastAsia="Times New Roman" w:hAnsi="Arial" w:cs="Arial"/>
              </w:rPr>
            </w:pPr>
            <w:r w:rsidRPr="009C3D0F">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48DA74BA" w14:textId="77777777" w:rsidR="00C73C35" w:rsidRPr="00C73C35" w:rsidRDefault="00C73C35" w:rsidP="00DE7FDE">
            <w:pPr>
              <w:spacing w:after="0" w:line="240" w:lineRule="auto"/>
              <w:jc w:val="center"/>
              <w:rPr>
                <w:rFonts w:ascii="Arial" w:eastAsia="Times New Roman" w:hAnsi="Arial" w:cs="Arial"/>
              </w:rPr>
            </w:pPr>
            <w:r w:rsidRPr="00C73C35">
              <w:rPr>
                <w:rFonts w:ascii="Arial" w:hAnsi="Arial" w:cs="Arial"/>
              </w:rPr>
              <w:t>4</w:t>
            </w:r>
          </w:p>
        </w:tc>
      </w:tr>
      <w:tr w:rsidR="00C73C35" w:rsidRPr="00771DB7" w14:paraId="3D68C524" w14:textId="77777777" w:rsidTr="00DE7FDE">
        <w:tc>
          <w:tcPr>
            <w:tcW w:w="9039" w:type="dxa"/>
            <w:tcBorders>
              <w:top w:val="single" w:sz="4" w:space="0" w:color="auto"/>
              <w:left w:val="single" w:sz="4" w:space="0" w:color="auto"/>
              <w:bottom w:val="single" w:sz="4" w:space="0" w:color="auto"/>
              <w:right w:val="single" w:sz="4" w:space="0" w:color="auto"/>
            </w:tcBorders>
          </w:tcPr>
          <w:p w14:paraId="0D38E34B" w14:textId="77777777" w:rsidR="00C73C35" w:rsidRPr="00C73C35" w:rsidRDefault="00C73C35" w:rsidP="00DE7FDE">
            <w:pPr>
              <w:spacing w:after="0" w:line="240" w:lineRule="auto"/>
              <w:rPr>
                <w:rFonts w:ascii="Arial" w:eastAsia="Times New Roman" w:hAnsi="Arial" w:cs="Arial"/>
              </w:rPr>
            </w:pPr>
            <w:r w:rsidRPr="00C73C35">
              <w:rPr>
                <w:rFonts w:ascii="Arial" w:eastAsia="Times New Roman" w:hAnsi="Arial" w:cs="Arial"/>
              </w:rPr>
              <w:t xml:space="preserve">Information about </w:t>
            </w:r>
            <w:r w:rsidRPr="00C73C35">
              <w:rPr>
                <w:rFonts w:ascii="Arial" w:eastAsia="Times New Roman" w:hAnsi="Arial" w:cs="Arial"/>
                <w:iCs/>
              </w:rPr>
              <w:t xml:space="preserve">the </w:t>
            </w:r>
            <w:r w:rsidRPr="00C73C35">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5A745EE1" w14:textId="77777777" w:rsidR="00C73C35" w:rsidRPr="00C73C35" w:rsidRDefault="00C73C35" w:rsidP="00DE7FDE">
            <w:pPr>
              <w:spacing w:after="0" w:line="240" w:lineRule="auto"/>
              <w:jc w:val="center"/>
              <w:rPr>
                <w:rFonts w:ascii="Arial" w:eastAsia="Times New Roman" w:hAnsi="Arial" w:cs="Arial"/>
              </w:rPr>
            </w:pPr>
            <w:r w:rsidRPr="00C73C35">
              <w:rPr>
                <w:rFonts w:ascii="Arial" w:hAnsi="Arial" w:cs="Arial"/>
              </w:rPr>
              <w:t>13</w:t>
            </w:r>
          </w:p>
        </w:tc>
      </w:tr>
      <w:tr w:rsidR="00C73C35" w:rsidRPr="00771DB7" w14:paraId="6C952657" w14:textId="77777777" w:rsidTr="00DE7FDE">
        <w:tc>
          <w:tcPr>
            <w:tcW w:w="9039" w:type="dxa"/>
            <w:tcBorders>
              <w:top w:val="single" w:sz="4" w:space="0" w:color="auto"/>
              <w:left w:val="single" w:sz="4" w:space="0" w:color="auto"/>
              <w:bottom w:val="single" w:sz="4" w:space="0" w:color="auto"/>
              <w:right w:val="single" w:sz="4" w:space="0" w:color="auto"/>
            </w:tcBorders>
          </w:tcPr>
          <w:p w14:paraId="775FC307" w14:textId="77777777" w:rsidR="00C73C35" w:rsidRPr="00C73C35" w:rsidRDefault="00C73C35" w:rsidP="00DE7FDE">
            <w:pPr>
              <w:spacing w:after="0" w:line="240" w:lineRule="auto"/>
              <w:rPr>
                <w:rFonts w:ascii="Arial" w:eastAsia="Times New Roman" w:hAnsi="Arial" w:cs="Arial"/>
              </w:rPr>
            </w:pPr>
            <w:r w:rsidRPr="00C73C35">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2FC9D24A" w14:textId="05336ED0" w:rsidR="00C73C35" w:rsidRPr="00C73C35" w:rsidRDefault="00C73C35" w:rsidP="00DE7FDE">
            <w:pPr>
              <w:spacing w:after="0" w:line="240" w:lineRule="auto"/>
              <w:jc w:val="center"/>
              <w:rPr>
                <w:rFonts w:ascii="Arial" w:eastAsia="Times New Roman" w:hAnsi="Arial" w:cs="Arial"/>
              </w:rPr>
            </w:pPr>
            <w:r w:rsidRPr="00C73C35">
              <w:rPr>
                <w:rFonts w:ascii="Arial" w:hAnsi="Arial" w:cs="Arial"/>
              </w:rPr>
              <w:t>30</w:t>
            </w:r>
          </w:p>
        </w:tc>
      </w:tr>
      <w:tr w:rsidR="00C73C35" w:rsidRPr="00771DB7" w14:paraId="1C6371CE" w14:textId="77777777" w:rsidTr="00DE7FDE">
        <w:tc>
          <w:tcPr>
            <w:tcW w:w="9039" w:type="dxa"/>
            <w:tcBorders>
              <w:top w:val="single" w:sz="4" w:space="0" w:color="auto"/>
              <w:left w:val="single" w:sz="4" w:space="0" w:color="auto"/>
              <w:bottom w:val="single" w:sz="4" w:space="0" w:color="auto"/>
              <w:right w:val="single" w:sz="4" w:space="0" w:color="auto"/>
            </w:tcBorders>
          </w:tcPr>
          <w:p w14:paraId="30ECC00F" w14:textId="77777777" w:rsidR="00C73C35" w:rsidRPr="00C73C35" w:rsidRDefault="00C73C35" w:rsidP="00DE7FDE">
            <w:pPr>
              <w:spacing w:after="0" w:line="240" w:lineRule="auto"/>
              <w:rPr>
                <w:rFonts w:ascii="Arial" w:eastAsia="Times New Roman" w:hAnsi="Arial" w:cs="Arial"/>
              </w:rPr>
            </w:pPr>
            <w:r w:rsidRPr="00C73C35">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0590BB05" w14:textId="0A88F52B" w:rsidR="00C73C35" w:rsidRPr="00C73C35" w:rsidRDefault="00C73C35" w:rsidP="00DE7FDE">
            <w:pPr>
              <w:spacing w:after="0" w:line="240" w:lineRule="auto"/>
              <w:jc w:val="center"/>
              <w:rPr>
                <w:rFonts w:ascii="Arial" w:hAnsi="Arial" w:cs="Arial"/>
              </w:rPr>
            </w:pPr>
            <w:r w:rsidRPr="00C73C35">
              <w:rPr>
                <w:rFonts w:ascii="Arial" w:hAnsi="Arial" w:cs="Arial"/>
              </w:rPr>
              <w:t>3</w:t>
            </w:r>
            <w:r>
              <w:rPr>
                <w:rFonts w:ascii="Arial" w:hAnsi="Arial" w:cs="Arial"/>
              </w:rPr>
              <w:t>3</w:t>
            </w:r>
          </w:p>
        </w:tc>
      </w:tr>
      <w:tr w:rsidR="00C73C35" w:rsidRPr="00771DB7" w14:paraId="3B6E990A" w14:textId="77777777" w:rsidTr="00DE7FDE">
        <w:tc>
          <w:tcPr>
            <w:tcW w:w="9039" w:type="dxa"/>
            <w:tcBorders>
              <w:top w:val="single" w:sz="4" w:space="0" w:color="auto"/>
              <w:left w:val="single" w:sz="4" w:space="0" w:color="auto"/>
              <w:bottom w:val="single" w:sz="4" w:space="0" w:color="auto"/>
              <w:right w:val="single" w:sz="4" w:space="0" w:color="auto"/>
            </w:tcBorders>
          </w:tcPr>
          <w:p w14:paraId="2E11AE26" w14:textId="77777777" w:rsidR="00C73C35" w:rsidRPr="00C73C35" w:rsidRDefault="00C73C35" w:rsidP="00DE7FDE">
            <w:pPr>
              <w:spacing w:after="0" w:line="240" w:lineRule="auto"/>
              <w:rPr>
                <w:rFonts w:ascii="Arial" w:eastAsia="Times New Roman" w:hAnsi="Arial" w:cs="Arial"/>
              </w:rPr>
            </w:pPr>
            <w:r w:rsidRPr="00C73C35">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7752B820" w14:textId="56ED82FA" w:rsidR="00C73C35" w:rsidRPr="00C73C35" w:rsidRDefault="00C73C35" w:rsidP="00DE7FDE">
            <w:pPr>
              <w:spacing w:after="0" w:line="240" w:lineRule="auto"/>
              <w:jc w:val="center"/>
              <w:rPr>
                <w:rFonts w:ascii="Arial" w:eastAsia="Times New Roman" w:hAnsi="Arial" w:cs="Arial"/>
              </w:rPr>
            </w:pPr>
            <w:r>
              <w:rPr>
                <w:rFonts w:ascii="Arial" w:hAnsi="Arial" w:cs="Arial"/>
              </w:rPr>
              <w:t>39</w:t>
            </w:r>
          </w:p>
        </w:tc>
      </w:tr>
    </w:tbl>
    <w:p w14:paraId="1CF1E063" w14:textId="77777777" w:rsidR="00C73C35" w:rsidRDefault="00C73C35" w:rsidP="00C73C35">
      <w:pPr>
        <w:spacing w:line="240" w:lineRule="auto"/>
        <w:rPr>
          <w:rFonts w:ascii="Arial" w:eastAsia="Times New Roman" w:hAnsi="Arial" w:cs="Arial"/>
          <w:b/>
        </w:rPr>
      </w:pPr>
    </w:p>
    <w:p w14:paraId="063A01F2" w14:textId="77777777" w:rsidR="00C73C35" w:rsidRDefault="00C73C35" w:rsidP="00C73C35">
      <w:pPr>
        <w:spacing w:line="240" w:lineRule="auto"/>
        <w:rPr>
          <w:rFonts w:ascii="Arial" w:eastAsia="Times New Roman" w:hAnsi="Arial" w:cs="Arial"/>
          <w:b/>
        </w:rPr>
      </w:pPr>
      <w:bookmarkStart w:id="0" w:name="Background"/>
      <w:r>
        <w:rPr>
          <w:rFonts w:ascii="Arial" w:eastAsia="Times New Roman" w:hAnsi="Arial" w:cs="Arial"/>
          <w:b/>
        </w:rPr>
        <w:lastRenderedPageBreak/>
        <w:t>General background information about listing threatened species</w:t>
      </w:r>
    </w:p>
    <w:bookmarkEnd w:id="0"/>
    <w:p w14:paraId="7A695B6E" w14:textId="77777777" w:rsidR="00C73C35" w:rsidRDefault="00C73C35" w:rsidP="00C73C35">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36E585D8" w14:textId="77777777" w:rsidR="00C73C35" w:rsidRDefault="007D642D" w:rsidP="00C73C35">
      <w:pPr>
        <w:spacing w:line="240" w:lineRule="auto"/>
        <w:rPr>
          <w:rFonts w:ascii="Arial" w:eastAsia="Times New Roman" w:hAnsi="Arial" w:cs="Arial"/>
        </w:rPr>
      </w:pPr>
      <w:hyperlink r:id="rId14" w:history="1">
        <w:r w:rsidR="00C73C35">
          <w:rPr>
            <w:rStyle w:val="Hyperlink"/>
            <w:rFonts w:ascii="Arial" w:eastAsia="Times New Roman" w:hAnsi="Arial" w:cs="Arial"/>
          </w:rPr>
          <w:t>https://www.awe.gov.au/environment/biodiversity/threatened/recovery-plans</w:t>
        </w:r>
      </w:hyperlink>
      <w:r w:rsidR="00C73C35">
        <w:rPr>
          <w:rFonts w:ascii="Arial" w:eastAsia="Times New Roman" w:hAnsi="Arial" w:cs="Arial"/>
        </w:rPr>
        <w:t>.</w:t>
      </w:r>
    </w:p>
    <w:p w14:paraId="1E4C851D" w14:textId="77777777" w:rsidR="00C73C35" w:rsidRDefault="00C73C35" w:rsidP="00C73C35">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789B749C" w14:textId="77777777" w:rsidR="00C73C35" w:rsidRDefault="007D642D" w:rsidP="00C73C35">
      <w:pPr>
        <w:spacing w:after="0" w:line="240" w:lineRule="auto"/>
        <w:rPr>
          <w:rFonts w:ascii="Times New Roman" w:eastAsia="Times New Roman" w:hAnsi="Times New Roman" w:cs="Times New Roman"/>
          <w:color w:val="1F497D"/>
          <w:szCs w:val="24"/>
        </w:rPr>
      </w:pPr>
      <w:hyperlink r:id="rId15" w:history="1">
        <w:r w:rsidR="00C73C35">
          <w:rPr>
            <w:rStyle w:val="Hyperlink"/>
            <w:rFonts w:ascii="Arial" w:eastAsia="Times New Roman" w:hAnsi="Arial" w:cs="Arial"/>
            <w:szCs w:val="24"/>
          </w:rPr>
          <w:t>https://www.awe.gov.au/sites/default/files/env/pages/d72dfd1a-f0d8-4699-8d43-5d95bbb02428/files/tssc-guidelines-assessing-species-2021.pdf</w:t>
        </w:r>
      </w:hyperlink>
      <w:r w:rsidR="00C73C35">
        <w:rPr>
          <w:rFonts w:ascii="Times New Roman" w:eastAsia="Times New Roman" w:hAnsi="Times New Roman" w:cs="Times New Roman"/>
          <w:color w:val="1F497D"/>
          <w:szCs w:val="24"/>
        </w:rPr>
        <w:t>.</w:t>
      </w:r>
    </w:p>
    <w:p w14:paraId="7ED58505" w14:textId="77777777" w:rsidR="00C73C35" w:rsidRDefault="00C73C35" w:rsidP="00C73C35">
      <w:pPr>
        <w:spacing w:line="240" w:lineRule="auto"/>
        <w:rPr>
          <w:rFonts w:ascii="Arial" w:eastAsia="Times New Roman" w:hAnsi="Arial" w:cs="Arial"/>
        </w:rPr>
      </w:pPr>
    </w:p>
    <w:p w14:paraId="605D16DD" w14:textId="77777777" w:rsidR="00C73C35" w:rsidRDefault="00C73C35" w:rsidP="00C73C35">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6E42F479" w14:textId="77777777" w:rsidR="00C73C35" w:rsidRDefault="00C73C35" w:rsidP="00C73C35">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19A9BE25" w14:textId="77777777" w:rsidR="00C73C35" w:rsidRDefault="00C73C35" w:rsidP="00C73C35">
      <w:pPr>
        <w:spacing w:line="240" w:lineRule="auto"/>
        <w:rPr>
          <w:rFonts w:ascii="Arial" w:eastAsia="Times New Roman" w:hAnsi="Arial" w:cs="Arial"/>
          <w:b/>
        </w:rPr>
      </w:pPr>
      <w:r>
        <w:rPr>
          <w:rFonts w:ascii="Arial" w:eastAsia="Times New Roman" w:hAnsi="Arial" w:cs="Arial"/>
          <w:b/>
        </w:rPr>
        <w:t>Privacy notice</w:t>
      </w:r>
    </w:p>
    <w:p w14:paraId="1FF05268" w14:textId="77777777" w:rsidR="00C73C35" w:rsidRDefault="00C73C35" w:rsidP="00C73C35">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619625C3" w14:textId="77777777" w:rsidR="00C73C35" w:rsidRDefault="00C73C35" w:rsidP="00C73C35">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8339CB4" w14:textId="77777777" w:rsidR="00C73C35" w:rsidRDefault="00C73C35" w:rsidP="00C73C35">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4F0F90B0" w14:textId="77777777" w:rsidR="00C73C35" w:rsidRDefault="00C73C35" w:rsidP="00C73C35">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232E8DF9" w14:textId="77777777" w:rsidR="00C73C35" w:rsidRDefault="00C73C35" w:rsidP="00C73C35">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4C0961B9" w14:textId="77777777" w:rsidR="00C73C35" w:rsidRDefault="00C73C35" w:rsidP="00C73C35">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1EF6CF00" w14:textId="77777777" w:rsidR="00C73C35" w:rsidRDefault="00C73C35" w:rsidP="00C73C35">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7D6FEFD7" w14:textId="1122EE92" w:rsidR="00C73C35" w:rsidRDefault="00C73C35" w:rsidP="00C73C35">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6E0A2B4B" w14:textId="77777777" w:rsidR="00C73C35" w:rsidRDefault="00C73C35">
      <w:pPr>
        <w:spacing w:after="0" w:line="240" w:lineRule="auto"/>
        <w:rPr>
          <w:rFonts w:ascii="Arial" w:eastAsia="Times New Roman" w:hAnsi="Arial" w:cs="Arial"/>
          <w:b/>
          <w:sz w:val="24"/>
          <w:szCs w:val="24"/>
          <w:u w:val="single"/>
        </w:rPr>
      </w:pPr>
      <w:r>
        <w:rPr>
          <w:rFonts w:ascii="Arial" w:hAnsi="Arial" w:cs="Arial"/>
          <w:b/>
          <w:szCs w:val="24"/>
          <w:u w:val="single"/>
        </w:rPr>
        <w:br w:type="page"/>
      </w:r>
    </w:p>
    <w:p w14:paraId="6C1E1558" w14:textId="6D40E7D1" w:rsidR="00C73C35" w:rsidRPr="009F43F9" w:rsidRDefault="00C73C35" w:rsidP="00C73C35">
      <w:pPr>
        <w:pStyle w:val="TSSC"/>
        <w:numPr>
          <w:ilvl w:val="0"/>
          <w:numId w:val="0"/>
        </w:numPr>
        <w:tabs>
          <w:tab w:val="clear" w:pos="567"/>
          <w:tab w:val="left" w:pos="720"/>
        </w:tabs>
        <w:ind w:left="1560" w:hanging="1560"/>
        <w:rPr>
          <w:rFonts w:ascii="Arial" w:hAnsi="Arial" w:cs="Arial"/>
          <w:b/>
          <w:szCs w:val="24"/>
          <w:u w:val="single"/>
        </w:rPr>
      </w:pPr>
      <w:r>
        <w:rPr>
          <w:rFonts w:ascii="Arial" w:hAnsi="Arial" w:cs="Arial"/>
          <w:b/>
          <w:szCs w:val="24"/>
          <w:u w:val="single"/>
        </w:rPr>
        <w:lastRenderedPageBreak/>
        <w:t>Consultation questions for</w:t>
      </w:r>
      <w:r w:rsidRPr="009F43F9">
        <w:rPr>
          <w:rFonts w:ascii="Arial" w:hAnsi="Arial" w:cs="Arial"/>
          <w:b/>
          <w:szCs w:val="24"/>
          <w:u w:val="single"/>
        </w:rPr>
        <w:t xml:space="preserve"> </w:t>
      </w:r>
      <w:proofErr w:type="spellStart"/>
      <w:r>
        <w:rPr>
          <w:rFonts w:ascii="Arial" w:hAnsi="Arial" w:cs="Arial"/>
          <w:b/>
          <w:i/>
          <w:iCs/>
          <w:szCs w:val="24"/>
          <w:u w:val="single"/>
        </w:rPr>
        <w:t>Darwinia</w:t>
      </w:r>
      <w:proofErr w:type="spellEnd"/>
      <w:r>
        <w:rPr>
          <w:rFonts w:ascii="Arial" w:hAnsi="Arial" w:cs="Arial"/>
          <w:b/>
          <w:i/>
          <w:iCs/>
          <w:szCs w:val="24"/>
          <w:u w:val="single"/>
        </w:rPr>
        <w:t xml:space="preserve"> </w:t>
      </w:r>
      <w:proofErr w:type="spellStart"/>
      <w:r>
        <w:rPr>
          <w:rFonts w:ascii="Arial" w:hAnsi="Arial" w:cs="Arial"/>
          <w:b/>
          <w:i/>
          <w:iCs/>
          <w:szCs w:val="24"/>
          <w:u w:val="single"/>
        </w:rPr>
        <w:t>collina</w:t>
      </w:r>
      <w:proofErr w:type="spellEnd"/>
      <w:r>
        <w:rPr>
          <w:rFonts w:ascii="Arial" w:hAnsi="Arial" w:cs="Arial"/>
          <w:b/>
          <w:szCs w:val="24"/>
          <w:u w:val="single"/>
        </w:rPr>
        <w:t xml:space="preserve"> (yellow mountain bell)</w:t>
      </w:r>
    </w:p>
    <w:p w14:paraId="5925B226" w14:textId="77777777" w:rsidR="00C73C35" w:rsidRPr="009F43F9" w:rsidRDefault="00C73C35" w:rsidP="00C73C35">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16304C46"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55EAE58E" w14:textId="77777777" w:rsidR="00C73C35" w:rsidRDefault="00C73C35" w:rsidP="00C73C35">
      <w:pPr>
        <w:pStyle w:val="ListParagraph"/>
        <w:autoSpaceDE w:val="0"/>
        <w:autoSpaceDN w:val="0"/>
        <w:adjustRightInd w:val="0"/>
        <w:ind w:left="360"/>
        <w:rPr>
          <w:rFonts w:ascii="Arial" w:hAnsi="Arial" w:cs="Arial"/>
        </w:rPr>
      </w:pPr>
    </w:p>
    <w:p w14:paraId="2F756768"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460CCD0F" w14:textId="77777777" w:rsidR="00C73C35" w:rsidRDefault="00C73C35" w:rsidP="00C73C35">
      <w:pPr>
        <w:pStyle w:val="ListParagraph"/>
        <w:autoSpaceDE w:val="0"/>
        <w:autoSpaceDN w:val="0"/>
        <w:adjustRightInd w:val="0"/>
        <w:ind w:left="360"/>
        <w:rPr>
          <w:rFonts w:ascii="Arial" w:hAnsi="Arial" w:cs="Arial"/>
        </w:rPr>
      </w:pPr>
    </w:p>
    <w:p w14:paraId="74238ED7"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132BB882" w14:textId="77777777" w:rsidR="00C73C35" w:rsidRDefault="00C73C35" w:rsidP="00C73C35">
      <w:pPr>
        <w:autoSpaceDE w:val="0"/>
        <w:autoSpaceDN w:val="0"/>
        <w:adjustRightInd w:val="0"/>
        <w:rPr>
          <w:rFonts w:ascii="Arial" w:hAnsi="Arial" w:cs="Arial"/>
        </w:rPr>
      </w:pPr>
    </w:p>
    <w:p w14:paraId="0F520402" w14:textId="77777777" w:rsidR="00C73C35" w:rsidRDefault="00C73C35" w:rsidP="00C73C35">
      <w:pPr>
        <w:shd w:val="clear" w:color="auto" w:fill="D9D9D9" w:themeFill="background1" w:themeFillShade="D9"/>
        <w:autoSpaceDE w:val="0"/>
        <w:autoSpaceDN w:val="0"/>
        <w:adjustRightInd w:val="0"/>
        <w:jc w:val="center"/>
        <w:rPr>
          <w:rFonts w:ascii="Arial" w:hAnsi="Arial" w:cs="Arial"/>
          <w:b/>
        </w:rPr>
      </w:pPr>
    </w:p>
    <w:p w14:paraId="58707DB8" w14:textId="77777777" w:rsidR="00C73C35" w:rsidRDefault="00C73C35" w:rsidP="00C73C35">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6E93D023" w14:textId="77777777" w:rsidR="00C73C35" w:rsidRDefault="00C73C35" w:rsidP="00C73C35">
      <w:pPr>
        <w:shd w:val="clear" w:color="auto" w:fill="D9D9D9" w:themeFill="background1" w:themeFillShade="D9"/>
        <w:autoSpaceDE w:val="0"/>
        <w:autoSpaceDN w:val="0"/>
        <w:adjustRightInd w:val="0"/>
        <w:jc w:val="center"/>
        <w:rPr>
          <w:rFonts w:ascii="Arial" w:hAnsi="Arial" w:cs="Arial"/>
          <w:b/>
        </w:rPr>
      </w:pPr>
    </w:p>
    <w:p w14:paraId="44DFEA5E" w14:textId="77777777" w:rsidR="00C73C35" w:rsidRDefault="00C73C35" w:rsidP="00C73C35">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6CE0EA43" w14:textId="77777777" w:rsidR="00C73C35" w:rsidRDefault="00C73C35" w:rsidP="00C73C35">
      <w:pPr>
        <w:autoSpaceDE w:val="0"/>
        <w:autoSpaceDN w:val="0"/>
        <w:adjustRightInd w:val="0"/>
        <w:rPr>
          <w:rFonts w:ascii="Arial" w:hAnsi="Arial" w:cs="Arial"/>
          <w:b/>
          <w:bCs/>
        </w:rPr>
      </w:pPr>
      <w:r>
        <w:rPr>
          <w:rFonts w:ascii="Arial" w:hAnsi="Arial" w:cs="Arial"/>
          <w:b/>
          <w:bCs/>
        </w:rPr>
        <w:t>Biological information</w:t>
      </w:r>
    </w:p>
    <w:p w14:paraId="79CC8AE7"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36F9B974" w14:textId="77777777" w:rsidR="00C73C35" w:rsidRDefault="00C73C35" w:rsidP="00C73C35">
      <w:pPr>
        <w:pStyle w:val="ListParagraph"/>
        <w:autoSpaceDE w:val="0"/>
        <w:autoSpaceDN w:val="0"/>
        <w:adjustRightInd w:val="0"/>
        <w:ind w:left="360"/>
        <w:rPr>
          <w:rFonts w:ascii="Arial" w:hAnsi="Arial" w:cs="Arial"/>
        </w:rPr>
      </w:pPr>
    </w:p>
    <w:p w14:paraId="254C6298"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7E6F37AF" w14:textId="77777777" w:rsidR="00C73C35" w:rsidRDefault="00C73C35" w:rsidP="00C73C35">
      <w:pPr>
        <w:autoSpaceDE w:val="0"/>
        <w:autoSpaceDN w:val="0"/>
        <w:adjustRightInd w:val="0"/>
        <w:rPr>
          <w:rFonts w:ascii="Arial" w:hAnsi="Arial" w:cs="Arial"/>
        </w:rPr>
      </w:pPr>
    </w:p>
    <w:p w14:paraId="0BB825F2" w14:textId="77777777" w:rsidR="00C73C35" w:rsidRDefault="00C73C35" w:rsidP="00C73C35">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0172E1A5" w14:textId="77777777" w:rsidR="00C73C35" w:rsidRDefault="00C73C35" w:rsidP="00C73C35">
      <w:pPr>
        <w:autoSpaceDE w:val="0"/>
        <w:autoSpaceDN w:val="0"/>
        <w:adjustRightInd w:val="0"/>
        <w:rPr>
          <w:rFonts w:ascii="Arial,Bold" w:hAnsi="Arial,Bold" w:cs="Arial,Bold"/>
          <w:b/>
          <w:bCs/>
        </w:rPr>
      </w:pPr>
      <w:r>
        <w:rPr>
          <w:rFonts w:ascii="Arial,Bold" w:hAnsi="Arial,Bold" w:cs="Arial,Bold"/>
          <w:b/>
          <w:bCs/>
        </w:rPr>
        <w:t>Population size</w:t>
      </w:r>
    </w:p>
    <w:p w14:paraId="5639334E"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6B7218A1" w14:textId="77777777" w:rsidR="00C73C35" w:rsidRDefault="00C73C35" w:rsidP="00C73C35">
      <w:pPr>
        <w:pStyle w:val="ListParagraph"/>
        <w:autoSpaceDE w:val="0"/>
        <w:autoSpaceDN w:val="0"/>
        <w:adjustRightInd w:val="0"/>
        <w:ind w:left="360"/>
        <w:rPr>
          <w:rFonts w:ascii="Arial" w:hAnsi="Arial" w:cs="Arial"/>
        </w:rPr>
      </w:pPr>
    </w:p>
    <w:p w14:paraId="1327C031"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7704DA42" w14:textId="77777777" w:rsidR="00C73C35" w:rsidRDefault="00C73C35" w:rsidP="00C73C35">
      <w:pPr>
        <w:pStyle w:val="ListParagraph"/>
        <w:autoSpaceDE w:val="0"/>
        <w:autoSpaceDN w:val="0"/>
        <w:adjustRightInd w:val="0"/>
        <w:ind w:left="360"/>
        <w:rPr>
          <w:rFonts w:ascii="Arial" w:hAnsi="Arial" w:cs="Arial"/>
        </w:rPr>
      </w:pPr>
    </w:p>
    <w:p w14:paraId="10361A9A"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 (national extent)? Please provide supporting justification or other information.</w:t>
      </w:r>
    </w:p>
    <w:p w14:paraId="06A74CE8" w14:textId="77777777" w:rsidR="00C73C35" w:rsidRDefault="00C73C35" w:rsidP="00C73C35">
      <w:pPr>
        <w:pStyle w:val="ListParagraph"/>
        <w:autoSpaceDE w:val="0"/>
        <w:autoSpaceDN w:val="0"/>
        <w:adjustRightInd w:val="0"/>
        <w:ind w:left="360"/>
        <w:rPr>
          <w:rFonts w:ascii="Arial" w:hAnsi="Arial" w:cs="Arial"/>
        </w:rPr>
      </w:pPr>
    </w:p>
    <w:p w14:paraId="5B3E1448"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779CEA3D" w14:textId="77777777" w:rsidR="00C73C35" w:rsidRDefault="00C73C35" w:rsidP="00C73C35">
      <w:pPr>
        <w:autoSpaceDE w:val="0"/>
        <w:autoSpaceDN w:val="0"/>
        <w:adjustRightInd w:val="0"/>
        <w:ind w:left="1560" w:hanging="1560"/>
        <w:rPr>
          <w:rFonts w:ascii="Arial" w:hAnsi="Arial" w:cs="Arial"/>
          <w:b/>
        </w:rPr>
      </w:pPr>
    </w:p>
    <w:p w14:paraId="59D32F6D"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rPr>
        <w:lastRenderedPageBreak/>
        <w:t>Number of mature individuals is estimated to be in the range of:</w:t>
      </w:r>
    </w:p>
    <w:p w14:paraId="15CF5FD0" w14:textId="77777777" w:rsidR="00C73C35" w:rsidRPr="00E953DB" w:rsidRDefault="00C73C35" w:rsidP="00C73C35">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&lt;250 </w:t>
      </w:r>
      <w:r>
        <w:rPr>
          <w:rFonts w:ascii="Arial" w:hAnsi="Arial" w:cs="Arial"/>
          <w:sz w:val="44"/>
          <w:szCs w:val="44"/>
        </w:rPr>
        <w:t>□</w:t>
      </w:r>
      <w:r>
        <w:rPr>
          <w:rFonts w:ascii="Arial" w:hAnsi="Arial" w:cs="Arial"/>
        </w:rPr>
        <w:t xml:space="preserve"> 250 – 1,000 </w:t>
      </w:r>
      <w:r>
        <w:rPr>
          <w:rFonts w:ascii="Arial" w:hAnsi="Arial" w:cs="Arial"/>
          <w:sz w:val="44"/>
          <w:szCs w:val="44"/>
        </w:rPr>
        <w:t>□</w:t>
      </w:r>
      <w:r>
        <w:rPr>
          <w:rFonts w:ascii="Arial" w:hAnsi="Arial" w:cs="Arial"/>
        </w:rPr>
        <w:t xml:space="preserve"> 1,000 – 5,000</w:t>
      </w:r>
      <w:r>
        <w:rPr>
          <w:rFonts w:ascii="Arial" w:hAnsi="Arial" w:cs="Arial"/>
          <w:sz w:val="44"/>
          <w:szCs w:val="44"/>
        </w:rPr>
        <w:t xml:space="preserve"> □ </w:t>
      </w:r>
      <w:r>
        <w:rPr>
          <w:rFonts w:ascii="Arial" w:hAnsi="Arial" w:cs="Arial"/>
        </w:rPr>
        <w:t>5,000 – 10,000</w:t>
      </w:r>
      <w:r>
        <w:rPr>
          <w:rFonts w:ascii="Arial" w:hAnsi="Arial" w:cs="Arial"/>
          <w:sz w:val="44"/>
          <w:szCs w:val="44"/>
        </w:rPr>
        <w:t xml:space="preserve"> □</w:t>
      </w:r>
      <w:r>
        <w:rPr>
          <w:rFonts w:ascii="Arial" w:hAnsi="Arial" w:cs="Arial"/>
        </w:rPr>
        <w:t xml:space="preserve"> &gt;10,000</w:t>
      </w:r>
    </w:p>
    <w:p w14:paraId="4F9B61AA" w14:textId="77777777" w:rsidR="00C73C35" w:rsidRDefault="00C73C35" w:rsidP="00C73C35">
      <w:pPr>
        <w:pStyle w:val="ListParagraph"/>
        <w:autoSpaceDE w:val="0"/>
        <w:autoSpaceDN w:val="0"/>
        <w:adjustRightInd w:val="0"/>
        <w:ind w:left="360"/>
        <w:rPr>
          <w:rFonts w:ascii="Arial" w:hAnsi="Arial" w:cs="Arial"/>
        </w:rPr>
      </w:pPr>
    </w:p>
    <w:p w14:paraId="16FE8BF4" w14:textId="77777777" w:rsidR="00C73C35" w:rsidRDefault="00C73C35" w:rsidP="00C73C35">
      <w:pPr>
        <w:pStyle w:val="ListParagraph"/>
        <w:keepNext/>
        <w:keepLines/>
        <w:autoSpaceDE w:val="0"/>
        <w:autoSpaceDN w:val="0"/>
        <w:adjustRightInd w:val="0"/>
        <w:ind w:left="357"/>
        <w:rPr>
          <w:rFonts w:ascii="Arial" w:hAnsi="Arial" w:cs="Arial"/>
        </w:rPr>
      </w:pPr>
      <w:r>
        <w:rPr>
          <w:rFonts w:ascii="Arial" w:hAnsi="Arial" w:cs="Arial"/>
        </w:rPr>
        <w:t>Level of your confidence in this estimate:</w:t>
      </w:r>
    </w:p>
    <w:p w14:paraId="3E4BD746" w14:textId="77777777" w:rsidR="00C73C35" w:rsidRDefault="00C73C35" w:rsidP="00C73C35">
      <w:pPr>
        <w:pStyle w:val="ListParagraph"/>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0–30% - low level of certainty/a bit of a guess/not much information to go on</w:t>
      </w:r>
    </w:p>
    <w:p w14:paraId="7E8E64C7" w14:textId="77777777" w:rsidR="00C73C35" w:rsidRDefault="00C73C35" w:rsidP="00C73C35">
      <w:pPr>
        <w:pStyle w:val="ListParagraph"/>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7BD2A05"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F01C1E1"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3177BA31"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71C3BFDE" w14:textId="77777777" w:rsidR="00C73C35" w:rsidRDefault="00C73C35" w:rsidP="00C73C35">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5FBC62B0" w14:textId="77777777" w:rsidR="00C73C35" w:rsidRDefault="00C73C35" w:rsidP="00B7374A">
      <w:pPr>
        <w:pStyle w:val="ListParagraph"/>
        <w:numPr>
          <w:ilvl w:val="0"/>
          <w:numId w:val="17"/>
        </w:numPr>
        <w:autoSpaceDE w:val="0"/>
        <w:autoSpaceDN w:val="0"/>
        <w:adjustRightInd w:val="0"/>
        <w:spacing w:after="0" w:line="240" w:lineRule="auto"/>
        <w:rPr>
          <w:rFonts w:ascii="Arial" w:hAnsi="Arial" w:cs="Arial"/>
        </w:rPr>
      </w:pPr>
      <w:r w:rsidRPr="00C73C35">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289C0589" w14:textId="77777777" w:rsidR="00C73C35" w:rsidRPr="00C73C35" w:rsidRDefault="00C73C35" w:rsidP="00C73C35">
      <w:pPr>
        <w:autoSpaceDE w:val="0"/>
        <w:autoSpaceDN w:val="0"/>
        <w:adjustRightInd w:val="0"/>
        <w:spacing w:after="0" w:line="240" w:lineRule="auto"/>
        <w:rPr>
          <w:rFonts w:ascii="Arial" w:hAnsi="Arial" w:cs="Arial"/>
        </w:rPr>
      </w:pPr>
    </w:p>
    <w:p w14:paraId="2FDB1908" w14:textId="19B897F3" w:rsidR="00C73C35" w:rsidRDefault="00C73C35" w:rsidP="00C73C35">
      <w:pPr>
        <w:autoSpaceDE w:val="0"/>
        <w:autoSpaceDN w:val="0"/>
        <w:adjustRightInd w:val="0"/>
        <w:spacing w:after="0" w:line="240" w:lineRule="auto"/>
        <w:rPr>
          <w:rFonts w:ascii="Arial" w:hAnsi="Arial" w:cs="Arial"/>
        </w:rPr>
      </w:pPr>
      <w:r w:rsidRPr="00C73C35">
        <w:rPr>
          <w:rFonts w:ascii="Arial,Bold" w:hAnsi="Arial,Bold" w:cs="Arial,Bold"/>
          <w:b/>
          <w:bCs/>
        </w:rPr>
        <w:t>Evidence of total population size change</w:t>
      </w:r>
    </w:p>
    <w:p w14:paraId="59AA0FD4" w14:textId="77777777" w:rsidR="00C73C35" w:rsidRPr="00C73C35" w:rsidRDefault="00C73C35" w:rsidP="00C73C35">
      <w:pPr>
        <w:autoSpaceDE w:val="0"/>
        <w:autoSpaceDN w:val="0"/>
        <w:adjustRightInd w:val="0"/>
        <w:spacing w:after="0" w:line="240" w:lineRule="auto"/>
        <w:rPr>
          <w:rFonts w:ascii="Arial" w:hAnsi="Arial" w:cs="Arial"/>
        </w:rPr>
      </w:pPr>
    </w:p>
    <w:p w14:paraId="035C1396" w14:textId="77777777" w:rsidR="00C73C35" w:rsidRPr="00B37D61" w:rsidRDefault="00C73C35" w:rsidP="00C73C35">
      <w:pPr>
        <w:pStyle w:val="ListParagraph"/>
        <w:numPr>
          <w:ilvl w:val="0"/>
          <w:numId w:val="17"/>
        </w:numPr>
        <w:autoSpaceDE w:val="0"/>
        <w:autoSpaceDN w:val="0"/>
        <w:adjustRightInd w:val="0"/>
        <w:spacing w:after="0" w:line="240" w:lineRule="auto"/>
        <w:rPr>
          <w:rFonts w:ascii="Arial,Italic" w:hAnsi="Arial,Italic" w:cs="Arial,Italic"/>
          <w:i/>
          <w:iCs/>
        </w:rPr>
      </w:pPr>
      <w:r w:rsidRPr="00B37D61">
        <w:rPr>
          <w:rFonts w:ascii="Arial" w:hAnsi="Arial" w:cs="Arial"/>
        </w:rPr>
        <w:t xml:space="preserve">Are you able to provide an estimate of the total population size during the early 1980s </w:t>
      </w:r>
      <w:r w:rsidRPr="00B37D61">
        <w:rPr>
          <w:rFonts w:ascii="Arial,Italic" w:hAnsi="Arial,Italic" w:cs="Arial,Italic"/>
          <w:i/>
          <w:iCs/>
        </w:rPr>
        <w:t>(at or soon after the start of the most recent three generation)</w:t>
      </w:r>
      <w:r w:rsidRPr="00B37D61">
        <w:rPr>
          <w:rFonts w:ascii="Arial" w:hAnsi="Arial" w:cs="Arial"/>
        </w:rPr>
        <w:t>? Please provide justification for your response.</w:t>
      </w:r>
    </w:p>
    <w:p w14:paraId="7E68267F" w14:textId="77777777" w:rsidR="00C73C35" w:rsidRDefault="00C73C35" w:rsidP="00C73C35">
      <w:pPr>
        <w:pStyle w:val="ListParagraph"/>
        <w:autoSpaceDE w:val="0"/>
        <w:autoSpaceDN w:val="0"/>
        <w:adjustRightInd w:val="0"/>
        <w:ind w:left="360"/>
        <w:rPr>
          <w:rFonts w:ascii="Arial,Italic" w:hAnsi="Arial,Italic" w:cs="Arial,Italic"/>
          <w:i/>
          <w:iCs/>
        </w:rPr>
      </w:pPr>
    </w:p>
    <w:p w14:paraId="7C99E180"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366CE602" w14:textId="77777777" w:rsidR="00C73C35" w:rsidRDefault="00C73C35" w:rsidP="00C73C35">
      <w:pPr>
        <w:pStyle w:val="ListParagraph"/>
        <w:autoSpaceDE w:val="0"/>
        <w:autoSpaceDN w:val="0"/>
        <w:adjustRightInd w:val="0"/>
        <w:ind w:left="360"/>
        <w:rPr>
          <w:rFonts w:ascii="Arial" w:hAnsi="Arial" w:cs="Arial"/>
        </w:rPr>
      </w:pPr>
    </w:p>
    <w:p w14:paraId="0AC0B3F8"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DC4F162"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&lt;250 </w:t>
      </w:r>
      <w:r>
        <w:rPr>
          <w:rFonts w:ascii="Arial" w:hAnsi="Arial" w:cs="Arial"/>
          <w:sz w:val="44"/>
          <w:szCs w:val="44"/>
        </w:rPr>
        <w:t>□</w:t>
      </w:r>
      <w:r>
        <w:rPr>
          <w:rFonts w:ascii="Arial" w:hAnsi="Arial" w:cs="Arial"/>
        </w:rPr>
        <w:t xml:space="preserve"> 250 – 1,000 </w:t>
      </w:r>
      <w:r>
        <w:rPr>
          <w:rFonts w:ascii="Arial" w:hAnsi="Arial" w:cs="Arial"/>
          <w:sz w:val="44"/>
          <w:szCs w:val="44"/>
        </w:rPr>
        <w:t>□</w:t>
      </w:r>
      <w:r>
        <w:rPr>
          <w:rFonts w:ascii="Arial" w:hAnsi="Arial" w:cs="Arial"/>
        </w:rPr>
        <w:t xml:space="preserve"> 1,000 – 5,000</w:t>
      </w:r>
      <w:r>
        <w:rPr>
          <w:rFonts w:ascii="Arial" w:hAnsi="Arial" w:cs="Arial"/>
          <w:sz w:val="44"/>
          <w:szCs w:val="44"/>
        </w:rPr>
        <w:t xml:space="preserve"> □ </w:t>
      </w:r>
      <w:r>
        <w:rPr>
          <w:rFonts w:ascii="Arial" w:hAnsi="Arial" w:cs="Arial"/>
        </w:rPr>
        <w:t>5,000 – 10,000</w:t>
      </w:r>
      <w:r>
        <w:rPr>
          <w:rFonts w:ascii="Arial" w:hAnsi="Arial" w:cs="Arial"/>
          <w:sz w:val="44"/>
          <w:szCs w:val="44"/>
        </w:rPr>
        <w:t xml:space="preserve"> □</w:t>
      </w:r>
      <w:r>
        <w:rPr>
          <w:rFonts w:ascii="Arial" w:hAnsi="Arial" w:cs="Arial"/>
        </w:rPr>
        <w:t xml:space="preserve"> &gt;10,000</w:t>
      </w:r>
    </w:p>
    <w:p w14:paraId="276D1099" w14:textId="77777777" w:rsidR="00C73C35" w:rsidRDefault="00C73C35" w:rsidP="00C73C35">
      <w:pPr>
        <w:pStyle w:val="ListParagraph"/>
        <w:autoSpaceDE w:val="0"/>
        <w:autoSpaceDN w:val="0"/>
        <w:adjustRightInd w:val="0"/>
        <w:ind w:left="360"/>
        <w:rPr>
          <w:rFonts w:ascii="Arial" w:hAnsi="Arial" w:cs="Arial"/>
        </w:rPr>
      </w:pPr>
    </w:p>
    <w:p w14:paraId="1E2288D0"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2DE75520"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certainty/a bit of a guess/not much information to go on</w:t>
      </w:r>
    </w:p>
    <w:p w14:paraId="1EB983FE"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E09792B"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5C7A54EA"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5C187D3B" w14:textId="77777777" w:rsidR="00C73C35" w:rsidRDefault="00C73C35" w:rsidP="00C73C3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328933AD" w14:textId="77777777" w:rsidR="00C73C35" w:rsidRDefault="00C73C35" w:rsidP="00C73C35">
      <w:pPr>
        <w:autoSpaceDE w:val="0"/>
        <w:autoSpaceDN w:val="0"/>
        <w:adjustRightInd w:val="0"/>
        <w:rPr>
          <w:rFonts w:ascii="Arial,Italic" w:hAnsi="Arial,Italic" w:cs="Arial,Italic"/>
          <w:i/>
          <w:iCs/>
        </w:rPr>
      </w:pPr>
    </w:p>
    <w:p w14:paraId="3B5814C5" w14:textId="3B61257F"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sidRPr="00B37D61">
        <w:rPr>
          <w:rFonts w:ascii="Arial" w:hAnsi="Arial" w:cs="Arial"/>
        </w:rPr>
        <w:t xml:space="preserve">Are you able to comment on the extent of decline in the species’ total population size over the last approximately </w:t>
      </w:r>
      <w:r>
        <w:rPr>
          <w:rFonts w:ascii="Arial" w:hAnsi="Arial" w:cs="Arial"/>
        </w:rPr>
        <w:t>39 to 40.5</w:t>
      </w:r>
      <w:r w:rsidRPr="00B37D61">
        <w:rPr>
          <w:rFonts w:ascii="Arial" w:hAnsi="Arial" w:cs="Arial"/>
        </w:rPr>
        <w:t xml:space="preserve"> years</w:t>
      </w:r>
      <w:r w:rsidRPr="00B37D61">
        <w:rPr>
          <w:rFonts w:ascii="Arial" w:hAnsi="Arial" w:cs="Arial"/>
          <w:color w:val="FF0000"/>
        </w:rPr>
        <w:t xml:space="preserve"> </w:t>
      </w:r>
      <w:r w:rsidRPr="00B37D61">
        <w:rPr>
          <w:rFonts w:ascii="Arial" w:hAnsi="Arial" w:cs="Arial"/>
        </w:rPr>
        <w:t>(</w:t>
      </w:r>
      <w:proofErr w:type="gramStart"/>
      <w:r w:rsidRPr="00B37D61">
        <w:rPr>
          <w:rFonts w:ascii="Arial" w:hAnsi="Arial" w:cs="Arial"/>
        </w:rPr>
        <w:t>i.e.</w:t>
      </w:r>
      <w:proofErr w:type="gramEnd"/>
      <w:r w:rsidRPr="00B37D61">
        <w:rPr>
          <w:rFonts w:ascii="Arial" w:hAnsi="Arial" w:cs="Arial"/>
        </w:rPr>
        <w:t xml:space="preserve"> three generations)? Please provide justification for your response.</w:t>
      </w:r>
    </w:p>
    <w:p w14:paraId="18E847D0" w14:textId="77777777" w:rsidR="00C73C35" w:rsidRPr="00C73C35" w:rsidRDefault="00C73C35" w:rsidP="00C73C35">
      <w:pPr>
        <w:pStyle w:val="ListParagraph"/>
        <w:autoSpaceDE w:val="0"/>
        <w:autoSpaceDN w:val="0"/>
        <w:adjustRightInd w:val="0"/>
        <w:spacing w:after="0" w:line="240" w:lineRule="auto"/>
        <w:ind w:left="360"/>
        <w:rPr>
          <w:rFonts w:ascii="Arial" w:hAnsi="Arial" w:cs="Arial"/>
        </w:rPr>
      </w:pPr>
    </w:p>
    <w:p w14:paraId="4E921DEF" w14:textId="042D7C46" w:rsidR="00C73C35" w:rsidRDefault="00C73C35" w:rsidP="00C73C35">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6934917" w14:textId="77777777" w:rsidR="00C73C35" w:rsidRDefault="00C73C35" w:rsidP="00C73C35">
      <w:pPr>
        <w:keepNext/>
        <w:keepLines/>
        <w:autoSpaceDE w:val="0"/>
        <w:autoSpaceDN w:val="0"/>
        <w:adjustRightInd w:val="0"/>
        <w:ind w:left="357"/>
        <w:rPr>
          <w:rFonts w:ascii="Arial" w:hAnsi="Arial" w:cs="Arial"/>
        </w:rPr>
      </w:pPr>
      <w:r>
        <w:rPr>
          <w:rFonts w:ascii="Arial" w:hAnsi="Arial" w:cs="Arial"/>
        </w:rPr>
        <w:t>Decline estimated to be in the range of:</w:t>
      </w:r>
    </w:p>
    <w:p w14:paraId="0D0CEC15" w14:textId="0EBC6BA6"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43C9A7FD" w14:textId="77777777" w:rsidR="00C73C35" w:rsidRDefault="00C73C35" w:rsidP="00C73C35">
      <w:pPr>
        <w:autoSpaceDE w:val="0"/>
        <w:autoSpaceDN w:val="0"/>
        <w:adjustRightInd w:val="0"/>
        <w:ind w:left="360"/>
        <w:rPr>
          <w:rFonts w:ascii="Arial" w:hAnsi="Arial" w:cs="Arial"/>
        </w:rPr>
      </w:pPr>
      <w:r>
        <w:rPr>
          <w:rFonts w:ascii="Arial" w:hAnsi="Arial" w:cs="Arial"/>
        </w:rPr>
        <w:t>Level of your confidence in this estimated decline:</w:t>
      </w:r>
    </w:p>
    <w:p w14:paraId="2A3E5DE4" w14:textId="77777777"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5A4CA85" w14:textId="77777777"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DFA303A" w14:textId="77777777"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218E7BA" w14:textId="77777777"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71CAECE" w14:textId="6023460F" w:rsid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626AF63E"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3C758775" w14:textId="77777777" w:rsidR="00C73C35" w:rsidRDefault="00C73C35" w:rsidP="00C73C35">
      <w:pPr>
        <w:autoSpaceDE w:val="0"/>
        <w:autoSpaceDN w:val="0"/>
        <w:adjustRightInd w:val="0"/>
        <w:rPr>
          <w:rFonts w:ascii="Arial" w:hAnsi="Arial" w:cs="Arial"/>
        </w:rPr>
      </w:pPr>
    </w:p>
    <w:p w14:paraId="6E6DB175" w14:textId="29AD2C98" w:rsidR="00C73C35" w:rsidRDefault="00C73C35" w:rsidP="00C73C35">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38905CB7" w14:textId="5D0A1AC9" w:rsidR="00C73C35" w:rsidRDefault="00C73C35" w:rsidP="00C73C35">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1541B6BF"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150C694C" w14:textId="77777777" w:rsidR="00C73C35" w:rsidRDefault="00C73C35" w:rsidP="00C73C35">
      <w:pPr>
        <w:pStyle w:val="ListParagraph"/>
        <w:autoSpaceDE w:val="0"/>
        <w:autoSpaceDN w:val="0"/>
        <w:adjustRightInd w:val="0"/>
        <w:ind w:left="360"/>
        <w:rPr>
          <w:rFonts w:ascii="Arial" w:hAnsi="Arial" w:cs="Arial"/>
        </w:rPr>
      </w:pPr>
    </w:p>
    <w:p w14:paraId="18304D06"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10078C71" w14:textId="77777777" w:rsidR="00C73C35" w:rsidRDefault="00C73C35" w:rsidP="00C73C35">
      <w:pPr>
        <w:pStyle w:val="ListParagraph"/>
        <w:autoSpaceDE w:val="0"/>
        <w:autoSpaceDN w:val="0"/>
        <w:adjustRightInd w:val="0"/>
        <w:ind w:left="360"/>
        <w:rPr>
          <w:rFonts w:ascii="Arial" w:hAnsi="Arial" w:cs="Arial"/>
        </w:rPr>
      </w:pPr>
    </w:p>
    <w:p w14:paraId="0CA37371"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759065DA" w14:textId="77777777" w:rsidR="00C73C35" w:rsidRDefault="00C73C35" w:rsidP="00C73C35">
      <w:pPr>
        <w:pStyle w:val="ListParagraph"/>
        <w:autoSpaceDE w:val="0"/>
        <w:autoSpaceDN w:val="0"/>
        <w:adjustRightInd w:val="0"/>
        <w:ind w:left="360"/>
        <w:rPr>
          <w:rFonts w:ascii="Arial" w:hAnsi="Arial" w:cs="Arial"/>
        </w:rPr>
      </w:pPr>
    </w:p>
    <w:p w14:paraId="3FA0580D"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055ECE4E" w14:textId="77777777" w:rsidR="00C73C35" w:rsidRDefault="00C73C35" w:rsidP="00C73C35">
      <w:pPr>
        <w:pStyle w:val="ListParagraph"/>
        <w:autoSpaceDE w:val="0"/>
        <w:autoSpaceDN w:val="0"/>
        <w:adjustRightInd w:val="0"/>
        <w:ind w:left="360"/>
        <w:rPr>
          <w:rFonts w:ascii="Arial" w:hAnsi="Arial" w:cs="Arial"/>
        </w:rPr>
      </w:pPr>
    </w:p>
    <w:p w14:paraId="211D492D"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lastRenderedPageBreak/>
        <w:t>Can you provide estimates (or if you disagree with the estimates provided, alternative estimates) of the extent of occurrence and/or area of occupancy?</w:t>
      </w:r>
    </w:p>
    <w:p w14:paraId="7B8CF7B8" w14:textId="77777777" w:rsidR="00C73C35" w:rsidRDefault="00C73C35" w:rsidP="00C73C35">
      <w:pPr>
        <w:pStyle w:val="ListParagraph"/>
        <w:autoSpaceDE w:val="0"/>
        <w:autoSpaceDN w:val="0"/>
        <w:adjustRightInd w:val="0"/>
        <w:ind w:left="360"/>
        <w:rPr>
          <w:rFonts w:ascii="Arial" w:hAnsi="Arial" w:cs="Arial"/>
        </w:rPr>
      </w:pPr>
    </w:p>
    <w:p w14:paraId="5B761661" w14:textId="7DAEA438" w:rsidR="00C73C35" w:rsidRDefault="00C73C35" w:rsidP="00C73C3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C4567E5" w14:textId="77777777" w:rsidR="00C73C35" w:rsidRDefault="00C73C35" w:rsidP="00C73C35">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05ED2DA2" w14:textId="5910E0AC"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76FC4371"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rPr>
        <w:t>Level of your confidence in this estimated extent of occurrence</w:t>
      </w:r>
    </w:p>
    <w:p w14:paraId="46B42A9B"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08D34D29"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D43D0FF"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DB59BD5"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8E1F972" w14:textId="22392A02" w:rsidR="00C73C35" w:rsidRDefault="00C73C35" w:rsidP="00C73C3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16793F6D" w14:textId="0129C785" w:rsidR="00C73C35" w:rsidRDefault="00C73C35" w:rsidP="00C73C35">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482E9C1" w14:textId="77777777" w:rsidR="00C73C35" w:rsidRDefault="00C73C35" w:rsidP="00C73C35">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1B74B66" w14:textId="5BA4FCA5"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1FD48244" w14:textId="77777777" w:rsidR="00C73C35" w:rsidRDefault="00C73C35" w:rsidP="00C73C35">
      <w:pPr>
        <w:keepNext/>
        <w:keepLines/>
        <w:autoSpaceDE w:val="0"/>
        <w:autoSpaceDN w:val="0"/>
        <w:adjustRightInd w:val="0"/>
        <w:ind w:left="357"/>
        <w:rPr>
          <w:rFonts w:ascii="Arial" w:hAnsi="Arial" w:cs="Arial"/>
        </w:rPr>
      </w:pPr>
      <w:r>
        <w:rPr>
          <w:rFonts w:ascii="Arial" w:hAnsi="Arial" w:cs="Arial"/>
        </w:rPr>
        <w:lastRenderedPageBreak/>
        <w:t>Level of your confidence in this estimated extent of occurrence:</w:t>
      </w:r>
    </w:p>
    <w:p w14:paraId="36962812" w14:textId="77777777" w:rsidR="00C73C35" w:rsidRDefault="00C73C35" w:rsidP="00C73C35">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98C0B50" w14:textId="77777777" w:rsidR="00C73C35" w:rsidRDefault="00C73C35" w:rsidP="00C73C35">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C9ACE8F" w14:textId="77777777" w:rsidR="00C73C35" w:rsidRDefault="00C73C35" w:rsidP="00C73C35">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9F31D43" w14:textId="77777777" w:rsidR="00C73C35" w:rsidRDefault="00C73C35" w:rsidP="00C73C35">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A7E2D3E" w14:textId="76F960AB" w:rsidR="00C73C35" w:rsidRPr="00C73C35" w:rsidRDefault="00C73C35" w:rsidP="00C73C3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0A60307" w14:textId="50796EBB" w:rsidR="00C73C35" w:rsidRDefault="00C73C35" w:rsidP="00C73C35">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2125CFE5" w14:textId="5C9ED6CE" w:rsidR="00C73C35" w:rsidRPr="00C73C35" w:rsidRDefault="00C73C35" w:rsidP="00C73C35">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42A53A84"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57C2A7E1" w14:textId="77777777" w:rsidR="00C73C35" w:rsidRDefault="00C73C35" w:rsidP="00C73C35">
      <w:pPr>
        <w:pStyle w:val="ListParagraph"/>
        <w:autoSpaceDE w:val="0"/>
        <w:autoSpaceDN w:val="0"/>
        <w:adjustRightInd w:val="0"/>
        <w:ind w:left="360"/>
        <w:rPr>
          <w:rFonts w:ascii="Arial" w:hAnsi="Arial" w:cs="Arial"/>
        </w:rPr>
      </w:pPr>
    </w:p>
    <w:p w14:paraId="61AF38FB"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1A29D1A6" w14:textId="77777777" w:rsidR="00C73C35" w:rsidRDefault="00C73C35" w:rsidP="00C73C35">
      <w:pPr>
        <w:pStyle w:val="ListParagraph"/>
        <w:autoSpaceDE w:val="0"/>
        <w:autoSpaceDN w:val="0"/>
        <w:adjustRightInd w:val="0"/>
        <w:ind w:left="360"/>
        <w:rPr>
          <w:rFonts w:ascii="Arial" w:hAnsi="Arial" w:cs="Arial"/>
        </w:rPr>
      </w:pPr>
    </w:p>
    <w:p w14:paraId="659A00C2" w14:textId="0DC711E8" w:rsidR="00C73C35" w:rsidRPr="00C73C35" w:rsidRDefault="00C73C35" w:rsidP="00C73C3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01BEDD0" w14:textId="77777777" w:rsidR="00C73C35" w:rsidRDefault="00C73C35" w:rsidP="00C73C35">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6C282B48" w14:textId="18B38D16"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5C11653C"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rPr>
        <w:lastRenderedPageBreak/>
        <w:t>Level of your confidence in this estimated extent of occurrence</w:t>
      </w:r>
    </w:p>
    <w:p w14:paraId="2265A735" w14:textId="77777777" w:rsidR="00C73C35" w:rsidRDefault="00C73C35" w:rsidP="00C73C35">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0CC721F" w14:textId="77777777" w:rsidR="00C73C35" w:rsidRDefault="00C73C35" w:rsidP="00C73C35">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E42EF3F" w14:textId="77777777" w:rsidR="00C73C35" w:rsidRDefault="00C73C35" w:rsidP="00C73C35">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8E11183" w14:textId="77777777" w:rsidR="00C73C35" w:rsidRDefault="00C73C35" w:rsidP="00C73C35">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6A77C9BC" w14:textId="1C500B4C"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0EEA4868" w14:textId="331DE7EF" w:rsidR="00C73C35" w:rsidRPr="00C73C35" w:rsidRDefault="00C73C35" w:rsidP="00C73C35">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CE87873" w14:textId="77777777" w:rsidR="00C73C35" w:rsidRDefault="00C73C35" w:rsidP="00C73C35">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D61B63D" w14:textId="77777777"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1D37155B" w14:textId="77777777" w:rsidR="00C73C35" w:rsidRDefault="00C73C35" w:rsidP="00C73C3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53B1701" w14:textId="77777777"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6EE5E20" w14:textId="77777777"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19DC685" w14:textId="77777777"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CD5AE70" w14:textId="77777777" w:rsidR="00C73C35" w:rsidRDefault="00C73C35" w:rsidP="00C73C3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329F7F8B" w14:textId="32408936" w:rsidR="00C73C35" w:rsidRPr="00C73C35" w:rsidRDefault="00C73C35" w:rsidP="00C73C35">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BECC5A6" w14:textId="77777777" w:rsidR="00C73C35" w:rsidRDefault="00C73C35" w:rsidP="00C73C35">
      <w:pPr>
        <w:keepNext/>
        <w:keepLines/>
        <w:shd w:val="clear" w:color="auto" w:fill="D9D9D9" w:themeFill="background1" w:themeFillShade="D9"/>
        <w:autoSpaceDE w:val="0"/>
        <w:autoSpaceDN w:val="0"/>
        <w:adjustRightInd w:val="0"/>
        <w:jc w:val="center"/>
        <w:rPr>
          <w:rFonts w:ascii="Arial" w:hAnsi="Arial" w:cs="Arial"/>
          <w:b/>
        </w:rPr>
      </w:pPr>
    </w:p>
    <w:p w14:paraId="35673617" w14:textId="77777777" w:rsidR="00C73C35" w:rsidRPr="009F43F9" w:rsidRDefault="00C73C35" w:rsidP="00C73C35">
      <w:pPr>
        <w:keepNext/>
        <w:keepLines/>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5392E074" w14:textId="77777777" w:rsidR="00C73C35" w:rsidRDefault="00C73C35" w:rsidP="00C73C35">
      <w:pPr>
        <w:keepNext/>
        <w:keepLines/>
        <w:shd w:val="clear" w:color="auto" w:fill="D9D9D9" w:themeFill="background1" w:themeFillShade="D9"/>
        <w:autoSpaceDE w:val="0"/>
        <w:autoSpaceDN w:val="0"/>
        <w:adjustRightInd w:val="0"/>
        <w:jc w:val="center"/>
        <w:rPr>
          <w:rFonts w:ascii="Arial" w:hAnsi="Arial" w:cs="Arial"/>
          <w:b/>
        </w:rPr>
      </w:pPr>
    </w:p>
    <w:p w14:paraId="20A19259" w14:textId="77777777" w:rsidR="00C73C35" w:rsidRDefault="00C73C35" w:rsidP="00C73C35">
      <w:pPr>
        <w:keepNext/>
        <w:keepLines/>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2912418D"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3C698388" w14:textId="77777777" w:rsidR="00C73C35" w:rsidRDefault="00C73C35" w:rsidP="00C73C35">
      <w:pPr>
        <w:pStyle w:val="ListParagraph"/>
        <w:autoSpaceDE w:val="0"/>
        <w:autoSpaceDN w:val="0"/>
        <w:adjustRightInd w:val="0"/>
        <w:ind w:left="360"/>
        <w:rPr>
          <w:rFonts w:ascii="Arial" w:hAnsi="Arial" w:cs="Arial"/>
        </w:rPr>
      </w:pPr>
    </w:p>
    <w:p w14:paraId="36E7D2EC"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76936B64" w14:textId="77777777" w:rsidR="00C73C35" w:rsidRDefault="00C73C35" w:rsidP="00C73C35">
      <w:pPr>
        <w:pStyle w:val="ListParagraph"/>
        <w:autoSpaceDE w:val="0"/>
        <w:autoSpaceDN w:val="0"/>
        <w:adjustRightInd w:val="0"/>
        <w:ind w:left="360"/>
        <w:rPr>
          <w:rFonts w:ascii="Arial" w:hAnsi="Arial" w:cs="Arial"/>
        </w:rPr>
      </w:pPr>
    </w:p>
    <w:p w14:paraId="108BDC5C"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609160CE" w14:textId="77777777" w:rsidR="00C73C35" w:rsidRDefault="00C73C35" w:rsidP="00C73C35">
      <w:pPr>
        <w:pStyle w:val="ListParagraph"/>
        <w:autoSpaceDE w:val="0"/>
        <w:autoSpaceDN w:val="0"/>
        <w:adjustRightInd w:val="0"/>
        <w:ind w:left="360"/>
        <w:rPr>
          <w:rFonts w:ascii="Arial" w:hAnsi="Arial" w:cs="Arial"/>
        </w:rPr>
      </w:pPr>
    </w:p>
    <w:p w14:paraId="443B9F32"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 at any stage of its life cycle?</w:t>
      </w:r>
    </w:p>
    <w:p w14:paraId="3E570B45" w14:textId="77777777" w:rsidR="00C73C35" w:rsidRDefault="00C73C35" w:rsidP="00C73C35">
      <w:pPr>
        <w:pStyle w:val="ListParagraph"/>
        <w:autoSpaceDE w:val="0"/>
        <w:autoSpaceDN w:val="0"/>
        <w:adjustRightInd w:val="0"/>
        <w:ind w:left="360"/>
        <w:rPr>
          <w:rFonts w:ascii="Arial" w:hAnsi="Arial" w:cs="Arial"/>
        </w:rPr>
      </w:pPr>
    </w:p>
    <w:p w14:paraId="2C582232"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4C24A09F" w14:textId="77777777" w:rsidR="00C73C35" w:rsidRDefault="00C73C35" w:rsidP="00C73C35">
      <w:pPr>
        <w:autoSpaceDE w:val="0"/>
        <w:autoSpaceDN w:val="0"/>
        <w:adjustRightInd w:val="0"/>
        <w:ind w:left="1560" w:hanging="1560"/>
        <w:rPr>
          <w:rFonts w:ascii="Arial,Bold" w:hAnsi="Arial,Bold" w:cs="Arial,Bold"/>
          <w:b/>
          <w:bCs/>
        </w:rPr>
      </w:pPr>
    </w:p>
    <w:p w14:paraId="3432C00A" w14:textId="77777777" w:rsidR="00C73C35" w:rsidRDefault="00C73C35" w:rsidP="00C73C35">
      <w:pPr>
        <w:keepNext/>
        <w:keepLines/>
        <w:autoSpaceDE w:val="0"/>
        <w:autoSpaceDN w:val="0"/>
        <w:adjustRightInd w:val="0"/>
        <w:ind w:left="1559" w:hanging="1559"/>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439FCE94"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64C4DAE8" w14:textId="77777777" w:rsidR="00C73C35" w:rsidRDefault="00C73C35" w:rsidP="00C73C35">
      <w:pPr>
        <w:pStyle w:val="ListParagraph"/>
        <w:autoSpaceDE w:val="0"/>
        <w:autoSpaceDN w:val="0"/>
        <w:adjustRightInd w:val="0"/>
        <w:ind w:left="360"/>
        <w:rPr>
          <w:rFonts w:ascii="Arial" w:hAnsi="Arial" w:cs="Arial"/>
        </w:rPr>
      </w:pPr>
    </w:p>
    <w:p w14:paraId="6F0ED9A2"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27C01683" w14:textId="77777777" w:rsidR="00C73C35" w:rsidRDefault="00C73C35" w:rsidP="00C73C35">
      <w:pPr>
        <w:pStyle w:val="ListParagraph"/>
        <w:autoSpaceDE w:val="0"/>
        <w:autoSpaceDN w:val="0"/>
        <w:adjustRightInd w:val="0"/>
        <w:ind w:left="360"/>
        <w:rPr>
          <w:rFonts w:ascii="Arial" w:hAnsi="Arial" w:cs="Arial"/>
        </w:rPr>
      </w:pPr>
    </w:p>
    <w:p w14:paraId="0F2C6068"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Would you recommend translocation (outside of the species’ historic range) as a viable option as a conservation actions for this species?</w:t>
      </w:r>
    </w:p>
    <w:p w14:paraId="7499F2C2" w14:textId="77777777" w:rsidR="00C73C35" w:rsidRDefault="00C73C35" w:rsidP="00C73C35">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7765B668"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14139CD5" w14:textId="77777777" w:rsidR="00C73C35" w:rsidRDefault="00C73C35" w:rsidP="00C73C35">
      <w:pPr>
        <w:pStyle w:val="ListParagraph"/>
        <w:autoSpaceDE w:val="0"/>
        <w:autoSpaceDN w:val="0"/>
        <w:adjustRightInd w:val="0"/>
        <w:ind w:left="360"/>
        <w:rPr>
          <w:rFonts w:ascii="Arial" w:hAnsi="Arial" w:cs="Arial"/>
          <w:color w:val="000000"/>
        </w:rPr>
      </w:pPr>
    </w:p>
    <w:p w14:paraId="4F746454"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3F39D943" w14:textId="77777777" w:rsidR="00C73C35" w:rsidRDefault="00C73C35" w:rsidP="00C73C35">
      <w:pPr>
        <w:pStyle w:val="ListParagraph"/>
        <w:autoSpaceDE w:val="0"/>
        <w:autoSpaceDN w:val="0"/>
        <w:adjustRightInd w:val="0"/>
        <w:ind w:left="360"/>
        <w:rPr>
          <w:rFonts w:ascii="Arial" w:hAnsi="Arial" w:cs="Arial"/>
          <w:color w:val="000000"/>
        </w:rPr>
      </w:pPr>
    </w:p>
    <w:p w14:paraId="2950A4A6"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15C94ED2" w14:textId="77777777" w:rsidR="00C73C35" w:rsidRDefault="00C73C35" w:rsidP="00C73C35">
      <w:pPr>
        <w:pStyle w:val="ListParagraph"/>
        <w:autoSpaceDE w:val="0"/>
        <w:autoSpaceDN w:val="0"/>
        <w:adjustRightInd w:val="0"/>
        <w:ind w:left="360"/>
        <w:rPr>
          <w:rFonts w:ascii="Arial" w:hAnsi="Arial" w:cs="Arial"/>
          <w:color w:val="000000"/>
        </w:rPr>
      </w:pPr>
    </w:p>
    <w:p w14:paraId="66E191F2"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76A8F1F0" w14:textId="77777777" w:rsidR="00C73C35" w:rsidRDefault="00C73C35" w:rsidP="00C73C35">
      <w:pPr>
        <w:pStyle w:val="ListParagraph"/>
        <w:autoSpaceDE w:val="0"/>
        <w:autoSpaceDN w:val="0"/>
        <w:adjustRightInd w:val="0"/>
        <w:ind w:left="360"/>
        <w:rPr>
          <w:rFonts w:ascii="Arial" w:hAnsi="Arial" w:cs="Arial"/>
          <w:color w:val="000000"/>
        </w:rPr>
      </w:pPr>
    </w:p>
    <w:p w14:paraId="72E5904C" w14:textId="3757949C" w:rsidR="00C73C35" w:rsidRPr="00C73C35" w:rsidRDefault="00C73C35" w:rsidP="00C73C35">
      <w:pPr>
        <w:pStyle w:val="ListParagraph"/>
        <w:keepNext/>
        <w:keepLines/>
        <w:numPr>
          <w:ilvl w:val="0"/>
          <w:numId w:val="17"/>
        </w:numPr>
        <w:autoSpaceDE w:val="0"/>
        <w:autoSpaceDN w:val="0"/>
        <w:adjustRightInd w:val="0"/>
        <w:spacing w:after="0" w:line="240" w:lineRule="auto"/>
        <w:ind w:left="357" w:hanging="357"/>
        <w:rPr>
          <w:rFonts w:ascii="Arial" w:hAnsi="Arial" w:cs="Arial"/>
          <w:color w:val="000000"/>
        </w:rPr>
      </w:pPr>
      <w:r>
        <w:rPr>
          <w:rFonts w:ascii="Arial" w:hAnsi="Arial" w:cs="Arial"/>
        </w:rPr>
        <w:lastRenderedPageBreak/>
        <w:t>What level of awareness is there with individuals or organisations around the issues affecting the species?</w:t>
      </w:r>
    </w:p>
    <w:p w14:paraId="35ECED6E" w14:textId="77777777" w:rsidR="00C73C35" w:rsidRPr="00C73C35" w:rsidRDefault="00C73C35" w:rsidP="00C73C35">
      <w:pPr>
        <w:keepNext/>
        <w:keepLines/>
        <w:autoSpaceDE w:val="0"/>
        <w:autoSpaceDN w:val="0"/>
        <w:adjustRightInd w:val="0"/>
        <w:spacing w:after="0" w:line="240" w:lineRule="auto"/>
        <w:rPr>
          <w:rFonts w:ascii="Arial" w:hAnsi="Arial" w:cs="Arial"/>
          <w:color w:val="000000"/>
        </w:rPr>
      </w:pPr>
    </w:p>
    <w:p w14:paraId="6BDDB349" w14:textId="77777777" w:rsidR="00C73C35" w:rsidRDefault="00C73C35" w:rsidP="00C73C35">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3333E524" w14:textId="77777777" w:rsidR="00C73C35" w:rsidRDefault="00C73C35" w:rsidP="00C73C35">
      <w:pPr>
        <w:pStyle w:val="ListParagraph"/>
        <w:autoSpaceDE w:val="0"/>
        <w:autoSpaceDN w:val="0"/>
        <w:adjustRightInd w:val="0"/>
        <w:ind w:left="1080"/>
        <w:rPr>
          <w:rFonts w:ascii="Arial" w:hAnsi="Arial" w:cs="Arial"/>
          <w:color w:val="000000"/>
        </w:rPr>
      </w:pPr>
    </w:p>
    <w:p w14:paraId="68EA6606" w14:textId="77777777" w:rsidR="00C73C35" w:rsidRDefault="00C73C35" w:rsidP="00C73C35">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058D51D2" w14:textId="77777777" w:rsidR="00C73C35" w:rsidRDefault="00C73C35" w:rsidP="00C73C35">
      <w:pPr>
        <w:shd w:val="clear" w:color="auto" w:fill="D9D9D9" w:themeFill="background1" w:themeFillShade="D9"/>
        <w:autoSpaceDE w:val="0"/>
        <w:autoSpaceDN w:val="0"/>
        <w:adjustRightInd w:val="0"/>
        <w:jc w:val="center"/>
        <w:rPr>
          <w:rFonts w:ascii="Arial" w:hAnsi="Arial" w:cs="Arial"/>
          <w:b/>
        </w:rPr>
      </w:pPr>
    </w:p>
    <w:p w14:paraId="1988A86D" w14:textId="77777777" w:rsidR="00C73C35" w:rsidRPr="009F43F9" w:rsidRDefault="00C73C35" w:rsidP="00C73C3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2AB22DD9" w14:textId="77777777" w:rsidR="00C73C35" w:rsidRDefault="00C73C35" w:rsidP="00C73C35">
      <w:pPr>
        <w:shd w:val="clear" w:color="auto" w:fill="D9D9D9" w:themeFill="background1" w:themeFillShade="D9"/>
        <w:autoSpaceDE w:val="0"/>
        <w:autoSpaceDN w:val="0"/>
        <w:adjustRightInd w:val="0"/>
        <w:jc w:val="center"/>
        <w:rPr>
          <w:rFonts w:ascii="Arial" w:hAnsi="Arial" w:cs="Arial"/>
          <w:b/>
        </w:rPr>
      </w:pPr>
    </w:p>
    <w:p w14:paraId="580AD1CE" w14:textId="77777777" w:rsidR="00C73C35" w:rsidRDefault="00C73C35" w:rsidP="00C73C35">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11B3D1C2" w14:textId="77777777" w:rsidR="00C73C35" w:rsidRDefault="00C73C35">
      <w:pPr>
        <w:spacing w:after="0" w:line="240" w:lineRule="auto"/>
        <w:rPr>
          <w:rFonts w:ascii="Calibri" w:hAnsi="Calibri"/>
          <w:b/>
          <w:sz w:val="36"/>
          <w:szCs w:val="36"/>
        </w:rPr>
      </w:pPr>
      <w:r>
        <w:br w:type="page"/>
      </w:r>
    </w:p>
    <w:p w14:paraId="6FD68C7D" w14:textId="2DF7ACFB" w:rsidR="009D41D2" w:rsidRDefault="00460C44" w:rsidP="009D41D2">
      <w:pPr>
        <w:pStyle w:val="DisseminationLimitingMarker"/>
      </w:pPr>
      <w:r>
        <w:lastRenderedPageBreak/>
        <w:t xml:space="preserve">Conservation </w:t>
      </w:r>
      <w:r w:rsidR="002319AB">
        <w:t>A</w:t>
      </w:r>
      <w:r>
        <w:t>dvic</w:t>
      </w:r>
      <w:r w:rsidR="007C5B94">
        <w:t>e</w:t>
      </w:r>
      <w:r>
        <w:t xml:space="preserve"> for </w:t>
      </w:r>
      <w:r w:rsidR="00B16806">
        <w:br/>
      </w:r>
      <w:proofErr w:type="spellStart"/>
      <w:r w:rsidR="003943F8">
        <w:rPr>
          <w:rStyle w:val="Emphasis"/>
        </w:rPr>
        <w:t>Darwinia</w:t>
      </w:r>
      <w:proofErr w:type="spellEnd"/>
      <w:r w:rsidR="003943F8">
        <w:rPr>
          <w:rStyle w:val="Emphasis"/>
        </w:rPr>
        <w:t xml:space="preserve"> </w:t>
      </w:r>
      <w:proofErr w:type="spellStart"/>
      <w:r w:rsidR="003943F8">
        <w:rPr>
          <w:rStyle w:val="Emphasis"/>
        </w:rPr>
        <w:t>collina</w:t>
      </w:r>
      <w:proofErr w:type="spellEnd"/>
      <w:r w:rsidR="002B01EE">
        <w:t xml:space="preserve"> </w:t>
      </w:r>
      <w:r w:rsidRPr="002B01EE">
        <w:t>(</w:t>
      </w:r>
      <w:r w:rsidR="005C296C">
        <w:t>y</w:t>
      </w:r>
      <w:r w:rsidR="003943F8">
        <w:t xml:space="preserve">ellow </w:t>
      </w:r>
      <w:r w:rsidR="005C296C">
        <w:t>m</w:t>
      </w:r>
      <w:r w:rsidR="003943F8">
        <w:t xml:space="preserve">ountain </w:t>
      </w:r>
      <w:r w:rsidR="005C296C">
        <w:t>b</w:t>
      </w:r>
      <w:r w:rsidR="003943F8">
        <w:t>ell</w:t>
      </w:r>
      <w:r w:rsidRPr="002B01EE">
        <w:t>)</w:t>
      </w:r>
    </w:p>
    <w:p w14:paraId="14D89B96" w14:textId="77777777" w:rsidR="005B3D88" w:rsidRPr="005B3D88" w:rsidRDefault="005B3D88" w:rsidP="005B3D88">
      <w:pPr>
        <w:pStyle w:val="Header"/>
      </w:pPr>
    </w:p>
    <w:p w14:paraId="1F896C5A" w14:textId="77777777" w:rsidR="00A7798C" w:rsidRPr="00A7798C" w:rsidRDefault="00F22A63" w:rsidP="00B038DF">
      <w:r>
        <w:rPr>
          <w:noProof/>
        </w:rPr>
        <mc:AlternateContent>
          <mc:Choice Requires="wps">
            <w:drawing>
              <wp:anchor distT="45720" distB="45720" distL="114300" distR="114300" simplePos="0" relativeHeight="251658241" behindDoc="0" locked="0" layoutInCell="1" allowOverlap="1" wp14:anchorId="04D7E7C8" wp14:editId="69E39C26">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3D2ED06" w14:textId="77777777" w:rsidR="00B72149" w:rsidRDefault="00B72149"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DDBC2FE" w14:textId="77777777" w:rsidR="00B72149" w:rsidRPr="00683895" w:rsidRDefault="00B72149" w:rsidP="00683895"/>
                          <w:p w14:paraId="12D44C83" w14:textId="15D44830" w:rsidR="00B72149" w:rsidRDefault="00B72149"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758806F1" w14:textId="7E2C8F9A" w:rsidR="00B72149" w:rsidRPr="00B038DF" w:rsidRDefault="00B72149"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E7F4515" w14:textId="77777777" w:rsidR="00B72149" w:rsidRDefault="00B72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7E7C8"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13D2ED06" w14:textId="77777777" w:rsidR="00B72149" w:rsidRDefault="00B72149"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DDBC2FE" w14:textId="77777777" w:rsidR="00B72149" w:rsidRPr="00683895" w:rsidRDefault="00B72149" w:rsidP="00683895"/>
                    <w:p w14:paraId="12D44C83" w14:textId="15D44830" w:rsidR="00B72149" w:rsidRDefault="00B72149"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758806F1" w14:textId="7E2C8F9A" w:rsidR="00B72149" w:rsidRPr="00B038DF" w:rsidRDefault="00B72149"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E7F4515" w14:textId="77777777" w:rsidR="00B72149" w:rsidRDefault="00B72149"/>
                  </w:txbxContent>
                </v:textbox>
                <w10:wrap type="square"/>
              </v:shape>
            </w:pict>
          </mc:Fallback>
        </mc:AlternateContent>
      </w:r>
    </w:p>
    <w:p w14:paraId="760E7469" w14:textId="77777777" w:rsidR="00A7798C" w:rsidRDefault="00A7798C" w:rsidP="00A7798C"/>
    <w:p w14:paraId="2394D76F" w14:textId="77777777" w:rsidR="00A7798C" w:rsidRDefault="00A7798C" w:rsidP="00A7798C"/>
    <w:p w14:paraId="20197765" w14:textId="77777777" w:rsidR="00A7798C" w:rsidRDefault="00A7798C" w:rsidP="00A7798C"/>
    <w:p w14:paraId="0C062EC4" w14:textId="77777777" w:rsidR="00A7798C" w:rsidRPr="00A7798C" w:rsidRDefault="00A7798C" w:rsidP="00B038DF"/>
    <w:p w14:paraId="643CDD35" w14:textId="77777777" w:rsidR="00A14BC6" w:rsidRDefault="00A14BC6" w:rsidP="00E707AE">
      <w:pPr>
        <w:pStyle w:val="Author"/>
      </w:pPr>
    </w:p>
    <w:p w14:paraId="0DFF2973" w14:textId="77777777" w:rsidR="00A14BC6" w:rsidRDefault="00A14BC6" w:rsidP="00E707AE">
      <w:pPr>
        <w:pStyle w:val="Author"/>
      </w:pPr>
    </w:p>
    <w:p w14:paraId="10E5E989" w14:textId="77777777" w:rsidR="00A14BC6" w:rsidRDefault="00A14BC6" w:rsidP="00E707AE">
      <w:pPr>
        <w:pStyle w:val="Author"/>
      </w:pPr>
    </w:p>
    <w:p w14:paraId="5F3CEE8E" w14:textId="77777777" w:rsidR="004B38BC" w:rsidRDefault="004B38BC" w:rsidP="00E707AE">
      <w:pPr>
        <w:pStyle w:val="Author"/>
      </w:pPr>
    </w:p>
    <w:p w14:paraId="3F98A9DC" w14:textId="77777777" w:rsidR="004B38BC" w:rsidRDefault="004B38BC" w:rsidP="00E707AE">
      <w:pPr>
        <w:pStyle w:val="Author"/>
      </w:pPr>
    </w:p>
    <w:p w14:paraId="4122EFAA" w14:textId="77777777" w:rsidR="003943F8" w:rsidRDefault="003943F8" w:rsidP="003943F8">
      <w:r w:rsidRPr="00BD2E26">
        <w:t>This document combines the draft conservation advice and listing assessment for the species. It provides a foundation for conservation action and further planning.</w:t>
      </w:r>
    </w:p>
    <w:p w14:paraId="53266DFE" w14:textId="77777777" w:rsidR="003D034E" w:rsidRPr="00FF7B37" w:rsidRDefault="003D034E" w:rsidP="003D034E">
      <w:pPr>
        <w:spacing w:after="0"/>
        <w:jc w:val="center"/>
      </w:pPr>
      <w:r>
        <w:rPr>
          <w:noProof/>
        </w:rPr>
        <w:drawing>
          <wp:inline distT="0" distB="0" distL="0" distR="0" wp14:anchorId="08778F94" wp14:editId="7D777AB7">
            <wp:extent cx="4238625" cy="3190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5897" cy="3196348"/>
                    </a:xfrm>
                    <a:prstGeom prst="rect">
                      <a:avLst/>
                    </a:prstGeom>
                    <a:noFill/>
                    <a:ln>
                      <a:noFill/>
                    </a:ln>
                  </pic:spPr>
                </pic:pic>
              </a:graphicData>
            </a:graphic>
          </wp:inline>
        </w:drawing>
      </w:r>
    </w:p>
    <w:p w14:paraId="045693FA" w14:textId="0BF0226F" w:rsidR="003D034E" w:rsidRPr="000A6133" w:rsidRDefault="003D034E" w:rsidP="003D034E">
      <w:pPr>
        <w:pStyle w:val="FigureTableNoteSource"/>
        <w:spacing w:before="0"/>
        <w:jc w:val="center"/>
      </w:pPr>
      <w:bookmarkStart w:id="2" w:name="_Hlk46319602"/>
      <w:proofErr w:type="spellStart"/>
      <w:r>
        <w:rPr>
          <w:i/>
          <w:iCs/>
        </w:rPr>
        <w:t>Darwinia</w:t>
      </w:r>
      <w:proofErr w:type="spellEnd"/>
      <w:r>
        <w:rPr>
          <w:i/>
          <w:iCs/>
        </w:rPr>
        <w:t xml:space="preserve"> </w:t>
      </w:r>
      <w:proofErr w:type="spellStart"/>
      <w:r>
        <w:rPr>
          <w:i/>
          <w:iCs/>
        </w:rPr>
        <w:t>collina</w:t>
      </w:r>
      <w:proofErr w:type="spellEnd"/>
      <w:r>
        <w:rPr>
          <w:i/>
          <w:iCs/>
        </w:rPr>
        <w:t xml:space="preserve"> </w:t>
      </w:r>
      <w:r>
        <w:t>(</w:t>
      </w:r>
      <w:r w:rsidR="005C296C">
        <w:t>y</w:t>
      </w:r>
      <w:r>
        <w:t xml:space="preserve">ellow </w:t>
      </w:r>
      <w:r w:rsidR="005C296C">
        <w:t>m</w:t>
      </w:r>
      <w:r>
        <w:t xml:space="preserve">ountain </w:t>
      </w:r>
      <w:r w:rsidR="005C296C">
        <w:t>b</w:t>
      </w:r>
      <w:r>
        <w:t>ell) © Copyright S.D. Hopper and A.P. Brown; Western Australian Herbarium, Department of Biodiversity, Conservation and Attractions.</w:t>
      </w:r>
    </w:p>
    <w:bookmarkEnd w:id="2"/>
    <w:p w14:paraId="427B35A4" w14:textId="77777777" w:rsidR="006D3581" w:rsidRPr="00AC3A2A" w:rsidRDefault="006D3581" w:rsidP="00C73C35">
      <w:pPr>
        <w:pStyle w:val="Heading2"/>
        <w:keepLines/>
        <w:ind w:left="720" w:hanging="720"/>
      </w:pPr>
      <w:r>
        <w:lastRenderedPageBreak/>
        <w:t>Conservation status</w:t>
      </w:r>
    </w:p>
    <w:p w14:paraId="3A53A9F3" w14:textId="181937D7" w:rsidR="00E61E77" w:rsidRPr="0071568F" w:rsidRDefault="0071568F" w:rsidP="00C73C35">
      <w:pPr>
        <w:pStyle w:val="Consultationtext"/>
        <w:keepNext/>
        <w:keepLines/>
        <w:rPr>
          <w:color w:val="auto"/>
        </w:rPr>
      </w:pPr>
      <w:proofErr w:type="spellStart"/>
      <w:r>
        <w:rPr>
          <w:rStyle w:val="Emphasis"/>
          <w:color w:val="auto"/>
        </w:rPr>
        <w:t>Darwinia</w:t>
      </w:r>
      <w:proofErr w:type="spellEnd"/>
      <w:r>
        <w:rPr>
          <w:rStyle w:val="Emphasis"/>
          <w:color w:val="auto"/>
        </w:rPr>
        <w:t xml:space="preserve"> </w:t>
      </w:r>
      <w:proofErr w:type="spellStart"/>
      <w:r>
        <w:rPr>
          <w:rStyle w:val="Emphasis"/>
          <w:color w:val="auto"/>
        </w:rPr>
        <w:t>collina</w:t>
      </w:r>
      <w:proofErr w:type="spellEnd"/>
      <w:r w:rsidR="00E61E77" w:rsidRPr="0071568F">
        <w:rPr>
          <w:color w:val="auto"/>
        </w:rPr>
        <w:t xml:space="preserve"> (</w:t>
      </w:r>
      <w:r w:rsidR="005C296C">
        <w:rPr>
          <w:color w:val="auto"/>
        </w:rPr>
        <w:t>y</w:t>
      </w:r>
      <w:r>
        <w:rPr>
          <w:color w:val="auto"/>
        </w:rPr>
        <w:t xml:space="preserve">ellow </w:t>
      </w:r>
      <w:r w:rsidR="005C296C">
        <w:rPr>
          <w:color w:val="auto"/>
        </w:rPr>
        <w:t>m</w:t>
      </w:r>
      <w:r>
        <w:rPr>
          <w:color w:val="auto"/>
        </w:rPr>
        <w:t xml:space="preserve">ountain </w:t>
      </w:r>
      <w:r w:rsidR="005C296C">
        <w:rPr>
          <w:color w:val="auto"/>
        </w:rPr>
        <w:t>b</w:t>
      </w:r>
      <w:r>
        <w:rPr>
          <w:color w:val="auto"/>
        </w:rPr>
        <w:t>ell</w:t>
      </w:r>
      <w:r w:rsidR="00E61E77" w:rsidRPr="0071568F">
        <w:rPr>
          <w:color w:val="auto"/>
        </w:rPr>
        <w:t xml:space="preserve">) is proposed to be </w:t>
      </w:r>
      <w:r w:rsidR="002A0B5E" w:rsidRPr="0071568F">
        <w:rPr>
          <w:color w:val="auto"/>
        </w:rPr>
        <w:t xml:space="preserve">transferred </w:t>
      </w:r>
      <w:r w:rsidR="00E61E77" w:rsidRPr="0071568F">
        <w:rPr>
          <w:color w:val="auto"/>
        </w:rPr>
        <w:t>from th</w:t>
      </w:r>
      <w:bookmarkStart w:id="3" w:name="_Hlk57798064"/>
      <w:r w:rsidR="00251F5A" w:rsidRPr="0071568F">
        <w:rPr>
          <w:color w:val="auto"/>
        </w:rPr>
        <w:t>e</w:t>
      </w:r>
      <w:r w:rsidR="00E83AA3" w:rsidRPr="0071568F">
        <w:rPr>
          <w:color w:val="auto"/>
        </w:rPr>
        <w:t xml:space="preserve"> </w:t>
      </w:r>
      <w:sdt>
        <w:sdtPr>
          <w:rPr>
            <w:color w:val="auto"/>
          </w:rPr>
          <w:id w:val="-720434868"/>
          <w:placeholder>
            <w:docPart w:val="C787FE90F06449E0867606ED2476BA63"/>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1568F">
            <w:rPr>
              <w:color w:val="auto"/>
            </w:rPr>
            <w:t>Endangered</w:t>
          </w:r>
        </w:sdtContent>
      </w:sdt>
      <w:bookmarkEnd w:id="3"/>
      <w:r w:rsidR="00E83AA3" w:rsidRPr="0071568F">
        <w:rPr>
          <w:color w:val="auto"/>
        </w:rPr>
        <w:t xml:space="preserve"> </w:t>
      </w:r>
      <w:r w:rsidR="00E61E77" w:rsidRPr="0071568F">
        <w:rPr>
          <w:color w:val="auto"/>
        </w:rPr>
        <w:t xml:space="preserve"> category </w:t>
      </w:r>
      <w:r w:rsidR="00A876F6" w:rsidRPr="0071568F">
        <w:rPr>
          <w:color w:val="auto"/>
        </w:rPr>
        <w:t xml:space="preserve">to the </w:t>
      </w:r>
      <w:sdt>
        <w:sdtPr>
          <w:rPr>
            <w:color w:val="auto"/>
          </w:rPr>
          <w:id w:val="454379346"/>
          <w:placeholder>
            <w:docPart w:val="7D876FA0F8A646EE83510CE9BCBAAC0A"/>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1568F">
            <w:rPr>
              <w:color w:val="auto"/>
            </w:rPr>
            <w:t>Critically Endangered</w:t>
          </w:r>
        </w:sdtContent>
      </w:sdt>
      <w:r w:rsidR="00A876F6" w:rsidRPr="0071568F">
        <w:rPr>
          <w:color w:val="auto"/>
        </w:rPr>
        <w:t xml:space="preserve"> category </w:t>
      </w:r>
      <w:r w:rsidR="00E61E77" w:rsidRPr="0071568F">
        <w:rPr>
          <w:color w:val="auto"/>
        </w:rPr>
        <w:t xml:space="preserve">of the threatened species list under the </w:t>
      </w:r>
      <w:r w:rsidR="00E61E77" w:rsidRPr="0071568F">
        <w:rPr>
          <w:rStyle w:val="Emphasis"/>
          <w:color w:val="auto"/>
        </w:rPr>
        <w:t>Environment Protection and Biodiversity Conservation Act 1999.</w:t>
      </w:r>
    </w:p>
    <w:p w14:paraId="138E5672" w14:textId="360819EC" w:rsidR="004D2790" w:rsidRDefault="0071568F" w:rsidP="004D2790">
      <w:proofErr w:type="spellStart"/>
      <w:r w:rsidRPr="0071568F">
        <w:rPr>
          <w:rStyle w:val="Emphasis"/>
        </w:rPr>
        <w:t>Darwinia</w:t>
      </w:r>
      <w:proofErr w:type="spellEnd"/>
      <w:r w:rsidRPr="0071568F">
        <w:rPr>
          <w:rStyle w:val="Emphasis"/>
        </w:rPr>
        <w:t xml:space="preserve"> </w:t>
      </w:r>
      <w:proofErr w:type="spellStart"/>
      <w:r w:rsidRPr="0071568F">
        <w:rPr>
          <w:rStyle w:val="Emphasis"/>
        </w:rPr>
        <w:t>collina</w:t>
      </w:r>
      <w:proofErr w:type="spellEnd"/>
      <w:r w:rsidRPr="0071568F">
        <w:t xml:space="preserve"> </w:t>
      </w:r>
      <w:r w:rsidR="004D2790" w:rsidRPr="0071568F">
        <w:t>was assessed by the Threatened Species Scientific Committee</w:t>
      </w:r>
      <w:r w:rsidR="005306BA" w:rsidRPr="0071568F">
        <w:t xml:space="preserve"> to be eligible for listing</w:t>
      </w:r>
      <w:r w:rsidR="001573B8" w:rsidRPr="0071568F">
        <w:t xml:space="preserve"> </w:t>
      </w:r>
      <w:r w:rsidR="00F82E2D">
        <w:t xml:space="preserve">as </w:t>
      </w:r>
      <w:r w:rsidR="00CD7437">
        <w:t>Critically</w:t>
      </w:r>
      <w:r w:rsidR="00F82E2D">
        <w:t xml:space="preserve"> Endangered </w:t>
      </w:r>
      <w:r w:rsidR="004D2790" w:rsidRPr="0071568F">
        <w:t>under</w:t>
      </w:r>
      <w:r w:rsidR="004D2790">
        <w:t xml:space="preserve"> </w:t>
      </w:r>
      <w:r w:rsidR="00F82E2D" w:rsidRPr="00F82E2D">
        <w:t>C</w:t>
      </w:r>
      <w:r w:rsidR="004D2790" w:rsidRPr="00F82E2D">
        <w:t>riteri</w:t>
      </w:r>
      <w:r w:rsidR="00F82E2D" w:rsidRPr="00F82E2D">
        <w:t>on</w:t>
      </w:r>
      <w:r w:rsidR="00F82E2D">
        <w:t xml:space="preserve"> 2</w:t>
      </w:r>
      <w:r w:rsidR="004D2790">
        <w:t xml:space="preserve">. The Committee’s </w:t>
      </w:r>
      <w:r w:rsidR="004D2790" w:rsidRPr="009638AE">
        <w:t>assessment</w:t>
      </w:r>
      <w:r w:rsidR="004D2790">
        <w:t xml:space="preserve"> is at Attachment A</w:t>
      </w:r>
      <w:r w:rsidR="00972E40">
        <w:t xml:space="preserve">. </w:t>
      </w:r>
      <w:r w:rsidR="004D2790">
        <w:t>The Committee</w:t>
      </w:r>
      <w:r w:rsidR="003B2A51">
        <w:t>’s</w:t>
      </w:r>
      <w:r w:rsidR="004D2790">
        <w:t xml:space="preserve"> </w:t>
      </w:r>
      <w:r w:rsidR="004D2790" w:rsidRPr="009638AE">
        <w:t>assessment</w:t>
      </w:r>
      <w:r w:rsidR="004D2790">
        <w:t xml:space="preserve"> of the species</w:t>
      </w:r>
      <w:r w:rsidR="009468FD">
        <w:t>’</w:t>
      </w:r>
      <w:r w:rsidR="004D2790">
        <w:t xml:space="preserve"> eligibility against each of the listing criteria is:</w:t>
      </w:r>
    </w:p>
    <w:p w14:paraId="7B26C80A" w14:textId="5BFBF436" w:rsidR="004D2790" w:rsidRDefault="004D2790" w:rsidP="004D2790">
      <w:pPr>
        <w:pStyle w:val="ListBullet"/>
      </w:pPr>
      <w:r>
        <w:t xml:space="preserve">Criterion 1: </w:t>
      </w:r>
      <w:sdt>
        <w:sdtPr>
          <w:id w:val="77107183"/>
          <w:placeholder>
            <w:docPart w:val="1A83C46AFB8C4B749FC6A603EFA2568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0A5719">
            <w:t>Insufficient data</w:t>
          </w:r>
        </w:sdtContent>
      </w:sdt>
    </w:p>
    <w:p w14:paraId="19D525D1" w14:textId="5674F4DC" w:rsidR="004D2790" w:rsidRPr="000A5719" w:rsidRDefault="004D2790" w:rsidP="004D2790">
      <w:pPr>
        <w:pStyle w:val="ListBullet"/>
      </w:pPr>
      <w:r w:rsidRPr="000A5719">
        <w:t>Criterion 2: B1</w:t>
      </w:r>
      <w:r w:rsidR="00903833" w:rsidRPr="000A5719">
        <w:t>ab(</w:t>
      </w:r>
      <w:proofErr w:type="spellStart"/>
      <w:proofErr w:type="gramStart"/>
      <w:r w:rsidR="00903833" w:rsidRPr="000A5719">
        <w:t>i,ii</w:t>
      </w:r>
      <w:proofErr w:type="gramEnd"/>
      <w:r w:rsidR="00903833" w:rsidRPr="000A5719">
        <w:t>,iii,iv,v</w:t>
      </w:r>
      <w:proofErr w:type="spellEnd"/>
      <w:r w:rsidR="00903833" w:rsidRPr="000A5719">
        <w:t>)c(iv)</w:t>
      </w:r>
      <w:r w:rsidR="00D17C18" w:rsidRPr="000A5719">
        <w:t>:</w:t>
      </w:r>
      <w:r w:rsidR="00A85421" w:rsidRPr="000A5719">
        <w:t xml:space="preserve"> </w:t>
      </w:r>
      <w:sdt>
        <w:sdtPr>
          <w:id w:val="-1042367401"/>
          <w:placeholder>
            <w:docPart w:val="76FDA32807144D6DA7C12596419D433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0A5719" w:rsidRPr="000A5719">
            <w:t>Critically Endangered</w:t>
          </w:r>
        </w:sdtContent>
      </w:sdt>
    </w:p>
    <w:p w14:paraId="211871E8" w14:textId="0F4DD551" w:rsidR="004D2790" w:rsidRPr="000A5719" w:rsidRDefault="004D2790" w:rsidP="004D2790">
      <w:pPr>
        <w:pStyle w:val="ListBullet"/>
      </w:pPr>
      <w:r w:rsidRPr="000A5719">
        <w:t xml:space="preserve">Criterion 3: </w:t>
      </w:r>
      <w:r w:rsidR="00903833" w:rsidRPr="000A5719">
        <w:t>C2b</w:t>
      </w:r>
      <w:r w:rsidR="00D17C18" w:rsidRPr="000A5719">
        <w:t>:</w:t>
      </w:r>
      <w:r w:rsidR="008B00FB" w:rsidRPr="000A5719">
        <w:t xml:space="preserve"> </w:t>
      </w:r>
      <w:sdt>
        <w:sdtPr>
          <w:id w:val="-151294044"/>
          <w:placeholder>
            <w:docPart w:val="63F2BBAC861C4587A7919C43C93A9392"/>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B46FC" w:rsidRPr="000A5719">
            <w:t>Vulnerable</w:t>
          </w:r>
        </w:sdtContent>
      </w:sdt>
    </w:p>
    <w:p w14:paraId="41D6A6D9" w14:textId="65858DA6" w:rsidR="002E32CA" w:rsidRDefault="004D2790" w:rsidP="004D2790">
      <w:pPr>
        <w:pStyle w:val="ListBullet"/>
      </w:pPr>
      <w:r>
        <w:t xml:space="preserve">Criterion 4: </w:t>
      </w:r>
      <w:sdt>
        <w:sdtPr>
          <w:id w:val="-2084978900"/>
          <w:placeholder>
            <w:docPart w:val="8F155F8F5A6E4AF78799D0CE244A588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B46FC">
            <w:t>Ineligible</w:t>
          </w:r>
        </w:sdtContent>
      </w:sdt>
    </w:p>
    <w:p w14:paraId="3D2A3772" w14:textId="0D2CA37D" w:rsidR="005306BA" w:rsidRDefault="004D2790" w:rsidP="003A06CA">
      <w:pPr>
        <w:pStyle w:val="ListBullet"/>
      </w:pPr>
      <w:r>
        <w:t xml:space="preserve">Criterion 5: </w:t>
      </w:r>
      <w:sdt>
        <w:sdtPr>
          <w:id w:val="1205373663"/>
          <w:placeholder>
            <w:docPart w:val="28901B4824A3485DBE1E6CB95406718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1D55ED">
            <w:t>Insufficient data</w:t>
          </w:r>
        </w:sdtContent>
      </w:sdt>
    </w:p>
    <w:p w14:paraId="179DEFA7" w14:textId="2280F4E2" w:rsidR="00C116F9" w:rsidRDefault="004D2790" w:rsidP="005306BA">
      <w:r w:rsidRPr="00272407">
        <w:t xml:space="preserve">The main </w:t>
      </w:r>
      <w:r w:rsidRPr="00612DAE">
        <w:t xml:space="preserve">factors that make the species eligible for listing in the </w:t>
      </w:r>
      <w:sdt>
        <w:sdtPr>
          <w:id w:val="-775248640"/>
          <w:placeholder>
            <w:docPart w:val="0D9315E93A9540CCA493CAC6C28DBE0D"/>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F961E7" w:rsidRPr="00612DAE">
            <w:t>Critically Endangered</w:t>
          </w:r>
        </w:sdtContent>
      </w:sdt>
      <w:r w:rsidR="00624A10" w:rsidRPr="00612DAE">
        <w:t xml:space="preserve"> </w:t>
      </w:r>
      <w:r w:rsidRPr="00612DAE">
        <w:t>category are</w:t>
      </w:r>
      <w:r w:rsidR="00F961E7" w:rsidRPr="00612DAE">
        <w:t xml:space="preserve"> </w:t>
      </w:r>
      <w:r w:rsidR="003637DC" w:rsidRPr="00612DAE">
        <w:t>very</w:t>
      </w:r>
      <w:r w:rsidR="00F56BF5" w:rsidRPr="00612DAE">
        <w:t xml:space="preserve"> restricted distribution and locations</w:t>
      </w:r>
      <w:r w:rsidR="00833DA2" w:rsidRPr="00612DAE">
        <w:t xml:space="preserve">; </w:t>
      </w:r>
      <w:r w:rsidR="00F56BF5" w:rsidRPr="00612DAE">
        <w:t xml:space="preserve">continuing decline in </w:t>
      </w:r>
      <w:r w:rsidR="00833DA2" w:rsidRPr="00612DAE">
        <w:t xml:space="preserve">extent of occurrence, area of occupancy, </w:t>
      </w:r>
      <w:r w:rsidR="00576F31">
        <w:t xml:space="preserve">area, extent and </w:t>
      </w:r>
      <w:r w:rsidR="00833DA2" w:rsidRPr="00612DAE">
        <w:t xml:space="preserve">quality of habitat, number </w:t>
      </w:r>
      <w:r w:rsidR="0075462B" w:rsidRPr="00612DAE">
        <w:t>of</w:t>
      </w:r>
      <w:r w:rsidR="00833DA2" w:rsidRPr="00612DAE">
        <w:t xml:space="preserve"> subpopulations</w:t>
      </w:r>
      <w:r w:rsidR="0075462B" w:rsidRPr="00612DAE">
        <w:t xml:space="preserve"> and </w:t>
      </w:r>
      <w:r w:rsidR="00833DA2" w:rsidRPr="00612DAE">
        <w:t>mature individual</w:t>
      </w:r>
      <w:r w:rsidR="0075462B" w:rsidRPr="00612DAE">
        <w:t>s;</w:t>
      </w:r>
      <w:r w:rsidR="003637DC" w:rsidRPr="00612DAE">
        <w:t xml:space="preserve"> and extreme fluctuations in the number of mature individuals</w:t>
      </w:r>
      <w:r w:rsidR="00272407" w:rsidRPr="00612DAE">
        <w:t>.</w:t>
      </w:r>
    </w:p>
    <w:p w14:paraId="06103F0A"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384F2578" w14:textId="77777777" w:rsidR="006D3581" w:rsidRDefault="006D3581" w:rsidP="006D3581">
      <w:pPr>
        <w:pStyle w:val="Heading2"/>
        <w:ind w:left="720" w:hanging="720"/>
      </w:pPr>
      <w:r>
        <w:t>Species information</w:t>
      </w:r>
    </w:p>
    <w:p w14:paraId="4F5D4755" w14:textId="77777777" w:rsidR="006D3581" w:rsidRDefault="006D3581" w:rsidP="00476948">
      <w:pPr>
        <w:pStyle w:val="Heading3"/>
      </w:pPr>
      <w:r>
        <w:t>Taxonomy</w:t>
      </w:r>
    </w:p>
    <w:p w14:paraId="48866072" w14:textId="6A2FEA24" w:rsidR="006D3581" w:rsidRDefault="006D3581" w:rsidP="006D3581">
      <w:bookmarkStart w:id="4" w:name="_Hlk46319676"/>
      <w:r>
        <w:t xml:space="preserve">Conventionally accepted as </w:t>
      </w:r>
      <w:proofErr w:type="spellStart"/>
      <w:r w:rsidR="00C52D13" w:rsidRPr="00F63BA8">
        <w:rPr>
          <w:rStyle w:val="Emphasis"/>
        </w:rPr>
        <w:t>Darwinia</w:t>
      </w:r>
      <w:proofErr w:type="spellEnd"/>
      <w:r w:rsidR="00C52D13" w:rsidRPr="00F63BA8">
        <w:rPr>
          <w:rStyle w:val="Emphasis"/>
        </w:rPr>
        <w:t xml:space="preserve"> </w:t>
      </w:r>
      <w:proofErr w:type="spellStart"/>
      <w:r w:rsidR="00C52D13" w:rsidRPr="00F63BA8">
        <w:rPr>
          <w:rStyle w:val="Emphasis"/>
        </w:rPr>
        <w:t>collina</w:t>
      </w:r>
      <w:proofErr w:type="spellEnd"/>
      <w:r w:rsidR="00C52D13" w:rsidRPr="00F63BA8">
        <w:rPr>
          <w:rStyle w:val="Emphasis"/>
        </w:rPr>
        <w:t xml:space="preserve"> </w:t>
      </w:r>
      <w:r w:rsidR="00C52D13" w:rsidRPr="00F63BA8">
        <w:t>Gardner (1923).</w:t>
      </w:r>
    </w:p>
    <w:p w14:paraId="2B171634" w14:textId="77777777" w:rsidR="008064B3" w:rsidRPr="008064B3" w:rsidRDefault="008064B3" w:rsidP="008064B3">
      <w:pPr>
        <w:pStyle w:val="Heading3"/>
      </w:pPr>
      <w:bookmarkStart w:id="5" w:name="_Ref445985062"/>
      <w:bookmarkStart w:id="6" w:name="_Toc409769199"/>
      <w:bookmarkStart w:id="7" w:name="_Toc454439316"/>
      <w:bookmarkEnd w:id="4"/>
      <w:r w:rsidRPr="008064B3">
        <w:t>Description</w:t>
      </w:r>
    </w:p>
    <w:p w14:paraId="6B488619" w14:textId="376EBBBB" w:rsidR="00F65097" w:rsidRPr="00386015" w:rsidRDefault="00F65097" w:rsidP="00F65097">
      <w:r w:rsidRPr="00386015">
        <w:t xml:space="preserve">The </w:t>
      </w:r>
      <w:r w:rsidR="005C296C">
        <w:t>y</w:t>
      </w:r>
      <w:r w:rsidRPr="00386015">
        <w:t xml:space="preserve">ellow </w:t>
      </w:r>
      <w:r w:rsidR="005C296C">
        <w:t>m</w:t>
      </w:r>
      <w:r w:rsidRPr="00386015">
        <w:t xml:space="preserve">ountain </w:t>
      </w:r>
      <w:r w:rsidR="005C296C">
        <w:t>b</w:t>
      </w:r>
      <w:r w:rsidRPr="00386015">
        <w:t xml:space="preserve">ell </w:t>
      </w:r>
      <w:r w:rsidR="00EE5ABE">
        <w:t xml:space="preserve">(family </w:t>
      </w:r>
      <w:proofErr w:type="spellStart"/>
      <w:r w:rsidR="00EE5ABE">
        <w:t>Myrtaceae</w:t>
      </w:r>
      <w:proofErr w:type="spellEnd"/>
      <w:r w:rsidR="00EE5ABE">
        <w:t xml:space="preserve">) </w:t>
      </w:r>
      <w:r w:rsidRPr="00386015">
        <w:t xml:space="preserve">is a dense, bushy shrub, which grows up to 1 m tall. The minutely toothed leaves are 1 cm long and 0.5 cm wide. The large, lemon-yellow bells are clusters of drooping flowers with white petals and stigmas up to 2 cm long, enclosed in yellow petal-like leaf bracts. The </w:t>
      </w:r>
      <w:r w:rsidR="00ED1D68">
        <w:t>flowers</w:t>
      </w:r>
      <w:r w:rsidR="00ED1D68" w:rsidRPr="00386015">
        <w:t xml:space="preserve"> </w:t>
      </w:r>
      <w:r w:rsidRPr="00386015">
        <w:t>may have a red tinge on Bluff Knoll</w:t>
      </w:r>
      <w:r w:rsidR="005C296C">
        <w:t>/Bula Meela</w:t>
      </w:r>
      <w:r w:rsidRPr="00386015">
        <w:t xml:space="preserve"> and </w:t>
      </w:r>
      <w:r w:rsidR="00CD7437" w:rsidRPr="00386015">
        <w:t>Coyanarup</w:t>
      </w:r>
      <w:r w:rsidRPr="00386015">
        <w:t xml:space="preserve"> Peak, Western Australia (WA). The fruits are brown and leathery when ripe.</w:t>
      </w:r>
      <w:r w:rsidR="008A28AF">
        <w:t xml:space="preserve"> </w:t>
      </w:r>
      <w:r w:rsidRPr="00386015">
        <w:t xml:space="preserve">The </w:t>
      </w:r>
      <w:r w:rsidR="005C296C">
        <w:t>y</w:t>
      </w:r>
      <w:r w:rsidRPr="00386015">
        <w:t xml:space="preserve">ellow </w:t>
      </w:r>
      <w:r w:rsidR="005C296C">
        <w:t>m</w:t>
      </w:r>
      <w:r w:rsidRPr="00386015">
        <w:t xml:space="preserve">ountain </w:t>
      </w:r>
      <w:r w:rsidR="005C296C">
        <w:t>be</w:t>
      </w:r>
      <w:r w:rsidRPr="00386015">
        <w:t xml:space="preserve">ll can be distinguished from other </w:t>
      </w:r>
      <w:r w:rsidR="005C296C">
        <w:t>m</w:t>
      </w:r>
      <w:r w:rsidRPr="00386015">
        <w:t xml:space="preserve">ountain </w:t>
      </w:r>
      <w:r w:rsidR="005C296C">
        <w:t>be</w:t>
      </w:r>
      <w:r w:rsidR="005C296C" w:rsidRPr="00386015">
        <w:t>ll</w:t>
      </w:r>
      <w:r w:rsidR="005C296C">
        <w:t>s</w:t>
      </w:r>
      <w:r w:rsidR="008A28AF">
        <w:t xml:space="preserve"> </w:t>
      </w:r>
      <w:r w:rsidRPr="00386015">
        <w:t xml:space="preserve">by its yellow bracts and more rounded bracts and leaves. Additionally, each </w:t>
      </w:r>
      <w:r w:rsidR="005C296C">
        <w:t>m</w:t>
      </w:r>
      <w:r w:rsidRPr="00386015">
        <w:t xml:space="preserve">ountain </w:t>
      </w:r>
      <w:r w:rsidR="005C296C">
        <w:t>b</w:t>
      </w:r>
      <w:r w:rsidRPr="00386015">
        <w:t xml:space="preserve">ell species has a distinct, well-defined distribution. The </w:t>
      </w:r>
      <w:r w:rsidR="005C296C">
        <w:t>y</w:t>
      </w:r>
      <w:r w:rsidRPr="00386015">
        <w:t xml:space="preserve">ellow </w:t>
      </w:r>
      <w:r w:rsidR="005C296C">
        <w:t>m</w:t>
      </w:r>
      <w:r w:rsidRPr="00386015">
        <w:t xml:space="preserve">ountain </w:t>
      </w:r>
      <w:r w:rsidR="005C296C">
        <w:t>b</w:t>
      </w:r>
      <w:r w:rsidRPr="00386015">
        <w:t xml:space="preserve">ell is known to hybridise with </w:t>
      </w:r>
      <w:proofErr w:type="spellStart"/>
      <w:r w:rsidRPr="00386015">
        <w:rPr>
          <w:i/>
          <w:iCs/>
        </w:rPr>
        <w:t>Darwinia</w:t>
      </w:r>
      <w:proofErr w:type="spellEnd"/>
      <w:r w:rsidRPr="00386015">
        <w:rPr>
          <w:i/>
          <w:iCs/>
        </w:rPr>
        <w:t xml:space="preserve"> </w:t>
      </w:r>
      <w:proofErr w:type="spellStart"/>
      <w:r w:rsidRPr="00386015">
        <w:rPr>
          <w:i/>
          <w:iCs/>
        </w:rPr>
        <w:t>leiostyla</w:t>
      </w:r>
      <w:proofErr w:type="spellEnd"/>
      <w:r w:rsidRPr="00386015">
        <w:rPr>
          <w:i/>
          <w:iCs/>
        </w:rPr>
        <w:t xml:space="preserve"> </w:t>
      </w:r>
      <w:r w:rsidRPr="00386015">
        <w:t>(</w:t>
      </w:r>
      <w:r w:rsidR="005C296C">
        <w:t>c</w:t>
      </w:r>
      <w:r w:rsidRPr="00386015">
        <w:t xml:space="preserve">ommon </w:t>
      </w:r>
      <w:r w:rsidR="005C296C">
        <w:t>m</w:t>
      </w:r>
      <w:r w:rsidRPr="00386015">
        <w:t xml:space="preserve">ountain </w:t>
      </w:r>
      <w:r w:rsidR="005C296C">
        <w:t>b</w:t>
      </w:r>
      <w:r w:rsidRPr="00386015">
        <w:t>ell).</w:t>
      </w:r>
    </w:p>
    <w:p w14:paraId="584D63B1" w14:textId="0BC94A38" w:rsidR="00F65097" w:rsidRPr="00386015" w:rsidRDefault="00F65097" w:rsidP="00F65097">
      <w:r w:rsidRPr="0026157B">
        <w:t xml:space="preserve">This description is drawn from </w:t>
      </w:r>
      <w:r w:rsidR="008B0C12" w:rsidRPr="0026157B">
        <w:rPr>
          <w:noProof/>
        </w:rPr>
        <w:t>Rye &amp; Hopper (1981)</w:t>
      </w:r>
      <w:r w:rsidRPr="0026157B">
        <w:t xml:space="preserve">, </w:t>
      </w:r>
      <w:r w:rsidR="0026157B" w:rsidRPr="0026157B">
        <w:rPr>
          <w:noProof/>
        </w:rPr>
        <w:t>Keighery (1985)</w:t>
      </w:r>
      <w:r w:rsidRPr="0026157B">
        <w:t xml:space="preserve">, </w:t>
      </w:r>
      <w:r w:rsidR="0026157B" w:rsidRPr="0026157B">
        <w:rPr>
          <w:noProof/>
        </w:rPr>
        <w:t>Hopper et al. (1990)</w:t>
      </w:r>
      <w:r w:rsidRPr="0026157B">
        <w:t xml:space="preserve">, </w:t>
      </w:r>
      <w:r w:rsidR="0026157B" w:rsidRPr="0026157B">
        <w:rPr>
          <w:noProof/>
        </w:rPr>
        <w:t>Robinson &amp; Coates (1995)</w:t>
      </w:r>
      <w:r w:rsidRPr="0026157B">
        <w:t xml:space="preserve">, </w:t>
      </w:r>
      <w:r w:rsidR="0026157B" w:rsidRPr="0026157B">
        <w:rPr>
          <w:noProof/>
        </w:rPr>
        <w:t>Brown et al. (1998)</w:t>
      </w:r>
      <w:r w:rsidRPr="0026157B">
        <w:t xml:space="preserve"> and </w:t>
      </w:r>
      <w:r w:rsidR="0026157B" w:rsidRPr="0026157B">
        <w:rPr>
          <w:noProof/>
        </w:rPr>
        <w:t>Cochrane (2013)</w:t>
      </w:r>
      <w:r w:rsidRPr="0026157B">
        <w:t>.</w:t>
      </w:r>
    </w:p>
    <w:p w14:paraId="288F5097" w14:textId="1793F025" w:rsidR="00651F93" w:rsidRPr="008A28AF" w:rsidRDefault="008064B3" w:rsidP="0026157B">
      <w:pPr>
        <w:pStyle w:val="Heading3"/>
      </w:pPr>
      <w:r w:rsidRPr="008A28AF">
        <w:lastRenderedPageBreak/>
        <w:t>Distribution</w:t>
      </w:r>
    </w:p>
    <w:p w14:paraId="3853406D" w14:textId="4E5CFD55" w:rsidR="008A28AF" w:rsidRPr="008A28AF" w:rsidRDefault="008A28AF" w:rsidP="0026157B">
      <w:pPr>
        <w:keepNext/>
        <w:keepLines/>
        <w:rPr>
          <w:i/>
          <w:iCs/>
        </w:rPr>
      </w:pPr>
      <w:r w:rsidRPr="008A28AF">
        <w:rPr>
          <w:i/>
          <w:iCs/>
        </w:rPr>
        <w:t>Current distribution</w:t>
      </w:r>
    </w:p>
    <w:p w14:paraId="7F62035B" w14:textId="5B588204" w:rsidR="006011C4" w:rsidRDefault="00161FAA" w:rsidP="006011C4">
      <w:pPr>
        <w:keepNext/>
        <w:keepLines/>
        <w:rPr>
          <w:highlight w:val="yellow"/>
        </w:rPr>
      </w:pPr>
      <w:r w:rsidRPr="006310CF">
        <w:t xml:space="preserve">The </w:t>
      </w:r>
      <w:r w:rsidR="005C296C">
        <w:t>y</w:t>
      </w:r>
      <w:r w:rsidRPr="006310CF">
        <w:t xml:space="preserve">ellow </w:t>
      </w:r>
      <w:r w:rsidR="005C296C">
        <w:t>mo</w:t>
      </w:r>
      <w:r w:rsidRPr="006310CF">
        <w:t xml:space="preserve">untain </w:t>
      </w:r>
      <w:r w:rsidR="005C296C">
        <w:t>b</w:t>
      </w:r>
      <w:r w:rsidRPr="006310CF">
        <w:t xml:space="preserve">ell is endemic to </w:t>
      </w:r>
      <w:r w:rsidR="006011C4">
        <w:t>the Stirling Range</w:t>
      </w:r>
      <w:r w:rsidR="006D0D9F">
        <w:t>/</w:t>
      </w:r>
      <w:proofErr w:type="spellStart"/>
      <w:r w:rsidR="007A0007" w:rsidRPr="007A0007">
        <w:t>Koikyenunuruff</w:t>
      </w:r>
      <w:proofErr w:type="spellEnd"/>
      <w:r w:rsidR="007A0007" w:rsidRPr="007A0007">
        <w:t xml:space="preserve"> </w:t>
      </w:r>
      <w:r w:rsidR="00EE6B28" w:rsidRPr="006310CF">
        <w:t>in</w:t>
      </w:r>
      <w:r w:rsidRPr="006310CF">
        <w:t xml:space="preserve"> the Esperance Plains </w:t>
      </w:r>
      <w:r w:rsidR="00EE6B28" w:rsidRPr="006310CF">
        <w:t>b</w:t>
      </w:r>
      <w:r w:rsidRPr="006310CF">
        <w:t>ioregion</w:t>
      </w:r>
      <w:r w:rsidR="00EE6B28" w:rsidRPr="006310CF">
        <w:t xml:space="preserve"> (IBRA7)</w:t>
      </w:r>
      <w:r w:rsidR="0075639B" w:rsidRPr="006310CF">
        <w:t xml:space="preserve"> </w:t>
      </w:r>
      <w:r w:rsidR="006310CF">
        <w:t>of</w:t>
      </w:r>
      <w:r w:rsidRPr="006310CF">
        <w:t xml:space="preserve"> W</w:t>
      </w:r>
      <w:r w:rsidR="006310CF">
        <w:t>A</w:t>
      </w:r>
      <w:r w:rsidRPr="006310CF">
        <w:t xml:space="preserve">. </w:t>
      </w:r>
      <w:r w:rsidR="0075639B" w:rsidRPr="006310CF">
        <w:t xml:space="preserve">The species is part of </w:t>
      </w:r>
      <w:r w:rsidR="00EE6B28" w:rsidRPr="006310CF">
        <w:t>the Eastern Stirling Range Montane Heath and Thicket Threatened Ecological Community</w:t>
      </w:r>
      <w:r w:rsidR="007B136B">
        <w:t>,</w:t>
      </w:r>
      <w:r w:rsidR="00EE6B28" w:rsidRPr="006310CF">
        <w:t xml:space="preserve"> </w:t>
      </w:r>
      <w:r w:rsidR="0075639B" w:rsidRPr="006310CF">
        <w:t>which is listed as Endangered under the EBPC Act</w:t>
      </w:r>
      <w:r w:rsidR="00E51546" w:rsidRPr="006310CF">
        <w:t xml:space="preserve"> and Critically Endangered under the WA </w:t>
      </w:r>
      <w:r w:rsidR="00E51546" w:rsidRPr="006310CF">
        <w:rPr>
          <w:i/>
          <w:iCs/>
        </w:rPr>
        <w:t>Biodiversity Conservation Act 2016</w:t>
      </w:r>
      <w:r w:rsidR="006310CF" w:rsidRPr="006310CF">
        <w:rPr>
          <w:i/>
          <w:iCs/>
        </w:rPr>
        <w:t xml:space="preserve"> </w:t>
      </w:r>
      <w:r w:rsidR="006310CF" w:rsidRPr="006310CF">
        <w:rPr>
          <w:noProof/>
        </w:rPr>
        <w:t>(DPAW 2016)</w:t>
      </w:r>
      <w:r w:rsidR="006310CF" w:rsidRPr="006310CF">
        <w:t>.</w:t>
      </w:r>
      <w:r w:rsidR="00B5309A">
        <w:t xml:space="preserve"> </w:t>
      </w:r>
      <w:r w:rsidR="00530560" w:rsidRPr="00DB3CC5">
        <w:t xml:space="preserve">The species is </w:t>
      </w:r>
      <w:r w:rsidR="00CA4797" w:rsidRPr="00DB3CC5">
        <w:t xml:space="preserve">only known from four extant subpopulations </w:t>
      </w:r>
      <w:r w:rsidR="00B241DE" w:rsidRPr="00DB3CC5">
        <w:t>on the summits and upper slopes of mountain peaks (750–1090 m above sea level</w:t>
      </w:r>
      <w:r w:rsidR="00017838">
        <w:t xml:space="preserve"> (ASL)</w:t>
      </w:r>
      <w:r w:rsidR="00B241DE" w:rsidRPr="00DB3CC5">
        <w:t xml:space="preserve">) </w:t>
      </w:r>
      <w:r w:rsidR="00CA4797" w:rsidRPr="00DB3CC5">
        <w:t>at Bluff Knoll</w:t>
      </w:r>
      <w:r w:rsidR="008D36C4">
        <w:t>/</w:t>
      </w:r>
      <w:r w:rsidR="00B87D46" w:rsidRPr="00DB3CC5">
        <w:t>Bula Meela</w:t>
      </w:r>
      <w:r w:rsidR="00612DAE">
        <w:t xml:space="preserve"> (subpopulation 1)</w:t>
      </w:r>
      <w:r w:rsidR="00CA4797" w:rsidRPr="00DB3CC5">
        <w:t>, Coyanarup Peak</w:t>
      </w:r>
      <w:r w:rsidR="00612DAE">
        <w:t xml:space="preserve"> (subpopulation 3)</w:t>
      </w:r>
      <w:r w:rsidR="00CA4797" w:rsidRPr="00DB3CC5">
        <w:t>, Bakers Knob</w:t>
      </w:r>
      <w:r w:rsidR="00612DAE">
        <w:t xml:space="preserve"> (subpopulation 6A)</w:t>
      </w:r>
      <w:r w:rsidR="00CA4797" w:rsidRPr="00DB3CC5">
        <w:t xml:space="preserve"> and East Bluff </w:t>
      </w:r>
      <w:r w:rsidR="00612DAE">
        <w:t xml:space="preserve">(subpopulation 9) </w:t>
      </w:r>
      <w:r w:rsidR="00CA4797" w:rsidRPr="00DB3CC5">
        <w:t>(</w:t>
      </w:r>
      <w:r w:rsidR="00CA4797" w:rsidRPr="00B5309A">
        <w:t>Table 1)</w:t>
      </w:r>
      <w:r w:rsidR="00DB3CC5" w:rsidRPr="00B5309A">
        <w:t xml:space="preserve"> </w:t>
      </w:r>
      <w:r w:rsidR="003F7D53">
        <w:rPr>
          <w:noProof/>
        </w:rPr>
        <w:t>(Robinson &amp; Coates 1995; Brown et al. 1998; Hartley &amp; Barrett 2008)</w:t>
      </w:r>
      <w:r w:rsidR="00694E4A" w:rsidRPr="00B5309A">
        <w:t>.</w:t>
      </w:r>
      <w:r w:rsidR="00B5309A" w:rsidRPr="00B5309A">
        <w:t xml:space="preserve"> </w:t>
      </w:r>
      <w:r w:rsidR="00ED1D68">
        <w:t xml:space="preserve">All other subpopulations are considered locally extinct (see below). </w:t>
      </w:r>
      <w:r w:rsidR="006011C4" w:rsidRPr="00B5309A">
        <w:t>The species</w:t>
      </w:r>
      <w:r w:rsidR="00A1047B">
        <w:t>’</w:t>
      </w:r>
      <w:r w:rsidR="006011C4" w:rsidRPr="00B5309A">
        <w:t xml:space="preserve"> entire distribution occurs within</w:t>
      </w:r>
      <w:r w:rsidR="007E48EA" w:rsidRPr="00B5309A">
        <w:t xml:space="preserve"> reserved tenure in </w:t>
      </w:r>
      <w:r w:rsidR="006011C4" w:rsidRPr="00B5309A">
        <w:t>Stirling Range National Park</w:t>
      </w:r>
      <w:r w:rsidR="00CA4797" w:rsidRPr="00B5309A">
        <w:t xml:space="preserve"> </w:t>
      </w:r>
      <w:r w:rsidR="00B5309A" w:rsidRPr="00B5309A">
        <w:rPr>
          <w:noProof/>
        </w:rPr>
        <w:t>(Hartley &amp; Barrett 2008)</w:t>
      </w:r>
      <w:r w:rsidR="00B5309A" w:rsidRPr="00B5309A">
        <w:t>.</w:t>
      </w:r>
    </w:p>
    <w:p w14:paraId="23841701" w14:textId="172E9B3F" w:rsidR="00323004" w:rsidRPr="00FB35E3" w:rsidRDefault="00FB35E3" w:rsidP="00323004">
      <w:pPr>
        <w:rPr>
          <w:i/>
          <w:iCs/>
        </w:rPr>
      </w:pPr>
      <w:r w:rsidRPr="00FB35E3">
        <w:rPr>
          <w:i/>
          <w:iCs/>
        </w:rPr>
        <w:t>Past distribution</w:t>
      </w:r>
    </w:p>
    <w:p w14:paraId="5F95E92E" w14:textId="2E24CDA6" w:rsidR="00F66C29" w:rsidRPr="008C0626" w:rsidRDefault="00161FAA" w:rsidP="00323004">
      <w:r w:rsidRPr="008C0626">
        <w:t xml:space="preserve">The </w:t>
      </w:r>
      <w:r w:rsidR="005C296C">
        <w:t>y</w:t>
      </w:r>
      <w:r w:rsidRPr="008C0626">
        <w:t xml:space="preserve">ellow </w:t>
      </w:r>
      <w:r w:rsidR="005C296C">
        <w:t>m</w:t>
      </w:r>
      <w:r w:rsidRPr="008C0626">
        <w:t xml:space="preserve">ountain </w:t>
      </w:r>
      <w:r w:rsidR="005C296C">
        <w:t>b</w:t>
      </w:r>
      <w:r w:rsidRPr="008C0626">
        <w:t xml:space="preserve">ell was also historically recorded in </w:t>
      </w:r>
      <w:r w:rsidR="00BF2D3D">
        <w:t>six</w:t>
      </w:r>
      <w:r w:rsidRPr="008C0626">
        <w:t xml:space="preserve"> other </w:t>
      </w:r>
      <w:r w:rsidR="008C0626" w:rsidRPr="008C0626">
        <w:t>subpopulations</w:t>
      </w:r>
      <w:r w:rsidRPr="008C0626">
        <w:t xml:space="preserve"> in </w:t>
      </w:r>
      <w:r w:rsidR="002748DF" w:rsidRPr="008C0626">
        <w:t xml:space="preserve">the </w:t>
      </w:r>
      <w:r w:rsidRPr="008C0626">
        <w:t xml:space="preserve">eastern </w:t>
      </w:r>
      <w:r w:rsidR="00612DAE">
        <w:t xml:space="preserve">extent of the </w:t>
      </w:r>
      <w:r w:rsidRPr="008C0626">
        <w:t>Stirling Range</w:t>
      </w:r>
      <w:r w:rsidR="006D0D9F">
        <w:t>/</w:t>
      </w:r>
      <w:proofErr w:type="spellStart"/>
      <w:r w:rsidR="007A0007" w:rsidRPr="007A0007">
        <w:t>Koikyenunuruff</w:t>
      </w:r>
      <w:proofErr w:type="spellEnd"/>
      <w:r w:rsidR="007A0007" w:rsidRPr="007A0007">
        <w:t xml:space="preserve"> </w:t>
      </w:r>
      <w:r w:rsidR="008C0626" w:rsidRPr="008C0626">
        <w:t>on</w:t>
      </w:r>
      <w:r w:rsidRPr="008C0626">
        <w:t xml:space="preserve"> Ellen Peak</w:t>
      </w:r>
      <w:r w:rsidR="00612DAE">
        <w:t xml:space="preserve"> (subpopulation 2)</w:t>
      </w:r>
      <w:r w:rsidRPr="008C0626">
        <w:t>, Moongoongoondurup Hill</w:t>
      </w:r>
      <w:r w:rsidR="00612DAE">
        <w:t xml:space="preserve"> (subpopulation 4)</w:t>
      </w:r>
      <w:r w:rsidRPr="008C0626">
        <w:t>, Pyungoorup Peak</w:t>
      </w:r>
      <w:r w:rsidR="00612DAE">
        <w:t xml:space="preserve"> (subpopulation 5)</w:t>
      </w:r>
      <w:r w:rsidRPr="008C0626">
        <w:t xml:space="preserve">, </w:t>
      </w:r>
      <w:r w:rsidR="00612DAE" w:rsidRPr="00612DAE">
        <w:t xml:space="preserve">Saddle between Third Arrow and Bakers Knob </w:t>
      </w:r>
      <w:r w:rsidR="00612DAE">
        <w:t xml:space="preserve">(subpopulation 6B), </w:t>
      </w:r>
      <w:r w:rsidRPr="008C0626">
        <w:t xml:space="preserve">Isongerup Peak </w:t>
      </w:r>
      <w:r w:rsidR="00612DAE">
        <w:t xml:space="preserve">(subpopulation 7) </w:t>
      </w:r>
      <w:r w:rsidRPr="008C0626">
        <w:t>and Kyanorup Eminence</w:t>
      </w:r>
      <w:r w:rsidR="008C0626" w:rsidRPr="008C0626">
        <w:t xml:space="preserve"> </w:t>
      </w:r>
      <w:r w:rsidR="00612DAE">
        <w:t xml:space="preserve">(subpopulation 8) </w:t>
      </w:r>
      <w:r w:rsidR="00E15268">
        <w:t xml:space="preserve">(Table 1) </w:t>
      </w:r>
      <w:r w:rsidR="003F7D53">
        <w:rPr>
          <w:noProof/>
        </w:rPr>
        <w:t>(Robinson &amp; Coates 1995; Brown et al. 1998; Hartley &amp; Barrett 2008)</w:t>
      </w:r>
      <w:r w:rsidR="008C0626" w:rsidRPr="008C0626">
        <w:t>. H</w:t>
      </w:r>
      <w:r w:rsidRPr="008C0626">
        <w:t>owever</w:t>
      </w:r>
      <w:r w:rsidR="008C0626" w:rsidRPr="008C0626">
        <w:t xml:space="preserve">, </w:t>
      </w:r>
      <w:r w:rsidR="00612DAE">
        <w:t>the species</w:t>
      </w:r>
      <w:r w:rsidRPr="008C0626">
        <w:t xml:space="preserve"> is now presumed </w:t>
      </w:r>
      <w:r w:rsidR="00612DAE">
        <w:t xml:space="preserve">to be </w:t>
      </w:r>
      <w:r w:rsidR="00ED1D68">
        <w:t xml:space="preserve">locally extinct </w:t>
      </w:r>
      <w:r w:rsidRPr="008C0626">
        <w:t xml:space="preserve">at these sites, as it has not been recorded since </w:t>
      </w:r>
      <w:r w:rsidR="00612DAE">
        <w:t xml:space="preserve">at least </w:t>
      </w:r>
      <w:r w:rsidRPr="008C0626">
        <w:t>the 1990s (Table 1)</w:t>
      </w:r>
      <w:r w:rsidR="008C0626" w:rsidRPr="008C0626">
        <w:t xml:space="preserve"> </w:t>
      </w:r>
      <w:r w:rsidR="008C0626" w:rsidRPr="008C0626">
        <w:rPr>
          <w:noProof/>
        </w:rPr>
        <w:t>(Hartley &amp; Barrett 2008)</w:t>
      </w:r>
      <w:r w:rsidR="008C0626" w:rsidRPr="008C0626">
        <w:t>.</w:t>
      </w:r>
    </w:p>
    <w:p w14:paraId="00AC189C" w14:textId="3A15FC34" w:rsidR="00FB35E3" w:rsidRPr="00FB35E3" w:rsidRDefault="00FB35E3" w:rsidP="00323004">
      <w:pPr>
        <w:rPr>
          <w:i/>
          <w:iCs/>
          <w:highlight w:val="yellow"/>
        </w:rPr>
      </w:pPr>
      <w:r w:rsidRPr="00FB35E3">
        <w:rPr>
          <w:i/>
          <w:iCs/>
        </w:rPr>
        <w:t>Biogeography</w:t>
      </w:r>
    </w:p>
    <w:p w14:paraId="79BAC892" w14:textId="5E6BB576" w:rsidR="00161FAA" w:rsidRDefault="00D50C64" w:rsidP="00323004">
      <w:r w:rsidRPr="0080148B">
        <w:t xml:space="preserve">Mountain </w:t>
      </w:r>
      <w:r w:rsidR="008E45B3">
        <w:t>b</w:t>
      </w:r>
      <w:r w:rsidRPr="0080148B">
        <w:t xml:space="preserve">ells </w:t>
      </w:r>
      <w:r w:rsidR="00EF1C69" w:rsidRPr="0080148B">
        <w:t>are a group of</w:t>
      </w:r>
      <w:r w:rsidR="00C1057D" w:rsidRPr="0080148B">
        <w:t xml:space="preserve"> </w:t>
      </w:r>
      <w:r w:rsidR="00AC085A">
        <w:t>ten</w:t>
      </w:r>
      <w:r w:rsidR="00C1057D" w:rsidRPr="0080148B">
        <w:t xml:space="preserve"> </w:t>
      </w:r>
      <w:r w:rsidRPr="0080148B">
        <w:rPr>
          <w:i/>
          <w:iCs/>
        </w:rPr>
        <w:t xml:space="preserve">Darwinia </w:t>
      </w:r>
      <w:r w:rsidR="00EF1C69" w:rsidRPr="0080148B">
        <w:t>species</w:t>
      </w:r>
      <w:r w:rsidR="000C15AF" w:rsidRPr="0080148B">
        <w:t xml:space="preserve">, nine of which (including the </w:t>
      </w:r>
      <w:r w:rsidR="008E45B3">
        <w:t>y</w:t>
      </w:r>
      <w:r w:rsidR="000C15AF" w:rsidRPr="0080148B">
        <w:t xml:space="preserve">ellow </w:t>
      </w:r>
      <w:r w:rsidR="008E45B3">
        <w:t>m</w:t>
      </w:r>
      <w:r w:rsidR="000C15AF" w:rsidRPr="0080148B">
        <w:t xml:space="preserve">ountain </w:t>
      </w:r>
      <w:r w:rsidR="008E45B3">
        <w:t>b</w:t>
      </w:r>
      <w:r w:rsidR="000C15AF" w:rsidRPr="0080148B">
        <w:t xml:space="preserve">ell) occur </w:t>
      </w:r>
      <w:r w:rsidR="00323004" w:rsidRPr="0080148B">
        <w:t>in</w:t>
      </w:r>
      <w:r w:rsidR="00433A6F" w:rsidRPr="0080148B">
        <w:t xml:space="preserve"> the</w:t>
      </w:r>
      <w:r w:rsidR="00323004" w:rsidRPr="00433A6F">
        <w:t xml:space="preserve"> Stirling Range</w:t>
      </w:r>
      <w:r w:rsidR="006D0D9F">
        <w:t>/</w:t>
      </w:r>
      <w:proofErr w:type="spellStart"/>
      <w:r w:rsidR="007A0007" w:rsidRPr="007A0007">
        <w:t>Koikyenunuruff</w:t>
      </w:r>
      <w:proofErr w:type="spellEnd"/>
      <w:r w:rsidR="007A0007" w:rsidRPr="007A0007">
        <w:t xml:space="preserve"> </w:t>
      </w:r>
      <w:r w:rsidR="00323004" w:rsidRPr="00433A6F">
        <w:t xml:space="preserve">and the adjacent </w:t>
      </w:r>
      <w:proofErr w:type="spellStart"/>
      <w:r w:rsidR="00323004" w:rsidRPr="00433A6F">
        <w:t>Hamilla</w:t>
      </w:r>
      <w:proofErr w:type="spellEnd"/>
      <w:r w:rsidR="00323004" w:rsidRPr="00433A6F">
        <w:t xml:space="preserve"> Hills</w:t>
      </w:r>
      <w:r w:rsidR="001801ED">
        <w:t xml:space="preserve"> </w:t>
      </w:r>
      <w:r w:rsidR="001801ED">
        <w:rPr>
          <w:noProof/>
        </w:rPr>
        <w:t>(Hopkins et al. 1983; Keighery 2016)</w:t>
      </w:r>
      <w:r w:rsidR="001801ED" w:rsidRPr="00433A6F">
        <w:t>.</w:t>
      </w:r>
      <w:r w:rsidR="001801ED">
        <w:t xml:space="preserve"> E</w:t>
      </w:r>
      <w:r w:rsidR="00323004" w:rsidRPr="00433A6F">
        <w:t xml:space="preserve">ach </w:t>
      </w:r>
      <w:r w:rsidR="001801ED">
        <w:t xml:space="preserve">species has its </w:t>
      </w:r>
      <w:r w:rsidR="00AD28FC">
        <w:t xml:space="preserve">own </w:t>
      </w:r>
      <w:r w:rsidR="00323004" w:rsidRPr="00433A6F">
        <w:t>distinct and well-defined distribution</w:t>
      </w:r>
      <w:r w:rsidR="00433A6F" w:rsidRPr="00433A6F">
        <w:t xml:space="preserve"> </w:t>
      </w:r>
      <w:r w:rsidR="001801ED">
        <w:rPr>
          <w:noProof/>
        </w:rPr>
        <w:t>(Hopkins et al. 1983; Keighery 2016)</w:t>
      </w:r>
      <w:r w:rsidR="00433A6F" w:rsidRPr="00433A6F">
        <w:t xml:space="preserve">. </w:t>
      </w:r>
      <w:r w:rsidR="00323004" w:rsidRPr="00433A6F">
        <w:t xml:space="preserve">Taxonomic diversification of </w:t>
      </w:r>
      <w:r w:rsidR="008E45B3">
        <w:t>m</w:t>
      </w:r>
      <w:r w:rsidR="00323004" w:rsidRPr="00433A6F">
        <w:t xml:space="preserve">ountain </w:t>
      </w:r>
      <w:r w:rsidR="008E45B3">
        <w:t>b</w:t>
      </w:r>
      <w:r w:rsidR="00323004" w:rsidRPr="00433A6F">
        <w:t xml:space="preserve">ells in this region may have been facilitated by landscape dissection, climatic and microclimatic factors </w:t>
      </w:r>
      <w:r w:rsidR="00433A6F" w:rsidRPr="00433A6F">
        <w:rPr>
          <w:noProof/>
        </w:rPr>
        <w:t>(Hopkins et al. 1983)</w:t>
      </w:r>
      <w:r w:rsidR="00433A6F" w:rsidRPr="00433A6F">
        <w:t xml:space="preserve">. </w:t>
      </w:r>
      <w:r w:rsidR="00323004" w:rsidRPr="00433A6F">
        <w:t xml:space="preserve">Mountain </w:t>
      </w:r>
      <w:r w:rsidR="008E45B3">
        <w:t>b</w:t>
      </w:r>
      <w:r w:rsidR="00323004" w:rsidRPr="00433A6F">
        <w:t xml:space="preserve">ells may have contracted to wetter upland and gully refugia in response to drier conditions during the Holocene </w:t>
      </w:r>
      <w:r w:rsidR="00433A6F" w:rsidRPr="00433A6F">
        <w:rPr>
          <w:noProof/>
        </w:rPr>
        <w:t>(Hopkins et al. 1983)</w:t>
      </w:r>
      <w:r w:rsidR="00433A6F" w:rsidRPr="00433A6F">
        <w:t>.</w:t>
      </w:r>
    </w:p>
    <w:p w14:paraId="1BF2DE99" w14:textId="15786E8D" w:rsidR="00612DAE" w:rsidRPr="00FA514B" w:rsidRDefault="00612DAE" w:rsidP="00323004">
      <w:pPr>
        <w:rPr>
          <w:i/>
          <w:iCs/>
        </w:rPr>
      </w:pPr>
      <w:r w:rsidRPr="00FA514B">
        <w:rPr>
          <w:i/>
          <w:iCs/>
        </w:rPr>
        <w:t>Translocations</w:t>
      </w:r>
    </w:p>
    <w:p w14:paraId="79A197DA" w14:textId="0A16CE7C" w:rsidR="00612DAE" w:rsidRPr="00FA514B" w:rsidRDefault="00AE38E6" w:rsidP="00323004">
      <w:bookmarkStart w:id="8" w:name="_Hlk82588658"/>
      <w:r>
        <w:t>S</w:t>
      </w:r>
      <w:r w:rsidR="00E8438B" w:rsidRPr="00FA514B">
        <w:t xml:space="preserve">eedlings </w:t>
      </w:r>
      <w:r w:rsidR="00FA514B" w:rsidRPr="00FA514B">
        <w:t xml:space="preserve">are being cultivated </w:t>
      </w:r>
      <w:r w:rsidR="00CF662D">
        <w:t xml:space="preserve">in translocations at two sites </w:t>
      </w:r>
      <w:r w:rsidR="00FA514B" w:rsidRPr="00FA514B">
        <w:t xml:space="preserve">outside of Stirling Range National Park (DBCA </w:t>
      </w:r>
      <w:r w:rsidR="00E849EC" w:rsidRPr="00FA514B">
        <w:t>2021. pers comm 7 September).</w:t>
      </w:r>
    </w:p>
    <w:bookmarkEnd w:id="8"/>
    <w:p w14:paraId="5D8548D5" w14:textId="27FF7ECB" w:rsidR="005D25E7" w:rsidRPr="00AC04C9" w:rsidRDefault="005D25E7" w:rsidP="005D25E7">
      <w:pPr>
        <w:pStyle w:val="Caption"/>
      </w:pPr>
      <w:r w:rsidRPr="00AC04C9">
        <w:lastRenderedPageBreak/>
        <w:t>Table 1</w:t>
      </w:r>
      <w:r>
        <w:t xml:space="preserve"> </w:t>
      </w:r>
      <w:r w:rsidRPr="00AC04C9">
        <w:t xml:space="preserve">Summary of </w:t>
      </w:r>
      <w:r w:rsidR="003E6003">
        <w:t>y</w:t>
      </w:r>
      <w:r w:rsidRPr="00AC04C9">
        <w:t xml:space="preserve">ellow </w:t>
      </w:r>
      <w:r w:rsidR="003E6003">
        <w:t>m</w:t>
      </w:r>
      <w:r w:rsidRPr="00AC04C9">
        <w:t xml:space="preserve">ountain </w:t>
      </w:r>
      <w:r w:rsidR="003E6003">
        <w:t>b</w:t>
      </w:r>
      <w:r w:rsidRPr="00AC04C9">
        <w:t xml:space="preserve">ell </w:t>
      </w:r>
      <w:r>
        <w:t>sub</w:t>
      </w:r>
      <w:r w:rsidRPr="00AC04C9">
        <w:t>population information and threats in Stirling Range National Park, Western Australia</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992"/>
        <w:gridCol w:w="1843"/>
        <w:gridCol w:w="1842"/>
        <w:gridCol w:w="1418"/>
      </w:tblGrid>
      <w:tr w:rsidR="005D25E7" w:rsidRPr="00AC04C9" w14:paraId="129F9300" w14:textId="77777777" w:rsidTr="00FB621E">
        <w:trPr>
          <w:cantSplit/>
          <w:tblHeader/>
        </w:trPr>
        <w:tc>
          <w:tcPr>
            <w:tcW w:w="2127" w:type="dxa"/>
            <w:tcBorders>
              <w:top w:val="single" w:sz="4" w:space="0" w:color="auto"/>
              <w:bottom w:val="single" w:sz="4" w:space="0" w:color="auto"/>
            </w:tcBorders>
          </w:tcPr>
          <w:p w14:paraId="5D47FCE0" w14:textId="77777777" w:rsidR="005D25E7" w:rsidRPr="0066308F" w:rsidRDefault="005D25E7" w:rsidP="00B72149">
            <w:pPr>
              <w:pStyle w:val="TableHeading"/>
            </w:pPr>
            <w:r>
              <w:t>Subp</w:t>
            </w:r>
            <w:r w:rsidRPr="0066308F">
              <w:t>opulation</w:t>
            </w:r>
          </w:p>
        </w:tc>
        <w:tc>
          <w:tcPr>
            <w:tcW w:w="1134" w:type="dxa"/>
            <w:tcBorders>
              <w:top w:val="single" w:sz="4" w:space="0" w:color="auto"/>
              <w:bottom w:val="single" w:sz="4" w:space="0" w:color="auto"/>
            </w:tcBorders>
          </w:tcPr>
          <w:p w14:paraId="2DBD13FD" w14:textId="77777777" w:rsidR="005D25E7" w:rsidRPr="0066308F" w:rsidRDefault="005D25E7" w:rsidP="00B72149">
            <w:pPr>
              <w:pStyle w:val="TableHeading"/>
            </w:pPr>
            <w:r w:rsidRPr="0066308F">
              <w:t>Status</w:t>
            </w:r>
          </w:p>
        </w:tc>
        <w:tc>
          <w:tcPr>
            <w:tcW w:w="992" w:type="dxa"/>
            <w:tcBorders>
              <w:top w:val="single" w:sz="4" w:space="0" w:color="auto"/>
              <w:bottom w:val="single" w:sz="4" w:space="0" w:color="auto"/>
            </w:tcBorders>
          </w:tcPr>
          <w:p w14:paraId="49B498FE" w14:textId="77777777" w:rsidR="005D25E7" w:rsidRPr="0066308F" w:rsidRDefault="005D25E7" w:rsidP="00B72149">
            <w:pPr>
              <w:pStyle w:val="TableHeading"/>
            </w:pPr>
            <w:r w:rsidRPr="0066308F">
              <w:t>Survey Year</w:t>
            </w:r>
          </w:p>
        </w:tc>
        <w:tc>
          <w:tcPr>
            <w:tcW w:w="1843" w:type="dxa"/>
            <w:tcBorders>
              <w:top w:val="single" w:sz="4" w:space="0" w:color="auto"/>
              <w:bottom w:val="single" w:sz="4" w:space="0" w:color="auto"/>
            </w:tcBorders>
          </w:tcPr>
          <w:p w14:paraId="305E1813" w14:textId="77777777" w:rsidR="005D25E7" w:rsidRPr="0066308F" w:rsidRDefault="005D25E7" w:rsidP="00B72149">
            <w:pPr>
              <w:pStyle w:val="TableHeading"/>
            </w:pPr>
            <w:r w:rsidRPr="0066308F">
              <w:t xml:space="preserve">Number of </w:t>
            </w:r>
            <w:r>
              <w:t>mature individuals</w:t>
            </w:r>
          </w:p>
        </w:tc>
        <w:tc>
          <w:tcPr>
            <w:tcW w:w="1842" w:type="dxa"/>
            <w:tcBorders>
              <w:top w:val="single" w:sz="4" w:space="0" w:color="auto"/>
              <w:bottom w:val="single" w:sz="4" w:space="0" w:color="auto"/>
            </w:tcBorders>
          </w:tcPr>
          <w:p w14:paraId="24CE558A" w14:textId="77777777" w:rsidR="005D25E7" w:rsidRPr="0066308F" w:rsidRDefault="005D25E7" w:rsidP="00B72149">
            <w:pPr>
              <w:pStyle w:val="TableHeading"/>
            </w:pPr>
            <w:r w:rsidRPr="0066308F">
              <w:t>Habitat condition</w:t>
            </w:r>
          </w:p>
        </w:tc>
        <w:tc>
          <w:tcPr>
            <w:tcW w:w="1418" w:type="dxa"/>
            <w:tcBorders>
              <w:top w:val="single" w:sz="4" w:space="0" w:color="auto"/>
              <w:bottom w:val="single" w:sz="4" w:space="0" w:color="auto"/>
            </w:tcBorders>
          </w:tcPr>
          <w:p w14:paraId="1AB4514C" w14:textId="77777777" w:rsidR="005D25E7" w:rsidRPr="0066308F" w:rsidRDefault="005D25E7" w:rsidP="00B72149">
            <w:pPr>
              <w:pStyle w:val="TableHeading"/>
            </w:pPr>
            <w:r w:rsidRPr="0066308F">
              <w:t>Main threats</w:t>
            </w:r>
          </w:p>
        </w:tc>
      </w:tr>
      <w:tr w:rsidR="005D25E7" w:rsidRPr="00AC04C9" w14:paraId="4B3B4CBB" w14:textId="77777777" w:rsidTr="00FB621E">
        <w:trPr>
          <w:cantSplit/>
        </w:trPr>
        <w:tc>
          <w:tcPr>
            <w:tcW w:w="2127" w:type="dxa"/>
            <w:tcBorders>
              <w:top w:val="single" w:sz="4" w:space="0" w:color="auto"/>
              <w:bottom w:val="single" w:sz="4" w:space="0" w:color="auto"/>
            </w:tcBorders>
          </w:tcPr>
          <w:p w14:paraId="0ED717EE" w14:textId="10FF2B28" w:rsidR="005D25E7" w:rsidRPr="005072E8" w:rsidRDefault="00EC725E" w:rsidP="00B72149">
            <w:pPr>
              <w:pStyle w:val="TableText"/>
            </w:pPr>
            <w:r>
              <w:t xml:space="preserve">1. </w:t>
            </w:r>
            <w:r w:rsidR="005D25E7" w:rsidRPr="005072E8">
              <w:t>Bluff Knoll</w:t>
            </w:r>
            <w:r w:rsidR="003E6003">
              <w:t>/</w:t>
            </w:r>
            <w:r w:rsidR="009629DF">
              <w:t>Bula Meela</w:t>
            </w:r>
          </w:p>
        </w:tc>
        <w:tc>
          <w:tcPr>
            <w:tcW w:w="1134" w:type="dxa"/>
            <w:tcBorders>
              <w:top w:val="single" w:sz="4" w:space="0" w:color="auto"/>
              <w:bottom w:val="single" w:sz="4" w:space="0" w:color="auto"/>
            </w:tcBorders>
          </w:tcPr>
          <w:p w14:paraId="6CBDD063" w14:textId="77777777" w:rsidR="005D25E7" w:rsidRPr="005072E8" w:rsidRDefault="005D25E7" w:rsidP="00B72149">
            <w:pPr>
              <w:pStyle w:val="TableText"/>
            </w:pPr>
            <w:r w:rsidRPr="005072E8">
              <w:t>Extant</w:t>
            </w:r>
          </w:p>
        </w:tc>
        <w:tc>
          <w:tcPr>
            <w:tcW w:w="992" w:type="dxa"/>
            <w:tcBorders>
              <w:top w:val="single" w:sz="4" w:space="0" w:color="auto"/>
              <w:bottom w:val="single" w:sz="4" w:space="0" w:color="auto"/>
            </w:tcBorders>
          </w:tcPr>
          <w:p w14:paraId="48F05861" w14:textId="77777777" w:rsidR="005D25E7" w:rsidRPr="005072E8" w:rsidRDefault="005D25E7" w:rsidP="00B72149">
            <w:pPr>
              <w:pStyle w:val="TableText"/>
            </w:pPr>
            <w:r w:rsidRPr="005072E8">
              <w:t>1993</w:t>
            </w:r>
          </w:p>
          <w:p w14:paraId="477B692A" w14:textId="77777777" w:rsidR="005D25E7" w:rsidRPr="005072E8" w:rsidRDefault="005D25E7" w:rsidP="00B72149">
            <w:pPr>
              <w:pStyle w:val="TableText"/>
            </w:pPr>
            <w:r w:rsidRPr="005072E8">
              <w:t>1995</w:t>
            </w:r>
          </w:p>
          <w:p w14:paraId="647E479F" w14:textId="77777777" w:rsidR="005D25E7" w:rsidRPr="005072E8" w:rsidRDefault="005D25E7" w:rsidP="00B72149">
            <w:pPr>
              <w:pStyle w:val="TableText"/>
            </w:pPr>
            <w:r w:rsidRPr="005072E8">
              <w:t>1997</w:t>
            </w:r>
          </w:p>
          <w:p w14:paraId="5B8E9705" w14:textId="77777777" w:rsidR="005D25E7" w:rsidRPr="005072E8" w:rsidRDefault="005D25E7" w:rsidP="00B72149">
            <w:pPr>
              <w:pStyle w:val="TableText"/>
            </w:pPr>
            <w:r w:rsidRPr="005072E8">
              <w:t>1999</w:t>
            </w:r>
          </w:p>
          <w:p w14:paraId="0844891D" w14:textId="77777777" w:rsidR="005D25E7" w:rsidRPr="005072E8" w:rsidRDefault="005D25E7" w:rsidP="00B72149">
            <w:pPr>
              <w:pStyle w:val="TableText"/>
            </w:pPr>
            <w:r w:rsidRPr="005072E8">
              <w:t>2000</w:t>
            </w:r>
          </w:p>
          <w:p w14:paraId="484CDF66" w14:textId="77777777" w:rsidR="005D25E7" w:rsidRPr="005072E8" w:rsidRDefault="005D25E7" w:rsidP="00B72149">
            <w:pPr>
              <w:pStyle w:val="TableText"/>
            </w:pPr>
            <w:r w:rsidRPr="005072E8">
              <w:t>2001</w:t>
            </w:r>
          </w:p>
          <w:p w14:paraId="482318EE" w14:textId="77777777" w:rsidR="005D25E7" w:rsidRPr="005072E8" w:rsidRDefault="005D25E7" w:rsidP="00B72149">
            <w:pPr>
              <w:pStyle w:val="TableText"/>
            </w:pPr>
            <w:r w:rsidRPr="005072E8">
              <w:t>2003</w:t>
            </w:r>
          </w:p>
          <w:p w14:paraId="05804A3E" w14:textId="77777777" w:rsidR="005D25E7" w:rsidRDefault="005D25E7" w:rsidP="00B72149">
            <w:pPr>
              <w:pStyle w:val="TableText"/>
            </w:pPr>
            <w:r w:rsidRPr="005072E8">
              <w:t>2004</w:t>
            </w:r>
          </w:p>
          <w:p w14:paraId="25ACCF98" w14:textId="77777777" w:rsidR="005D25E7" w:rsidRDefault="005D25E7" w:rsidP="00B72149">
            <w:pPr>
              <w:pStyle w:val="TableText"/>
            </w:pPr>
            <w:r>
              <w:t>2008</w:t>
            </w:r>
          </w:p>
          <w:p w14:paraId="71A4ADFE" w14:textId="77777777" w:rsidR="005D25E7" w:rsidRDefault="005D25E7" w:rsidP="00B72149">
            <w:pPr>
              <w:pStyle w:val="TableText"/>
            </w:pPr>
            <w:r>
              <w:t>2011</w:t>
            </w:r>
          </w:p>
          <w:p w14:paraId="55B3D6D1" w14:textId="77777777" w:rsidR="005D25E7" w:rsidRDefault="005D25E7" w:rsidP="00B72149">
            <w:pPr>
              <w:pStyle w:val="TableText"/>
            </w:pPr>
            <w:r>
              <w:t>2014</w:t>
            </w:r>
          </w:p>
          <w:p w14:paraId="6F44FF57" w14:textId="77777777" w:rsidR="005D25E7" w:rsidRDefault="005D25E7" w:rsidP="00B72149">
            <w:pPr>
              <w:pStyle w:val="TableText"/>
            </w:pPr>
            <w:r>
              <w:t>2015</w:t>
            </w:r>
          </w:p>
          <w:p w14:paraId="4504B0A1" w14:textId="77777777" w:rsidR="005D25E7" w:rsidRDefault="005D25E7" w:rsidP="00B72149">
            <w:pPr>
              <w:pStyle w:val="TableText"/>
            </w:pPr>
            <w:r>
              <w:t>2016</w:t>
            </w:r>
          </w:p>
          <w:p w14:paraId="5FF8EC6C" w14:textId="77777777" w:rsidR="005D25E7" w:rsidRDefault="005D25E7" w:rsidP="00B72149">
            <w:pPr>
              <w:pStyle w:val="TableText"/>
            </w:pPr>
            <w:r>
              <w:t>2017</w:t>
            </w:r>
          </w:p>
          <w:p w14:paraId="6B92E690" w14:textId="77777777" w:rsidR="005D25E7" w:rsidRDefault="005D25E7" w:rsidP="00B72149">
            <w:pPr>
              <w:pStyle w:val="TableText"/>
            </w:pPr>
            <w:r>
              <w:t>2018</w:t>
            </w:r>
          </w:p>
          <w:p w14:paraId="7DA421C3" w14:textId="77777777" w:rsidR="005D25E7" w:rsidRDefault="005D25E7" w:rsidP="00B72149">
            <w:pPr>
              <w:pStyle w:val="TableText"/>
            </w:pPr>
            <w:r>
              <w:t>2020</w:t>
            </w:r>
          </w:p>
          <w:p w14:paraId="1CB034FF" w14:textId="77777777" w:rsidR="005D25E7" w:rsidRPr="005072E8" w:rsidRDefault="005D25E7" w:rsidP="00B72149">
            <w:pPr>
              <w:pStyle w:val="TableText"/>
            </w:pPr>
            <w:r>
              <w:t>2021</w:t>
            </w:r>
          </w:p>
        </w:tc>
        <w:tc>
          <w:tcPr>
            <w:tcW w:w="1843" w:type="dxa"/>
            <w:tcBorders>
              <w:top w:val="single" w:sz="4" w:space="0" w:color="auto"/>
              <w:bottom w:val="single" w:sz="4" w:space="0" w:color="auto"/>
            </w:tcBorders>
          </w:tcPr>
          <w:p w14:paraId="2EEDD78E" w14:textId="77777777" w:rsidR="005D25E7" w:rsidRPr="005072E8" w:rsidRDefault="005D25E7" w:rsidP="00B72149">
            <w:pPr>
              <w:pStyle w:val="TableText"/>
            </w:pPr>
            <w:r w:rsidRPr="005072E8">
              <w:t>(1000)</w:t>
            </w:r>
          </w:p>
          <w:p w14:paraId="75732FE9" w14:textId="77777777" w:rsidR="005D25E7" w:rsidRPr="005072E8" w:rsidRDefault="005D25E7" w:rsidP="00B72149">
            <w:pPr>
              <w:pStyle w:val="TableText"/>
            </w:pPr>
            <w:r w:rsidRPr="005072E8">
              <w:t>&gt;50</w:t>
            </w:r>
          </w:p>
          <w:p w14:paraId="5F01E8DE" w14:textId="77777777" w:rsidR="005D25E7" w:rsidRPr="005072E8" w:rsidRDefault="005D25E7" w:rsidP="00B72149">
            <w:pPr>
              <w:pStyle w:val="TableText"/>
            </w:pPr>
            <w:r w:rsidRPr="005072E8">
              <w:t>&gt;50 (&gt;100)</w:t>
            </w:r>
          </w:p>
          <w:p w14:paraId="674F63CA" w14:textId="77777777" w:rsidR="005D25E7" w:rsidRPr="005072E8" w:rsidRDefault="005D25E7" w:rsidP="00B72149">
            <w:pPr>
              <w:pStyle w:val="TableText"/>
            </w:pPr>
            <w:r w:rsidRPr="005072E8">
              <w:t>~1000</w:t>
            </w:r>
          </w:p>
          <w:p w14:paraId="6BB41FBC" w14:textId="77777777" w:rsidR="005D25E7" w:rsidRPr="005072E8" w:rsidRDefault="005D25E7" w:rsidP="00B72149">
            <w:pPr>
              <w:pStyle w:val="TableText"/>
            </w:pPr>
            <w:r w:rsidRPr="005072E8">
              <w:t>&gt;500</w:t>
            </w:r>
          </w:p>
          <w:p w14:paraId="783269F4" w14:textId="77777777" w:rsidR="005D25E7" w:rsidRPr="005072E8" w:rsidRDefault="005D25E7" w:rsidP="00B72149">
            <w:pPr>
              <w:pStyle w:val="TableText"/>
            </w:pPr>
            <w:r w:rsidRPr="005072E8">
              <w:t>~1000 (&gt;100)</w:t>
            </w:r>
          </w:p>
          <w:p w14:paraId="41179CD1" w14:textId="77777777" w:rsidR="005D25E7" w:rsidRPr="005072E8" w:rsidRDefault="005D25E7" w:rsidP="00B72149">
            <w:pPr>
              <w:pStyle w:val="TableText"/>
            </w:pPr>
            <w:r w:rsidRPr="005072E8">
              <w:t>~1000 (~100s)</w:t>
            </w:r>
          </w:p>
          <w:p w14:paraId="41E7DC69" w14:textId="77777777" w:rsidR="005D25E7" w:rsidRDefault="005D25E7" w:rsidP="00B72149">
            <w:pPr>
              <w:pStyle w:val="TableText"/>
            </w:pPr>
            <w:r w:rsidRPr="005072E8">
              <w:t>&gt;500 (~1000)</w:t>
            </w:r>
          </w:p>
          <w:p w14:paraId="76FF83DB" w14:textId="77777777" w:rsidR="005D25E7" w:rsidRDefault="005D25E7" w:rsidP="00B72149">
            <w:pPr>
              <w:pStyle w:val="TableText"/>
            </w:pPr>
            <w:r>
              <w:t>1000 (1000)</w:t>
            </w:r>
          </w:p>
          <w:p w14:paraId="43724EFC" w14:textId="77777777" w:rsidR="005D25E7" w:rsidRDefault="005D25E7" w:rsidP="00B72149">
            <w:pPr>
              <w:pStyle w:val="TableText"/>
            </w:pPr>
            <w:r>
              <w:t>1600 (4900)</w:t>
            </w:r>
          </w:p>
          <w:p w14:paraId="134CFF14" w14:textId="77777777" w:rsidR="005D25E7" w:rsidRDefault="005D25E7" w:rsidP="00B72149">
            <w:pPr>
              <w:pStyle w:val="TableText"/>
            </w:pPr>
            <w:r>
              <w:t>2500 (4900)</w:t>
            </w:r>
          </w:p>
          <w:p w14:paraId="0BE25A77" w14:textId="77777777" w:rsidR="005D25E7" w:rsidRDefault="005D25E7" w:rsidP="00B72149">
            <w:pPr>
              <w:pStyle w:val="TableText"/>
            </w:pPr>
            <w:r>
              <w:t>2920 (4697)</w:t>
            </w:r>
          </w:p>
          <w:p w14:paraId="05B5438D" w14:textId="77777777" w:rsidR="005D25E7" w:rsidRDefault="005D25E7" w:rsidP="00B72149">
            <w:pPr>
              <w:pStyle w:val="TableText"/>
            </w:pPr>
            <w:r>
              <w:t>3390 (2712)</w:t>
            </w:r>
          </w:p>
          <w:p w14:paraId="15ED342B" w14:textId="77777777" w:rsidR="005D25E7" w:rsidRDefault="005D25E7" w:rsidP="00B72149">
            <w:pPr>
              <w:pStyle w:val="TableText"/>
            </w:pPr>
            <w:r>
              <w:t>2000 (2100)</w:t>
            </w:r>
          </w:p>
          <w:p w14:paraId="47F71516" w14:textId="77777777" w:rsidR="005D25E7" w:rsidRDefault="005D25E7" w:rsidP="00B72149">
            <w:pPr>
              <w:pStyle w:val="TableText"/>
            </w:pPr>
            <w:r>
              <w:t>2000 (1800)</w:t>
            </w:r>
          </w:p>
          <w:p w14:paraId="6CF0C10F" w14:textId="77777777" w:rsidR="005D25E7" w:rsidRDefault="005D25E7" w:rsidP="00B72149">
            <w:pPr>
              <w:pStyle w:val="TableText"/>
            </w:pPr>
            <w:r>
              <w:t>120 (4300)</w:t>
            </w:r>
          </w:p>
          <w:p w14:paraId="6B2B5502" w14:textId="77777777" w:rsidR="005D25E7" w:rsidRPr="005072E8" w:rsidRDefault="005D25E7" w:rsidP="00B72149">
            <w:pPr>
              <w:pStyle w:val="TableText"/>
            </w:pPr>
            <w:r>
              <w:t>110 (6000)</w:t>
            </w:r>
          </w:p>
        </w:tc>
        <w:tc>
          <w:tcPr>
            <w:tcW w:w="1842" w:type="dxa"/>
            <w:tcBorders>
              <w:top w:val="single" w:sz="4" w:space="0" w:color="auto"/>
              <w:bottom w:val="single" w:sz="4" w:space="0" w:color="auto"/>
            </w:tcBorders>
          </w:tcPr>
          <w:p w14:paraId="7869119A" w14:textId="77777777" w:rsidR="005D25E7" w:rsidRPr="005072E8" w:rsidRDefault="005D25E7" w:rsidP="00B72149">
            <w:pPr>
              <w:pStyle w:val="TableText"/>
            </w:pPr>
            <w:r w:rsidRPr="005072E8">
              <w:t>Recently burnt</w:t>
            </w:r>
          </w:p>
          <w:p w14:paraId="71D54617" w14:textId="77777777" w:rsidR="005D25E7" w:rsidRPr="005072E8" w:rsidRDefault="005D25E7" w:rsidP="00B72149">
            <w:pPr>
              <w:pStyle w:val="TableText"/>
            </w:pPr>
            <w:r w:rsidRPr="005072E8">
              <w:t>Healthy</w:t>
            </w:r>
          </w:p>
          <w:p w14:paraId="1DEED805" w14:textId="77777777" w:rsidR="005D25E7" w:rsidRPr="005072E8" w:rsidRDefault="005D25E7" w:rsidP="00B72149">
            <w:pPr>
              <w:pStyle w:val="TableText"/>
            </w:pPr>
            <w:r w:rsidRPr="005072E8">
              <w:t>Healthy</w:t>
            </w:r>
          </w:p>
          <w:p w14:paraId="6EE1EE70" w14:textId="77777777" w:rsidR="005D25E7" w:rsidRPr="005072E8" w:rsidRDefault="005D25E7" w:rsidP="00B72149">
            <w:pPr>
              <w:pStyle w:val="TableText"/>
            </w:pPr>
            <w:r w:rsidRPr="005072E8">
              <w:t>Healthy</w:t>
            </w:r>
          </w:p>
          <w:p w14:paraId="6C85287C" w14:textId="77777777" w:rsidR="005D25E7" w:rsidRPr="005072E8" w:rsidRDefault="005D25E7" w:rsidP="00B72149">
            <w:pPr>
              <w:pStyle w:val="TableText"/>
            </w:pPr>
            <w:r w:rsidRPr="005072E8">
              <w:t>Poor</w:t>
            </w:r>
          </w:p>
          <w:p w14:paraId="4B6F092B" w14:textId="77777777" w:rsidR="005D25E7" w:rsidRPr="005072E8" w:rsidRDefault="005D25E7" w:rsidP="00B72149">
            <w:pPr>
              <w:pStyle w:val="TableText"/>
            </w:pPr>
            <w:r w:rsidRPr="005072E8">
              <w:t>Healthy-Moderate</w:t>
            </w:r>
          </w:p>
          <w:p w14:paraId="7DBF94A7" w14:textId="77777777" w:rsidR="005D25E7" w:rsidRPr="005072E8" w:rsidRDefault="005D25E7" w:rsidP="00B72149">
            <w:pPr>
              <w:pStyle w:val="TableText"/>
            </w:pPr>
            <w:r w:rsidRPr="005072E8">
              <w:t>Healthy</w:t>
            </w:r>
          </w:p>
          <w:p w14:paraId="39B6C94C" w14:textId="77777777" w:rsidR="005D25E7" w:rsidRDefault="005D25E7" w:rsidP="00B72149">
            <w:pPr>
              <w:pStyle w:val="TableText"/>
            </w:pPr>
            <w:r w:rsidRPr="005072E8">
              <w:t>Moderate</w:t>
            </w:r>
          </w:p>
          <w:p w14:paraId="3455418D" w14:textId="77777777" w:rsidR="005D25E7" w:rsidRDefault="005D25E7" w:rsidP="00B72149">
            <w:pPr>
              <w:pStyle w:val="TableText"/>
            </w:pPr>
          </w:p>
          <w:p w14:paraId="45C08900" w14:textId="77777777" w:rsidR="005D25E7" w:rsidRDefault="005D25E7" w:rsidP="00B72149">
            <w:pPr>
              <w:pStyle w:val="TableText"/>
            </w:pPr>
          </w:p>
          <w:p w14:paraId="0654A97C" w14:textId="77777777" w:rsidR="005D25E7" w:rsidRDefault="005D25E7" w:rsidP="00B72149">
            <w:pPr>
              <w:pStyle w:val="TableText"/>
            </w:pPr>
          </w:p>
          <w:p w14:paraId="78F69D69" w14:textId="77777777" w:rsidR="005D25E7" w:rsidRDefault="005D25E7" w:rsidP="00B72149">
            <w:pPr>
              <w:pStyle w:val="TableText"/>
            </w:pPr>
          </w:p>
          <w:p w14:paraId="2801BB29" w14:textId="77777777" w:rsidR="005D25E7" w:rsidRDefault="005D25E7" w:rsidP="00B72149">
            <w:pPr>
              <w:pStyle w:val="TableText"/>
            </w:pPr>
          </w:p>
          <w:p w14:paraId="6575CAAA" w14:textId="77777777" w:rsidR="005D25E7" w:rsidRDefault="005D25E7" w:rsidP="00B72149">
            <w:pPr>
              <w:pStyle w:val="TableText"/>
            </w:pPr>
          </w:p>
          <w:p w14:paraId="72ECD37E" w14:textId="77777777" w:rsidR="005D25E7" w:rsidRDefault="005D25E7" w:rsidP="00B72149">
            <w:pPr>
              <w:pStyle w:val="TableText"/>
            </w:pPr>
          </w:p>
          <w:p w14:paraId="027A6CA8" w14:textId="77777777" w:rsidR="005D25E7" w:rsidRDefault="005D25E7" w:rsidP="00B72149">
            <w:pPr>
              <w:pStyle w:val="TableText"/>
            </w:pPr>
            <w:r>
              <w:t>Recently burnt</w:t>
            </w:r>
          </w:p>
          <w:p w14:paraId="2DA72174" w14:textId="77777777" w:rsidR="005D25E7" w:rsidRPr="005072E8" w:rsidRDefault="005D25E7" w:rsidP="00B72149">
            <w:pPr>
              <w:pStyle w:val="TableText"/>
            </w:pPr>
            <w:r>
              <w:t>Poor</w:t>
            </w:r>
          </w:p>
        </w:tc>
        <w:tc>
          <w:tcPr>
            <w:tcW w:w="1418" w:type="dxa"/>
            <w:tcBorders>
              <w:top w:val="single" w:sz="4" w:space="0" w:color="auto"/>
              <w:bottom w:val="single" w:sz="4" w:space="0" w:color="auto"/>
            </w:tcBorders>
          </w:tcPr>
          <w:p w14:paraId="7FBB305D" w14:textId="77777777" w:rsidR="005D25E7" w:rsidRPr="005072E8" w:rsidRDefault="005D25E7" w:rsidP="00B72149">
            <w:pPr>
              <w:pStyle w:val="TableText"/>
            </w:pPr>
            <w:r w:rsidRPr="005072E8">
              <w:t>Fire, disease, drought</w:t>
            </w:r>
            <w:r>
              <w:t>, grazing, recreation</w:t>
            </w:r>
          </w:p>
        </w:tc>
      </w:tr>
      <w:tr w:rsidR="00EC725E" w:rsidRPr="00AC04C9" w14:paraId="34EF0CDF" w14:textId="77777777" w:rsidTr="00FB621E">
        <w:trPr>
          <w:cantSplit/>
        </w:trPr>
        <w:tc>
          <w:tcPr>
            <w:tcW w:w="2127" w:type="dxa"/>
            <w:tcBorders>
              <w:top w:val="single" w:sz="4" w:space="0" w:color="auto"/>
              <w:bottom w:val="single" w:sz="4" w:space="0" w:color="auto"/>
            </w:tcBorders>
          </w:tcPr>
          <w:p w14:paraId="274C0F9F" w14:textId="38F2C917" w:rsidR="00EC725E" w:rsidRDefault="00EC725E" w:rsidP="00EC725E">
            <w:pPr>
              <w:pStyle w:val="TableText"/>
            </w:pPr>
            <w:r>
              <w:rPr>
                <w:i/>
                <w:iCs/>
              </w:rPr>
              <w:t xml:space="preserve">2. </w:t>
            </w:r>
            <w:r w:rsidRPr="005072E8">
              <w:rPr>
                <w:i/>
                <w:iCs/>
              </w:rPr>
              <w:t>Ellen Peak</w:t>
            </w:r>
          </w:p>
        </w:tc>
        <w:tc>
          <w:tcPr>
            <w:tcW w:w="1134" w:type="dxa"/>
            <w:tcBorders>
              <w:top w:val="single" w:sz="4" w:space="0" w:color="auto"/>
              <w:bottom w:val="single" w:sz="4" w:space="0" w:color="auto"/>
            </w:tcBorders>
          </w:tcPr>
          <w:p w14:paraId="2C001DC1" w14:textId="5D9C3377" w:rsidR="00EC725E" w:rsidRPr="005072E8" w:rsidRDefault="00EC725E" w:rsidP="00EC725E">
            <w:pPr>
              <w:pStyle w:val="TableText"/>
            </w:pPr>
            <w:r w:rsidRPr="005072E8">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5DB7E6CD" w14:textId="77777777" w:rsidR="00EC725E" w:rsidRPr="005072E8" w:rsidRDefault="00EC725E" w:rsidP="00EC725E">
            <w:pPr>
              <w:pStyle w:val="TableText"/>
              <w:rPr>
                <w:i/>
                <w:iCs/>
              </w:rPr>
            </w:pPr>
            <w:r w:rsidRPr="005072E8">
              <w:rPr>
                <w:i/>
                <w:iCs/>
              </w:rPr>
              <w:t>1986</w:t>
            </w:r>
          </w:p>
          <w:p w14:paraId="731E2CAC" w14:textId="77777777" w:rsidR="00EC725E" w:rsidRPr="005072E8" w:rsidRDefault="00EC725E" w:rsidP="00EC725E">
            <w:pPr>
              <w:pStyle w:val="TableText"/>
              <w:rPr>
                <w:i/>
                <w:iCs/>
              </w:rPr>
            </w:pPr>
            <w:r w:rsidRPr="005072E8">
              <w:rPr>
                <w:i/>
                <w:iCs/>
              </w:rPr>
              <w:t>1</w:t>
            </w:r>
            <w:r>
              <w:rPr>
                <w:i/>
                <w:iCs/>
              </w:rPr>
              <w:t>9</w:t>
            </w:r>
            <w:r w:rsidRPr="005072E8">
              <w:rPr>
                <w:i/>
                <w:iCs/>
              </w:rPr>
              <w:t>89</w:t>
            </w:r>
          </w:p>
          <w:p w14:paraId="67A4B965" w14:textId="77777777" w:rsidR="00EC725E" w:rsidRDefault="00EC725E" w:rsidP="00EC725E">
            <w:pPr>
              <w:pStyle w:val="TableText"/>
              <w:rPr>
                <w:i/>
                <w:iCs/>
              </w:rPr>
            </w:pPr>
            <w:r w:rsidRPr="005072E8">
              <w:rPr>
                <w:i/>
                <w:iCs/>
              </w:rPr>
              <w:t>2004</w:t>
            </w:r>
          </w:p>
          <w:p w14:paraId="1B824A89" w14:textId="35693BB9" w:rsidR="00EC725E" w:rsidRPr="005072E8" w:rsidRDefault="00EC725E" w:rsidP="00EC725E">
            <w:pPr>
              <w:pStyle w:val="TableText"/>
            </w:pPr>
            <w:r>
              <w:rPr>
                <w:i/>
                <w:iCs/>
              </w:rPr>
              <w:t>2020</w:t>
            </w:r>
          </w:p>
        </w:tc>
        <w:tc>
          <w:tcPr>
            <w:tcW w:w="1843" w:type="dxa"/>
            <w:tcBorders>
              <w:top w:val="single" w:sz="4" w:space="0" w:color="auto"/>
              <w:bottom w:val="single" w:sz="4" w:space="0" w:color="auto"/>
            </w:tcBorders>
          </w:tcPr>
          <w:p w14:paraId="2124EE7E" w14:textId="77777777" w:rsidR="00EC725E" w:rsidRPr="005072E8" w:rsidRDefault="00EC725E" w:rsidP="00EC725E">
            <w:pPr>
              <w:pStyle w:val="TableText"/>
              <w:rPr>
                <w:i/>
                <w:iCs/>
              </w:rPr>
            </w:pPr>
            <w:r w:rsidRPr="005072E8">
              <w:rPr>
                <w:i/>
                <w:iCs/>
              </w:rPr>
              <w:t>Common</w:t>
            </w:r>
          </w:p>
          <w:p w14:paraId="20DE19CA" w14:textId="77777777" w:rsidR="00EC725E" w:rsidRPr="005072E8" w:rsidRDefault="00EC725E" w:rsidP="00EC725E">
            <w:pPr>
              <w:pStyle w:val="TableText"/>
              <w:rPr>
                <w:i/>
                <w:iCs/>
              </w:rPr>
            </w:pPr>
            <w:r w:rsidRPr="005072E8">
              <w:rPr>
                <w:i/>
                <w:iCs/>
              </w:rPr>
              <w:t>&gt;100</w:t>
            </w:r>
          </w:p>
          <w:p w14:paraId="03900ED6" w14:textId="77777777" w:rsidR="00EC725E" w:rsidRDefault="00EC725E" w:rsidP="00EC725E">
            <w:pPr>
              <w:pStyle w:val="TableText"/>
              <w:rPr>
                <w:i/>
                <w:iCs/>
              </w:rPr>
            </w:pPr>
            <w:r w:rsidRPr="005072E8">
              <w:rPr>
                <w:i/>
                <w:iCs/>
              </w:rPr>
              <w:t>0 (0)</w:t>
            </w:r>
          </w:p>
          <w:p w14:paraId="70721FF1" w14:textId="4895E0EA" w:rsidR="00EC725E" w:rsidRPr="005072E8" w:rsidRDefault="00EC725E" w:rsidP="00EC725E">
            <w:pPr>
              <w:pStyle w:val="TableText"/>
            </w:pPr>
            <w:r>
              <w:rPr>
                <w:i/>
                <w:iCs/>
              </w:rPr>
              <w:t>0 (0)</w:t>
            </w:r>
          </w:p>
        </w:tc>
        <w:tc>
          <w:tcPr>
            <w:tcW w:w="1842" w:type="dxa"/>
            <w:tcBorders>
              <w:top w:val="single" w:sz="4" w:space="0" w:color="auto"/>
              <w:bottom w:val="single" w:sz="4" w:space="0" w:color="auto"/>
            </w:tcBorders>
          </w:tcPr>
          <w:p w14:paraId="38E23B30" w14:textId="77777777" w:rsidR="00EC725E" w:rsidRPr="005072E8" w:rsidRDefault="00EC725E" w:rsidP="00EC725E">
            <w:pPr>
              <w:pStyle w:val="TableText"/>
              <w:rPr>
                <w:i/>
                <w:iCs/>
              </w:rPr>
            </w:pPr>
          </w:p>
          <w:p w14:paraId="5A057388" w14:textId="77777777" w:rsidR="00EC725E" w:rsidRPr="005072E8" w:rsidRDefault="00EC725E" w:rsidP="00EC725E">
            <w:pPr>
              <w:pStyle w:val="TableText"/>
              <w:rPr>
                <w:i/>
                <w:iCs/>
              </w:rPr>
            </w:pPr>
          </w:p>
          <w:p w14:paraId="654046E7" w14:textId="1E2E131B" w:rsidR="00EC725E" w:rsidRPr="005072E8" w:rsidRDefault="00EC725E" w:rsidP="00EC725E">
            <w:pPr>
              <w:pStyle w:val="TableText"/>
            </w:pPr>
            <w:r w:rsidRPr="005072E8">
              <w:rPr>
                <w:i/>
                <w:iCs/>
              </w:rPr>
              <w:t>-</w:t>
            </w:r>
          </w:p>
        </w:tc>
        <w:tc>
          <w:tcPr>
            <w:tcW w:w="1418" w:type="dxa"/>
            <w:tcBorders>
              <w:top w:val="single" w:sz="4" w:space="0" w:color="auto"/>
              <w:bottom w:val="single" w:sz="4" w:space="0" w:color="auto"/>
            </w:tcBorders>
          </w:tcPr>
          <w:p w14:paraId="6DECEA8D" w14:textId="689FBF75" w:rsidR="00EC725E" w:rsidRPr="005072E8" w:rsidRDefault="00EC725E" w:rsidP="00EC725E">
            <w:pPr>
              <w:pStyle w:val="TableText"/>
            </w:pPr>
            <w:r w:rsidRPr="005072E8">
              <w:rPr>
                <w:i/>
                <w:iCs/>
              </w:rPr>
              <w:t>Fire, disease</w:t>
            </w:r>
          </w:p>
        </w:tc>
      </w:tr>
      <w:tr w:rsidR="00EC725E" w:rsidRPr="00AC04C9" w14:paraId="2A7F7449" w14:textId="77777777" w:rsidTr="00FB621E">
        <w:trPr>
          <w:cantSplit/>
        </w:trPr>
        <w:tc>
          <w:tcPr>
            <w:tcW w:w="2127" w:type="dxa"/>
            <w:tcBorders>
              <w:top w:val="single" w:sz="4" w:space="0" w:color="auto"/>
              <w:bottom w:val="single" w:sz="4" w:space="0" w:color="auto"/>
            </w:tcBorders>
          </w:tcPr>
          <w:p w14:paraId="2DE34EEC" w14:textId="09099C1A" w:rsidR="00EC725E" w:rsidRDefault="00EC725E" w:rsidP="00EC725E">
            <w:pPr>
              <w:pStyle w:val="TableText"/>
              <w:rPr>
                <w:i/>
                <w:iCs/>
              </w:rPr>
            </w:pPr>
            <w:r>
              <w:t xml:space="preserve">3. </w:t>
            </w:r>
            <w:r w:rsidRPr="005072E8">
              <w:t>Coyanarup Peak</w:t>
            </w:r>
          </w:p>
        </w:tc>
        <w:tc>
          <w:tcPr>
            <w:tcW w:w="1134" w:type="dxa"/>
            <w:tcBorders>
              <w:top w:val="single" w:sz="4" w:space="0" w:color="auto"/>
              <w:bottom w:val="single" w:sz="4" w:space="0" w:color="auto"/>
            </w:tcBorders>
          </w:tcPr>
          <w:p w14:paraId="04578D6D" w14:textId="6424EA68" w:rsidR="00EC725E" w:rsidRPr="005072E8" w:rsidRDefault="00EC725E" w:rsidP="00EC725E">
            <w:pPr>
              <w:pStyle w:val="TableText"/>
              <w:rPr>
                <w:i/>
                <w:iCs/>
              </w:rPr>
            </w:pPr>
            <w:r w:rsidRPr="005072E8">
              <w:t>Extant</w:t>
            </w:r>
          </w:p>
        </w:tc>
        <w:tc>
          <w:tcPr>
            <w:tcW w:w="992" w:type="dxa"/>
            <w:tcBorders>
              <w:top w:val="single" w:sz="4" w:space="0" w:color="auto"/>
              <w:bottom w:val="single" w:sz="4" w:space="0" w:color="auto"/>
            </w:tcBorders>
          </w:tcPr>
          <w:p w14:paraId="774185B3" w14:textId="77777777" w:rsidR="00EC725E" w:rsidRPr="005072E8" w:rsidRDefault="00EC725E" w:rsidP="00EC725E">
            <w:pPr>
              <w:pStyle w:val="TableText"/>
            </w:pPr>
            <w:r w:rsidRPr="005072E8">
              <w:t>1990</w:t>
            </w:r>
          </w:p>
          <w:p w14:paraId="27B30FC7" w14:textId="77777777" w:rsidR="00EC725E" w:rsidRDefault="00EC725E" w:rsidP="00EC725E">
            <w:pPr>
              <w:pStyle w:val="TableText"/>
            </w:pPr>
            <w:r w:rsidRPr="005072E8">
              <w:t>2004</w:t>
            </w:r>
          </w:p>
          <w:p w14:paraId="1B710090" w14:textId="77777777" w:rsidR="00EC725E" w:rsidRDefault="00EC725E" w:rsidP="00EC725E">
            <w:pPr>
              <w:pStyle w:val="TableText"/>
            </w:pPr>
            <w:r>
              <w:t>2005</w:t>
            </w:r>
          </w:p>
          <w:p w14:paraId="592F61CA" w14:textId="77777777" w:rsidR="00EC725E" w:rsidRDefault="00EC725E" w:rsidP="00EC725E">
            <w:pPr>
              <w:pStyle w:val="TableText"/>
            </w:pPr>
            <w:r>
              <w:t>2007</w:t>
            </w:r>
          </w:p>
          <w:p w14:paraId="09C7552F" w14:textId="77777777" w:rsidR="00EC725E" w:rsidRDefault="00EC725E" w:rsidP="00EC725E">
            <w:pPr>
              <w:pStyle w:val="TableText"/>
            </w:pPr>
            <w:r>
              <w:t>2009</w:t>
            </w:r>
          </w:p>
          <w:p w14:paraId="3F1B9489" w14:textId="77777777" w:rsidR="00EC725E" w:rsidRDefault="00EC725E" w:rsidP="00EC725E">
            <w:pPr>
              <w:pStyle w:val="TableText"/>
            </w:pPr>
            <w:r>
              <w:t>2011</w:t>
            </w:r>
          </w:p>
          <w:p w14:paraId="201E28E8" w14:textId="77777777" w:rsidR="00EC725E" w:rsidRDefault="00EC725E" w:rsidP="00EC725E">
            <w:pPr>
              <w:pStyle w:val="TableText"/>
            </w:pPr>
            <w:r>
              <w:t>2013</w:t>
            </w:r>
          </w:p>
          <w:p w14:paraId="40141DA7" w14:textId="77777777" w:rsidR="00EC725E" w:rsidRDefault="00EC725E" w:rsidP="00EC725E">
            <w:pPr>
              <w:pStyle w:val="TableText"/>
            </w:pPr>
            <w:r>
              <w:t>2015</w:t>
            </w:r>
          </w:p>
          <w:p w14:paraId="5EC2738C" w14:textId="77777777" w:rsidR="00EC725E" w:rsidRDefault="00EC725E" w:rsidP="00EC725E">
            <w:pPr>
              <w:pStyle w:val="TableText"/>
            </w:pPr>
            <w:r>
              <w:t>2017</w:t>
            </w:r>
          </w:p>
          <w:p w14:paraId="64D7A091" w14:textId="77777777" w:rsidR="00EC725E" w:rsidRDefault="00EC725E" w:rsidP="00EC725E">
            <w:pPr>
              <w:pStyle w:val="TableText"/>
            </w:pPr>
            <w:r>
              <w:t>2018</w:t>
            </w:r>
          </w:p>
          <w:p w14:paraId="3F37CB4B" w14:textId="77777777" w:rsidR="00EC725E" w:rsidRDefault="00EC725E" w:rsidP="00EC725E">
            <w:pPr>
              <w:pStyle w:val="TableText"/>
            </w:pPr>
            <w:r>
              <w:t>2019</w:t>
            </w:r>
          </w:p>
          <w:p w14:paraId="5A7ED64F" w14:textId="77777777" w:rsidR="00EC725E" w:rsidRDefault="00EC725E" w:rsidP="00EC725E">
            <w:pPr>
              <w:pStyle w:val="TableText"/>
            </w:pPr>
            <w:r>
              <w:t>2020</w:t>
            </w:r>
          </w:p>
          <w:p w14:paraId="2DD95256" w14:textId="4EF07B47" w:rsidR="00EC725E" w:rsidRPr="005072E8" w:rsidRDefault="00EC725E" w:rsidP="00EC725E">
            <w:pPr>
              <w:pStyle w:val="TableText"/>
              <w:rPr>
                <w:i/>
                <w:iCs/>
              </w:rPr>
            </w:pPr>
            <w:r>
              <w:t>2021</w:t>
            </w:r>
          </w:p>
        </w:tc>
        <w:tc>
          <w:tcPr>
            <w:tcW w:w="1843" w:type="dxa"/>
            <w:tcBorders>
              <w:top w:val="single" w:sz="4" w:space="0" w:color="auto"/>
              <w:bottom w:val="single" w:sz="4" w:space="0" w:color="auto"/>
            </w:tcBorders>
          </w:tcPr>
          <w:p w14:paraId="7AB61FD1" w14:textId="77777777" w:rsidR="00EC725E" w:rsidRPr="005072E8" w:rsidRDefault="00EC725E" w:rsidP="00EC725E">
            <w:pPr>
              <w:pStyle w:val="TableText"/>
            </w:pPr>
            <w:r w:rsidRPr="005072E8">
              <w:t>100s</w:t>
            </w:r>
          </w:p>
          <w:p w14:paraId="37EF8AA4" w14:textId="77777777" w:rsidR="00EC725E" w:rsidRDefault="00EC725E" w:rsidP="00EC725E">
            <w:pPr>
              <w:pStyle w:val="TableText"/>
            </w:pPr>
            <w:r w:rsidRPr="005072E8">
              <w:t>1 (&lt;50)</w:t>
            </w:r>
          </w:p>
          <w:p w14:paraId="7BA676D6" w14:textId="77777777" w:rsidR="00EC725E" w:rsidRDefault="00EC725E" w:rsidP="00EC725E">
            <w:pPr>
              <w:pStyle w:val="TableText"/>
            </w:pPr>
            <w:r>
              <w:t>1 (100)</w:t>
            </w:r>
          </w:p>
          <w:p w14:paraId="3C29F7F6" w14:textId="77777777" w:rsidR="00EC725E" w:rsidRDefault="00EC725E" w:rsidP="00EC725E">
            <w:pPr>
              <w:pStyle w:val="TableText"/>
            </w:pPr>
            <w:r>
              <w:t>10 (150)</w:t>
            </w:r>
          </w:p>
          <w:p w14:paraId="311A7AE6" w14:textId="77777777" w:rsidR="00EC725E" w:rsidRDefault="00EC725E" w:rsidP="00EC725E">
            <w:pPr>
              <w:pStyle w:val="TableText"/>
            </w:pPr>
            <w:r>
              <w:t>100</w:t>
            </w:r>
          </w:p>
          <w:p w14:paraId="5FE99DEC" w14:textId="77777777" w:rsidR="00EC725E" w:rsidRDefault="00EC725E" w:rsidP="00EC725E">
            <w:pPr>
              <w:pStyle w:val="TableText"/>
            </w:pPr>
            <w:r>
              <w:t>(150)</w:t>
            </w:r>
          </w:p>
          <w:p w14:paraId="205C54CE" w14:textId="77777777" w:rsidR="00EC725E" w:rsidRDefault="00EC725E" w:rsidP="00EC725E">
            <w:pPr>
              <w:pStyle w:val="TableText"/>
            </w:pPr>
            <w:r>
              <w:t>20 (100)</w:t>
            </w:r>
          </w:p>
          <w:p w14:paraId="112E3629" w14:textId="77777777" w:rsidR="00EC725E" w:rsidRDefault="00EC725E" w:rsidP="00EC725E">
            <w:pPr>
              <w:pStyle w:val="TableText"/>
            </w:pPr>
            <w:r>
              <w:t>20 (180)</w:t>
            </w:r>
          </w:p>
          <w:p w14:paraId="34E075C6" w14:textId="77777777" w:rsidR="00EC725E" w:rsidRDefault="00EC725E" w:rsidP="00EC725E">
            <w:pPr>
              <w:pStyle w:val="TableText"/>
            </w:pPr>
            <w:r>
              <w:t>20 (100)</w:t>
            </w:r>
          </w:p>
          <w:p w14:paraId="2212ED38" w14:textId="77777777" w:rsidR="00EC725E" w:rsidRDefault="00EC725E" w:rsidP="00EC725E">
            <w:pPr>
              <w:pStyle w:val="TableText"/>
            </w:pPr>
            <w:r>
              <w:t>0</w:t>
            </w:r>
          </w:p>
          <w:p w14:paraId="4B235157" w14:textId="77777777" w:rsidR="00EC725E" w:rsidRDefault="00EC725E" w:rsidP="00EC725E">
            <w:pPr>
              <w:pStyle w:val="TableText"/>
            </w:pPr>
            <w:r>
              <w:t>0 (1)</w:t>
            </w:r>
          </w:p>
          <w:p w14:paraId="24F441D6" w14:textId="77777777" w:rsidR="00EC725E" w:rsidRDefault="00EC725E" w:rsidP="00EC725E">
            <w:pPr>
              <w:pStyle w:val="TableText"/>
            </w:pPr>
            <w:r>
              <w:t>0 (250)</w:t>
            </w:r>
          </w:p>
          <w:p w14:paraId="05386884" w14:textId="498E704E" w:rsidR="00EC725E" w:rsidRPr="005072E8" w:rsidRDefault="00EC725E" w:rsidP="00EC725E">
            <w:pPr>
              <w:pStyle w:val="TableText"/>
              <w:rPr>
                <w:i/>
                <w:iCs/>
              </w:rPr>
            </w:pPr>
            <w:r>
              <w:t>0 (244)</w:t>
            </w:r>
          </w:p>
        </w:tc>
        <w:tc>
          <w:tcPr>
            <w:tcW w:w="1842" w:type="dxa"/>
            <w:tcBorders>
              <w:top w:val="single" w:sz="4" w:space="0" w:color="auto"/>
              <w:bottom w:val="single" w:sz="4" w:space="0" w:color="auto"/>
            </w:tcBorders>
          </w:tcPr>
          <w:p w14:paraId="787737B3" w14:textId="77777777" w:rsidR="00EC725E" w:rsidRDefault="00EC725E" w:rsidP="00EC725E">
            <w:pPr>
              <w:pStyle w:val="TableText"/>
            </w:pPr>
            <w:r w:rsidRPr="005072E8">
              <w:t>Drought-affected</w:t>
            </w:r>
          </w:p>
          <w:p w14:paraId="10A0C64A" w14:textId="77777777" w:rsidR="00EC725E" w:rsidRDefault="00EC725E" w:rsidP="00EC725E">
            <w:pPr>
              <w:pStyle w:val="TableText"/>
            </w:pPr>
          </w:p>
          <w:p w14:paraId="02E3CCE5" w14:textId="77777777" w:rsidR="00EC725E" w:rsidRDefault="00EC725E" w:rsidP="00EC725E">
            <w:pPr>
              <w:pStyle w:val="TableText"/>
            </w:pPr>
          </w:p>
          <w:p w14:paraId="78380FA8" w14:textId="77777777" w:rsidR="00EC725E" w:rsidRDefault="00EC725E" w:rsidP="00EC725E">
            <w:pPr>
              <w:pStyle w:val="TableText"/>
            </w:pPr>
          </w:p>
          <w:p w14:paraId="19BD8F28" w14:textId="77777777" w:rsidR="00EC725E" w:rsidRDefault="00EC725E" w:rsidP="00EC725E">
            <w:pPr>
              <w:pStyle w:val="TableText"/>
            </w:pPr>
          </w:p>
          <w:p w14:paraId="1829A3F6" w14:textId="77777777" w:rsidR="00EC725E" w:rsidRDefault="00EC725E" w:rsidP="00EC725E">
            <w:pPr>
              <w:pStyle w:val="TableText"/>
            </w:pPr>
          </w:p>
          <w:p w14:paraId="1083D136" w14:textId="77777777" w:rsidR="00EC725E" w:rsidRDefault="00EC725E" w:rsidP="00EC725E">
            <w:pPr>
              <w:pStyle w:val="TableText"/>
            </w:pPr>
          </w:p>
          <w:p w14:paraId="2BFDCAFA" w14:textId="77777777" w:rsidR="00EC725E" w:rsidRDefault="00EC725E" w:rsidP="00EC725E">
            <w:pPr>
              <w:pStyle w:val="TableText"/>
            </w:pPr>
          </w:p>
          <w:p w14:paraId="4260A1CD" w14:textId="77777777" w:rsidR="00EC725E" w:rsidRDefault="00EC725E" w:rsidP="00EC725E">
            <w:pPr>
              <w:pStyle w:val="TableText"/>
            </w:pPr>
          </w:p>
          <w:p w14:paraId="102C0C2B" w14:textId="77777777" w:rsidR="00EC725E" w:rsidRDefault="00EC725E" w:rsidP="00EC725E">
            <w:pPr>
              <w:pStyle w:val="TableText"/>
            </w:pPr>
          </w:p>
          <w:p w14:paraId="04DB872C" w14:textId="77777777" w:rsidR="00EC725E" w:rsidRDefault="00EC725E" w:rsidP="00EC725E">
            <w:pPr>
              <w:pStyle w:val="TableText"/>
            </w:pPr>
            <w:r>
              <w:t>Recently burnt</w:t>
            </w:r>
          </w:p>
          <w:p w14:paraId="74DD4347" w14:textId="77777777" w:rsidR="00EC725E" w:rsidRDefault="00EC725E" w:rsidP="00EC725E">
            <w:pPr>
              <w:pStyle w:val="TableText"/>
            </w:pPr>
            <w:r>
              <w:t>Poor</w:t>
            </w:r>
          </w:p>
          <w:p w14:paraId="600E3710" w14:textId="676ADFA5" w:rsidR="00EC725E" w:rsidRPr="005072E8" w:rsidRDefault="00EC725E" w:rsidP="00EC725E">
            <w:pPr>
              <w:pStyle w:val="TableText"/>
              <w:rPr>
                <w:i/>
                <w:iCs/>
              </w:rPr>
            </w:pPr>
            <w:r>
              <w:t>Poor</w:t>
            </w:r>
          </w:p>
        </w:tc>
        <w:tc>
          <w:tcPr>
            <w:tcW w:w="1418" w:type="dxa"/>
            <w:tcBorders>
              <w:top w:val="single" w:sz="4" w:space="0" w:color="auto"/>
              <w:bottom w:val="single" w:sz="4" w:space="0" w:color="auto"/>
            </w:tcBorders>
          </w:tcPr>
          <w:p w14:paraId="1C6359F9" w14:textId="243B1D48" w:rsidR="00EC725E" w:rsidRPr="005072E8" w:rsidRDefault="00EC725E" w:rsidP="00EC725E">
            <w:pPr>
              <w:pStyle w:val="TableText"/>
              <w:rPr>
                <w:i/>
                <w:iCs/>
              </w:rPr>
            </w:pPr>
            <w:r w:rsidRPr="005072E8">
              <w:t xml:space="preserve">Fire, disease, </w:t>
            </w:r>
            <w:r w:rsidR="00397DED">
              <w:t xml:space="preserve">drought, </w:t>
            </w:r>
            <w:r w:rsidRPr="005072E8">
              <w:t>grazing</w:t>
            </w:r>
          </w:p>
        </w:tc>
      </w:tr>
      <w:tr w:rsidR="00FB621E" w:rsidRPr="00AC04C9" w14:paraId="3FCB22C2" w14:textId="77777777" w:rsidTr="00FB621E">
        <w:trPr>
          <w:cantSplit/>
        </w:trPr>
        <w:tc>
          <w:tcPr>
            <w:tcW w:w="2127" w:type="dxa"/>
            <w:tcBorders>
              <w:top w:val="single" w:sz="4" w:space="0" w:color="auto"/>
              <w:bottom w:val="single" w:sz="4" w:space="0" w:color="auto"/>
            </w:tcBorders>
          </w:tcPr>
          <w:p w14:paraId="52E077E1" w14:textId="46022BB5" w:rsidR="00FB621E" w:rsidRDefault="00FB621E" w:rsidP="00FB621E">
            <w:pPr>
              <w:pStyle w:val="TableText"/>
            </w:pPr>
            <w:r>
              <w:rPr>
                <w:i/>
                <w:iCs/>
              </w:rPr>
              <w:t xml:space="preserve">4. </w:t>
            </w:r>
            <w:r w:rsidRPr="005072E8">
              <w:rPr>
                <w:i/>
                <w:iCs/>
              </w:rPr>
              <w:t>Moongoongoondurup Hill</w:t>
            </w:r>
          </w:p>
        </w:tc>
        <w:tc>
          <w:tcPr>
            <w:tcW w:w="1134" w:type="dxa"/>
            <w:tcBorders>
              <w:top w:val="single" w:sz="4" w:space="0" w:color="auto"/>
              <w:bottom w:val="single" w:sz="4" w:space="0" w:color="auto"/>
            </w:tcBorders>
          </w:tcPr>
          <w:p w14:paraId="0863E156" w14:textId="5E611462" w:rsidR="00FB621E" w:rsidRPr="005072E8" w:rsidRDefault="00FB621E" w:rsidP="00FB621E">
            <w:pPr>
              <w:pStyle w:val="TableText"/>
            </w:pPr>
            <w:r w:rsidRPr="005072E8">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5A701831" w14:textId="77777777" w:rsidR="00FB621E" w:rsidRPr="005072E8" w:rsidRDefault="00FB621E" w:rsidP="00FB621E">
            <w:pPr>
              <w:pStyle w:val="TableText"/>
              <w:rPr>
                <w:i/>
                <w:iCs/>
              </w:rPr>
            </w:pPr>
            <w:r w:rsidRPr="005072E8">
              <w:rPr>
                <w:i/>
                <w:iCs/>
              </w:rPr>
              <w:t>1987</w:t>
            </w:r>
          </w:p>
          <w:p w14:paraId="195CE5F9" w14:textId="77777777" w:rsidR="00FB621E" w:rsidRDefault="00FB621E" w:rsidP="00FB621E">
            <w:pPr>
              <w:pStyle w:val="TableText"/>
              <w:rPr>
                <w:i/>
                <w:iCs/>
              </w:rPr>
            </w:pPr>
            <w:r w:rsidRPr="005072E8">
              <w:rPr>
                <w:i/>
                <w:iCs/>
              </w:rPr>
              <w:t>2004</w:t>
            </w:r>
          </w:p>
          <w:p w14:paraId="7AC8579C" w14:textId="1BEF3097" w:rsidR="00FB621E" w:rsidRPr="005072E8" w:rsidRDefault="00FB621E" w:rsidP="00FB621E">
            <w:pPr>
              <w:pStyle w:val="TableText"/>
            </w:pPr>
            <w:r>
              <w:rPr>
                <w:i/>
                <w:iCs/>
              </w:rPr>
              <w:t>2021</w:t>
            </w:r>
          </w:p>
        </w:tc>
        <w:tc>
          <w:tcPr>
            <w:tcW w:w="1843" w:type="dxa"/>
            <w:tcBorders>
              <w:top w:val="single" w:sz="4" w:space="0" w:color="auto"/>
              <w:bottom w:val="single" w:sz="4" w:space="0" w:color="auto"/>
            </w:tcBorders>
          </w:tcPr>
          <w:p w14:paraId="4227CDFF" w14:textId="77777777" w:rsidR="00FB621E" w:rsidRPr="005072E8" w:rsidRDefault="00FB621E" w:rsidP="00FB621E">
            <w:pPr>
              <w:pStyle w:val="TableText"/>
              <w:rPr>
                <w:i/>
                <w:iCs/>
              </w:rPr>
            </w:pPr>
            <w:r w:rsidRPr="005072E8">
              <w:rPr>
                <w:i/>
                <w:iCs/>
              </w:rPr>
              <w:t>~100</w:t>
            </w:r>
          </w:p>
          <w:p w14:paraId="0C1691DF" w14:textId="77777777" w:rsidR="00FB621E" w:rsidRDefault="00FB621E" w:rsidP="00FB621E">
            <w:pPr>
              <w:pStyle w:val="TableText"/>
              <w:rPr>
                <w:i/>
                <w:iCs/>
              </w:rPr>
            </w:pPr>
            <w:r w:rsidRPr="005072E8">
              <w:rPr>
                <w:i/>
                <w:iCs/>
              </w:rPr>
              <w:t>0 (0)</w:t>
            </w:r>
          </w:p>
          <w:p w14:paraId="72D604CA" w14:textId="58E6D082" w:rsidR="00FB621E" w:rsidRPr="005072E8" w:rsidRDefault="00FB621E" w:rsidP="00FB621E">
            <w:pPr>
              <w:pStyle w:val="TableText"/>
            </w:pPr>
            <w:r>
              <w:rPr>
                <w:i/>
                <w:iCs/>
              </w:rPr>
              <w:t>0 (0)</w:t>
            </w:r>
          </w:p>
        </w:tc>
        <w:tc>
          <w:tcPr>
            <w:tcW w:w="1842" w:type="dxa"/>
            <w:tcBorders>
              <w:top w:val="single" w:sz="4" w:space="0" w:color="auto"/>
              <w:bottom w:val="single" w:sz="4" w:space="0" w:color="auto"/>
            </w:tcBorders>
          </w:tcPr>
          <w:p w14:paraId="29D9E36B" w14:textId="77777777" w:rsidR="00FB621E" w:rsidRPr="005072E8" w:rsidRDefault="00FB621E" w:rsidP="00FB621E">
            <w:pPr>
              <w:pStyle w:val="TableText"/>
              <w:rPr>
                <w:i/>
                <w:iCs/>
              </w:rPr>
            </w:pPr>
          </w:p>
          <w:p w14:paraId="1782A2CF" w14:textId="26F651B2" w:rsidR="00FB621E" w:rsidRPr="005072E8" w:rsidRDefault="00FB621E" w:rsidP="00FB621E">
            <w:pPr>
              <w:pStyle w:val="TableText"/>
            </w:pPr>
            <w:r w:rsidRPr="005072E8">
              <w:rPr>
                <w:i/>
                <w:iCs/>
              </w:rPr>
              <w:t>-</w:t>
            </w:r>
          </w:p>
        </w:tc>
        <w:tc>
          <w:tcPr>
            <w:tcW w:w="1418" w:type="dxa"/>
            <w:tcBorders>
              <w:top w:val="single" w:sz="4" w:space="0" w:color="auto"/>
              <w:bottom w:val="single" w:sz="4" w:space="0" w:color="auto"/>
            </w:tcBorders>
          </w:tcPr>
          <w:p w14:paraId="09ACA88F" w14:textId="52A8DAA0" w:rsidR="00FB621E" w:rsidRPr="005072E8" w:rsidRDefault="00FB621E" w:rsidP="00FB621E">
            <w:pPr>
              <w:pStyle w:val="TableText"/>
            </w:pPr>
            <w:r w:rsidRPr="005072E8">
              <w:rPr>
                <w:i/>
                <w:iCs/>
              </w:rPr>
              <w:t>Fire, disease</w:t>
            </w:r>
          </w:p>
        </w:tc>
      </w:tr>
      <w:tr w:rsidR="00FB621E" w:rsidRPr="00AC04C9" w14:paraId="567F4EEF" w14:textId="77777777" w:rsidTr="00FB621E">
        <w:trPr>
          <w:cantSplit/>
        </w:trPr>
        <w:tc>
          <w:tcPr>
            <w:tcW w:w="2127" w:type="dxa"/>
            <w:tcBorders>
              <w:top w:val="single" w:sz="4" w:space="0" w:color="auto"/>
              <w:bottom w:val="single" w:sz="4" w:space="0" w:color="auto"/>
            </w:tcBorders>
          </w:tcPr>
          <w:p w14:paraId="6E4B8C0C" w14:textId="1008DA43" w:rsidR="00FB621E" w:rsidRDefault="00FB621E" w:rsidP="00FB621E">
            <w:pPr>
              <w:pStyle w:val="TableText"/>
              <w:rPr>
                <w:i/>
                <w:iCs/>
              </w:rPr>
            </w:pPr>
            <w:r>
              <w:rPr>
                <w:i/>
                <w:iCs/>
              </w:rPr>
              <w:t xml:space="preserve">5. </w:t>
            </w:r>
            <w:r w:rsidRPr="0068752D">
              <w:rPr>
                <w:i/>
                <w:iCs/>
              </w:rPr>
              <w:t>Pyungoorup Peak</w:t>
            </w:r>
          </w:p>
        </w:tc>
        <w:tc>
          <w:tcPr>
            <w:tcW w:w="1134" w:type="dxa"/>
            <w:tcBorders>
              <w:top w:val="single" w:sz="4" w:space="0" w:color="auto"/>
              <w:bottom w:val="single" w:sz="4" w:space="0" w:color="auto"/>
            </w:tcBorders>
          </w:tcPr>
          <w:p w14:paraId="63488F89" w14:textId="406ACBF1" w:rsidR="00FB621E" w:rsidRPr="005072E8" w:rsidRDefault="00FB621E" w:rsidP="00FB621E">
            <w:pPr>
              <w:pStyle w:val="TableText"/>
              <w:rPr>
                <w:i/>
                <w:iCs/>
              </w:rPr>
            </w:pPr>
            <w:r w:rsidRPr="0068752D">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15B9EAF1" w14:textId="77777777" w:rsidR="00FB621E" w:rsidRPr="0068752D" w:rsidRDefault="00FB621E" w:rsidP="00FB621E">
            <w:pPr>
              <w:pStyle w:val="TableText"/>
              <w:rPr>
                <w:i/>
                <w:iCs/>
              </w:rPr>
            </w:pPr>
            <w:r w:rsidRPr="0068752D">
              <w:rPr>
                <w:i/>
                <w:iCs/>
              </w:rPr>
              <w:t>1979</w:t>
            </w:r>
          </w:p>
          <w:p w14:paraId="1876DD98" w14:textId="77777777" w:rsidR="00FB621E" w:rsidRDefault="00FB621E" w:rsidP="00FB621E">
            <w:pPr>
              <w:pStyle w:val="TableText"/>
              <w:rPr>
                <w:i/>
                <w:iCs/>
              </w:rPr>
            </w:pPr>
            <w:r w:rsidRPr="0068752D">
              <w:rPr>
                <w:i/>
                <w:iCs/>
              </w:rPr>
              <w:t>2003</w:t>
            </w:r>
          </w:p>
          <w:p w14:paraId="71B75940" w14:textId="231FD2FB" w:rsidR="00FB621E" w:rsidRPr="005072E8" w:rsidRDefault="00FB621E" w:rsidP="00FB621E">
            <w:pPr>
              <w:pStyle w:val="TableText"/>
              <w:rPr>
                <w:i/>
                <w:iCs/>
              </w:rPr>
            </w:pPr>
            <w:r>
              <w:rPr>
                <w:i/>
                <w:iCs/>
              </w:rPr>
              <w:t>2021</w:t>
            </w:r>
          </w:p>
        </w:tc>
        <w:tc>
          <w:tcPr>
            <w:tcW w:w="1843" w:type="dxa"/>
            <w:tcBorders>
              <w:top w:val="single" w:sz="4" w:space="0" w:color="auto"/>
              <w:bottom w:val="single" w:sz="4" w:space="0" w:color="auto"/>
            </w:tcBorders>
          </w:tcPr>
          <w:p w14:paraId="16EDBAF5" w14:textId="77777777" w:rsidR="00FB621E" w:rsidRPr="0068752D" w:rsidRDefault="00FB621E" w:rsidP="00FB621E">
            <w:pPr>
              <w:pStyle w:val="TableText"/>
              <w:rPr>
                <w:i/>
                <w:iCs/>
              </w:rPr>
            </w:pPr>
            <w:r w:rsidRPr="0068752D">
              <w:rPr>
                <w:i/>
                <w:iCs/>
              </w:rPr>
              <w:t>Common</w:t>
            </w:r>
          </w:p>
          <w:p w14:paraId="3929FF54" w14:textId="77777777" w:rsidR="00FB621E" w:rsidRDefault="00FB621E" w:rsidP="00FB621E">
            <w:pPr>
              <w:pStyle w:val="TableText"/>
              <w:rPr>
                <w:i/>
                <w:iCs/>
              </w:rPr>
            </w:pPr>
            <w:r w:rsidRPr="0068752D">
              <w:rPr>
                <w:i/>
                <w:iCs/>
              </w:rPr>
              <w:t>0 (0)</w:t>
            </w:r>
          </w:p>
          <w:p w14:paraId="21E7EE54" w14:textId="1B350772" w:rsidR="00FB621E" w:rsidRPr="005072E8" w:rsidRDefault="00FB621E" w:rsidP="00FB621E">
            <w:pPr>
              <w:pStyle w:val="TableText"/>
              <w:rPr>
                <w:i/>
                <w:iCs/>
              </w:rPr>
            </w:pPr>
            <w:r>
              <w:rPr>
                <w:i/>
                <w:iCs/>
              </w:rPr>
              <w:t>0 (0)</w:t>
            </w:r>
          </w:p>
        </w:tc>
        <w:tc>
          <w:tcPr>
            <w:tcW w:w="1842" w:type="dxa"/>
            <w:tcBorders>
              <w:top w:val="single" w:sz="4" w:space="0" w:color="auto"/>
              <w:bottom w:val="single" w:sz="4" w:space="0" w:color="auto"/>
            </w:tcBorders>
          </w:tcPr>
          <w:p w14:paraId="5C6B504B" w14:textId="77777777" w:rsidR="00FB621E" w:rsidRPr="0068752D" w:rsidRDefault="00FB621E" w:rsidP="00FB621E">
            <w:pPr>
              <w:pStyle w:val="TableText"/>
              <w:rPr>
                <w:i/>
                <w:iCs/>
              </w:rPr>
            </w:pPr>
            <w:r w:rsidRPr="0068752D">
              <w:rPr>
                <w:i/>
                <w:iCs/>
              </w:rPr>
              <w:t>Healthy</w:t>
            </w:r>
          </w:p>
          <w:p w14:paraId="59AECC94" w14:textId="1BF429B6" w:rsidR="00FB621E" w:rsidRPr="005072E8" w:rsidRDefault="00FB621E" w:rsidP="00FB621E">
            <w:pPr>
              <w:pStyle w:val="TableText"/>
              <w:rPr>
                <w:i/>
                <w:iCs/>
              </w:rPr>
            </w:pPr>
            <w:r w:rsidRPr="0068752D">
              <w:rPr>
                <w:i/>
                <w:iCs/>
              </w:rPr>
              <w:t>-</w:t>
            </w:r>
          </w:p>
        </w:tc>
        <w:tc>
          <w:tcPr>
            <w:tcW w:w="1418" w:type="dxa"/>
            <w:tcBorders>
              <w:top w:val="single" w:sz="4" w:space="0" w:color="auto"/>
              <w:bottom w:val="single" w:sz="4" w:space="0" w:color="auto"/>
            </w:tcBorders>
          </w:tcPr>
          <w:p w14:paraId="21EB2F38" w14:textId="00F0E424" w:rsidR="00FB621E" w:rsidRPr="005072E8" w:rsidRDefault="00FB621E" w:rsidP="00FB621E">
            <w:pPr>
              <w:pStyle w:val="TableText"/>
              <w:rPr>
                <w:i/>
                <w:iCs/>
              </w:rPr>
            </w:pPr>
            <w:r w:rsidRPr="0068752D">
              <w:rPr>
                <w:i/>
                <w:iCs/>
              </w:rPr>
              <w:t>Fire, disease</w:t>
            </w:r>
          </w:p>
        </w:tc>
      </w:tr>
      <w:tr w:rsidR="00FB621E" w:rsidRPr="00AC04C9" w14:paraId="3774B1A1" w14:textId="77777777" w:rsidTr="00FB621E">
        <w:trPr>
          <w:cantSplit/>
        </w:trPr>
        <w:tc>
          <w:tcPr>
            <w:tcW w:w="2127" w:type="dxa"/>
            <w:tcBorders>
              <w:top w:val="single" w:sz="4" w:space="0" w:color="auto"/>
              <w:bottom w:val="single" w:sz="4" w:space="0" w:color="auto"/>
            </w:tcBorders>
          </w:tcPr>
          <w:p w14:paraId="3CFB7FF8" w14:textId="3A2CE0D4" w:rsidR="00FB621E" w:rsidRPr="0068752D" w:rsidRDefault="00FB621E" w:rsidP="00FB621E">
            <w:pPr>
              <w:pStyle w:val="TableText"/>
            </w:pPr>
            <w:r>
              <w:lastRenderedPageBreak/>
              <w:t xml:space="preserve">6A. </w:t>
            </w:r>
            <w:r w:rsidRPr="0068752D">
              <w:t>Bakers Knob A</w:t>
            </w:r>
          </w:p>
          <w:p w14:paraId="1769255D" w14:textId="77777777" w:rsidR="00FB621E" w:rsidRPr="00AC04C9" w:rsidRDefault="00FB621E" w:rsidP="00FB621E">
            <w:pPr>
              <w:pStyle w:val="TableText"/>
            </w:pPr>
          </w:p>
          <w:p w14:paraId="37CB1336" w14:textId="77777777" w:rsidR="00FB621E" w:rsidRDefault="00FB621E" w:rsidP="00FB621E">
            <w:pPr>
              <w:pStyle w:val="TableText"/>
            </w:pPr>
          </w:p>
          <w:p w14:paraId="04ACE1D4" w14:textId="77777777" w:rsidR="00FB621E" w:rsidRDefault="00FB621E" w:rsidP="00FB621E">
            <w:pPr>
              <w:pStyle w:val="TableText"/>
            </w:pPr>
          </w:p>
          <w:p w14:paraId="77602202" w14:textId="77777777" w:rsidR="00FB621E" w:rsidRPr="00AC04C9" w:rsidRDefault="00FB621E" w:rsidP="00FB621E">
            <w:pPr>
              <w:pStyle w:val="TableText"/>
            </w:pPr>
          </w:p>
          <w:p w14:paraId="3E059612" w14:textId="77777777" w:rsidR="00FB621E" w:rsidRDefault="00FB621E" w:rsidP="00FB621E">
            <w:pPr>
              <w:pStyle w:val="TableText"/>
            </w:pPr>
          </w:p>
          <w:p w14:paraId="775B0761" w14:textId="77777777" w:rsidR="00FB621E" w:rsidRPr="00AC04C9" w:rsidRDefault="00FB621E" w:rsidP="00FB621E">
            <w:pPr>
              <w:pStyle w:val="TableText"/>
              <w:spacing w:after="240"/>
            </w:pPr>
          </w:p>
          <w:p w14:paraId="6EAF214E" w14:textId="77777777" w:rsidR="00FB621E" w:rsidRDefault="00FB621E" w:rsidP="00FB621E">
            <w:pPr>
              <w:pStyle w:val="TableText"/>
              <w:rPr>
                <w:i/>
                <w:iCs/>
              </w:rPr>
            </w:pPr>
          </w:p>
          <w:p w14:paraId="6B15271F" w14:textId="77777777" w:rsidR="00FB621E" w:rsidRDefault="00FB621E" w:rsidP="00FB621E">
            <w:pPr>
              <w:pStyle w:val="TableText"/>
              <w:rPr>
                <w:i/>
                <w:iCs/>
              </w:rPr>
            </w:pPr>
          </w:p>
          <w:p w14:paraId="4EC62AAF" w14:textId="77777777" w:rsidR="00FB621E" w:rsidRDefault="00FB621E" w:rsidP="00FB621E">
            <w:pPr>
              <w:pStyle w:val="TableText"/>
              <w:rPr>
                <w:i/>
                <w:iCs/>
              </w:rPr>
            </w:pPr>
          </w:p>
          <w:p w14:paraId="7A370214" w14:textId="259C65F4" w:rsidR="00FB621E" w:rsidRPr="005072E8" w:rsidRDefault="00FB621E" w:rsidP="00FB621E">
            <w:pPr>
              <w:pStyle w:val="TableText"/>
              <w:rPr>
                <w:i/>
                <w:iCs/>
              </w:rPr>
            </w:pPr>
            <w:r>
              <w:rPr>
                <w:i/>
                <w:iCs/>
              </w:rPr>
              <w:t xml:space="preserve">6B. </w:t>
            </w:r>
            <w:r w:rsidRPr="0068752D">
              <w:rPr>
                <w:i/>
                <w:iCs/>
              </w:rPr>
              <w:t>Bakers Knob B (Saddle between Third Arrow and Bakers Knob)</w:t>
            </w:r>
          </w:p>
        </w:tc>
        <w:tc>
          <w:tcPr>
            <w:tcW w:w="1134" w:type="dxa"/>
            <w:tcBorders>
              <w:top w:val="single" w:sz="4" w:space="0" w:color="auto"/>
              <w:bottom w:val="single" w:sz="4" w:space="0" w:color="auto"/>
            </w:tcBorders>
          </w:tcPr>
          <w:p w14:paraId="2B57C48F" w14:textId="77777777" w:rsidR="00FB621E" w:rsidRPr="0068752D" w:rsidRDefault="00FB621E" w:rsidP="00FB621E">
            <w:pPr>
              <w:pStyle w:val="TableText"/>
            </w:pPr>
            <w:r w:rsidRPr="0068752D">
              <w:t xml:space="preserve">Extant </w:t>
            </w:r>
          </w:p>
          <w:p w14:paraId="611C6F33" w14:textId="77777777" w:rsidR="00FB621E" w:rsidRPr="00AC04C9" w:rsidRDefault="00FB621E" w:rsidP="00FB621E">
            <w:pPr>
              <w:pStyle w:val="TableText"/>
            </w:pPr>
          </w:p>
          <w:p w14:paraId="1AE2DBC9" w14:textId="77777777" w:rsidR="00FB621E" w:rsidRDefault="00FB621E" w:rsidP="00FB621E">
            <w:pPr>
              <w:pStyle w:val="TableText"/>
            </w:pPr>
          </w:p>
          <w:p w14:paraId="0C1662D9" w14:textId="77777777" w:rsidR="00FB621E" w:rsidRDefault="00FB621E" w:rsidP="00FB621E">
            <w:pPr>
              <w:pStyle w:val="TableText"/>
            </w:pPr>
          </w:p>
          <w:p w14:paraId="51DAD47B" w14:textId="77777777" w:rsidR="00FB621E" w:rsidRPr="00AC04C9" w:rsidRDefault="00FB621E" w:rsidP="00FB621E">
            <w:pPr>
              <w:pStyle w:val="TableText"/>
            </w:pPr>
          </w:p>
          <w:p w14:paraId="53164E9F" w14:textId="77777777" w:rsidR="00FB621E" w:rsidRPr="00AC04C9" w:rsidRDefault="00FB621E" w:rsidP="00FB621E">
            <w:pPr>
              <w:pStyle w:val="TableText"/>
            </w:pPr>
          </w:p>
          <w:p w14:paraId="19D2FEBC" w14:textId="77777777" w:rsidR="00FB621E" w:rsidRPr="00AC04C9" w:rsidRDefault="00FB621E" w:rsidP="00FB621E">
            <w:pPr>
              <w:pStyle w:val="TableText"/>
              <w:spacing w:after="240"/>
            </w:pPr>
          </w:p>
          <w:p w14:paraId="3FFC093A" w14:textId="77777777" w:rsidR="00FB621E" w:rsidRDefault="00FB621E" w:rsidP="00FB621E">
            <w:pPr>
              <w:pStyle w:val="TableText"/>
              <w:rPr>
                <w:i/>
                <w:iCs/>
              </w:rPr>
            </w:pPr>
          </w:p>
          <w:p w14:paraId="28F3273E" w14:textId="77777777" w:rsidR="00FB621E" w:rsidRDefault="00FB621E" w:rsidP="00FB621E">
            <w:pPr>
              <w:pStyle w:val="TableText"/>
              <w:rPr>
                <w:i/>
                <w:iCs/>
              </w:rPr>
            </w:pPr>
          </w:p>
          <w:p w14:paraId="37B5322C" w14:textId="77777777" w:rsidR="00FB621E" w:rsidRDefault="00FB621E" w:rsidP="00FB621E">
            <w:pPr>
              <w:pStyle w:val="TableText"/>
              <w:rPr>
                <w:i/>
                <w:iCs/>
              </w:rPr>
            </w:pPr>
          </w:p>
          <w:p w14:paraId="4E832506" w14:textId="210E6E97" w:rsidR="00FB621E" w:rsidRPr="005072E8" w:rsidRDefault="00FB621E" w:rsidP="00FB621E">
            <w:pPr>
              <w:pStyle w:val="TableText"/>
              <w:rPr>
                <w:i/>
                <w:iCs/>
              </w:rPr>
            </w:pPr>
            <w:r w:rsidRPr="0068752D">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18302FE6" w14:textId="77777777" w:rsidR="00FB621E" w:rsidRPr="00EF28B7" w:rsidRDefault="00FB621E" w:rsidP="00FB621E">
            <w:pPr>
              <w:pStyle w:val="TableText"/>
            </w:pPr>
            <w:r w:rsidRPr="00EF28B7">
              <w:t>1986</w:t>
            </w:r>
          </w:p>
          <w:p w14:paraId="0BAA406F" w14:textId="77777777" w:rsidR="00FB621E" w:rsidRPr="00EF28B7" w:rsidRDefault="00FB621E" w:rsidP="00FB621E">
            <w:pPr>
              <w:pStyle w:val="TableText"/>
            </w:pPr>
            <w:r w:rsidRPr="00EF28B7">
              <w:t>1996</w:t>
            </w:r>
          </w:p>
          <w:p w14:paraId="671065A7" w14:textId="3A909088" w:rsidR="00FB621E" w:rsidRPr="00EF28B7" w:rsidRDefault="00FB621E" w:rsidP="00FB621E">
            <w:pPr>
              <w:pStyle w:val="TableText"/>
            </w:pPr>
            <w:r w:rsidRPr="00EF28B7">
              <w:t>1997</w:t>
            </w:r>
          </w:p>
          <w:p w14:paraId="7B18B83E" w14:textId="77777777" w:rsidR="00FB621E" w:rsidRPr="00EF28B7" w:rsidRDefault="00FB621E" w:rsidP="00FB621E">
            <w:pPr>
              <w:pStyle w:val="TableText"/>
            </w:pPr>
            <w:r w:rsidRPr="00EF28B7">
              <w:t>2004</w:t>
            </w:r>
          </w:p>
          <w:p w14:paraId="7E611709" w14:textId="77777777" w:rsidR="00FB621E" w:rsidRPr="00EF28B7" w:rsidRDefault="00FB621E" w:rsidP="00FB621E">
            <w:pPr>
              <w:pStyle w:val="TableText"/>
            </w:pPr>
            <w:r w:rsidRPr="00EF28B7">
              <w:t>2009</w:t>
            </w:r>
          </w:p>
          <w:p w14:paraId="6DBD9F7D" w14:textId="77777777" w:rsidR="00FB621E" w:rsidRPr="00EF28B7" w:rsidRDefault="00FB621E" w:rsidP="00FB621E">
            <w:pPr>
              <w:pStyle w:val="TableText"/>
            </w:pPr>
            <w:r w:rsidRPr="00EF28B7">
              <w:t>2014</w:t>
            </w:r>
          </w:p>
          <w:p w14:paraId="744AA36F" w14:textId="051909CF" w:rsidR="00FB621E" w:rsidRPr="00EF28B7" w:rsidRDefault="00FB621E" w:rsidP="00FB621E">
            <w:pPr>
              <w:pStyle w:val="TableText"/>
            </w:pPr>
            <w:r w:rsidRPr="00EF28B7">
              <w:t>2017</w:t>
            </w:r>
          </w:p>
          <w:p w14:paraId="6E6CDAF3" w14:textId="77777777" w:rsidR="00FB621E" w:rsidRPr="00EF28B7" w:rsidRDefault="00FB621E" w:rsidP="00FB621E">
            <w:pPr>
              <w:pStyle w:val="TableText"/>
              <w:spacing w:after="0"/>
            </w:pPr>
            <w:r w:rsidRPr="00EF28B7">
              <w:t>2019</w:t>
            </w:r>
          </w:p>
          <w:p w14:paraId="61187F68" w14:textId="77777777" w:rsidR="00FB621E" w:rsidRPr="00EF28B7" w:rsidRDefault="00FB621E" w:rsidP="00FB621E">
            <w:pPr>
              <w:pStyle w:val="TableText"/>
              <w:spacing w:after="240"/>
            </w:pPr>
            <w:r w:rsidRPr="00EF28B7">
              <w:t>2021</w:t>
            </w:r>
          </w:p>
          <w:p w14:paraId="03DC9E9D" w14:textId="77777777" w:rsidR="00FB621E" w:rsidRPr="00EF28B7" w:rsidRDefault="00FB621E" w:rsidP="00FB621E">
            <w:pPr>
              <w:pStyle w:val="TableText"/>
              <w:rPr>
                <w:i/>
                <w:iCs/>
              </w:rPr>
            </w:pPr>
            <w:r w:rsidRPr="00EF28B7">
              <w:rPr>
                <w:i/>
                <w:iCs/>
              </w:rPr>
              <w:t>1989</w:t>
            </w:r>
          </w:p>
          <w:p w14:paraId="41BD9ABE" w14:textId="77777777" w:rsidR="00FB621E" w:rsidRPr="00EF28B7" w:rsidRDefault="00FB621E" w:rsidP="00FB621E">
            <w:pPr>
              <w:pStyle w:val="TableText"/>
              <w:rPr>
                <w:i/>
                <w:iCs/>
              </w:rPr>
            </w:pPr>
            <w:r w:rsidRPr="00EF28B7">
              <w:rPr>
                <w:i/>
                <w:iCs/>
              </w:rPr>
              <w:t>1996</w:t>
            </w:r>
          </w:p>
          <w:p w14:paraId="21E63D39" w14:textId="77777777" w:rsidR="00FB621E" w:rsidRPr="00EF28B7" w:rsidRDefault="00FB621E" w:rsidP="00FB621E">
            <w:pPr>
              <w:pStyle w:val="TableText"/>
              <w:rPr>
                <w:i/>
                <w:iCs/>
              </w:rPr>
            </w:pPr>
            <w:r w:rsidRPr="00EF28B7">
              <w:rPr>
                <w:i/>
                <w:iCs/>
              </w:rPr>
              <w:t>2004</w:t>
            </w:r>
          </w:p>
        </w:tc>
        <w:tc>
          <w:tcPr>
            <w:tcW w:w="1843" w:type="dxa"/>
            <w:tcBorders>
              <w:top w:val="single" w:sz="4" w:space="0" w:color="auto"/>
              <w:bottom w:val="single" w:sz="4" w:space="0" w:color="auto"/>
            </w:tcBorders>
          </w:tcPr>
          <w:p w14:paraId="18C77127" w14:textId="77777777" w:rsidR="00FB621E" w:rsidRPr="00EF28B7" w:rsidRDefault="00FB621E" w:rsidP="00FB621E">
            <w:pPr>
              <w:pStyle w:val="TableText"/>
            </w:pPr>
            <w:r w:rsidRPr="00EF28B7">
              <w:t xml:space="preserve">Common </w:t>
            </w:r>
          </w:p>
          <w:p w14:paraId="364C968C" w14:textId="77777777" w:rsidR="00FB621E" w:rsidRPr="00EF28B7" w:rsidRDefault="00FB621E" w:rsidP="00FB621E">
            <w:pPr>
              <w:pStyle w:val="TableText"/>
            </w:pPr>
            <w:r w:rsidRPr="00EF28B7">
              <w:t>&gt;1000</w:t>
            </w:r>
          </w:p>
          <w:p w14:paraId="1111A27D" w14:textId="0009BB8E" w:rsidR="00FB621E" w:rsidRPr="00EF28B7" w:rsidRDefault="00FB621E" w:rsidP="00FB621E">
            <w:pPr>
              <w:pStyle w:val="TableText"/>
            </w:pPr>
            <w:r w:rsidRPr="00EF28B7">
              <w:t>&gt;1000</w:t>
            </w:r>
          </w:p>
          <w:p w14:paraId="6C935925" w14:textId="6C2EAE1C" w:rsidR="00FB621E" w:rsidRPr="00EF28B7" w:rsidRDefault="00FB621E" w:rsidP="00FB621E">
            <w:pPr>
              <w:pStyle w:val="TableText"/>
            </w:pPr>
            <w:r w:rsidRPr="00EF28B7">
              <w:t>&gt;10 (~10</w:t>
            </w:r>
            <w:r w:rsidR="007A5CA8" w:rsidRPr="00EF28B7">
              <w:t>,</w:t>
            </w:r>
            <w:r w:rsidRPr="00EF28B7">
              <w:t>000)</w:t>
            </w:r>
          </w:p>
          <w:p w14:paraId="6BCFC212" w14:textId="77777777" w:rsidR="00FB621E" w:rsidRPr="00EF28B7" w:rsidRDefault="00FB621E" w:rsidP="00FB621E">
            <w:pPr>
              <w:pStyle w:val="TableText"/>
            </w:pPr>
            <w:r w:rsidRPr="00EF28B7">
              <w:t>2000</w:t>
            </w:r>
          </w:p>
          <w:p w14:paraId="1C552075" w14:textId="77777777" w:rsidR="00FB621E" w:rsidRPr="00EF28B7" w:rsidRDefault="00FB621E" w:rsidP="00FB621E">
            <w:pPr>
              <w:pStyle w:val="TableText"/>
            </w:pPr>
            <w:r w:rsidRPr="00EF28B7">
              <w:t>2000</w:t>
            </w:r>
          </w:p>
          <w:p w14:paraId="6965FDDA" w14:textId="21D5B704" w:rsidR="00FB621E" w:rsidRPr="00EF28B7" w:rsidRDefault="00A0379E" w:rsidP="00FB621E">
            <w:pPr>
              <w:pStyle w:val="TableText"/>
            </w:pPr>
            <w:r w:rsidRPr="00EF28B7">
              <w:t>4000</w:t>
            </w:r>
          </w:p>
          <w:p w14:paraId="08C893F4" w14:textId="5EC5CB77" w:rsidR="00FB621E" w:rsidRPr="00EF28B7" w:rsidRDefault="00FB621E" w:rsidP="00FB621E">
            <w:pPr>
              <w:pStyle w:val="TableText"/>
            </w:pPr>
            <w:r w:rsidRPr="00EF28B7">
              <w:t>2000 (10</w:t>
            </w:r>
            <w:r w:rsidR="007A5CA8" w:rsidRPr="00EF28B7">
              <w:t>,</w:t>
            </w:r>
            <w:r w:rsidRPr="00EF28B7">
              <w:t>440)</w:t>
            </w:r>
          </w:p>
          <w:p w14:paraId="11E09F81" w14:textId="79C7ED84" w:rsidR="00FB621E" w:rsidRPr="00EF28B7" w:rsidRDefault="00FB621E" w:rsidP="00FB621E">
            <w:pPr>
              <w:pStyle w:val="TableText"/>
              <w:spacing w:after="240"/>
            </w:pPr>
            <w:r w:rsidRPr="00EF28B7">
              <w:t>160 (26</w:t>
            </w:r>
            <w:r w:rsidR="007A5CA8" w:rsidRPr="00EF28B7">
              <w:t>,</w:t>
            </w:r>
            <w:r w:rsidRPr="00EF28B7">
              <w:t>000)</w:t>
            </w:r>
          </w:p>
          <w:p w14:paraId="7153E39D" w14:textId="77777777" w:rsidR="00FB621E" w:rsidRPr="00EF28B7" w:rsidRDefault="00FB621E" w:rsidP="00FB621E">
            <w:pPr>
              <w:pStyle w:val="TableText"/>
              <w:rPr>
                <w:i/>
                <w:iCs/>
              </w:rPr>
            </w:pPr>
            <w:r w:rsidRPr="00EF28B7">
              <w:rPr>
                <w:i/>
                <w:iCs/>
              </w:rPr>
              <w:t>&gt;100</w:t>
            </w:r>
          </w:p>
          <w:p w14:paraId="3A4FF060" w14:textId="77777777" w:rsidR="00FB621E" w:rsidRPr="00EF28B7" w:rsidRDefault="00FB621E" w:rsidP="00FB621E">
            <w:pPr>
              <w:pStyle w:val="TableText"/>
              <w:rPr>
                <w:i/>
                <w:iCs/>
              </w:rPr>
            </w:pPr>
            <w:r w:rsidRPr="00EF28B7">
              <w:rPr>
                <w:i/>
                <w:iCs/>
              </w:rPr>
              <w:t>0 (0)</w:t>
            </w:r>
          </w:p>
          <w:p w14:paraId="27C573E9" w14:textId="77777777" w:rsidR="00FB621E" w:rsidRPr="00EF28B7" w:rsidRDefault="00FB621E" w:rsidP="00FB621E">
            <w:pPr>
              <w:pStyle w:val="TableText"/>
              <w:rPr>
                <w:i/>
                <w:iCs/>
              </w:rPr>
            </w:pPr>
            <w:r w:rsidRPr="00EF28B7">
              <w:rPr>
                <w:i/>
                <w:iCs/>
              </w:rPr>
              <w:t>0 (0)</w:t>
            </w:r>
          </w:p>
        </w:tc>
        <w:tc>
          <w:tcPr>
            <w:tcW w:w="1842" w:type="dxa"/>
            <w:tcBorders>
              <w:top w:val="single" w:sz="4" w:space="0" w:color="auto"/>
              <w:bottom w:val="single" w:sz="4" w:space="0" w:color="auto"/>
            </w:tcBorders>
          </w:tcPr>
          <w:p w14:paraId="5CFC6DBC" w14:textId="77777777" w:rsidR="00FB621E" w:rsidRPr="000E3DC5" w:rsidRDefault="00FB621E" w:rsidP="00FB621E">
            <w:pPr>
              <w:pStyle w:val="TableText"/>
            </w:pPr>
            <w:r w:rsidRPr="000E3DC5">
              <w:t>Healthy</w:t>
            </w:r>
          </w:p>
          <w:p w14:paraId="456A66A4" w14:textId="35E03AFD" w:rsidR="00FB621E" w:rsidRPr="000E3DC5" w:rsidRDefault="00FB621E" w:rsidP="00FB621E">
            <w:pPr>
              <w:pStyle w:val="TableText"/>
            </w:pPr>
            <w:r w:rsidRPr="000E3DC5">
              <w:t xml:space="preserve">Healthy </w:t>
            </w:r>
            <w:r w:rsidRPr="000E3DC5">
              <w:br/>
            </w:r>
            <w:proofErr w:type="spellStart"/>
            <w:r w:rsidRPr="000E3DC5">
              <w:t>Healthy</w:t>
            </w:r>
            <w:proofErr w:type="spellEnd"/>
          </w:p>
          <w:p w14:paraId="1DF07487" w14:textId="77777777" w:rsidR="00FB621E" w:rsidRPr="000E3DC5" w:rsidRDefault="00FB621E" w:rsidP="00FB621E">
            <w:pPr>
              <w:pStyle w:val="TableText"/>
            </w:pPr>
            <w:r w:rsidRPr="000E3DC5">
              <w:t>Healthy-Moderate</w:t>
            </w:r>
          </w:p>
          <w:p w14:paraId="2CB31571" w14:textId="77777777" w:rsidR="00FB621E" w:rsidRDefault="00FB621E" w:rsidP="00FB621E">
            <w:pPr>
              <w:pStyle w:val="TableText"/>
              <w:spacing w:before="80"/>
            </w:pPr>
          </w:p>
          <w:p w14:paraId="5A0F6A09" w14:textId="77777777" w:rsidR="00FB621E" w:rsidRDefault="00FB621E" w:rsidP="00FB621E">
            <w:pPr>
              <w:pStyle w:val="TableText"/>
              <w:spacing w:before="80"/>
            </w:pPr>
          </w:p>
          <w:p w14:paraId="1C63B81C" w14:textId="77777777" w:rsidR="00FB621E" w:rsidRDefault="00FB621E" w:rsidP="00FB621E">
            <w:pPr>
              <w:pStyle w:val="TableText"/>
              <w:spacing w:before="80"/>
            </w:pPr>
          </w:p>
          <w:p w14:paraId="389ABFAC" w14:textId="77777777" w:rsidR="00FB621E" w:rsidRPr="00B44A94" w:rsidRDefault="00FB621E" w:rsidP="00FB621E">
            <w:pPr>
              <w:pStyle w:val="TableText"/>
            </w:pPr>
            <w:r w:rsidRPr="00B44A94">
              <w:t>Recently burnt</w:t>
            </w:r>
          </w:p>
          <w:p w14:paraId="23B7F77D" w14:textId="77777777" w:rsidR="00FB621E" w:rsidRPr="00B44A94" w:rsidRDefault="00FB621E" w:rsidP="00FB621E">
            <w:pPr>
              <w:pStyle w:val="TableText"/>
              <w:spacing w:after="240"/>
            </w:pPr>
            <w:r w:rsidRPr="00B44A94">
              <w:t>Poor</w:t>
            </w:r>
          </w:p>
          <w:p w14:paraId="639E2D41" w14:textId="77777777" w:rsidR="00FB621E" w:rsidRPr="0068752D" w:rsidRDefault="00FB621E" w:rsidP="00FB621E">
            <w:pPr>
              <w:pStyle w:val="TableText"/>
              <w:spacing w:before="80"/>
              <w:rPr>
                <w:i/>
                <w:iCs/>
              </w:rPr>
            </w:pPr>
            <w:r w:rsidRPr="0068752D">
              <w:rPr>
                <w:i/>
                <w:iCs/>
              </w:rPr>
              <w:t>Healthy</w:t>
            </w:r>
          </w:p>
          <w:p w14:paraId="463B1551" w14:textId="77777777" w:rsidR="00FB621E" w:rsidRPr="0068752D" w:rsidRDefault="00FB621E" w:rsidP="00FB621E">
            <w:pPr>
              <w:pStyle w:val="TableText"/>
              <w:rPr>
                <w:i/>
                <w:iCs/>
              </w:rPr>
            </w:pPr>
            <w:r w:rsidRPr="0068752D">
              <w:rPr>
                <w:i/>
                <w:iCs/>
              </w:rPr>
              <w:t>-</w:t>
            </w:r>
          </w:p>
          <w:p w14:paraId="63ADA42F" w14:textId="77777777" w:rsidR="00FB621E" w:rsidRPr="005072E8" w:rsidRDefault="00FB621E" w:rsidP="00FB621E">
            <w:pPr>
              <w:pStyle w:val="TableText"/>
              <w:rPr>
                <w:i/>
                <w:iCs/>
              </w:rPr>
            </w:pPr>
          </w:p>
        </w:tc>
        <w:tc>
          <w:tcPr>
            <w:tcW w:w="1418" w:type="dxa"/>
            <w:tcBorders>
              <w:top w:val="single" w:sz="4" w:space="0" w:color="auto"/>
              <w:bottom w:val="single" w:sz="4" w:space="0" w:color="auto"/>
            </w:tcBorders>
          </w:tcPr>
          <w:p w14:paraId="17807E29" w14:textId="77777777" w:rsidR="00FB621E" w:rsidRPr="000E3DC5" w:rsidRDefault="00FB621E" w:rsidP="00FB621E">
            <w:pPr>
              <w:pStyle w:val="TableText"/>
              <w:rPr>
                <w:i/>
                <w:iCs/>
              </w:rPr>
            </w:pPr>
            <w:r w:rsidRPr="000E3DC5">
              <w:t>Fire, disease, grazing, recreation</w:t>
            </w:r>
          </w:p>
        </w:tc>
      </w:tr>
      <w:tr w:rsidR="00DF41F3" w:rsidRPr="00AC04C9" w14:paraId="3C6543CD" w14:textId="77777777" w:rsidTr="00FB621E">
        <w:trPr>
          <w:cantSplit/>
        </w:trPr>
        <w:tc>
          <w:tcPr>
            <w:tcW w:w="2127" w:type="dxa"/>
            <w:tcBorders>
              <w:top w:val="single" w:sz="4" w:space="0" w:color="auto"/>
              <w:bottom w:val="single" w:sz="4" w:space="0" w:color="auto"/>
            </w:tcBorders>
          </w:tcPr>
          <w:p w14:paraId="12CF32F3" w14:textId="1978CA0E" w:rsidR="00DF41F3" w:rsidRPr="0068752D" w:rsidRDefault="00DF41F3" w:rsidP="00DF41F3">
            <w:pPr>
              <w:pStyle w:val="TableText"/>
            </w:pPr>
            <w:r>
              <w:rPr>
                <w:i/>
                <w:iCs/>
              </w:rPr>
              <w:t xml:space="preserve">7. </w:t>
            </w:r>
            <w:r w:rsidRPr="0068752D">
              <w:rPr>
                <w:i/>
                <w:iCs/>
              </w:rPr>
              <w:t>Isongerup Peak</w:t>
            </w:r>
          </w:p>
        </w:tc>
        <w:tc>
          <w:tcPr>
            <w:tcW w:w="1134" w:type="dxa"/>
            <w:tcBorders>
              <w:top w:val="single" w:sz="4" w:space="0" w:color="auto"/>
              <w:bottom w:val="single" w:sz="4" w:space="0" w:color="auto"/>
            </w:tcBorders>
          </w:tcPr>
          <w:p w14:paraId="31E2565E" w14:textId="63BAA77F" w:rsidR="00DF41F3" w:rsidRPr="0068752D" w:rsidRDefault="00DF41F3" w:rsidP="00DF41F3">
            <w:pPr>
              <w:pStyle w:val="TableText"/>
            </w:pPr>
            <w:r w:rsidRPr="0068752D">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3199EC16" w14:textId="77777777" w:rsidR="00DF41F3" w:rsidRPr="0068752D" w:rsidRDefault="00DF41F3" w:rsidP="00DF41F3">
            <w:pPr>
              <w:pStyle w:val="TableText"/>
              <w:rPr>
                <w:i/>
                <w:iCs/>
              </w:rPr>
            </w:pPr>
            <w:r w:rsidRPr="0068752D">
              <w:rPr>
                <w:i/>
                <w:iCs/>
              </w:rPr>
              <w:t>1979</w:t>
            </w:r>
          </w:p>
          <w:p w14:paraId="7902E754" w14:textId="77777777" w:rsidR="00DF41F3" w:rsidRPr="0068752D" w:rsidRDefault="00DF41F3" w:rsidP="00DF41F3">
            <w:pPr>
              <w:pStyle w:val="TableText"/>
              <w:rPr>
                <w:i/>
                <w:iCs/>
              </w:rPr>
            </w:pPr>
            <w:r w:rsidRPr="0068752D">
              <w:rPr>
                <w:i/>
                <w:iCs/>
              </w:rPr>
              <w:t>1997</w:t>
            </w:r>
          </w:p>
          <w:p w14:paraId="7F717012" w14:textId="77777777" w:rsidR="00DF41F3" w:rsidRDefault="00DF41F3" w:rsidP="00DF41F3">
            <w:pPr>
              <w:pStyle w:val="TableText"/>
              <w:rPr>
                <w:i/>
                <w:iCs/>
              </w:rPr>
            </w:pPr>
            <w:r w:rsidRPr="0068752D">
              <w:rPr>
                <w:i/>
                <w:iCs/>
              </w:rPr>
              <w:t>2004</w:t>
            </w:r>
          </w:p>
          <w:p w14:paraId="32496118" w14:textId="3DE55002" w:rsidR="00DF41F3" w:rsidRPr="0068752D" w:rsidRDefault="00DF41F3" w:rsidP="00DF41F3">
            <w:pPr>
              <w:pStyle w:val="TableText"/>
            </w:pPr>
            <w:r>
              <w:rPr>
                <w:i/>
                <w:iCs/>
              </w:rPr>
              <w:t>2021</w:t>
            </w:r>
          </w:p>
        </w:tc>
        <w:tc>
          <w:tcPr>
            <w:tcW w:w="1843" w:type="dxa"/>
            <w:tcBorders>
              <w:top w:val="single" w:sz="4" w:space="0" w:color="auto"/>
              <w:bottom w:val="single" w:sz="4" w:space="0" w:color="auto"/>
            </w:tcBorders>
          </w:tcPr>
          <w:p w14:paraId="213B451B" w14:textId="77777777" w:rsidR="00DF41F3" w:rsidRPr="0068752D" w:rsidRDefault="00DF41F3" w:rsidP="00DF41F3">
            <w:pPr>
              <w:pStyle w:val="TableText"/>
              <w:rPr>
                <w:i/>
                <w:iCs/>
              </w:rPr>
            </w:pPr>
            <w:r w:rsidRPr="0068752D">
              <w:rPr>
                <w:i/>
                <w:iCs/>
              </w:rPr>
              <w:t>Common</w:t>
            </w:r>
          </w:p>
          <w:p w14:paraId="79D6D141" w14:textId="77777777" w:rsidR="00DF41F3" w:rsidRPr="0068752D" w:rsidRDefault="00DF41F3" w:rsidP="00DF41F3">
            <w:pPr>
              <w:pStyle w:val="TableText"/>
              <w:rPr>
                <w:i/>
                <w:iCs/>
              </w:rPr>
            </w:pPr>
            <w:r w:rsidRPr="0068752D">
              <w:rPr>
                <w:i/>
                <w:iCs/>
              </w:rPr>
              <w:t>0 (0)</w:t>
            </w:r>
          </w:p>
          <w:p w14:paraId="4126B083" w14:textId="77777777" w:rsidR="00DF41F3" w:rsidRDefault="00DF41F3" w:rsidP="00DF41F3">
            <w:pPr>
              <w:pStyle w:val="TableText"/>
              <w:rPr>
                <w:i/>
                <w:iCs/>
              </w:rPr>
            </w:pPr>
            <w:r w:rsidRPr="0068752D">
              <w:rPr>
                <w:i/>
                <w:iCs/>
              </w:rPr>
              <w:t>0 (0)</w:t>
            </w:r>
          </w:p>
          <w:p w14:paraId="75EB3A8E" w14:textId="044E5BD9" w:rsidR="00DF41F3" w:rsidRPr="0068752D" w:rsidRDefault="00DF41F3" w:rsidP="00DF41F3">
            <w:pPr>
              <w:pStyle w:val="TableText"/>
            </w:pPr>
            <w:r>
              <w:rPr>
                <w:i/>
                <w:iCs/>
              </w:rPr>
              <w:t>0 (0)</w:t>
            </w:r>
          </w:p>
        </w:tc>
        <w:tc>
          <w:tcPr>
            <w:tcW w:w="1842" w:type="dxa"/>
            <w:tcBorders>
              <w:top w:val="single" w:sz="4" w:space="0" w:color="auto"/>
              <w:bottom w:val="single" w:sz="4" w:space="0" w:color="auto"/>
            </w:tcBorders>
          </w:tcPr>
          <w:p w14:paraId="4D264788" w14:textId="77777777" w:rsidR="00DF41F3" w:rsidRPr="0068752D" w:rsidRDefault="00DF41F3" w:rsidP="00DF41F3">
            <w:pPr>
              <w:pStyle w:val="TableText"/>
              <w:rPr>
                <w:i/>
                <w:iCs/>
              </w:rPr>
            </w:pPr>
            <w:r w:rsidRPr="0068752D">
              <w:rPr>
                <w:i/>
                <w:iCs/>
              </w:rPr>
              <w:t>Healthy</w:t>
            </w:r>
          </w:p>
          <w:p w14:paraId="5944A40C" w14:textId="509312FB" w:rsidR="00DF41F3" w:rsidRPr="000E3DC5" w:rsidRDefault="00DF41F3" w:rsidP="00DF41F3">
            <w:pPr>
              <w:pStyle w:val="TableText"/>
            </w:pPr>
            <w:r w:rsidRPr="0068752D">
              <w:rPr>
                <w:i/>
                <w:iCs/>
              </w:rPr>
              <w:t>-</w:t>
            </w:r>
          </w:p>
        </w:tc>
        <w:tc>
          <w:tcPr>
            <w:tcW w:w="1418" w:type="dxa"/>
            <w:tcBorders>
              <w:top w:val="single" w:sz="4" w:space="0" w:color="auto"/>
              <w:bottom w:val="single" w:sz="4" w:space="0" w:color="auto"/>
            </w:tcBorders>
          </w:tcPr>
          <w:p w14:paraId="39563CBF" w14:textId="354C1A93" w:rsidR="00DF41F3" w:rsidRPr="000E3DC5" w:rsidRDefault="00DF41F3" w:rsidP="00DF41F3">
            <w:pPr>
              <w:pStyle w:val="TableText"/>
            </w:pPr>
            <w:r w:rsidRPr="0068752D">
              <w:rPr>
                <w:i/>
                <w:iCs/>
              </w:rPr>
              <w:t>Fire, disease</w:t>
            </w:r>
          </w:p>
        </w:tc>
      </w:tr>
      <w:tr w:rsidR="00DF41F3" w:rsidRPr="00AC04C9" w14:paraId="76E17DBC" w14:textId="77777777" w:rsidTr="00FB621E">
        <w:trPr>
          <w:cantSplit/>
        </w:trPr>
        <w:tc>
          <w:tcPr>
            <w:tcW w:w="2127" w:type="dxa"/>
            <w:tcBorders>
              <w:top w:val="single" w:sz="4" w:space="0" w:color="auto"/>
              <w:bottom w:val="single" w:sz="4" w:space="0" w:color="auto"/>
            </w:tcBorders>
          </w:tcPr>
          <w:p w14:paraId="6A7B9D44" w14:textId="0807965B" w:rsidR="00DF41F3" w:rsidRPr="005072E8" w:rsidRDefault="00DF41F3" w:rsidP="00DF41F3">
            <w:pPr>
              <w:pStyle w:val="TableText"/>
              <w:rPr>
                <w:i/>
                <w:iCs/>
              </w:rPr>
            </w:pPr>
            <w:r>
              <w:rPr>
                <w:i/>
                <w:iCs/>
              </w:rPr>
              <w:t xml:space="preserve">8. </w:t>
            </w:r>
            <w:r w:rsidRPr="0068752D">
              <w:rPr>
                <w:i/>
                <w:iCs/>
              </w:rPr>
              <w:t>Kyanorup Eminence</w:t>
            </w:r>
          </w:p>
        </w:tc>
        <w:tc>
          <w:tcPr>
            <w:tcW w:w="1134" w:type="dxa"/>
            <w:tcBorders>
              <w:top w:val="single" w:sz="4" w:space="0" w:color="auto"/>
              <w:bottom w:val="single" w:sz="4" w:space="0" w:color="auto"/>
            </w:tcBorders>
          </w:tcPr>
          <w:p w14:paraId="234D2501" w14:textId="67B70574" w:rsidR="00DF41F3" w:rsidRPr="005072E8" w:rsidRDefault="00DF41F3" w:rsidP="00DF41F3">
            <w:pPr>
              <w:pStyle w:val="TableText"/>
              <w:rPr>
                <w:i/>
                <w:iCs/>
              </w:rPr>
            </w:pPr>
            <w:r w:rsidRPr="0068752D">
              <w:rPr>
                <w:i/>
                <w:iCs/>
              </w:rPr>
              <w:t xml:space="preserve">Presumed </w:t>
            </w:r>
            <w:r w:rsidR="00A62E13" w:rsidRPr="00A62E13">
              <w:rPr>
                <w:i/>
                <w:iCs/>
              </w:rPr>
              <w:t>extirpated</w:t>
            </w:r>
          </w:p>
        </w:tc>
        <w:tc>
          <w:tcPr>
            <w:tcW w:w="992" w:type="dxa"/>
            <w:tcBorders>
              <w:top w:val="single" w:sz="4" w:space="0" w:color="auto"/>
              <w:bottom w:val="single" w:sz="4" w:space="0" w:color="auto"/>
            </w:tcBorders>
          </w:tcPr>
          <w:p w14:paraId="61914F09" w14:textId="77777777" w:rsidR="00DF41F3" w:rsidRPr="0068752D" w:rsidRDefault="00DF41F3" w:rsidP="00DF41F3">
            <w:pPr>
              <w:pStyle w:val="TableText"/>
              <w:rPr>
                <w:i/>
                <w:iCs/>
              </w:rPr>
            </w:pPr>
            <w:r w:rsidRPr="0068752D">
              <w:rPr>
                <w:i/>
                <w:iCs/>
              </w:rPr>
              <w:t>1990</w:t>
            </w:r>
          </w:p>
          <w:p w14:paraId="1E91E48A" w14:textId="77777777" w:rsidR="00DF41F3" w:rsidRPr="005072E8" w:rsidRDefault="00DF41F3" w:rsidP="00DF41F3">
            <w:pPr>
              <w:pStyle w:val="TableText"/>
              <w:rPr>
                <w:i/>
                <w:iCs/>
              </w:rPr>
            </w:pPr>
            <w:r w:rsidRPr="0068752D">
              <w:rPr>
                <w:i/>
                <w:iCs/>
              </w:rPr>
              <w:t>2000</w:t>
            </w:r>
          </w:p>
        </w:tc>
        <w:tc>
          <w:tcPr>
            <w:tcW w:w="1843" w:type="dxa"/>
            <w:tcBorders>
              <w:top w:val="single" w:sz="4" w:space="0" w:color="auto"/>
              <w:bottom w:val="single" w:sz="4" w:space="0" w:color="auto"/>
            </w:tcBorders>
          </w:tcPr>
          <w:p w14:paraId="5DF9348F" w14:textId="77777777" w:rsidR="00DF41F3" w:rsidRPr="0068752D" w:rsidRDefault="00DF41F3" w:rsidP="00DF41F3">
            <w:pPr>
              <w:pStyle w:val="TableText"/>
              <w:rPr>
                <w:i/>
                <w:iCs/>
              </w:rPr>
            </w:pPr>
            <w:r w:rsidRPr="0068752D">
              <w:rPr>
                <w:i/>
                <w:iCs/>
              </w:rPr>
              <w:t>&gt;200</w:t>
            </w:r>
          </w:p>
          <w:p w14:paraId="3C623528" w14:textId="77777777" w:rsidR="00DF41F3" w:rsidRPr="005072E8" w:rsidRDefault="00DF41F3" w:rsidP="00DF41F3">
            <w:pPr>
              <w:pStyle w:val="TableText"/>
              <w:rPr>
                <w:i/>
                <w:iCs/>
              </w:rPr>
            </w:pPr>
            <w:r w:rsidRPr="0068752D">
              <w:rPr>
                <w:i/>
                <w:iCs/>
              </w:rPr>
              <w:t>0 (0)</w:t>
            </w:r>
          </w:p>
        </w:tc>
        <w:tc>
          <w:tcPr>
            <w:tcW w:w="1842" w:type="dxa"/>
            <w:tcBorders>
              <w:top w:val="single" w:sz="4" w:space="0" w:color="auto"/>
              <w:bottom w:val="single" w:sz="4" w:space="0" w:color="auto"/>
            </w:tcBorders>
          </w:tcPr>
          <w:p w14:paraId="1E9E05E4" w14:textId="77777777" w:rsidR="00DF41F3" w:rsidRPr="0068752D" w:rsidRDefault="00DF41F3" w:rsidP="00DF41F3">
            <w:pPr>
              <w:pStyle w:val="TableText"/>
              <w:rPr>
                <w:i/>
                <w:iCs/>
              </w:rPr>
            </w:pPr>
          </w:p>
          <w:p w14:paraId="2F54C4CF" w14:textId="77777777" w:rsidR="00DF41F3" w:rsidRPr="005072E8" w:rsidRDefault="00DF41F3" w:rsidP="00DF41F3">
            <w:pPr>
              <w:pStyle w:val="TableText"/>
              <w:rPr>
                <w:i/>
                <w:iCs/>
              </w:rPr>
            </w:pPr>
            <w:r w:rsidRPr="0068752D">
              <w:rPr>
                <w:i/>
                <w:iCs/>
              </w:rPr>
              <w:t>-</w:t>
            </w:r>
          </w:p>
        </w:tc>
        <w:tc>
          <w:tcPr>
            <w:tcW w:w="1418" w:type="dxa"/>
            <w:tcBorders>
              <w:top w:val="single" w:sz="4" w:space="0" w:color="auto"/>
              <w:bottom w:val="single" w:sz="4" w:space="0" w:color="auto"/>
            </w:tcBorders>
          </w:tcPr>
          <w:p w14:paraId="620F0FE4" w14:textId="77777777" w:rsidR="00DF41F3" w:rsidRPr="005072E8" w:rsidRDefault="00DF41F3" w:rsidP="00DF41F3">
            <w:pPr>
              <w:pStyle w:val="TableText"/>
              <w:rPr>
                <w:i/>
                <w:iCs/>
              </w:rPr>
            </w:pPr>
            <w:r w:rsidRPr="0068752D">
              <w:rPr>
                <w:i/>
                <w:iCs/>
              </w:rPr>
              <w:t>Fire, disease</w:t>
            </w:r>
          </w:p>
        </w:tc>
      </w:tr>
      <w:tr w:rsidR="00DF41F3" w:rsidRPr="00AC04C9" w14:paraId="208E0D74" w14:textId="77777777" w:rsidTr="00FB621E">
        <w:trPr>
          <w:cantSplit/>
        </w:trPr>
        <w:tc>
          <w:tcPr>
            <w:tcW w:w="2127" w:type="dxa"/>
            <w:tcBorders>
              <w:top w:val="single" w:sz="4" w:space="0" w:color="auto"/>
              <w:bottom w:val="single" w:sz="4" w:space="0" w:color="auto"/>
            </w:tcBorders>
          </w:tcPr>
          <w:p w14:paraId="43A18251" w14:textId="73A7E3B2" w:rsidR="00DF41F3" w:rsidRPr="005072E8" w:rsidRDefault="00DF41F3" w:rsidP="00DF41F3">
            <w:pPr>
              <w:pStyle w:val="TableText"/>
              <w:rPr>
                <w:i/>
                <w:iCs/>
              </w:rPr>
            </w:pPr>
            <w:r>
              <w:t xml:space="preserve">9. </w:t>
            </w:r>
            <w:r w:rsidRPr="0068752D">
              <w:t>East Bluff</w:t>
            </w:r>
          </w:p>
        </w:tc>
        <w:tc>
          <w:tcPr>
            <w:tcW w:w="1134" w:type="dxa"/>
            <w:tcBorders>
              <w:top w:val="single" w:sz="4" w:space="0" w:color="auto"/>
              <w:bottom w:val="single" w:sz="4" w:space="0" w:color="auto"/>
            </w:tcBorders>
          </w:tcPr>
          <w:p w14:paraId="2611425B" w14:textId="18ADC951" w:rsidR="00DF41F3" w:rsidRPr="005072E8" w:rsidRDefault="00DF41F3" w:rsidP="00DF41F3">
            <w:pPr>
              <w:pStyle w:val="TableText"/>
              <w:rPr>
                <w:i/>
                <w:iCs/>
              </w:rPr>
            </w:pPr>
            <w:r w:rsidRPr="0068752D">
              <w:t>Extant</w:t>
            </w:r>
          </w:p>
        </w:tc>
        <w:tc>
          <w:tcPr>
            <w:tcW w:w="992" w:type="dxa"/>
            <w:tcBorders>
              <w:top w:val="single" w:sz="4" w:space="0" w:color="auto"/>
              <w:bottom w:val="single" w:sz="4" w:space="0" w:color="auto"/>
            </w:tcBorders>
          </w:tcPr>
          <w:p w14:paraId="5E10D921" w14:textId="77777777" w:rsidR="00DF41F3" w:rsidRPr="0068752D" w:rsidRDefault="00DF41F3" w:rsidP="00DF41F3">
            <w:pPr>
              <w:pStyle w:val="TableText"/>
            </w:pPr>
            <w:r w:rsidRPr="0068752D">
              <w:t>1996</w:t>
            </w:r>
          </w:p>
          <w:p w14:paraId="4766A360" w14:textId="77777777" w:rsidR="00DF41F3" w:rsidRPr="0068752D" w:rsidRDefault="00DF41F3" w:rsidP="00DF41F3">
            <w:pPr>
              <w:pStyle w:val="TableText"/>
            </w:pPr>
            <w:r w:rsidRPr="0068752D">
              <w:t>2000</w:t>
            </w:r>
          </w:p>
          <w:p w14:paraId="4796724A" w14:textId="77777777" w:rsidR="00DF41F3" w:rsidRDefault="00DF41F3" w:rsidP="00DF41F3">
            <w:pPr>
              <w:pStyle w:val="TableText"/>
            </w:pPr>
            <w:r w:rsidRPr="0068752D">
              <w:t>2004</w:t>
            </w:r>
          </w:p>
          <w:p w14:paraId="71AB679B" w14:textId="77777777" w:rsidR="00DF41F3" w:rsidRDefault="00DF41F3" w:rsidP="00DF41F3">
            <w:pPr>
              <w:pStyle w:val="TableText"/>
            </w:pPr>
            <w:r>
              <w:t>2007</w:t>
            </w:r>
          </w:p>
          <w:p w14:paraId="57B2A6A2" w14:textId="77777777" w:rsidR="00DF41F3" w:rsidRDefault="00DF41F3" w:rsidP="00DF41F3">
            <w:pPr>
              <w:pStyle w:val="TableText"/>
            </w:pPr>
            <w:r>
              <w:t>2011</w:t>
            </w:r>
          </w:p>
          <w:p w14:paraId="7BAF8278" w14:textId="77777777" w:rsidR="00DF41F3" w:rsidRDefault="00DF41F3" w:rsidP="00DF41F3">
            <w:pPr>
              <w:pStyle w:val="TableText"/>
            </w:pPr>
            <w:r>
              <w:t>2012</w:t>
            </w:r>
          </w:p>
          <w:p w14:paraId="172D2BD5" w14:textId="77777777" w:rsidR="00DF41F3" w:rsidRDefault="00DF41F3" w:rsidP="00DF41F3">
            <w:pPr>
              <w:pStyle w:val="TableText"/>
            </w:pPr>
            <w:r>
              <w:t>2014</w:t>
            </w:r>
          </w:p>
          <w:p w14:paraId="3AF75622" w14:textId="77777777" w:rsidR="00DF41F3" w:rsidRDefault="00DF41F3" w:rsidP="00DF41F3">
            <w:pPr>
              <w:pStyle w:val="TableText"/>
            </w:pPr>
            <w:r>
              <w:t>2015</w:t>
            </w:r>
          </w:p>
          <w:p w14:paraId="3DB02254" w14:textId="77777777" w:rsidR="00DF41F3" w:rsidRDefault="00DF41F3" w:rsidP="00DF41F3">
            <w:pPr>
              <w:pStyle w:val="TableText"/>
            </w:pPr>
            <w:r>
              <w:t>2016</w:t>
            </w:r>
          </w:p>
          <w:p w14:paraId="2921D166" w14:textId="77777777" w:rsidR="00DF41F3" w:rsidRDefault="00DF41F3" w:rsidP="00DF41F3">
            <w:pPr>
              <w:pStyle w:val="TableText"/>
            </w:pPr>
            <w:r>
              <w:t>2017</w:t>
            </w:r>
          </w:p>
          <w:p w14:paraId="116B0A94" w14:textId="77777777" w:rsidR="00DF41F3" w:rsidRDefault="00DF41F3" w:rsidP="00DF41F3">
            <w:pPr>
              <w:pStyle w:val="TableText"/>
            </w:pPr>
            <w:r>
              <w:t>2018</w:t>
            </w:r>
          </w:p>
          <w:p w14:paraId="52817F0B" w14:textId="77777777" w:rsidR="00DF41F3" w:rsidRDefault="00DF41F3" w:rsidP="00DF41F3">
            <w:pPr>
              <w:pStyle w:val="TableText"/>
            </w:pPr>
            <w:r>
              <w:t>2019</w:t>
            </w:r>
          </w:p>
          <w:p w14:paraId="4CF3BA70" w14:textId="77777777" w:rsidR="00DF41F3" w:rsidRDefault="00DF41F3" w:rsidP="00DF41F3">
            <w:pPr>
              <w:pStyle w:val="TableText"/>
            </w:pPr>
            <w:r>
              <w:t>2020</w:t>
            </w:r>
          </w:p>
          <w:p w14:paraId="2CDACE04" w14:textId="3D4434AD" w:rsidR="00DF41F3" w:rsidRPr="005072E8" w:rsidRDefault="00DF41F3" w:rsidP="00DF41F3">
            <w:pPr>
              <w:pStyle w:val="TableText"/>
              <w:rPr>
                <w:i/>
                <w:iCs/>
              </w:rPr>
            </w:pPr>
            <w:r>
              <w:t>2021</w:t>
            </w:r>
          </w:p>
        </w:tc>
        <w:tc>
          <w:tcPr>
            <w:tcW w:w="1843" w:type="dxa"/>
            <w:tcBorders>
              <w:top w:val="single" w:sz="4" w:space="0" w:color="auto"/>
              <w:bottom w:val="single" w:sz="4" w:space="0" w:color="auto"/>
            </w:tcBorders>
          </w:tcPr>
          <w:p w14:paraId="7CA5B074" w14:textId="77777777" w:rsidR="00DF41F3" w:rsidRPr="0068752D" w:rsidRDefault="00DF41F3" w:rsidP="00DF41F3">
            <w:pPr>
              <w:pStyle w:val="TableText"/>
            </w:pPr>
            <w:r w:rsidRPr="0068752D">
              <w:t>(&gt;1000)</w:t>
            </w:r>
          </w:p>
          <w:p w14:paraId="7B6F49A6" w14:textId="77777777" w:rsidR="00DF41F3" w:rsidRPr="0068752D" w:rsidRDefault="00DF41F3" w:rsidP="00DF41F3">
            <w:pPr>
              <w:pStyle w:val="TableText"/>
            </w:pPr>
            <w:r w:rsidRPr="0068752D">
              <w:t>~200</w:t>
            </w:r>
          </w:p>
          <w:p w14:paraId="77695AB7" w14:textId="77777777" w:rsidR="00DF41F3" w:rsidRDefault="00DF41F3" w:rsidP="00DF41F3">
            <w:pPr>
              <w:pStyle w:val="TableText"/>
            </w:pPr>
            <w:r w:rsidRPr="0068752D">
              <w:t>~100 (~300)</w:t>
            </w:r>
          </w:p>
          <w:p w14:paraId="1FCA1099" w14:textId="77777777" w:rsidR="00DF41F3" w:rsidRDefault="00DF41F3" w:rsidP="00DF41F3">
            <w:pPr>
              <w:pStyle w:val="TableText"/>
            </w:pPr>
            <w:r>
              <w:t>50 (300)</w:t>
            </w:r>
          </w:p>
          <w:p w14:paraId="25EB89A3" w14:textId="77777777" w:rsidR="00DF41F3" w:rsidRDefault="00DF41F3" w:rsidP="00DF41F3">
            <w:pPr>
              <w:pStyle w:val="TableText"/>
            </w:pPr>
            <w:r>
              <w:t>200 (150)</w:t>
            </w:r>
          </w:p>
          <w:p w14:paraId="580BF3B3" w14:textId="77777777" w:rsidR="00DF41F3" w:rsidRDefault="00DF41F3" w:rsidP="00DF41F3">
            <w:pPr>
              <w:pStyle w:val="TableText"/>
            </w:pPr>
            <w:r>
              <w:t>200 (200)</w:t>
            </w:r>
          </w:p>
          <w:p w14:paraId="5D9110CA" w14:textId="77777777" w:rsidR="00DF41F3" w:rsidRDefault="00DF41F3" w:rsidP="00DF41F3">
            <w:pPr>
              <w:pStyle w:val="TableText"/>
            </w:pPr>
            <w:r>
              <w:t>100 (200)</w:t>
            </w:r>
          </w:p>
          <w:p w14:paraId="213DEB67" w14:textId="77777777" w:rsidR="00DF41F3" w:rsidRDefault="00DF41F3" w:rsidP="00DF41F3">
            <w:pPr>
              <w:pStyle w:val="TableText"/>
            </w:pPr>
            <w:r>
              <w:t>&gt;358</w:t>
            </w:r>
          </w:p>
          <w:p w14:paraId="5F7C95F9" w14:textId="77777777" w:rsidR="00DF41F3" w:rsidRDefault="00DF41F3" w:rsidP="00DF41F3">
            <w:pPr>
              <w:pStyle w:val="TableText"/>
            </w:pPr>
            <w:r>
              <w:t>200 (200)</w:t>
            </w:r>
          </w:p>
          <w:p w14:paraId="49925D34" w14:textId="77777777" w:rsidR="00DF41F3" w:rsidRDefault="00DF41F3" w:rsidP="00DF41F3">
            <w:pPr>
              <w:pStyle w:val="TableText"/>
            </w:pPr>
            <w:r>
              <w:t>200 (180)</w:t>
            </w:r>
          </w:p>
          <w:p w14:paraId="0F0E7560" w14:textId="77777777" w:rsidR="00DF41F3" w:rsidRDefault="00DF41F3" w:rsidP="00DF41F3">
            <w:pPr>
              <w:pStyle w:val="TableText"/>
            </w:pPr>
            <w:r>
              <w:t>0</w:t>
            </w:r>
          </w:p>
          <w:p w14:paraId="38B9A36A" w14:textId="77777777" w:rsidR="00DF41F3" w:rsidRDefault="00DF41F3" w:rsidP="00DF41F3">
            <w:pPr>
              <w:pStyle w:val="TableText"/>
            </w:pPr>
            <w:r>
              <w:t>25 (300)</w:t>
            </w:r>
          </w:p>
          <w:p w14:paraId="44BEF48C" w14:textId="77777777" w:rsidR="00DF41F3" w:rsidRDefault="00DF41F3" w:rsidP="00DF41F3">
            <w:pPr>
              <w:pStyle w:val="TableText"/>
            </w:pPr>
            <w:r>
              <w:t>45 (700)</w:t>
            </w:r>
          </w:p>
          <w:p w14:paraId="720814F2" w14:textId="6CB86CEF" w:rsidR="00DF41F3" w:rsidRPr="005072E8" w:rsidRDefault="00DF41F3" w:rsidP="00DF41F3">
            <w:pPr>
              <w:pStyle w:val="TableText"/>
              <w:rPr>
                <w:i/>
                <w:iCs/>
              </w:rPr>
            </w:pPr>
            <w:r>
              <w:t>45 (1000)</w:t>
            </w:r>
          </w:p>
        </w:tc>
        <w:tc>
          <w:tcPr>
            <w:tcW w:w="1842" w:type="dxa"/>
            <w:tcBorders>
              <w:top w:val="single" w:sz="4" w:space="0" w:color="auto"/>
              <w:bottom w:val="single" w:sz="4" w:space="0" w:color="auto"/>
            </w:tcBorders>
          </w:tcPr>
          <w:p w14:paraId="7A37F100" w14:textId="77777777" w:rsidR="00DF41F3" w:rsidRPr="0068752D" w:rsidRDefault="00DF41F3" w:rsidP="00DF41F3">
            <w:pPr>
              <w:pStyle w:val="TableText"/>
            </w:pPr>
            <w:r w:rsidRPr="0068752D">
              <w:t>Healthy</w:t>
            </w:r>
          </w:p>
          <w:p w14:paraId="4F2587A8" w14:textId="77777777" w:rsidR="00DF41F3" w:rsidRPr="0068752D" w:rsidRDefault="00DF41F3" w:rsidP="00DF41F3">
            <w:pPr>
              <w:pStyle w:val="TableText"/>
            </w:pPr>
            <w:r w:rsidRPr="0068752D">
              <w:t>Moderate</w:t>
            </w:r>
          </w:p>
          <w:p w14:paraId="6DD21F34" w14:textId="77777777" w:rsidR="00DF41F3" w:rsidRDefault="00DF41F3" w:rsidP="00DF41F3">
            <w:pPr>
              <w:pStyle w:val="TableText"/>
            </w:pPr>
            <w:r w:rsidRPr="0068752D">
              <w:t>Moderate</w:t>
            </w:r>
          </w:p>
          <w:p w14:paraId="310412AA" w14:textId="77777777" w:rsidR="00DF41F3" w:rsidRDefault="00DF41F3" w:rsidP="00DF41F3">
            <w:pPr>
              <w:pStyle w:val="TableText"/>
            </w:pPr>
          </w:p>
          <w:p w14:paraId="044CD881" w14:textId="77777777" w:rsidR="00DF41F3" w:rsidRDefault="00DF41F3" w:rsidP="00DF41F3">
            <w:pPr>
              <w:pStyle w:val="TableText"/>
            </w:pPr>
          </w:p>
          <w:p w14:paraId="131A910D" w14:textId="77777777" w:rsidR="00DF41F3" w:rsidRDefault="00DF41F3" w:rsidP="00DF41F3">
            <w:pPr>
              <w:pStyle w:val="TableText"/>
            </w:pPr>
          </w:p>
          <w:p w14:paraId="7D3B5E6F" w14:textId="77777777" w:rsidR="00DF41F3" w:rsidRDefault="00DF41F3" w:rsidP="00DF41F3">
            <w:pPr>
              <w:pStyle w:val="TableText"/>
            </w:pPr>
          </w:p>
          <w:p w14:paraId="69A2C9CC" w14:textId="77777777" w:rsidR="00DF41F3" w:rsidRDefault="00DF41F3" w:rsidP="00DF41F3">
            <w:pPr>
              <w:pStyle w:val="TableText"/>
            </w:pPr>
          </w:p>
          <w:p w14:paraId="25249285" w14:textId="77777777" w:rsidR="00DF41F3" w:rsidRDefault="00DF41F3" w:rsidP="00DF41F3">
            <w:pPr>
              <w:pStyle w:val="TableText"/>
            </w:pPr>
          </w:p>
          <w:p w14:paraId="0715B204" w14:textId="77777777" w:rsidR="00DF41F3" w:rsidRDefault="00DF41F3" w:rsidP="00DF41F3">
            <w:pPr>
              <w:pStyle w:val="TableText"/>
            </w:pPr>
          </w:p>
          <w:p w14:paraId="665AF1AF" w14:textId="77777777" w:rsidR="00DF41F3" w:rsidRDefault="00DF41F3" w:rsidP="00DF41F3">
            <w:pPr>
              <w:pStyle w:val="TableText"/>
            </w:pPr>
          </w:p>
          <w:p w14:paraId="49F6A32F" w14:textId="77777777" w:rsidR="00DF41F3" w:rsidRDefault="00DF41F3" w:rsidP="00DF41F3">
            <w:pPr>
              <w:pStyle w:val="TableText"/>
            </w:pPr>
            <w:r>
              <w:t>Recently burnt</w:t>
            </w:r>
          </w:p>
          <w:p w14:paraId="363F0340" w14:textId="15DF2F66" w:rsidR="00DF41F3" w:rsidRPr="005072E8" w:rsidRDefault="00DF41F3" w:rsidP="00DF41F3">
            <w:pPr>
              <w:pStyle w:val="TableText"/>
              <w:rPr>
                <w:i/>
                <w:iCs/>
              </w:rPr>
            </w:pPr>
            <w:r>
              <w:t xml:space="preserve">Poor </w:t>
            </w:r>
            <w:r>
              <w:br/>
            </w:r>
            <w:proofErr w:type="spellStart"/>
            <w:r>
              <w:t>Poor</w:t>
            </w:r>
            <w:proofErr w:type="spellEnd"/>
          </w:p>
        </w:tc>
        <w:tc>
          <w:tcPr>
            <w:tcW w:w="1418" w:type="dxa"/>
            <w:tcBorders>
              <w:top w:val="single" w:sz="4" w:space="0" w:color="auto"/>
              <w:bottom w:val="single" w:sz="4" w:space="0" w:color="auto"/>
            </w:tcBorders>
          </w:tcPr>
          <w:p w14:paraId="2A6C8744" w14:textId="14315D53" w:rsidR="00DF41F3" w:rsidRPr="005072E8" w:rsidRDefault="00DF41F3" w:rsidP="00DF41F3">
            <w:pPr>
              <w:pStyle w:val="TableText"/>
              <w:rPr>
                <w:i/>
                <w:iCs/>
              </w:rPr>
            </w:pPr>
            <w:r w:rsidRPr="0068752D">
              <w:t xml:space="preserve">Fire, disease, </w:t>
            </w:r>
            <w:r w:rsidR="00397DED">
              <w:t xml:space="preserve">drought, </w:t>
            </w:r>
            <w:r w:rsidRPr="0068752D">
              <w:t>grazing</w:t>
            </w:r>
            <w:r>
              <w:t>, recreation</w:t>
            </w:r>
          </w:p>
        </w:tc>
      </w:tr>
    </w:tbl>
    <w:p w14:paraId="2A6AC7F2" w14:textId="2C462EFF" w:rsidR="005D25E7" w:rsidRPr="008064B3" w:rsidRDefault="005D25E7" w:rsidP="00C23BB1">
      <w:pPr>
        <w:pStyle w:val="FigureTableNoteSource"/>
      </w:pPr>
      <w:r w:rsidRPr="00C478F6">
        <w:t xml:space="preserve">Note: </w:t>
      </w:r>
      <w:r w:rsidR="00612DAE">
        <w:t>I</w:t>
      </w:r>
      <w:r w:rsidRPr="00C478F6">
        <w:t xml:space="preserve">nformation is </w:t>
      </w:r>
      <w:r w:rsidR="00612DAE">
        <w:t>sourced</w:t>
      </w:r>
      <w:r w:rsidRPr="00C478F6">
        <w:t xml:space="preserve"> from</w:t>
      </w:r>
      <w:r w:rsidRPr="00C478F6">
        <w:rPr>
          <w:noProof/>
        </w:rPr>
        <w:t xml:space="preserve"> </w:t>
      </w:r>
      <w:r w:rsidR="001B2C57" w:rsidRPr="00C478F6">
        <w:rPr>
          <w:noProof/>
        </w:rPr>
        <w:t xml:space="preserve">Hartley &amp; Barrett (2008) </w:t>
      </w:r>
      <w:r w:rsidRPr="00C478F6">
        <w:rPr>
          <w:noProof/>
        </w:rPr>
        <w:t xml:space="preserve">and </w:t>
      </w:r>
      <w:r w:rsidRPr="003B2C20">
        <w:rPr>
          <w:noProof/>
        </w:rPr>
        <w:t>DBCA (2021</w:t>
      </w:r>
      <w:r w:rsidRPr="003B2C20">
        <w:t>).</w:t>
      </w:r>
      <w:r w:rsidRPr="00C478F6">
        <w:t xml:space="preserve"> () = seedlings/juveniles; </w:t>
      </w:r>
      <w:r w:rsidR="00612DAE">
        <w:t>subpopulations which are presumed to be</w:t>
      </w:r>
      <w:r w:rsidRPr="00C478F6">
        <w:t xml:space="preserve"> </w:t>
      </w:r>
      <w:r w:rsidR="00612DAE">
        <w:t>extirpated</w:t>
      </w:r>
      <w:r w:rsidRPr="00C478F6">
        <w:t xml:space="preserve"> are italicised</w:t>
      </w:r>
      <w:r w:rsidR="002369A0">
        <w:t>. Population estimates vary in their accuracy</w:t>
      </w:r>
      <w:r w:rsidR="00297A20">
        <w:t>,</w:t>
      </w:r>
      <w:r w:rsidR="002369A0">
        <w:t xml:space="preserve"> </w:t>
      </w:r>
      <w:r w:rsidR="00B24057">
        <w:t>particularly</w:t>
      </w:r>
      <w:r w:rsidR="002369A0">
        <w:t xml:space="preserve"> older estimates.</w:t>
      </w:r>
    </w:p>
    <w:p w14:paraId="0FCE3695" w14:textId="2D751D8F" w:rsidR="00E362EF" w:rsidRDefault="007C5B94" w:rsidP="008064B3">
      <w:pPr>
        <w:pStyle w:val="Caption"/>
      </w:pPr>
      <w:r>
        <w:lastRenderedPageBreak/>
        <w:t xml:space="preserve">Map </w:t>
      </w:r>
      <w:r>
        <w:rPr>
          <w:noProof/>
        </w:rPr>
        <w:fldChar w:fldCharType="begin"/>
      </w:r>
      <w:r>
        <w:rPr>
          <w:noProof/>
        </w:rPr>
        <w:instrText xml:space="preserve"> SEQ Map \* ARABIC </w:instrText>
      </w:r>
      <w:r>
        <w:rPr>
          <w:noProof/>
        </w:rPr>
        <w:fldChar w:fldCharType="separate"/>
      </w:r>
      <w:r w:rsidR="00901687">
        <w:rPr>
          <w:noProof/>
        </w:rPr>
        <w:t>1</w:t>
      </w:r>
      <w:r>
        <w:rPr>
          <w:noProof/>
        </w:rPr>
        <w:fldChar w:fldCharType="end"/>
      </w:r>
      <w:bookmarkEnd w:id="5"/>
      <w:r>
        <w:t xml:space="preserve"> </w:t>
      </w:r>
      <w:bookmarkEnd w:id="6"/>
      <w:bookmarkEnd w:id="7"/>
      <w:r w:rsidR="008064B3">
        <w:t xml:space="preserve">Modelled distribution </w:t>
      </w:r>
      <w:r w:rsidR="004C7F78">
        <w:t xml:space="preserve">of </w:t>
      </w:r>
      <w:r w:rsidR="003E6003">
        <w:t>y</w:t>
      </w:r>
      <w:r w:rsidR="00FC37EA">
        <w:t xml:space="preserve">ellow </w:t>
      </w:r>
      <w:r w:rsidR="003E6003">
        <w:t>m</w:t>
      </w:r>
      <w:r w:rsidR="00FC37EA">
        <w:t xml:space="preserve">ountain </w:t>
      </w:r>
      <w:r w:rsidR="003E6003">
        <w:t>b</w:t>
      </w:r>
      <w:r w:rsidR="00FC37EA">
        <w:t>ell</w:t>
      </w:r>
    </w:p>
    <w:p w14:paraId="7510B76F" w14:textId="54ABB4D6" w:rsidR="00E362EF" w:rsidRDefault="008F614A">
      <w:pPr>
        <w:pStyle w:val="Picture"/>
      </w:pPr>
      <w:r>
        <w:drawing>
          <wp:inline distT="0" distB="0" distL="0" distR="0" wp14:anchorId="6B9A93AF" wp14:editId="6A803CDC">
            <wp:extent cx="5753100" cy="406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571DB27B" w14:textId="77777777" w:rsidR="008F614A" w:rsidRDefault="008F614A" w:rsidP="008F614A">
      <w:pPr>
        <w:pStyle w:val="FigureTableNoteSource"/>
        <w:spacing w:after="120"/>
        <w:contextualSpacing w:val="0"/>
      </w:pPr>
      <w:r w:rsidRPr="00D971F5">
        <w:rPr>
          <w:b/>
          <w:bCs/>
        </w:rPr>
        <w:t>Source:</w:t>
      </w:r>
      <w:r>
        <w:t xml:space="preserve"> Base map Geoscience Australia; species distribution data </w:t>
      </w:r>
      <w:hyperlink r:id="rId23" w:history="1">
        <w:r w:rsidRPr="008064B3">
          <w:rPr>
            <w:rStyle w:val="Hyperlink"/>
          </w:rPr>
          <w:t>Species of National Environmental Significance</w:t>
        </w:r>
      </w:hyperlink>
      <w:r>
        <w:t xml:space="preserve"> database.</w:t>
      </w:r>
    </w:p>
    <w:p w14:paraId="2954FE10" w14:textId="77777777" w:rsidR="008F614A" w:rsidRDefault="008F614A" w:rsidP="008F614A">
      <w:pPr>
        <w:pStyle w:val="FigureTableNoteSource"/>
        <w:spacing w:after="120"/>
        <w:contextualSpacing w:val="0"/>
      </w:pPr>
      <w:r w:rsidRPr="00E54F94">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4A7BA7AA" w14:textId="430CC05D" w:rsidR="00DD6D88" w:rsidRDefault="008F614A" w:rsidP="00DD6D88">
      <w:pPr>
        <w:pStyle w:val="FigureTableNoteSource"/>
      </w:pPr>
      <w:r w:rsidRPr="00E54F94">
        <w:rPr>
          <w:b/>
          <w:bCs/>
        </w:rPr>
        <w:t>Species distribution mapping</w:t>
      </w:r>
      <w:r>
        <w:t xml:space="preserve">: The species distribution mapping categories are indicative only and aim to capture (a) the specific habitat type or geographic feature that represents </w:t>
      </w:r>
      <w:r w:rsidR="00FA3590">
        <w:t xml:space="preserve">the </w:t>
      </w:r>
      <w:r>
        <w:t xml:space="preserve">recent observed locations of the species (known to occur) or preferred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w:t>
      </w:r>
      <w:r w:rsidR="00FA3590">
        <w:t xml:space="preserve">Specifically, the ‘known and likely to occur’ habitat has </w:t>
      </w:r>
      <w:r w:rsidR="00FA3590" w:rsidRPr="00F604B3">
        <w:t xml:space="preserve">been restricted to </w:t>
      </w:r>
      <w:r w:rsidR="00FA3590">
        <w:t xml:space="preserve">areas with </w:t>
      </w:r>
      <w:r w:rsidR="00FA3590" w:rsidRPr="00F604B3">
        <w:t>elevation &gt; 500 m ASL</w:t>
      </w:r>
      <w:r w:rsidR="00FA3590">
        <w:t xml:space="preserve">; while the ‘may occur’ habitat </w:t>
      </w:r>
      <w:r w:rsidR="00FA3590" w:rsidRPr="00F604B3">
        <w:t>encompasses all of Stirling Range National Park.</w:t>
      </w:r>
      <w:r w:rsidR="00FA3590">
        <w:t xml:space="preserve"> </w:t>
      </w:r>
      <w:r w:rsidR="00FA3590" w:rsidRPr="00F604B3">
        <w:t>This is a precautionary approach in line with the purpose of the mapping as indicative.</w:t>
      </w:r>
      <w:r w:rsidR="00C5758F">
        <w:t xml:space="preserve"> </w:t>
      </w:r>
      <w:r>
        <w:t>These presence categories are created using an extensive database of species observations records, national and regional-scale environmental data, environmental modelling techniques and documented scientific research.</w:t>
      </w:r>
    </w:p>
    <w:p w14:paraId="2545748E" w14:textId="77777777" w:rsidR="00C304AA" w:rsidRDefault="00C304AA" w:rsidP="00DF1597">
      <w:pPr>
        <w:pStyle w:val="Heading3"/>
        <w:ind w:left="964" w:hanging="964"/>
      </w:pPr>
      <w:r>
        <w:lastRenderedPageBreak/>
        <w:t>Cultural and community significance</w:t>
      </w:r>
    </w:p>
    <w:p w14:paraId="35130A88" w14:textId="03E629E4" w:rsidR="00DF1597" w:rsidRDefault="00DF1597" w:rsidP="00DF1597">
      <w:pPr>
        <w:keepNext/>
        <w:keepLines/>
      </w:pPr>
      <w:bookmarkStart w:id="9" w:name="_Hlk52970635"/>
      <w:r w:rsidRPr="64F7238B">
        <w:rPr>
          <w:rFonts w:eastAsia="Cambria" w:cs="Cambria"/>
          <w:color w:val="000000" w:themeColor="text1"/>
        </w:rPr>
        <w:t xml:space="preserve">This section describes some published examples of this significance but is not intended to be comprehensive, applicable to, or speak for, all </w:t>
      </w:r>
      <w:r w:rsidR="009E37AF">
        <w:rPr>
          <w:rFonts w:eastAsia="Cambria" w:cs="Cambria"/>
          <w:color w:val="000000" w:themeColor="text1"/>
        </w:rPr>
        <w:t>Indigenous</w:t>
      </w:r>
      <w:r w:rsidRPr="64F7238B">
        <w:rPr>
          <w:rFonts w:eastAsia="Cambria" w:cs="Cambria"/>
          <w:color w:val="000000" w:themeColor="text1"/>
        </w:rPr>
        <w:t xml:space="preserve"> </w:t>
      </w:r>
      <w:r>
        <w:rPr>
          <w:rFonts w:eastAsia="Cambria" w:cs="Cambria"/>
          <w:color w:val="000000" w:themeColor="text1"/>
        </w:rPr>
        <w:t>Australians</w:t>
      </w:r>
      <w:r w:rsidRPr="64F7238B">
        <w:rPr>
          <w:rFonts w:eastAsia="Cambria" w:cs="Cambria"/>
          <w:color w:val="000000" w:themeColor="text1"/>
        </w:rPr>
        <w:t xml:space="preserve">. Such knowledge may be only held by </w:t>
      </w:r>
      <w:bookmarkStart w:id="10" w:name="_Hlk82424754"/>
      <w:r w:rsidR="009E37AF">
        <w:rPr>
          <w:rFonts w:eastAsia="Cambria" w:cs="Cambria"/>
          <w:color w:val="000000" w:themeColor="text1"/>
        </w:rPr>
        <w:t>Indigenous</w:t>
      </w:r>
      <w:r w:rsidR="001300B5">
        <w:rPr>
          <w:rFonts w:eastAsia="Cambria" w:cs="Cambria"/>
          <w:color w:val="000000" w:themeColor="text1"/>
        </w:rPr>
        <w:t xml:space="preserve"> Australians</w:t>
      </w:r>
      <w:r w:rsidRPr="64F7238B">
        <w:rPr>
          <w:rFonts w:eastAsia="Cambria" w:cs="Cambria"/>
          <w:color w:val="000000" w:themeColor="text1"/>
        </w:rPr>
        <w:t xml:space="preserve"> </w:t>
      </w:r>
      <w:bookmarkEnd w:id="10"/>
      <w:r w:rsidRPr="64F7238B">
        <w:rPr>
          <w:rFonts w:eastAsia="Cambria" w:cs="Cambria"/>
          <w:color w:val="000000" w:themeColor="text1"/>
        </w:rPr>
        <w:t>who are the custodians of this knowledge</w:t>
      </w:r>
      <w:r>
        <w:rPr>
          <w:rFonts w:eastAsia="Cambria" w:cs="Cambria"/>
          <w:color w:val="000000" w:themeColor="text1"/>
        </w:rPr>
        <w:t>.</w:t>
      </w:r>
    </w:p>
    <w:p w14:paraId="756BCE52" w14:textId="010D9533" w:rsidR="00D10FAA" w:rsidRPr="00733552" w:rsidRDefault="00D10FAA" w:rsidP="00DF1597">
      <w:pPr>
        <w:keepNext/>
        <w:keepLines/>
      </w:pPr>
      <w:r>
        <w:t xml:space="preserve">The </w:t>
      </w:r>
      <w:r w:rsidR="003E6003">
        <w:t>y</w:t>
      </w:r>
      <w:r>
        <w:t xml:space="preserve">ellow </w:t>
      </w:r>
      <w:r w:rsidR="003E6003">
        <w:t>m</w:t>
      </w:r>
      <w:r>
        <w:t xml:space="preserve">ountain </w:t>
      </w:r>
      <w:r w:rsidR="003E6003">
        <w:t>b</w:t>
      </w:r>
      <w:r>
        <w:t xml:space="preserve">ell occurs on the traditional lands of the </w:t>
      </w:r>
      <w:proofErr w:type="spellStart"/>
      <w:r w:rsidRPr="004E1D4A">
        <w:t>Ganeang</w:t>
      </w:r>
      <w:proofErr w:type="spellEnd"/>
      <w:r w:rsidRPr="004E1D4A">
        <w:t>, Goreng</w:t>
      </w:r>
      <w:r>
        <w:t xml:space="preserve"> </w:t>
      </w:r>
      <w:r w:rsidRPr="004E1D4A">
        <w:t xml:space="preserve">and </w:t>
      </w:r>
      <w:proofErr w:type="spellStart"/>
      <w:r w:rsidRPr="004E1D4A">
        <w:t>Minang</w:t>
      </w:r>
      <w:proofErr w:type="spellEnd"/>
      <w:r w:rsidRPr="004E1D4A">
        <w:t xml:space="preserve"> </w:t>
      </w:r>
      <w:proofErr w:type="spellStart"/>
      <w:r w:rsidRPr="004E1D4A">
        <w:t>dialectals</w:t>
      </w:r>
      <w:proofErr w:type="spellEnd"/>
      <w:r w:rsidRPr="004E1D4A">
        <w:t xml:space="preserve"> groups</w:t>
      </w:r>
      <w:r>
        <w:t xml:space="preserve"> of the Noongar Nation. </w:t>
      </w:r>
      <w:proofErr w:type="spellStart"/>
      <w:r w:rsidRPr="000336A5">
        <w:t>Koikyenunuruff</w:t>
      </w:r>
      <w:proofErr w:type="spellEnd"/>
      <w:r>
        <w:t xml:space="preserve"> (Stirling Range) is a culturally significant site to Noongar Peoples and features in Dreaming stories </w:t>
      </w:r>
      <w:r w:rsidR="006A51C9">
        <w:rPr>
          <w:noProof/>
        </w:rPr>
        <w:t>(DPAW 2016; South West Aboriginal Land &amp; Sea Council 2020)</w:t>
      </w:r>
      <w:r w:rsidR="00F12C59">
        <w:rPr>
          <w:noProof/>
        </w:rPr>
        <w:t>.</w:t>
      </w:r>
      <w:r>
        <w:t xml:space="preserve"> Bula Meela (Bluff Knoll), where an extant subpopulation of </w:t>
      </w:r>
      <w:r w:rsidR="00B4156D">
        <w:t xml:space="preserve">the yellow mountain bell </w:t>
      </w:r>
      <w:r>
        <w:t xml:space="preserve">occurs, is the location where the spirits of </w:t>
      </w:r>
      <w:proofErr w:type="spellStart"/>
      <w:r w:rsidRPr="004E1D4A">
        <w:t>Ganeang</w:t>
      </w:r>
      <w:proofErr w:type="spellEnd"/>
      <w:r w:rsidRPr="004E1D4A">
        <w:t>, Goreng</w:t>
      </w:r>
      <w:r>
        <w:t xml:space="preserve"> </w:t>
      </w:r>
      <w:r w:rsidRPr="004E1D4A">
        <w:t xml:space="preserve">and </w:t>
      </w:r>
      <w:proofErr w:type="spellStart"/>
      <w:r w:rsidRPr="004E1D4A">
        <w:t>Minang</w:t>
      </w:r>
      <w:proofErr w:type="spellEnd"/>
      <w:r w:rsidRPr="004E1D4A">
        <w:t xml:space="preserve"> </w:t>
      </w:r>
      <w:r>
        <w:t xml:space="preserve">Traditional Owners go after death </w:t>
      </w:r>
      <w:r w:rsidR="00312298">
        <w:rPr>
          <w:noProof/>
        </w:rPr>
        <w:t>(South West Aboriginal Land &amp; Sea Council 2020)</w:t>
      </w:r>
      <w:r w:rsidR="00312298">
        <w:t xml:space="preserve">. </w:t>
      </w:r>
      <w:r>
        <w:t xml:space="preserve">An Aboriginal Heritage Place, </w:t>
      </w:r>
      <w:proofErr w:type="spellStart"/>
      <w:r>
        <w:t>Kojaneerup</w:t>
      </w:r>
      <w:proofErr w:type="spellEnd"/>
      <w:r>
        <w:t xml:space="preserve"> (5145), has been registered with the Western Australian Department of Planning, Lands and Heritage in or adjacent to lands where the </w:t>
      </w:r>
      <w:r w:rsidR="00B4156D">
        <w:t>yellow mountain bell</w:t>
      </w:r>
      <w:r>
        <w:t xml:space="preserve"> occurs </w:t>
      </w:r>
      <w:r w:rsidR="00312298">
        <w:rPr>
          <w:noProof/>
        </w:rPr>
        <w:t>(DPLH 2020)</w:t>
      </w:r>
      <w:r w:rsidR="00312298">
        <w:t>.</w:t>
      </w:r>
      <w:r>
        <w:t xml:space="preserve"> Additionally, the</w:t>
      </w:r>
      <w:r w:rsidRPr="00FA13AF">
        <w:t xml:space="preserve"> </w:t>
      </w:r>
      <w:proofErr w:type="spellStart"/>
      <w:r w:rsidRPr="00FA13AF">
        <w:t>Wagyl</w:t>
      </w:r>
      <w:proofErr w:type="spellEnd"/>
      <w:r w:rsidRPr="00FA13AF">
        <w:t xml:space="preserve"> Kaip &amp; Southern Noongar Indigenous Land Use </w:t>
      </w:r>
      <w:r w:rsidRPr="0045733C">
        <w:t>Agreements (2018),</w:t>
      </w:r>
      <w:r>
        <w:t xml:space="preserve"> executed</w:t>
      </w:r>
      <w:r w:rsidRPr="00DB748A">
        <w:t xml:space="preserve"> by the Western Australian Government </w:t>
      </w:r>
      <w:r>
        <w:t xml:space="preserve">and the Noongar Nation, includes lands in or adjacent to lands where the </w:t>
      </w:r>
      <w:r w:rsidR="00B4156D">
        <w:t xml:space="preserve">yellow mountain bell </w:t>
      </w:r>
      <w:r>
        <w:t>occurs.</w:t>
      </w:r>
      <w:bookmarkEnd w:id="9"/>
    </w:p>
    <w:p w14:paraId="30CF4D4F" w14:textId="77777777" w:rsidR="00C304AA" w:rsidRDefault="00C304AA" w:rsidP="005306ED">
      <w:pPr>
        <w:pStyle w:val="Heading3"/>
        <w:spacing w:after="0"/>
      </w:pPr>
      <w:r>
        <w:t>Relevant biology and ecology</w:t>
      </w:r>
    </w:p>
    <w:p w14:paraId="24173F13" w14:textId="77777777" w:rsidR="00D356A1" w:rsidRDefault="00D356A1" w:rsidP="005306ED">
      <w:pPr>
        <w:keepNext/>
        <w:keepLines/>
        <w:rPr>
          <w:i/>
          <w:iCs/>
        </w:rPr>
      </w:pPr>
      <w:r>
        <w:rPr>
          <w:i/>
          <w:iCs/>
        </w:rPr>
        <w:t>Habitat ecology</w:t>
      </w:r>
    </w:p>
    <w:p w14:paraId="2ADB8D47" w14:textId="3370C62D" w:rsidR="00D356A1" w:rsidRPr="008C0626" w:rsidRDefault="00D356A1" w:rsidP="008C0626">
      <w:pPr>
        <w:rPr>
          <w:highlight w:val="yellow"/>
        </w:rPr>
      </w:pPr>
      <w:r w:rsidRPr="005569F9">
        <w:t xml:space="preserve">The </w:t>
      </w:r>
      <w:r w:rsidR="007C4AFF">
        <w:t xml:space="preserve">yellow mountain bell </w:t>
      </w:r>
      <w:r w:rsidR="00FD606B" w:rsidRPr="006310CF">
        <w:t xml:space="preserve">is part of the Eastern Stirling Range Montane Heath and Thicket </w:t>
      </w:r>
      <w:r w:rsidR="00002825">
        <w:t>Threatened Ecological Community</w:t>
      </w:r>
      <w:r w:rsidR="00002825" w:rsidRPr="006310CF">
        <w:t xml:space="preserve"> </w:t>
      </w:r>
      <w:r w:rsidR="00FD606B" w:rsidRPr="006310CF">
        <w:rPr>
          <w:noProof/>
        </w:rPr>
        <w:t>(DPAW 2016)</w:t>
      </w:r>
      <w:r w:rsidR="00FD606B" w:rsidRPr="006310CF">
        <w:t>.</w:t>
      </w:r>
      <w:r w:rsidR="00FD606B">
        <w:t xml:space="preserve"> The species </w:t>
      </w:r>
      <w:r w:rsidRPr="005569F9">
        <w:t>occurs in dense, low heath and thicket in shallow, siliceous soils over sandstone, schist and shale on mountain summits</w:t>
      </w:r>
      <w:r>
        <w:t xml:space="preserve"> and upper slopes</w:t>
      </w:r>
      <w:r w:rsidR="0045733C">
        <w:t xml:space="preserve"> (</w:t>
      </w:r>
      <w:r w:rsidRPr="005569F9">
        <w:t>750</w:t>
      </w:r>
      <w:r>
        <w:t>–</w:t>
      </w:r>
      <w:r w:rsidRPr="005569F9">
        <w:t xml:space="preserve">1090 m </w:t>
      </w:r>
      <w:r w:rsidR="0045733C">
        <w:t>ASL)</w:t>
      </w:r>
      <w:r>
        <w:t xml:space="preserve"> </w:t>
      </w:r>
      <w:r w:rsidR="0045733C">
        <w:rPr>
          <w:noProof/>
        </w:rPr>
        <w:t>(Robinson &amp; Coates 1995; Brown et al. 1998)</w:t>
      </w:r>
      <w:r w:rsidRPr="005569F9">
        <w:t xml:space="preserve">. </w:t>
      </w:r>
      <w:r>
        <w:t xml:space="preserve">Plants occur in dense subpopulations in open areas </w:t>
      </w:r>
      <w:r w:rsidR="0045733C">
        <w:rPr>
          <w:noProof/>
        </w:rPr>
        <w:t>(Keighery &amp; Marchant 1993)</w:t>
      </w:r>
      <w:r>
        <w:t xml:space="preserve">. </w:t>
      </w:r>
      <w:r w:rsidR="008C0626" w:rsidRPr="001B2C57">
        <w:t xml:space="preserve">All known extant and presumed </w:t>
      </w:r>
      <w:r w:rsidR="00AA5D56">
        <w:t>extirpated</w:t>
      </w:r>
      <w:r w:rsidR="008C0626" w:rsidRPr="001B2C57">
        <w:t xml:space="preserve"> subpopulations are located within habitat significantly affected by </w:t>
      </w:r>
      <w:r w:rsidR="008C0626" w:rsidRPr="001B2C57">
        <w:rPr>
          <w:i/>
          <w:iCs/>
        </w:rPr>
        <w:t xml:space="preserve">Phytophthora cinnamomi </w:t>
      </w:r>
      <w:r w:rsidR="008C0626" w:rsidRPr="001B2C57">
        <w:t xml:space="preserve">dieback </w:t>
      </w:r>
      <w:r w:rsidR="001B2C57" w:rsidRPr="001B2C57">
        <w:rPr>
          <w:noProof/>
        </w:rPr>
        <w:t>(CALM 1999; Hartley &amp; Barrett 2008)</w:t>
      </w:r>
      <w:r w:rsidR="008C0626" w:rsidRPr="001B2C57">
        <w:t>.</w:t>
      </w:r>
    </w:p>
    <w:p w14:paraId="24230C2A" w14:textId="0070D5ED" w:rsidR="0013287E" w:rsidRPr="000138E1" w:rsidRDefault="0013287E" w:rsidP="0013287E">
      <w:pPr>
        <w:rPr>
          <w:i/>
          <w:iCs/>
        </w:rPr>
      </w:pPr>
      <w:r w:rsidRPr="000138E1">
        <w:rPr>
          <w:i/>
          <w:iCs/>
        </w:rPr>
        <w:t>Reproductive ecology</w:t>
      </w:r>
    </w:p>
    <w:p w14:paraId="72302BAC" w14:textId="6059E4A5" w:rsidR="006B1622" w:rsidRDefault="00D75B44" w:rsidP="00D75B44">
      <w:r w:rsidRPr="00D277B5">
        <w:t xml:space="preserve">The </w:t>
      </w:r>
      <w:r w:rsidR="00B4156D">
        <w:t xml:space="preserve">yellow mountain bell </w:t>
      </w:r>
      <w:r w:rsidRPr="00D277B5">
        <w:t>flowers from March</w:t>
      </w:r>
      <w:r w:rsidR="00D277B5" w:rsidRPr="00D277B5">
        <w:t>–</w:t>
      </w:r>
      <w:r w:rsidRPr="00D277B5">
        <w:t>April and August</w:t>
      </w:r>
      <w:r w:rsidR="00D277B5" w:rsidRPr="00D277B5">
        <w:t>–</w:t>
      </w:r>
      <w:r w:rsidRPr="00D277B5">
        <w:t xml:space="preserve">November </w:t>
      </w:r>
      <w:r w:rsidR="00D277B5">
        <w:rPr>
          <w:noProof/>
        </w:rPr>
        <w:t>(Rye &amp; Hopper 1981; Hopper et al. 1990)</w:t>
      </w:r>
      <w:r w:rsidR="00F74265">
        <w:t>.</w:t>
      </w:r>
      <w:r w:rsidRPr="00D277B5">
        <w:t xml:space="preserve"> </w:t>
      </w:r>
      <w:bookmarkStart w:id="11" w:name="_Hlk82012306"/>
      <w:r w:rsidRPr="00EF28B7">
        <w:t xml:space="preserve">The juvenile period of the </w:t>
      </w:r>
      <w:r w:rsidR="00B4156D" w:rsidRPr="00EF28B7">
        <w:t>yellow mountain bell</w:t>
      </w:r>
      <w:r w:rsidRPr="00EF28B7">
        <w:t xml:space="preserve"> </w:t>
      </w:r>
      <w:r w:rsidR="00877D05" w:rsidRPr="00EF28B7">
        <w:t>is thought to be approximately 6–7 years (based on 50</w:t>
      </w:r>
      <w:r w:rsidR="007224C5" w:rsidRPr="00EF28B7">
        <w:t xml:space="preserve"> percent f</w:t>
      </w:r>
      <w:r w:rsidR="00877D05" w:rsidRPr="00EF28B7">
        <w:t>lowering)</w:t>
      </w:r>
      <w:r w:rsidR="007224C5" w:rsidRPr="00EF28B7">
        <w:t xml:space="preserve"> </w:t>
      </w:r>
      <w:r w:rsidR="00877D05" w:rsidRPr="00EF28B7">
        <w:t>(Barrett et al. 2009)</w:t>
      </w:r>
      <w:r w:rsidR="007224C5" w:rsidRPr="00EF28B7">
        <w:t>.</w:t>
      </w:r>
      <w:r w:rsidR="00877D05" w:rsidRPr="00EF28B7">
        <w:t xml:space="preserve"> However, browsing of seedlings and juveniles may significantly influence juvenile period and delay flowering and seed set</w:t>
      </w:r>
      <w:r w:rsidR="00595431" w:rsidRPr="00EF28B7">
        <w:t xml:space="preserve"> (DBCA 2021. pers comm 28 September). </w:t>
      </w:r>
      <w:r w:rsidR="00967C60">
        <w:t xml:space="preserve">Individuals in mountain bell populations are </w:t>
      </w:r>
      <w:r w:rsidRPr="006B1622">
        <w:t xml:space="preserve">thought to decline </w:t>
      </w:r>
      <w:r w:rsidR="00A04371">
        <w:t>20</w:t>
      </w:r>
      <w:r w:rsidRPr="006B1622">
        <w:t xml:space="preserve"> years after germination, as the surrounding vegetation becomes too dense for individuals to survive </w:t>
      </w:r>
      <w:r w:rsidR="00A174FE" w:rsidRPr="006B1622">
        <w:rPr>
          <w:noProof/>
        </w:rPr>
        <w:t>(Keighery &amp; Marchant 1993)</w:t>
      </w:r>
      <w:r w:rsidR="00A174FE" w:rsidRPr="006B1622">
        <w:t>.</w:t>
      </w:r>
    </w:p>
    <w:bookmarkEnd w:id="11"/>
    <w:p w14:paraId="57FCDB5D" w14:textId="73A58287" w:rsidR="00967C60" w:rsidRDefault="00D75B44" w:rsidP="00967C60">
      <w:r w:rsidRPr="009A7B7C">
        <w:t xml:space="preserve">Mountain </w:t>
      </w:r>
      <w:r w:rsidR="007D094C">
        <w:t>b</w:t>
      </w:r>
      <w:r w:rsidRPr="009A7B7C">
        <w:t>ell</w:t>
      </w:r>
      <w:r w:rsidR="003A70DA" w:rsidRPr="009A7B7C">
        <w:t xml:space="preserve">s </w:t>
      </w:r>
      <w:r w:rsidRPr="009A7B7C">
        <w:t xml:space="preserve">are likely pollinated by nectar-feeding birds </w:t>
      </w:r>
      <w:r w:rsidR="00A174FE" w:rsidRPr="009A7B7C">
        <w:rPr>
          <w:noProof/>
        </w:rPr>
        <w:t>(Keighery &amp; Marchant 1993)</w:t>
      </w:r>
      <w:r w:rsidR="00A174FE" w:rsidRPr="009A7B7C">
        <w:t xml:space="preserve">. </w:t>
      </w:r>
      <w:r w:rsidRPr="0024526C">
        <w:t xml:space="preserve">Flowers are brightly coloured and positioned so that birds can probe for nectar from the ground or when perched on the plant </w:t>
      </w:r>
      <w:r w:rsidR="00A174FE" w:rsidRPr="0024526C">
        <w:rPr>
          <w:noProof/>
        </w:rPr>
        <w:t>(Keighery &amp; Marchant 1993)</w:t>
      </w:r>
      <w:r w:rsidR="00A174FE" w:rsidRPr="0024526C">
        <w:t>.</w:t>
      </w:r>
    </w:p>
    <w:p w14:paraId="6EC8110D" w14:textId="77777777" w:rsidR="00967C60" w:rsidRDefault="00F40F17" w:rsidP="00DD636C">
      <w:pPr>
        <w:keepNext/>
        <w:keepLines/>
        <w:rPr>
          <w:i/>
          <w:iCs/>
        </w:rPr>
      </w:pPr>
      <w:r w:rsidRPr="000F45AB">
        <w:rPr>
          <w:i/>
          <w:iCs/>
        </w:rPr>
        <w:lastRenderedPageBreak/>
        <w:t>Fire and disturbance ecology</w:t>
      </w:r>
    </w:p>
    <w:p w14:paraId="36821C17" w14:textId="2C83CE6B" w:rsidR="00DD636C" w:rsidRDefault="008C2A0A" w:rsidP="00DF1597">
      <w:pPr>
        <w:keepNext/>
        <w:keepLines/>
      </w:pPr>
      <w:r w:rsidRPr="009C21EA">
        <w:t xml:space="preserve">The </w:t>
      </w:r>
      <w:r w:rsidR="007D094C">
        <w:t xml:space="preserve">yellow mountain bell </w:t>
      </w:r>
      <w:r w:rsidRPr="009C21EA">
        <w:t xml:space="preserve">regenerates from seed following fire </w:t>
      </w:r>
      <w:r w:rsidR="00B75C22" w:rsidRPr="009C21EA">
        <w:rPr>
          <w:noProof/>
        </w:rPr>
        <w:t>(Hartley &amp; Barrett 2008)</w:t>
      </w:r>
      <w:r w:rsidR="003C28C6" w:rsidRPr="009C21EA">
        <w:t xml:space="preserve">. </w:t>
      </w:r>
      <w:r w:rsidR="00B75C22" w:rsidRPr="009C21EA">
        <w:t xml:space="preserve">Mountain </w:t>
      </w:r>
      <w:r w:rsidR="007D094C">
        <w:t>b</w:t>
      </w:r>
      <w:r w:rsidR="00B75C22" w:rsidRPr="009C21EA">
        <w:t xml:space="preserve">ell seeds have no specialised means of dispersal and remain stored in the soil below adult plants until fire </w:t>
      </w:r>
      <w:r w:rsidR="009C21EA">
        <w:t>triggers</w:t>
      </w:r>
      <w:r w:rsidR="00B75C22" w:rsidRPr="009C21EA">
        <w:t xml:space="preserve"> germination </w:t>
      </w:r>
      <w:r w:rsidR="00B75C22" w:rsidRPr="009C21EA">
        <w:rPr>
          <w:noProof/>
        </w:rPr>
        <w:t>(Keighery &amp; Marchant 1993)</w:t>
      </w:r>
      <w:r w:rsidR="00B75C22" w:rsidRPr="009C21EA">
        <w:t>.</w:t>
      </w:r>
      <w:r w:rsidR="00DD636C">
        <w:t xml:space="preserve"> </w:t>
      </w:r>
    </w:p>
    <w:p w14:paraId="5A283684" w14:textId="2E8F004A" w:rsidR="004633F8" w:rsidRDefault="00E33158" w:rsidP="00DF1597">
      <w:pPr>
        <w:keepNext/>
        <w:keepLines/>
      </w:pPr>
      <w:r w:rsidRPr="00A94B92">
        <w:t>As the mature plants of obligate-seeding species are usually killed by fire, they can undergo natural fluctuations in the number of mature individuals</w:t>
      </w:r>
      <w:r w:rsidR="00DB48B5">
        <w:t xml:space="preserve"> </w:t>
      </w:r>
      <w:r w:rsidR="00967C60">
        <w:t xml:space="preserve">if subpopulations are exposed to the same fire event </w:t>
      </w:r>
      <w:r w:rsidR="00DB48B5">
        <w:rPr>
          <w:noProof/>
        </w:rPr>
        <w:t>(Gill 1981)</w:t>
      </w:r>
      <w:r w:rsidR="00A94B92" w:rsidRPr="00A94B92">
        <w:t>. A</w:t>
      </w:r>
      <w:r w:rsidRPr="00A94B92">
        <w:t xml:space="preserve">ccordingly, </w:t>
      </w:r>
      <w:r w:rsidR="009C21EA" w:rsidRPr="00A94B92">
        <w:t xml:space="preserve">there must be </w:t>
      </w:r>
      <w:r w:rsidR="009C21EA" w:rsidRPr="000F45AB">
        <w:t xml:space="preserve">sufficient intervals between fires for </w:t>
      </w:r>
      <w:r w:rsidR="007D094C" w:rsidRPr="000F45AB">
        <w:t xml:space="preserve">yellow mountain bell </w:t>
      </w:r>
      <w:r w:rsidR="009C21EA" w:rsidRPr="000F45AB">
        <w:t xml:space="preserve">seedlings to reach maturity and replenish the </w:t>
      </w:r>
      <w:r w:rsidR="009C21EA" w:rsidRPr="00EF28B7">
        <w:t xml:space="preserve">seedbank </w:t>
      </w:r>
      <w:r w:rsidR="009C21EA" w:rsidRPr="00EF28B7">
        <w:rPr>
          <w:noProof/>
        </w:rPr>
        <w:t>(Keighery 1985; Brown et al. 1998; Hartley &amp; Barrett 2008)</w:t>
      </w:r>
      <w:r w:rsidR="009C21EA" w:rsidRPr="00CB471E">
        <w:t>.</w:t>
      </w:r>
      <w:r w:rsidR="009865AD" w:rsidRPr="00CB471E">
        <w:t xml:space="preserve"> </w:t>
      </w:r>
      <w:r w:rsidR="00A174FE" w:rsidRPr="00CB471E">
        <w:t>A minimum fire</w:t>
      </w:r>
      <w:r w:rsidR="00CE666A" w:rsidRPr="00CB471E">
        <w:t xml:space="preserve">-free </w:t>
      </w:r>
      <w:r w:rsidR="00A174FE" w:rsidRPr="00CB471E">
        <w:t xml:space="preserve">interval may be estimated by a doubling of the primary juvenile period </w:t>
      </w:r>
      <w:r w:rsidR="00EF0AE1" w:rsidRPr="00CB471E">
        <w:rPr>
          <w:noProof/>
        </w:rPr>
        <w:t>(Gill &amp; Nicholls 1989</w:t>
      </w:r>
      <w:r w:rsidR="00EC0BBD" w:rsidRPr="00CB471E">
        <w:rPr>
          <w:noProof/>
        </w:rPr>
        <w:t>)</w:t>
      </w:r>
      <w:r w:rsidR="00CB471E" w:rsidRPr="00CB471E">
        <w:rPr>
          <w:noProof/>
        </w:rPr>
        <w:t>, suggesting that</w:t>
      </w:r>
      <w:r w:rsidR="00D75B44" w:rsidRPr="00CB471E">
        <w:t xml:space="preserve"> </w:t>
      </w:r>
      <w:r w:rsidR="00284222" w:rsidRPr="00CB471E">
        <w:t>12–14</w:t>
      </w:r>
      <w:r w:rsidR="00D75B44" w:rsidRPr="00CB471E">
        <w:t xml:space="preserve"> years is likely </w:t>
      </w:r>
      <w:r w:rsidR="00B76C78" w:rsidRPr="00CB471E">
        <w:t xml:space="preserve">to </w:t>
      </w:r>
      <w:r w:rsidR="00424A1D" w:rsidRPr="00CB471E">
        <w:t xml:space="preserve">be </w:t>
      </w:r>
      <w:r w:rsidR="00800302" w:rsidRPr="00CB471E">
        <w:t>the</w:t>
      </w:r>
      <w:r w:rsidR="00284222" w:rsidRPr="00CB471E">
        <w:t xml:space="preserve"> minimum</w:t>
      </w:r>
      <w:r w:rsidR="00800302" w:rsidRPr="00CB471E">
        <w:t xml:space="preserve"> appropriate interval </w:t>
      </w:r>
      <w:r w:rsidR="00D75B44" w:rsidRPr="00CB471E">
        <w:t xml:space="preserve">required </w:t>
      </w:r>
      <w:r w:rsidR="00E96F97" w:rsidRPr="00CB471E">
        <w:t>by</w:t>
      </w:r>
      <w:r w:rsidR="00D75B44" w:rsidRPr="00CB471E">
        <w:t xml:space="preserve"> the </w:t>
      </w:r>
      <w:r w:rsidR="007D094C" w:rsidRPr="00CB471E">
        <w:t>yellow mountain bell</w:t>
      </w:r>
      <w:r w:rsidR="00284222" w:rsidRPr="00CB471E">
        <w:t>.</w:t>
      </w:r>
    </w:p>
    <w:p w14:paraId="540702A3" w14:textId="1D918B1F" w:rsidR="00CB471E" w:rsidRDefault="00CB471E" w:rsidP="00DF1597">
      <w:pPr>
        <w:keepNext/>
        <w:keepLines/>
      </w:pPr>
      <w:r>
        <w:t xml:space="preserve">However, </w:t>
      </w:r>
      <w:r w:rsidR="00424A1D" w:rsidRPr="00EF28B7">
        <w:t>o</w:t>
      </w:r>
      <w:r w:rsidR="00D75B44" w:rsidRPr="00EF28B7">
        <w:t>bligate seed regenerators</w:t>
      </w:r>
      <w:r w:rsidR="00424A1D" w:rsidRPr="00EF28B7">
        <w:t xml:space="preserve"> growing</w:t>
      </w:r>
      <w:r w:rsidR="00D75B44" w:rsidRPr="00EF28B7">
        <w:t xml:space="preserve"> on exposed summits and plateaus</w:t>
      </w:r>
      <w:r w:rsidR="00424A1D" w:rsidRPr="00EF28B7">
        <w:t xml:space="preserve"> (</w:t>
      </w:r>
      <w:r w:rsidR="00D75B44" w:rsidRPr="00EF28B7">
        <w:t xml:space="preserve">such as the </w:t>
      </w:r>
      <w:r w:rsidR="007D094C" w:rsidRPr="00EF28B7">
        <w:t>yellow mountain bell</w:t>
      </w:r>
      <w:r w:rsidR="00424A1D" w:rsidRPr="00EF28B7">
        <w:t>)</w:t>
      </w:r>
      <w:r w:rsidR="00D75B44" w:rsidRPr="00EF28B7">
        <w:t xml:space="preserve"> grow at extremely slow rates compared to plants growing at lower altitudes or in more sheltered areas </w:t>
      </w:r>
      <w:r w:rsidR="00B76C78" w:rsidRPr="00EF28B7">
        <w:t xml:space="preserve">and may </w:t>
      </w:r>
      <w:proofErr w:type="gramStart"/>
      <w:r w:rsidR="00B76C78" w:rsidRPr="00EF28B7">
        <w:t>actually require</w:t>
      </w:r>
      <w:proofErr w:type="gramEnd"/>
      <w:r w:rsidR="00B76C78" w:rsidRPr="00EF28B7">
        <w:t xml:space="preserve"> longer fire-free interval</w:t>
      </w:r>
      <w:r w:rsidR="005303A0" w:rsidRPr="00EF28B7">
        <w:t>s</w:t>
      </w:r>
      <w:r w:rsidR="00B76C78" w:rsidRPr="00EF28B7">
        <w:t xml:space="preserve"> </w:t>
      </w:r>
      <w:r w:rsidR="00291158" w:rsidRPr="00EF28B7">
        <w:rPr>
          <w:noProof/>
        </w:rPr>
        <w:t>(Barrett 2000)</w:t>
      </w:r>
      <w:r w:rsidR="00291158" w:rsidRPr="00EF28B7">
        <w:t>.</w:t>
      </w:r>
      <w:r w:rsidR="00284222" w:rsidRPr="00EF28B7">
        <w:t xml:space="preserve"> </w:t>
      </w:r>
      <w:bookmarkStart w:id="12" w:name="_Hlk83723164"/>
      <w:r w:rsidRPr="00EF28B7">
        <w:t>Many species in this habitat require a fire-free interval of at least 20 years (DBCA 2021. pers comm 28 September).</w:t>
      </w:r>
      <w:r>
        <w:t xml:space="preserve"> Additionally, </w:t>
      </w:r>
      <w:r w:rsidR="004633F8">
        <w:t xml:space="preserve">the </w:t>
      </w:r>
      <w:r>
        <w:t xml:space="preserve">drying climate will lengthen the minimum fire interval required for self-replacement of obligate seed regenerators, due to higher seedling mortality and slower growth resulting from changes in water availability </w:t>
      </w:r>
      <w:r w:rsidRPr="14CB9520">
        <w:rPr>
          <w:noProof/>
        </w:rPr>
        <w:t>(Enright et al. 2014)</w:t>
      </w:r>
      <w:r>
        <w:t xml:space="preserve">. Following only 20 percent reduction in post-fire winter rainfall, the minimum fire interval for obligate seed regeneration is predicted to increase by 50 percent </w:t>
      </w:r>
      <w:r w:rsidRPr="14CB9520">
        <w:rPr>
          <w:noProof/>
        </w:rPr>
        <w:t>(Enright et al. 2014)</w:t>
      </w:r>
      <w:r>
        <w:t>. Accordingly, the fire-free interval required by the yellow mountain bell is likely to be at least 20 years.</w:t>
      </w:r>
    </w:p>
    <w:bookmarkEnd w:id="12"/>
    <w:p w14:paraId="1ACAA6FE" w14:textId="1B6C312B" w:rsidR="00C304AA" w:rsidRPr="00DF2ADF" w:rsidRDefault="00C304AA" w:rsidP="00C304AA">
      <w:pPr>
        <w:pStyle w:val="Heading3"/>
        <w:ind w:left="964" w:hanging="964"/>
      </w:pPr>
      <w:r w:rsidRPr="00DF2ADF">
        <w:t>Habitat critical to the survival</w:t>
      </w:r>
    </w:p>
    <w:p w14:paraId="5050777C" w14:textId="7EC58E10" w:rsidR="00875EF0" w:rsidRDefault="00875EF0" w:rsidP="00875EF0">
      <w:r w:rsidRPr="005569F9">
        <w:t xml:space="preserve">The </w:t>
      </w:r>
      <w:r>
        <w:t xml:space="preserve">yellow mountain bell </w:t>
      </w:r>
      <w:r w:rsidRPr="006310CF">
        <w:t xml:space="preserve">is part of the Eastern Stirling Range Montane Heath and Thicket </w:t>
      </w:r>
      <w:r w:rsidR="007B136B">
        <w:t>Threatened Ecological Community</w:t>
      </w:r>
      <w:r w:rsidR="007B136B" w:rsidRPr="006310CF">
        <w:t xml:space="preserve"> </w:t>
      </w:r>
      <w:r w:rsidRPr="006310CF">
        <w:rPr>
          <w:noProof/>
        </w:rPr>
        <w:t>(DPAW 2016)</w:t>
      </w:r>
      <w:r w:rsidRPr="006310CF">
        <w:t>.</w:t>
      </w:r>
      <w:r>
        <w:t xml:space="preserve"> </w:t>
      </w:r>
      <w:r w:rsidR="00237B4B" w:rsidRPr="00DF2ADF">
        <w:rPr>
          <w:rFonts w:eastAsia="Times New Roman"/>
          <w:lang w:val="en-US"/>
        </w:rPr>
        <w:t>Due to the species</w:t>
      </w:r>
      <w:r w:rsidR="00A63194">
        <w:rPr>
          <w:rFonts w:eastAsia="Times New Roman"/>
          <w:lang w:val="en-US"/>
        </w:rPr>
        <w:t>’</w:t>
      </w:r>
      <w:r w:rsidR="00237B4B" w:rsidRPr="00DF2ADF">
        <w:rPr>
          <w:rFonts w:eastAsia="Times New Roman"/>
          <w:lang w:val="en-US"/>
        </w:rPr>
        <w:t xml:space="preserve"> eligibility for listing (very restricted distribution), all habitat </w:t>
      </w:r>
      <w:r w:rsidR="00237B4B">
        <w:rPr>
          <w:rFonts w:eastAsia="Times New Roman"/>
          <w:lang w:val="en-US"/>
        </w:rPr>
        <w:t xml:space="preserve">(described above) </w:t>
      </w:r>
      <w:r w:rsidR="00237B4B" w:rsidRPr="00DF2ADF">
        <w:rPr>
          <w:rFonts w:eastAsia="Times New Roman"/>
          <w:lang w:val="en-US"/>
        </w:rPr>
        <w:t>is considered critical to the survival of the species</w:t>
      </w:r>
      <w:r w:rsidR="00237B4B" w:rsidRPr="00DF2ADF">
        <w:rPr>
          <w:rFonts w:eastAsia="Times New Roman"/>
          <w:lang w:val="en-US" w:eastAsia="en-AU"/>
        </w:rPr>
        <w:t>.</w:t>
      </w:r>
    </w:p>
    <w:p w14:paraId="4D2973C9" w14:textId="441D1A08" w:rsidR="00C304AA" w:rsidRPr="00DF2ADF" w:rsidRDefault="00875EF0" w:rsidP="00C304AA">
      <w:r w:rsidRPr="00237B4B">
        <w:t xml:space="preserve">Habitat critical to the survival of </w:t>
      </w:r>
      <w:r w:rsidR="00237B4B" w:rsidRPr="00237B4B">
        <w:t>the Eastern Stirling Range Montane Heath and Thicket Threatened Ecological Community</w:t>
      </w:r>
      <w:r w:rsidR="00EC0BBD">
        <w:t xml:space="preserve"> (</w:t>
      </w:r>
      <w:r w:rsidR="009B4E87">
        <w:t>in which the yellow mountain bell occurs</w:t>
      </w:r>
      <w:r w:rsidR="00EC0BBD">
        <w:t>)</w:t>
      </w:r>
      <w:r w:rsidR="009B4E87">
        <w:t xml:space="preserve">, </w:t>
      </w:r>
      <w:r w:rsidRPr="00237B4B">
        <w:t>comprises the area of occupancy of known occurrences; similar habitat adjacent to important occurrences (</w:t>
      </w:r>
      <w:r w:rsidR="00237B4B" w:rsidRPr="00237B4B">
        <w:t>i.e.,</w:t>
      </w:r>
      <w:r w:rsidRPr="00237B4B">
        <w:t xml:space="preserve"> within approximately 200</w:t>
      </w:r>
      <w:r w:rsidR="00A63194">
        <w:t xml:space="preserve"> </w:t>
      </w:r>
      <w:r w:rsidRPr="00237B4B">
        <w:t xml:space="preserve">m); and remnant vegetation that surrounds or links several occurrences (this is to provide habitat for pollinators or to allow them to move between occurrences) </w:t>
      </w:r>
      <w:r w:rsidR="00237B4B" w:rsidRPr="00237B4B">
        <w:rPr>
          <w:noProof/>
        </w:rPr>
        <w:t>(DPAW 2016)</w:t>
      </w:r>
      <w:r w:rsidR="00237B4B" w:rsidRPr="00237B4B">
        <w:t xml:space="preserve">. </w:t>
      </w:r>
      <w:r w:rsidRPr="00237B4B">
        <w:t xml:space="preserve">Small pockets of the ecological community that </w:t>
      </w:r>
      <w:r w:rsidR="00237B4B" w:rsidRPr="00237B4B">
        <w:t xml:space="preserve">are </w:t>
      </w:r>
      <w:r w:rsidRPr="00237B4B">
        <w:t xml:space="preserve">less extensively infested </w:t>
      </w:r>
      <w:r w:rsidR="00237B4B" w:rsidRPr="00237B4B">
        <w:t xml:space="preserve">with </w:t>
      </w:r>
      <w:r w:rsidR="00237B4B" w:rsidRPr="00237B4B">
        <w:rPr>
          <w:i/>
          <w:iCs/>
        </w:rPr>
        <w:t xml:space="preserve">P. cinnamomi </w:t>
      </w:r>
      <w:r w:rsidR="00237B4B" w:rsidRPr="00237B4B">
        <w:t xml:space="preserve">(including but not limited to areas on Bluff Knoll, </w:t>
      </w:r>
      <w:proofErr w:type="spellStart"/>
      <w:r w:rsidR="00237B4B" w:rsidRPr="00237B4B">
        <w:t>Coyanerup</w:t>
      </w:r>
      <w:proofErr w:type="spellEnd"/>
      <w:r w:rsidR="00237B4B" w:rsidRPr="00237B4B">
        <w:t xml:space="preserve"> Peak, Bakers Knob and East Bluff) </w:t>
      </w:r>
      <w:r w:rsidRPr="00237B4B">
        <w:t xml:space="preserve">have been identified by </w:t>
      </w:r>
      <w:r w:rsidR="00237B4B" w:rsidRPr="00237B4B">
        <w:rPr>
          <w:noProof/>
        </w:rPr>
        <w:t>DPAW (2016)</w:t>
      </w:r>
      <w:r w:rsidR="00237B4B" w:rsidRPr="00237B4B">
        <w:t xml:space="preserve"> a</w:t>
      </w:r>
      <w:r w:rsidRPr="00237B4B">
        <w:t xml:space="preserve">s priority areas for maintaining or improving </w:t>
      </w:r>
      <w:r w:rsidR="00237B4B" w:rsidRPr="00237B4B">
        <w:t xml:space="preserve">habitat </w:t>
      </w:r>
      <w:r w:rsidRPr="00237B4B">
        <w:t xml:space="preserve">condition. </w:t>
      </w:r>
      <w:r w:rsidR="008A18B0" w:rsidRPr="00DF2ADF">
        <w:t xml:space="preserve">No </w:t>
      </w:r>
      <w:r w:rsidR="00C304AA" w:rsidRPr="00DF2ADF">
        <w:t>Critical Habitat as defined under section 207A of the EPBC Act has been identified or included in the Register of Critical Habitat.</w:t>
      </w:r>
    </w:p>
    <w:p w14:paraId="4A4BB1D9" w14:textId="77777777" w:rsidR="00B54C08" w:rsidRPr="00DF2ADF" w:rsidRDefault="00C304AA" w:rsidP="005306ED">
      <w:pPr>
        <w:pStyle w:val="Heading3"/>
      </w:pPr>
      <w:r w:rsidRPr="00DF2ADF">
        <w:rPr>
          <w:rFonts w:eastAsiaTheme="minorHAnsi"/>
        </w:rPr>
        <w:lastRenderedPageBreak/>
        <w:t>Important populations</w:t>
      </w:r>
    </w:p>
    <w:p w14:paraId="1EDB5A70" w14:textId="0FCBEE5D" w:rsidR="002A752F" w:rsidRPr="00DF2ADF" w:rsidRDefault="002A752F" w:rsidP="005306ED">
      <w:pPr>
        <w:keepNext/>
        <w:keepLines/>
      </w:pPr>
      <w:r w:rsidRPr="00DF2ADF">
        <w:t>In this section, the word population is used to refer to subpopulation, in keeping with the terminology used in the EPBC Act and state/territory environmental legislation.</w:t>
      </w:r>
    </w:p>
    <w:p w14:paraId="0977CEE4" w14:textId="77777777" w:rsidR="00967C60" w:rsidRDefault="002A752F" w:rsidP="00967C60">
      <w:r w:rsidRPr="00DF2ADF">
        <w:t xml:space="preserve">All populations of the </w:t>
      </w:r>
      <w:r w:rsidR="007D094C" w:rsidRPr="00DF2ADF">
        <w:t xml:space="preserve">yellow mountain bell </w:t>
      </w:r>
      <w:r w:rsidR="001A27D8" w:rsidRPr="00DF2ADF">
        <w:t xml:space="preserve">are important </w:t>
      </w:r>
      <w:r w:rsidR="00DF2ADF" w:rsidRPr="00DF2ADF">
        <w:t xml:space="preserve">for the conservation of the species across its range, because </w:t>
      </w:r>
      <w:r w:rsidR="00DF2ADF">
        <w:t>its</w:t>
      </w:r>
      <w:r w:rsidR="00DF2ADF" w:rsidRPr="00DF2ADF">
        <w:t xml:space="preserve"> limited dispersal capabilities mean local extinctions are not readily recolonised</w:t>
      </w:r>
      <w:r w:rsidR="001A27D8" w:rsidRPr="00DF2ADF">
        <w:t>.</w:t>
      </w:r>
      <w:r w:rsidR="00653161">
        <w:t xml:space="preserve"> </w:t>
      </w:r>
    </w:p>
    <w:p w14:paraId="2139C855" w14:textId="6742D1CF" w:rsidR="00C304AA" w:rsidRDefault="00C304AA" w:rsidP="00DD636C">
      <w:pPr>
        <w:pStyle w:val="Heading3"/>
      </w:pPr>
      <w:r>
        <w:t>Threats</w:t>
      </w:r>
    </w:p>
    <w:p w14:paraId="0ED58F04" w14:textId="7583E487" w:rsidR="00E62582" w:rsidRDefault="00DF285E" w:rsidP="00967C60">
      <w:r w:rsidRPr="0077097C">
        <w:t xml:space="preserve">The </w:t>
      </w:r>
      <w:r w:rsidR="007D094C">
        <w:t xml:space="preserve">yellow mountain bell </w:t>
      </w:r>
      <w:r w:rsidRPr="0077097C">
        <w:t xml:space="preserve">is threatened by </w:t>
      </w:r>
      <w:r w:rsidR="00F61E2F" w:rsidRPr="0077097C">
        <w:t xml:space="preserve">inappropriate fire regimes, </w:t>
      </w:r>
      <w:r w:rsidR="00A7772A" w:rsidRPr="0077097C">
        <w:t xml:space="preserve">disease, </w:t>
      </w:r>
      <w:r w:rsidR="00F61E2F" w:rsidRPr="0077097C">
        <w:t>climate change,</w:t>
      </w:r>
      <w:r w:rsidR="00A7772A">
        <w:t xml:space="preserve"> i</w:t>
      </w:r>
      <w:r w:rsidR="0077097C" w:rsidRPr="0077097C">
        <w:t xml:space="preserve">nteractions with native species, </w:t>
      </w:r>
      <w:r w:rsidRPr="0077097C">
        <w:t>habitat loss, disturbance and modification</w:t>
      </w:r>
      <w:r w:rsidR="0077097C" w:rsidRPr="0077097C">
        <w:t>,</w:t>
      </w:r>
      <w:r w:rsidRPr="0077097C">
        <w:t xml:space="preserve"> and invasive species (Table 2).</w:t>
      </w:r>
      <w:r w:rsidR="00511D7B" w:rsidRPr="0077097C">
        <w:t xml:space="preserve"> </w:t>
      </w:r>
      <w:r w:rsidR="00511D7B">
        <w:t xml:space="preserve">The species’ </w:t>
      </w:r>
      <w:r w:rsidR="005F27FE">
        <w:t xml:space="preserve">small population size and </w:t>
      </w:r>
      <w:r w:rsidR="00511D7B">
        <w:t xml:space="preserve">restricted distribution may increase its’ risk of </w:t>
      </w:r>
      <w:r w:rsidR="00511D7B" w:rsidRPr="00B75115">
        <w:t>extinction via stochastic processes</w:t>
      </w:r>
      <w:r w:rsidR="005F27FE">
        <w:t>, such as fire and disease</w:t>
      </w:r>
      <w:r w:rsidR="00511D7B">
        <w:t>.</w:t>
      </w:r>
    </w:p>
    <w:p w14:paraId="3165A813" w14:textId="5795C7ED" w:rsidR="00D759FF" w:rsidRPr="00D759FF" w:rsidRDefault="00957A21" w:rsidP="00E62582">
      <w:pPr>
        <w:pStyle w:val="Caption"/>
      </w:pPr>
      <w:bookmarkStart w:id="13" w:name="_Ref40886856"/>
      <w:r>
        <w:lastRenderedPageBreak/>
        <w:t xml:space="preserve">Table </w:t>
      </w:r>
      <w:bookmarkEnd w:id="13"/>
      <w:r w:rsidR="00584483">
        <w:rPr>
          <w:noProof/>
        </w:rPr>
        <w:t>2</w:t>
      </w:r>
      <w:r>
        <w:t xml:space="preserve"> Threats </w:t>
      </w:r>
      <w:r w:rsidR="00584483">
        <w:t xml:space="preserve">impacting the </w:t>
      </w:r>
      <w:r w:rsidR="007D094C">
        <w:t>yellow mountain bell</w:t>
      </w:r>
    </w:p>
    <w:tbl>
      <w:tblPr>
        <w:tblStyle w:val="TableGrid"/>
        <w:tblW w:w="0" w:type="auto"/>
        <w:tblLook w:val="04A0" w:firstRow="1" w:lastRow="0" w:firstColumn="1" w:lastColumn="0" w:noHBand="0" w:noVBand="1"/>
      </w:tblPr>
      <w:tblGrid>
        <w:gridCol w:w="2122"/>
        <w:gridCol w:w="2409"/>
        <w:gridCol w:w="4529"/>
      </w:tblGrid>
      <w:tr w:rsidR="00AA0A06" w14:paraId="3D433E90" w14:textId="77777777" w:rsidTr="008336B4">
        <w:trPr>
          <w:cantSplit/>
          <w:tblHeader/>
        </w:trPr>
        <w:tc>
          <w:tcPr>
            <w:tcW w:w="2122" w:type="dxa"/>
          </w:tcPr>
          <w:p w14:paraId="72D414AD" w14:textId="312D4C24" w:rsidR="00957A21" w:rsidRPr="00DE4967" w:rsidRDefault="00957A21" w:rsidP="00D945A0">
            <w:pPr>
              <w:pStyle w:val="TableHeading"/>
            </w:pPr>
            <w:r w:rsidRPr="00DE4967">
              <w:t>Threat</w:t>
            </w:r>
          </w:p>
        </w:tc>
        <w:tc>
          <w:tcPr>
            <w:tcW w:w="2409" w:type="dxa"/>
          </w:tcPr>
          <w:p w14:paraId="4D2A1746" w14:textId="77777777" w:rsidR="00957A21" w:rsidRPr="00DE4967" w:rsidRDefault="00935CDF" w:rsidP="00D945A0">
            <w:pPr>
              <w:pStyle w:val="TableHeading"/>
            </w:pPr>
            <w:r w:rsidRPr="00DE4967">
              <w:t>S</w:t>
            </w:r>
            <w:r w:rsidR="00957A21" w:rsidRPr="00DE4967">
              <w:t xml:space="preserve">tatus </w:t>
            </w:r>
            <w:r w:rsidR="00957A21" w:rsidRPr="00DE4967">
              <w:rPr>
                <w:rStyle w:val="Strong"/>
                <w:vertAlign w:val="superscript"/>
              </w:rPr>
              <w:t>a</w:t>
            </w:r>
          </w:p>
        </w:tc>
        <w:tc>
          <w:tcPr>
            <w:tcW w:w="4529" w:type="dxa"/>
          </w:tcPr>
          <w:p w14:paraId="62CBBDF5" w14:textId="31CEC916" w:rsidR="00957A21" w:rsidRPr="00DE4967" w:rsidRDefault="00957A21" w:rsidP="00D945A0">
            <w:pPr>
              <w:pStyle w:val="TableHeading"/>
            </w:pPr>
            <w:r w:rsidRPr="00DE4967">
              <w:t>Evidence</w:t>
            </w:r>
          </w:p>
        </w:tc>
      </w:tr>
      <w:tr w:rsidR="00301E21" w14:paraId="46410658" w14:textId="77777777" w:rsidTr="00B72149">
        <w:tc>
          <w:tcPr>
            <w:tcW w:w="9060" w:type="dxa"/>
            <w:gridSpan w:val="3"/>
          </w:tcPr>
          <w:p w14:paraId="362BB810" w14:textId="5CFD8475" w:rsidR="00301E21" w:rsidRPr="00DE4967" w:rsidRDefault="00E01C4D" w:rsidP="00301E21">
            <w:pPr>
              <w:pStyle w:val="TableText"/>
              <w:keepNext/>
            </w:pPr>
            <w:r>
              <w:t xml:space="preserve">Habitat loss, </w:t>
            </w:r>
            <w:proofErr w:type="gramStart"/>
            <w:r>
              <w:t>disturbance</w:t>
            </w:r>
            <w:proofErr w:type="gramEnd"/>
            <w:r>
              <w:t xml:space="preserve"> and modifications</w:t>
            </w:r>
          </w:p>
        </w:tc>
      </w:tr>
      <w:tr w:rsidR="00301E21" w14:paraId="2F2F08AC" w14:textId="77777777" w:rsidTr="008A0889">
        <w:trPr>
          <w:cantSplit/>
        </w:trPr>
        <w:tc>
          <w:tcPr>
            <w:tcW w:w="2122" w:type="dxa"/>
          </w:tcPr>
          <w:p w14:paraId="46CD7A2E" w14:textId="7F50459F" w:rsidR="00301E21" w:rsidRDefault="00301E21" w:rsidP="00301E21">
            <w:pPr>
              <w:pStyle w:val="TableText"/>
            </w:pPr>
            <w:r>
              <w:t>Inappropriate fire regimes</w:t>
            </w:r>
          </w:p>
        </w:tc>
        <w:tc>
          <w:tcPr>
            <w:tcW w:w="2409" w:type="dxa"/>
          </w:tcPr>
          <w:p w14:paraId="458BE663" w14:textId="77777777" w:rsidR="00301E21" w:rsidRPr="002060B1" w:rsidRDefault="00301E21" w:rsidP="00301E21">
            <w:pPr>
              <w:pStyle w:val="TableBullet1"/>
              <w:keepNext/>
            </w:pPr>
            <w:r>
              <w:t>Timing</w:t>
            </w:r>
            <w:r w:rsidRPr="002060B1">
              <w:t>: current</w:t>
            </w:r>
          </w:p>
          <w:p w14:paraId="23124719" w14:textId="04CF6B1A" w:rsidR="00301E21" w:rsidRPr="002060B1" w:rsidRDefault="00301E21" w:rsidP="00301E21">
            <w:pPr>
              <w:pStyle w:val="TableBullet1"/>
              <w:keepNext/>
            </w:pPr>
            <w:r w:rsidRPr="002060B1">
              <w:t xml:space="preserve">Confidence: </w:t>
            </w:r>
            <w:r w:rsidR="00431529">
              <w:t>observed</w:t>
            </w:r>
          </w:p>
          <w:p w14:paraId="0F3E497A" w14:textId="2B023275" w:rsidR="00301E21" w:rsidRPr="002060B1" w:rsidRDefault="00301E21" w:rsidP="00301E21">
            <w:pPr>
              <w:pStyle w:val="TableBullet1"/>
              <w:keepNext/>
            </w:pPr>
            <w:r w:rsidRPr="002060B1">
              <w:t xml:space="preserve">Consequence: </w:t>
            </w:r>
            <w:r w:rsidR="006B08FC">
              <w:t>catastrophic</w:t>
            </w:r>
          </w:p>
          <w:p w14:paraId="6395740E" w14:textId="77777777" w:rsidR="00301E21" w:rsidRDefault="00301E21" w:rsidP="00301E21">
            <w:pPr>
              <w:pStyle w:val="TableBullet1"/>
              <w:keepNext/>
            </w:pPr>
            <w:r w:rsidRPr="002060B1">
              <w:t>Trend: increasing</w:t>
            </w:r>
          </w:p>
          <w:p w14:paraId="53D50B01" w14:textId="779239C3" w:rsidR="00301E21" w:rsidRDefault="00301E21" w:rsidP="00301E21">
            <w:pPr>
              <w:pStyle w:val="TableBullet1"/>
              <w:keepNext/>
            </w:pPr>
            <w:r w:rsidRPr="002060B1">
              <w:t>Extent: across the entire range</w:t>
            </w:r>
          </w:p>
        </w:tc>
        <w:tc>
          <w:tcPr>
            <w:tcW w:w="4529" w:type="dxa"/>
          </w:tcPr>
          <w:p w14:paraId="3FBEF7A2" w14:textId="24BBB2BB" w:rsidR="00301E21" w:rsidRDefault="00301E21" w:rsidP="00301E21">
            <w:pPr>
              <w:pStyle w:val="TableText"/>
            </w:pPr>
            <w:r w:rsidRPr="00DD636C">
              <w:t xml:space="preserve">The </w:t>
            </w:r>
            <w:r w:rsidR="007D094C" w:rsidRPr="00DD636C">
              <w:t xml:space="preserve">yellow mountain bell </w:t>
            </w:r>
            <w:r w:rsidRPr="00DD636C">
              <w:t>is an obligate-</w:t>
            </w:r>
            <w:proofErr w:type="spellStart"/>
            <w:r w:rsidRPr="00DD636C">
              <w:t>seeder</w:t>
            </w:r>
            <w:proofErr w:type="spellEnd"/>
            <w:r w:rsidRPr="00DD636C">
              <w:t xml:space="preserve"> and regenerates from</w:t>
            </w:r>
            <w:r w:rsidR="00DD236D" w:rsidRPr="00DD636C">
              <w:t xml:space="preserve"> soil-stored</w:t>
            </w:r>
            <w:r w:rsidRPr="00DD636C">
              <w:t xml:space="preserve"> seed following fire </w:t>
            </w:r>
            <w:r w:rsidRPr="00DD636C">
              <w:rPr>
                <w:noProof/>
              </w:rPr>
              <w:t>(Keighery &amp; Marchant 1993; Hartley &amp; Barrett 2008)</w:t>
            </w:r>
            <w:r w:rsidRPr="00DD636C">
              <w:t>. As mature individuals are usually killed by fire, they can undergo natural fluctuations in the number of mature individuals</w:t>
            </w:r>
            <w:r w:rsidR="00C813A2" w:rsidRPr="00DD636C">
              <w:t xml:space="preserve"> </w:t>
            </w:r>
            <w:r w:rsidR="00967C60" w:rsidRPr="00DD636C">
              <w:t>if subpopulations are exposed to the same fire event</w:t>
            </w:r>
            <w:r w:rsidR="00967C60" w:rsidRPr="00DD636C">
              <w:rPr>
                <w:noProof/>
              </w:rPr>
              <w:t xml:space="preserve"> </w:t>
            </w:r>
            <w:r w:rsidR="00C813A2" w:rsidRPr="00DD636C">
              <w:rPr>
                <w:noProof/>
              </w:rPr>
              <w:t>(Keighery 1985; Brown et al. 1998; Hartley &amp; Barrett 2008)</w:t>
            </w:r>
            <w:r w:rsidR="00C813A2" w:rsidRPr="00DD636C">
              <w:t>. S</w:t>
            </w:r>
            <w:r w:rsidRPr="00DD636C">
              <w:t xml:space="preserve">o, a fire-free interval of at least </w:t>
            </w:r>
            <w:r w:rsidR="00DD636C" w:rsidRPr="00DD636C">
              <w:t>20</w:t>
            </w:r>
            <w:r w:rsidRPr="00DD636C">
              <w:t xml:space="preserve"> years is required for seedlings to reach maturity and replenish the seedbank</w:t>
            </w:r>
            <w:r w:rsidR="00DD636C" w:rsidRPr="00DD636C">
              <w:t xml:space="preserve"> </w:t>
            </w:r>
            <w:r w:rsidR="00DD636C">
              <w:t xml:space="preserve">in its low productivity habitat </w:t>
            </w:r>
            <w:r w:rsidR="00DD636C" w:rsidRPr="00DD636C">
              <w:t>(see fire and disturbance ecology)</w:t>
            </w:r>
            <w:r w:rsidR="00C813A2" w:rsidRPr="00DD636C">
              <w:t xml:space="preserve">. </w:t>
            </w:r>
            <w:r w:rsidRPr="00284FBF">
              <w:t xml:space="preserve">Accordingly, the population size and vigour of the </w:t>
            </w:r>
            <w:r w:rsidR="00653161" w:rsidRPr="00284FBF">
              <w:t xml:space="preserve">yellow mountain bell </w:t>
            </w:r>
            <w:r w:rsidR="00DD236D" w:rsidRPr="00284FBF">
              <w:t>is likely to</w:t>
            </w:r>
            <w:r w:rsidRPr="00284FBF">
              <w:t xml:space="preserve"> decline under a high-frequency fire regime (&lt;</w:t>
            </w:r>
            <w:r w:rsidR="00DD636C" w:rsidRPr="00284FBF">
              <w:t>20</w:t>
            </w:r>
            <w:r w:rsidR="00C7031A" w:rsidRPr="00284FBF">
              <w:t xml:space="preserve"> </w:t>
            </w:r>
            <w:r w:rsidRPr="00284FBF">
              <w:t>years) (Brown et al. 1998; Hartley &amp; Barrett 2008).</w:t>
            </w:r>
            <w:r w:rsidR="00B00981" w:rsidRPr="00284FBF">
              <w:t xml:space="preserve"> </w:t>
            </w:r>
          </w:p>
          <w:p w14:paraId="13B1309B" w14:textId="302AFCC7" w:rsidR="00BD75E9" w:rsidRDefault="00CB117C" w:rsidP="00301E21">
            <w:pPr>
              <w:pStyle w:val="TableText"/>
            </w:pPr>
            <w:r>
              <w:t xml:space="preserve">By </w:t>
            </w:r>
            <w:r w:rsidR="00301E21">
              <w:t>2015, a</w:t>
            </w:r>
            <w:r w:rsidR="00301E21" w:rsidRPr="00664226">
              <w:t>pproximately 74</w:t>
            </w:r>
            <w:r w:rsidR="00301E21" w:rsidRPr="00653161">
              <w:t>%</w:t>
            </w:r>
            <w:r w:rsidR="00301E21" w:rsidRPr="00664226">
              <w:t xml:space="preserve"> of the Eastern Stirling Range Montane Heath and Thicket </w:t>
            </w:r>
            <w:r w:rsidR="007B136B">
              <w:t>Threatened Ecological Community</w:t>
            </w:r>
            <w:r w:rsidR="00301E21" w:rsidRPr="00664226">
              <w:t xml:space="preserve"> ha</w:t>
            </w:r>
            <w:r w:rsidR="00301E21">
              <w:t>d</w:t>
            </w:r>
            <w:r w:rsidR="00301E21" w:rsidRPr="00664226">
              <w:t xml:space="preserve"> experienced short, nine-year fire intervals over the </w:t>
            </w:r>
            <w:r w:rsidR="00DD236D">
              <w:t>previous</w:t>
            </w:r>
            <w:r w:rsidR="00301E21" w:rsidRPr="00664226">
              <w:t xml:space="preserve"> 50 years </w:t>
            </w:r>
            <w:r w:rsidR="00301E21" w:rsidRPr="00A877A0">
              <w:rPr>
                <w:noProof/>
              </w:rPr>
              <w:t>(Barrett &amp; Yates 2015)</w:t>
            </w:r>
            <w:r w:rsidR="00301E21" w:rsidRPr="00A877A0">
              <w:t xml:space="preserve">. </w:t>
            </w:r>
            <w:bookmarkStart w:id="14" w:name="_Hlk82588851"/>
            <w:r w:rsidR="00BD75E9" w:rsidRPr="004C7CD7">
              <w:t xml:space="preserve">In 2018, </w:t>
            </w:r>
            <w:r w:rsidR="00BD75E9">
              <w:t xml:space="preserve">an escaped prescribed </w:t>
            </w:r>
            <w:r w:rsidR="00E66177">
              <w:t xml:space="preserve">fire </w:t>
            </w:r>
            <w:r w:rsidR="00BD75E9">
              <w:t xml:space="preserve">burnt </w:t>
            </w:r>
            <w:r w:rsidR="00BD75E9" w:rsidRPr="004C7CD7">
              <w:t>17</w:t>
            </w:r>
            <w:r w:rsidR="00653161">
              <w:t>,</w:t>
            </w:r>
            <w:r w:rsidR="00BD75E9" w:rsidRPr="004C7CD7">
              <w:t xml:space="preserve">000 hectares </w:t>
            </w:r>
            <w:r w:rsidR="00BD75E9">
              <w:t xml:space="preserve">in </w:t>
            </w:r>
            <w:r w:rsidR="00BD75E9" w:rsidRPr="004C7CD7">
              <w:t xml:space="preserve">the eastern extent of Stirling Range National Park </w:t>
            </w:r>
            <w:r w:rsidR="00BD75E9" w:rsidRPr="00BB215E">
              <w:rPr>
                <w:noProof/>
              </w:rPr>
              <w:t>(OBRM 2018)</w:t>
            </w:r>
            <w:r w:rsidR="00BD75E9">
              <w:t xml:space="preserve">, including </w:t>
            </w:r>
            <w:r w:rsidR="00792478">
              <w:t xml:space="preserve">parts of </w:t>
            </w:r>
            <w:r w:rsidR="00BD75E9">
              <w:t>all extant subpopulations</w:t>
            </w:r>
            <w:r w:rsidR="00DD4695">
              <w:t xml:space="preserve"> of the </w:t>
            </w:r>
            <w:r w:rsidR="00653161">
              <w:t xml:space="preserve">yellow mountain bell </w:t>
            </w:r>
            <w:r w:rsidR="00BD75E9">
              <w:t>(DBCA</w:t>
            </w:r>
            <w:r w:rsidR="00BD75E9" w:rsidRPr="0080114D">
              <w:rPr>
                <w:noProof/>
              </w:rPr>
              <w:t xml:space="preserve"> </w:t>
            </w:r>
            <w:r w:rsidR="00BD75E9" w:rsidRPr="008C0626">
              <w:rPr>
                <w:noProof/>
              </w:rPr>
              <w:t xml:space="preserve">2021. pers comm </w:t>
            </w:r>
            <w:r w:rsidR="00BD75E9">
              <w:rPr>
                <w:noProof/>
              </w:rPr>
              <w:t>3 September</w:t>
            </w:r>
            <w:r w:rsidR="00BD75E9">
              <w:t>).</w:t>
            </w:r>
            <w:r w:rsidR="00BD75E9" w:rsidRPr="00BB215E">
              <w:t xml:space="preserve"> In 2019-20, a bushfire burnt </w:t>
            </w:r>
            <w:r w:rsidR="00BD75E9" w:rsidRPr="007D094C">
              <w:t>40</w:t>
            </w:r>
            <w:r w:rsidR="007D094C">
              <w:t>,</w:t>
            </w:r>
            <w:r w:rsidR="00BD75E9" w:rsidRPr="007D094C">
              <w:t>000</w:t>
            </w:r>
            <w:r w:rsidR="00BD75E9" w:rsidRPr="00BB215E">
              <w:t xml:space="preserve"> hectares of the eastern extent of Stirling Range National </w:t>
            </w:r>
            <w:r w:rsidR="00BD75E9" w:rsidRPr="0080114D">
              <w:t xml:space="preserve">Park </w:t>
            </w:r>
            <w:r w:rsidR="00BD75E9" w:rsidRPr="0080114D">
              <w:rPr>
                <w:noProof/>
              </w:rPr>
              <w:t>(DAWE 2020; Todd &amp; Maurer 2020)</w:t>
            </w:r>
            <w:r w:rsidR="00BD75E9" w:rsidRPr="0080114D">
              <w:t>, including subpopulation 1, 6A and 9</w:t>
            </w:r>
            <w:r w:rsidR="00BD75E9">
              <w:t xml:space="preserve"> (</w:t>
            </w:r>
            <w:r w:rsidR="00BD75E9" w:rsidRPr="0080114D">
              <w:t>Bluff Knoll/Bula Meela, Bakers Knob and East Bluff) (DBCA</w:t>
            </w:r>
            <w:r w:rsidR="00BD75E9" w:rsidRPr="0080114D">
              <w:rPr>
                <w:noProof/>
              </w:rPr>
              <w:t xml:space="preserve"> 2021. pers comm 3 September</w:t>
            </w:r>
            <w:r w:rsidR="00BD75E9" w:rsidRPr="0080114D">
              <w:t xml:space="preserve">). </w:t>
            </w:r>
          </w:p>
          <w:p w14:paraId="4CE86463" w14:textId="5EF13C35" w:rsidR="00301E21" w:rsidRPr="00160FB7" w:rsidRDefault="00DD236D" w:rsidP="00301E21">
            <w:pPr>
              <w:pStyle w:val="TableText"/>
            </w:pPr>
            <w:r>
              <w:t>M</w:t>
            </w:r>
            <w:r w:rsidR="00CF66BF">
              <w:t xml:space="preserve">ature individuals and </w:t>
            </w:r>
            <w:r w:rsidR="00792478">
              <w:t xml:space="preserve">some </w:t>
            </w:r>
            <w:r w:rsidR="00CF66BF">
              <w:t xml:space="preserve">seedlings </w:t>
            </w:r>
            <w:r w:rsidR="00792478">
              <w:t xml:space="preserve">(from the 2018 </w:t>
            </w:r>
            <w:r w:rsidR="00FD5027">
              <w:t xml:space="preserve">escaped prescribed </w:t>
            </w:r>
            <w:r w:rsidR="00792478">
              <w:t xml:space="preserve">fire) </w:t>
            </w:r>
            <w:r w:rsidR="00CF66BF">
              <w:t xml:space="preserve">were killed by </w:t>
            </w:r>
            <w:r w:rsidR="001F1A5B">
              <w:t xml:space="preserve">these fires </w:t>
            </w:r>
            <w:r w:rsidR="00160FB7">
              <w:t xml:space="preserve">(see Attachment A) </w:t>
            </w:r>
            <w:r w:rsidR="001F1A5B" w:rsidRPr="00AB20A5">
              <w:t>(DBCA 2021. pers comm 3 September).</w:t>
            </w:r>
            <w:r w:rsidR="001F1A5B">
              <w:t xml:space="preserve"> </w:t>
            </w:r>
            <w:r w:rsidR="0085502F">
              <w:t xml:space="preserve">Additionally, </w:t>
            </w:r>
            <w:r w:rsidR="00792478">
              <w:t xml:space="preserve">varying levels of </w:t>
            </w:r>
            <w:r w:rsidR="001F1A5B">
              <w:t xml:space="preserve">seedling </w:t>
            </w:r>
            <w:r w:rsidR="00792478">
              <w:t>mortality</w:t>
            </w:r>
            <w:r w:rsidR="001F1A5B">
              <w:t xml:space="preserve"> have been recorded </w:t>
            </w:r>
            <w:r w:rsidR="00166CD8" w:rsidRPr="00AB20A5">
              <w:t>in all subpopulations</w:t>
            </w:r>
            <w:r w:rsidR="00166CD8">
              <w:t xml:space="preserve"> </w:t>
            </w:r>
            <w:r>
              <w:t>after these fires</w:t>
            </w:r>
            <w:r w:rsidRPr="00AB20A5">
              <w:t xml:space="preserve"> </w:t>
            </w:r>
            <w:r w:rsidR="001F1A5B" w:rsidRPr="00AB20A5">
              <w:t xml:space="preserve">due to the impacts of drought, competition, herbivory and/or disease </w:t>
            </w:r>
            <w:r w:rsidR="00160FB7">
              <w:t xml:space="preserve">(see Attachment A) </w:t>
            </w:r>
            <w:r w:rsidR="001F1A5B" w:rsidRPr="00AB20A5">
              <w:t>(DBCA 2021. pers comm 3 September).</w:t>
            </w:r>
            <w:r w:rsidR="00160FB7">
              <w:t xml:space="preserve"> </w:t>
            </w:r>
            <w:bookmarkEnd w:id="14"/>
            <w:r w:rsidR="00A877A0">
              <w:t>The</w:t>
            </w:r>
            <w:r w:rsidR="00A877A0" w:rsidRPr="00AB20A5">
              <w:t xml:space="preserve"> loss of seedlings</w:t>
            </w:r>
            <w:r w:rsidR="00792478">
              <w:t xml:space="preserve"> and juveniles</w:t>
            </w:r>
            <w:r w:rsidR="00A877A0" w:rsidRPr="00AB20A5">
              <w:t xml:space="preserve">, following </w:t>
            </w:r>
            <w:r w:rsidR="00A877A0" w:rsidRPr="00160FB7">
              <w:t xml:space="preserve">fires in 2018 and 2019-20, will result in a net loss of mature </w:t>
            </w:r>
            <w:r w:rsidR="00FD4171" w:rsidRPr="00160FB7">
              <w:t>individuals and</w:t>
            </w:r>
            <w:r w:rsidR="00301E21" w:rsidRPr="00160FB7">
              <w:t xml:space="preserve"> increase the species’ extinction risk.</w:t>
            </w:r>
          </w:p>
          <w:p w14:paraId="2F140C77" w14:textId="14D98926" w:rsidR="00301E21" w:rsidRPr="00DE4967" w:rsidRDefault="00301E21" w:rsidP="00301E21">
            <w:pPr>
              <w:pStyle w:val="TableText"/>
            </w:pPr>
            <w:r w:rsidRPr="00160FB7">
              <w:t>A high frequency fire regime</w:t>
            </w:r>
            <w:r w:rsidRPr="00664226">
              <w:t xml:space="preserve"> can also reduce vegetation cover</w:t>
            </w:r>
            <w:r w:rsidR="00792478">
              <w:t xml:space="preserve">, </w:t>
            </w:r>
            <w:r w:rsidR="00E66177">
              <w:t xml:space="preserve">leading to increases in </w:t>
            </w:r>
            <w:r w:rsidR="00792478">
              <w:t>soil temperature</w:t>
            </w:r>
            <w:r w:rsidR="00E66177">
              <w:t xml:space="preserve"> from solar insolation and</w:t>
            </w:r>
            <w:r w:rsidRPr="00664226">
              <w:t xml:space="preserve"> increase</w:t>
            </w:r>
            <w:r w:rsidR="00E66177">
              <w:t>s in</w:t>
            </w:r>
            <w:r w:rsidRPr="00664226">
              <w:t xml:space="preserve"> surface or sub-surface flow on mountain slopes,</w:t>
            </w:r>
            <w:r w:rsidR="00792478">
              <w:t xml:space="preserve"> </w:t>
            </w:r>
            <w:r w:rsidR="00E66177">
              <w:t xml:space="preserve">which may exacerbate the </w:t>
            </w:r>
            <w:r w:rsidR="00792478">
              <w:t xml:space="preserve">impact </w:t>
            </w:r>
            <w:r w:rsidR="00E66177">
              <w:t>and</w:t>
            </w:r>
            <w:r w:rsidRPr="00664226">
              <w:t xml:space="preserve"> spread of </w:t>
            </w:r>
            <w:r w:rsidRPr="00664226">
              <w:rPr>
                <w:i/>
                <w:iCs/>
              </w:rPr>
              <w:t xml:space="preserve">P. cinnamomi </w:t>
            </w:r>
            <w:r>
              <w:rPr>
                <w:noProof/>
              </w:rPr>
              <w:t>(Barrett 2000; Moore et al. 2015)</w:t>
            </w:r>
            <w:r w:rsidRPr="00664226">
              <w:t xml:space="preserve">. Fires can also alter habitat structure, by favouring the </w:t>
            </w:r>
            <w:r w:rsidR="00E66177">
              <w:t xml:space="preserve">post-fire </w:t>
            </w:r>
            <w:r w:rsidRPr="00664226">
              <w:t xml:space="preserve">invasion and establishment of weeds </w:t>
            </w:r>
            <w:r w:rsidRPr="00664226">
              <w:rPr>
                <w:noProof/>
              </w:rPr>
              <w:t>(D'Antonio &amp; Vitousek 1992; Grigulis et al. 2005)</w:t>
            </w:r>
            <w:r w:rsidRPr="00664226">
              <w:t>.</w:t>
            </w:r>
          </w:p>
        </w:tc>
      </w:tr>
      <w:tr w:rsidR="00A324E3" w14:paraId="59EB1CC4" w14:textId="77777777" w:rsidTr="008A0889">
        <w:trPr>
          <w:cantSplit/>
        </w:trPr>
        <w:tc>
          <w:tcPr>
            <w:tcW w:w="2122" w:type="dxa"/>
          </w:tcPr>
          <w:p w14:paraId="579BFAF6" w14:textId="0E1B7703" w:rsidR="00A324E3" w:rsidRDefault="00A324E3" w:rsidP="00A324E3">
            <w:pPr>
              <w:pStyle w:val="TableText"/>
            </w:pPr>
            <w:r>
              <w:lastRenderedPageBreak/>
              <w:t>Damage from recreational activities</w:t>
            </w:r>
          </w:p>
        </w:tc>
        <w:tc>
          <w:tcPr>
            <w:tcW w:w="2409" w:type="dxa"/>
          </w:tcPr>
          <w:p w14:paraId="4EB15B92" w14:textId="77777777" w:rsidR="00A324E3" w:rsidRDefault="00A324E3" w:rsidP="00A324E3">
            <w:pPr>
              <w:pStyle w:val="TableBullet1"/>
              <w:keepNext/>
            </w:pPr>
            <w:r>
              <w:t>Timing: current</w:t>
            </w:r>
          </w:p>
          <w:p w14:paraId="0512D3B3" w14:textId="77777777" w:rsidR="00A324E3" w:rsidRPr="00EC115A" w:rsidRDefault="00A324E3" w:rsidP="00A324E3">
            <w:pPr>
              <w:pStyle w:val="TableBullet1"/>
              <w:keepNext/>
            </w:pPr>
            <w:r w:rsidRPr="00EC115A">
              <w:t xml:space="preserve">Confidence: </w:t>
            </w:r>
            <w:r>
              <w:t>inferred</w:t>
            </w:r>
          </w:p>
          <w:p w14:paraId="3E501D78" w14:textId="5988433B" w:rsidR="00A324E3" w:rsidRPr="00664957" w:rsidRDefault="00A324E3" w:rsidP="00A324E3">
            <w:pPr>
              <w:pStyle w:val="TableBullet1"/>
              <w:keepNext/>
            </w:pPr>
            <w:r w:rsidRPr="00664957">
              <w:t xml:space="preserve">Consequence: </w:t>
            </w:r>
            <w:r w:rsidR="00792478">
              <w:t>minor</w:t>
            </w:r>
          </w:p>
          <w:p w14:paraId="22875B37" w14:textId="77777777" w:rsidR="00A324E3" w:rsidRPr="00EC115A" w:rsidRDefault="00A324E3" w:rsidP="00A324E3">
            <w:pPr>
              <w:pStyle w:val="TableBullet1"/>
              <w:keepNext/>
            </w:pPr>
            <w:r w:rsidRPr="00EC115A">
              <w:t>Trend: static</w:t>
            </w:r>
          </w:p>
          <w:p w14:paraId="15F7A30F" w14:textId="4851365E" w:rsidR="00431529" w:rsidRDefault="00A324E3" w:rsidP="00431529">
            <w:pPr>
              <w:pStyle w:val="TableBullet1"/>
              <w:keepNext/>
            </w:pPr>
            <w:r>
              <w:t xml:space="preserve">Extent: </w:t>
            </w:r>
            <w:r w:rsidRPr="00FF4FDA">
              <w:t>across part of its range</w:t>
            </w:r>
          </w:p>
        </w:tc>
        <w:tc>
          <w:tcPr>
            <w:tcW w:w="4529" w:type="dxa"/>
          </w:tcPr>
          <w:p w14:paraId="7CD2DBB9" w14:textId="5A399D15" w:rsidR="00A324E3" w:rsidRPr="004D47D5" w:rsidRDefault="00A324E3" w:rsidP="00A324E3">
            <w:pPr>
              <w:pStyle w:val="TableText"/>
            </w:pPr>
            <w:r w:rsidRPr="007127F3">
              <w:t xml:space="preserve">The </w:t>
            </w:r>
            <w:r>
              <w:t>mountai</w:t>
            </w:r>
            <w:r w:rsidRPr="004D47D5">
              <w:t>n peaks of the eastern Stirling Range</w:t>
            </w:r>
            <w:r>
              <w:t xml:space="preserve">/ </w:t>
            </w:r>
            <w:proofErr w:type="spellStart"/>
            <w:r w:rsidRPr="007A0007">
              <w:t>Koikyenunuruff</w:t>
            </w:r>
            <w:proofErr w:type="spellEnd"/>
            <w:r w:rsidRPr="007A0007">
              <w:t xml:space="preserve"> </w:t>
            </w:r>
            <w:r w:rsidRPr="004D47D5">
              <w:t xml:space="preserve">attract visitors interested in bushwalking, nature observation and rock-climbing </w:t>
            </w:r>
            <w:r w:rsidRPr="004D47D5">
              <w:rPr>
                <w:noProof/>
              </w:rPr>
              <w:t>(Barrett 2000)</w:t>
            </w:r>
            <w:r w:rsidRPr="004D47D5">
              <w:t>.</w:t>
            </w:r>
            <w:r w:rsidRPr="004D47D5">
              <w:rPr>
                <w:noProof/>
              </w:rPr>
              <w:t xml:space="preserve"> </w:t>
            </w:r>
            <w:r w:rsidRPr="004D47D5">
              <w:t xml:space="preserve">All subpopulations of the </w:t>
            </w:r>
            <w:r>
              <w:t xml:space="preserve">yellow mountain bell </w:t>
            </w:r>
            <w:r w:rsidRPr="004D47D5">
              <w:t xml:space="preserve">are at risk of damage from recreational activities </w:t>
            </w:r>
            <w:r w:rsidRPr="004D47D5">
              <w:rPr>
                <w:noProof/>
              </w:rPr>
              <w:t>(Barrett et al. 2008)</w:t>
            </w:r>
            <w:r w:rsidRPr="004D47D5">
              <w:t>. However, subpopulation</w:t>
            </w:r>
            <w:r>
              <w:t xml:space="preserve">s </w:t>
            </w:r>
            <w:r w:rsidRPr="004D47D5">
              <w:t>1</w:t>
            </w:r>
            <w:r w:rsidR="00792478">
              <w:t xml:space="preserve">, </w:t>
            </w:r>
            <w:r>
              <w:t xml:space="preserve">6A </w:t>
            </w:r>
            <w:r w:rsidR="00792478">
              <w:t xml:space="preserve">and 9 </w:t>
            </w:r>
            <w:r w:rsidRPr="004D47D5">
              <w:t>(Bluff Knoll/Bula Meela</w:t>
            </w:r>
            <w:r w:rsidR="00792478">
              <w:t xml:space="preserve">, </w:t>
            </w:r>
            <w:r w:rsidRPr="004D47D5">
              <w:t>Bakers Knob</w:t>
            </w:r>
            <w:r w:rsidR="00792478">
              <w:t xml:space="preserve"> and East Bluff</w:t>
            </w:r>
            <w:r w:rsidRPr="004D47D5">
              <w:t>) are at heightened risk, due to the popular ‘Ridge Walk’ from Ellen Peak to Bluff Knoll</w:t>
            </w:r>
            <w:r w:rsidR="00A93AC9">
              <w:t>/Bula Meela</w:t>
            </w:r>
            <w:r w:rsidRPr="004D47D5">
              <w:t xml:space="preserve"> via Bakers Knob</w:t>
            </w:r>
            <w:r w:rsidR="00E66177">
              <w:t>, which dissects these subpopulations</w:t>
            </w:r>
            <w:r w:rsidR="00DD6B05">
              <w:t xml:space="preserve"> </w:t>
            </w:r>
            <w:r w:rsidRPr="004D47D5">
              <w:rPr>
                <w:noProof/>
              </w:rPr>
              <w:t>(Barrett 2000; DPAW 2016)</w:t>
            </w:r>
            <w:r w:rsidRPr="004D47D5">
              <w:t>.</w:t>
            </w:r>
          </w:p>
          <w:p w14:paraId="4044530D" w14:textId="15614F48" w:rsidR="00A324E3" w:rsidRDefault="00A324E3" w:rsidP="00A324E3">
            <w:pPr>
              <w:pStyle w:val="TableText"/>
            </w:pPr>
            <w:r w:rsidRPr="004D47D5">
              <w:t xml:space="preserve">Recreational activities can result in the spread of </w:t>
            </w:r>
            <w:r w:rsidRPr="004D47D5">
              <w:rPr>
                <w:i/>
                <w:iCs/>
              </w:rPr>
              <w:t xml:space="preserve">P. cinnamomi, </w:t>
            </w:r>
            <w:r w:rsidRPr="004D47D5">
              <w:t xml:space="preserve">track-braiding, side path formation, path erosion, bare-ground occurrences, </w:t>
            </w:r>
            <w:r w:rsidR="00A52764" w:rsidRPr="004D47D5">
              <w:t>campfire</w:t>
            </w:r>
            <w:r w:rsidRPr="004D47D5">
              <w:t xml:space="preserve"> remains, litter and increased soil fertility due to accumulation of human excreta </w:t>
            </w:r>
            <w:r w:rsidRPr="004D47D5">
              <w:rPr>
                <w:noProof/>
              </w:rPr>
              <w:t>(Hartley &amp; Barrett 2008)</w:t>
            </w:r>
            <w:r>
              <w:t xml:space="preserve">. Increased soil fertility could facilitate weed invasion </w:t>
            </w:r>
            <w:r>
              <w:rPr>
                <w:noProof/>
              </w:rPr>
              <w:t>(Specht 1963</w:t>
            </w:r>
            <w:r w:rsidR="00A52764">
              <w:rPr>
                <w:noProof/>
              </w:rPr>
              <w:t>)</w:t>
            </w:r>
            <w:r w:rsidR="00A52764">
              <w:t>;</w:t>
            </w:r>
            <w:r>
              <w:t xml:space="preserve"> however, this has </w:t>
            </w:r>
            <w:r w:rsidR="00792478">
              <w:t>had minor impacts to date</w:t>
            </w:r>
            <w:r>
              <w:t xml:space="preserve"> in Stirling Range National Park and is presumed to be localised to camp areas </w:t>
            </w:r>
            <w:r>
              <w:rPr>
                <w:noProof/>
              </w:rPr>
              <w:t>(DPAW 2016)</w:t>
            </w:r>
            <w:r>
              <w:t>.</w:t>
            </w:r>
          </w:p>
          <w:p w14:paraId="58373B4F" w14:textId="7A59A096" w:rsidR="00A324E3" w:rsidRPr="009C21EA" w:rsidRDefault="00A324E3" w:rsidP="00A324E3">
            <w:pPr>
              <w:pStyle w:val="TableText"/>
            </w:pPr>
            <w:r w:rsidRPr="006A42B0">
              <w:t>Effective path drainage is important in the reduction of both erosion and the spread of</w:t>
            </w:r>
            <w:r w:rsidRPr="009724DF">
              <w:rPr>
                <w:i/>
                <w:iCs/>
              </w:rPr>
              <w:t xml:space="preserve"> </w:t>
            </w:r>
            <w:r>
              <w:rPr>
                <w:i/>
                <w:iCs/>
              </w:rPr>
              <w:t>P. cinnamomi</w:t>
            </w:r>
            <w:r w:rsidRPr="004501EA">
              <w:rPr>
                <w:i/>
                <w:iCs/>
              </w:rPr>
              <w:t xml:space="preserve"> </w:t>
            </w:r>
            <w:r>
              <w:rPr>
                <w:noProof/>
              </w:rPr>
              <w:t>(Watson &amp; Passmore 1993)</w:t>
            </w:r>
            <w:r>
              <w:t xml:space="preserve">. </w:t>
            </w:r>
            <w:r w:rsidRPr="00C42A82">
              <w:t>Soils are moist on the higher peaks for much of the year, particularly near mountain summits, and pooling of water can occur. Wet areas provide ideal sites for the transfer</w:t>
            </w:r>
            <w:r>
              <w:t xml:space="preserve"> of</w:t>
            </w:r>
            <w:r w:rsidRPr="0040293A">
              <w:rPr>
                <w:i/>
                <w:iCs/>
              </w:rPr>
              <w:t xml:space="preserve"> </w:t>
            </w:r>
            <w:r>
              <w:rPr>
                <w:i/>
                <w:iCs/>
              </w:rPr>
              <w:t>P. cinnamomi</w:t>
            </w:r>
            <w:r w:rsidRPr="004501EA">
              <w:rPr>
                <w:i/>
                <w:iCs/>
              </w:rPr>
              <w:t xml:space="preserve"> </w:t>
            </w:r>
            <w:r w:rsidRPr="00C42A82">
              <w:t>through soil collected on walking boots</w:t>
            </w:r>
            <w:r>
              <w:rPr>
                <w:i/>
                <w:iCs/>
              </w:rPr>
              <w:t xml:space="preserve"> </w:t>
            </w:r>
            <w:r w:rsidRPr="00412D63">
              <w:rPr>
                <w:noProof/>
              </w:rPr>
              <w:t>(Gillen &amp; Watson 1993)</w:t>
            </w:r>
            <w:r w:rsidRPr="00412D63">
              <w:t>.</w:t>
            </w:r>
          </w:p>
        </w:tc>
      </w:tr>
      <w:tr w:rsidR="00A324E3" w14:paraId="15622C52" w14:textId="77777777" w:rsidTr="00B72149">
        <w:trPr>
          <w:cantSplit/>
        </w:trPr>
        <w:tc>
          <w:tcPr>
            <w:tcW w:w="9060" w:type="dxa"/>
            <w:gridSpan w:val="3"/>
          </w:tcPr>
          <w:p w14:paraId="6CF530E8" w14:textId="58152B64" w:rsidR="00A324E3" w:rsidRPr="00F452C9" w:rsidRDefault="00A324E3" w:rsidP="00A324E3">
            <w:pPr>
              <w:pStyle w:val="TableText"/>
              <w:keepNext/>
              <w:rPr>
                <w:i/>
                <w:iCs/>
              </w:rPr>
            </w:pPr>
            <w:r>
              <w:lastRenderedPageBreak/>
              <w:t>Disease</w:t>
            </w:r>
          </w:p>
        </w:tc>
      </w:tr>
      <w:tr w:rsidR="00A324E3" w14:paraId="3A9B4CDC" w14:textId="77777777" w:rsidTr="00C73C35">
        <w:trPr>
          <w:cantSplit/>
        </w:trPr>
        <w:tc>
          <w:tcPr>
            <w:tcW w:w="2122" w:type="dxa"/>
          </w:tcPr>
          <w:p w14:paraId="05D27B88" w14:textId="6B141B9F" w:rsidR="00A324E3" w:rsidRDefault="00A324E3" w:rsidP="00A324E3">
            <w:pPr>
              <w:pStyle w:val="TableText"/>
            </w:pPr>
            <w:r>
              <w:t xml:space="preserve">Dieback caused by </w:t>
            </w:r>
            <w:r>
              <w:rPr>
                <w:i/>
                <w:iCs/>
              </w:rPr>
              <w:t>P. cinnamomi</w:t>
            </w:r>
          </w:p>
        </w:tc>
        <w:tc>
          <w:tcPr>
            <w:tcW w:w="2409" w:type="dxa"/>
          </w:tcPr>
          <w:p w14:paraId="7D7496D2" w14:textId="77777777" w:rsidR="00A324E3" w:rsidRPr="00A529E1" w:rsidRDefault="00A324E3" w:rsidP="00A324E3">
            <w:pPr>
              <w:pStyle w:val="TableBullet1"/>
              <w:keepNext/>
            </w:pPr>
            <w:r>
              <w:t xml:space="preserve">Timing: </w:t>
            </w:r>
            <w:r w:rsidRPr="00A529E1">
              <w:t>current</w:t>
            </w:r>
          </w:p>
          <w:p w14:paraId="7CCB046D" w14:textId="45C9737C" w:rsidR="00A324E3" w:rsidRPr="00A529E1" w:rsidRDefault="00A324E3" w:rsidP="00A324E3">
            <w:pPr>
              <w:pStyle w:val="TableBullet1"/>
              <w:keepNext/>
            </w:pPr>
            <w:r w:rsidRPr="00A529E1">
              <w:t xml:space="preserve">Confidence: </w:t>
            </w:r>
            <w:r w:rsidR="00431529">
              <w:t>observed</w:t>
            </w:r>
          </w:p>
          <w:p w14:paraId="1375B978" w14:textId="77777777" w:rsidR="00A324E3" w:rsidRPr="00A529E1" w:rsidRDefault="00A324E3" w:rsidP="00A324E3">
            <w:pPr>
              <w:pStyle w:val="TableBullet1"/>
              <w:keepNext/>
            </w:pPr>
            <w:r w:rsidRPr="00A529E1">
              <w:t xml:space="preserve">Consequence: </w:t>
            </w:r>
            <w:r>
              <w:t>catastrophic</w:t>
            </w:r>
          </w:p>
          <w:p w14:paraId="2658EB6A" w14:textId="77777777" w:rsidR="00A324E3" w:rsidRDefault="00A324E3" w:rsidP="00A324E3">
            <w:pPr>
              <w:pStyle w:val="TableBullet1"/>
              <w:keepNext/>
            </w:pPr>
            <w:r>
              <w:t>Trend: continuing but slowed by recovery actions</w:t>
            </w:r>
          </w:p>
          <w:p w14:paraId="76D9D603" w14:textId="3C4C0B8A" w:rsidR="00A324E3" w:rsidRDefault="00A324E3" w:rsidP="00A324E3">
            <w:pPr>
              <w:pStyle w:val="TableBullet1"/>
              <w:keepNext/>
            </w:pPr>
            <w:r>
              <w:t>Extent</w:t>
            </w:r>
            <w:r w:rsidRPr="00A529E1">
              <w:t>: across the entire range</w:t>
            </w:r>
          </w:p>
        </w:tc>
        <w:tc>
          <w:tcPr>
            <w:tcW w:w="4529" w:type="dxa"/>
          </w:tcPr>
          <w:p w14:paraId="4C63724B" w14:textId="6F5ED5B3" w:rsidR="00A324E3" w:rsidRPr="000D25E5" w:rsidRDefault="00A324E3" w:rsidP="00A324E3">
            <w:pPr>
              <w:pStyle w:val="TableText"/>
              <w:keepNext/>
            </w:pPr>
            <w:r w:rsidRPr="00F452C9">
              <w:rPr>
                <w:i/>
                <w:iCs/>
              </w:rPr>
              <w:t>Phytophthora cinnamomi</w:t>
            </w:r>
            <w:r w:rsidRPr="00F452C9">
              <w:t xml:space="preserve"> is an introduced soil-borne pathogen, which infects a large range of plant species and may contribute to plant death, </w:t>
            </w:r>
            <w:r>
              <w:t xml:space="preserve">especially </w:t>
            </w:r>
            <w:r w:rsidRPr="00F452C9">
              <w:t xml:space="preserve">when other stresses </w:t>
            </w:r>
            <w:r>
              <w:t xml:space="preserve">are </w:t>
            </w:r>
            <w:r w:rsidRPr="00F452C9">
              <w:t>present, such as waterlogging, drought and</w:t>
            </w:r>
            <w:r>
              <w:t xml:space="preserve"> </w:t>
            </w:r>
            <w:r w:rsidRPr="00F452C9">
              <w:t>fire</w:t>
            </w:r>
            <w:r>
              <w:t xml:space="preserve"> </w:t>
            </w:r>
            <w:r>
              <w:rPr>
                <w:noProof/>
              </w:rPr>
              <w:t>(DOEE 2018)</w:t>
            </w:r>
            <w:r>
              <w:t xml:space="preserve">. </w:t>
            </w:r>
            <w:r w:rsidRPr="00F452C9">
              <w:rPr>
                <w:i/>
                <w:iCs/>
              </w:rPr>
              <w:t>Phytophthora cinnamomi</w:t>
            </w:r>
            <w:r w:rsidRPr="00F452C9">
              <w:t xml:space="preserve"> can disperse in water flowing from roots of infected plants to roots of healthy plants</w:t>
            </w:r>
            <w:r>
              <w:t>,</w:t>
            </w:r>
            <w:r w:rsidRPr="00F452C9">
              <w:t xml:space="preserve"> and mud clinging to vehicles, </w:t>
            </w:r>
            <w:proofErr w:type="gramStart"/>
            <w:r w:rsidRPr="00F452C9">
              <w:t>animals</w:t>
            </w:r>
            <w:proofErr w:type="gramEnd"/>
            <w:r w:rsidRPr="00F452C9">
              <w:t xml:space="preserve"> and walkers</w:t>
            </w:r>
            <w:r>
              <w:t xml:space="preserve"> </w:t>
            </w:r>
            <w:r>
              <w:rPr>
                <w:noProof/>
              </w:rPr>
              <w:t>(DOEE 2018)</w:t>
            </w:r>
            <w:r>
              <w:t xml:space="preserve">. </w:t>
            </w:r>
            <w:r w:rsidRPr="00F452C9">
              <w:t xml:space="preserve">Dieback caused by </w:t>
            </w:r>
            <w:r w:rsidRPr="00F452C9">
              <w:rPr>
                <w:i/>
                <w:iCs/>
              </w:rPr>
              <w:t>P. cinnamomi</w:t>
            </w:r>
            <w:r w:rsidRPr="00F452C9">
              <w:t xml:space="preserve"> is listed as </w:t>
            </w:r>
            <w:r w:rsidRPr="000D25E5">
              <w:t xml:space="preserve">a </w:t>
            </w:r>
            <w:r>
              <w:t>key threatening process</w:t>
            </w:r>
            <w:r w:rsidRPr="000D25E5">
              <w:t xml:space="preserve"> under the EPBC Act </w:t>
            </w:r>
            <w:r w:rsidRPr="000D25E5">
              <w:rPr>
                <w:noProof/>
              </w:rPr>
              <w:t>(DOEE 2018)</w:t>
            </w:r>
            <w:r w:rsidRPr="000D25E5">
              <w:t>.</w:t>
            </w:r>
          </w:p>
          <w:p w14:paraId="1E2473D3" w14:textId="23CAD566" w:rsidR="00A324E3" w:rsidRPr="002E4396" w:rsidRDefault="00A324E3" w:rsidP="00A324E3">
            <w:pPr>
              <w:pStyle w:val="TableText"/>
              <w:rPr>
                <w:highlight w:val="yellow"/>
              </w:rPr>
            </w:pPr>
            <w:r w:rsidRPr="00516CA0">
              <w:rPr>
                <w:i/>
                <w:iCs/>
              </w:rPr>
              <w:t>Phytophthora cinnamomi</w:t>
            </w:r>
            <w:r w:rsidRPr="00516CA0">
              <w:t xml:space="preserve"> is considered the primary threat to rare and endemic flora in </w:t>
            </w:r>
            <w:r>
              <w:t xml:space="preserve">the </w:t>
            </w:r>
            <w:r w:rsidRPr="00516CA0">
              <w:t>Stirling Range</w:t>
            </w:r>
            <w:r>
              <w:t xml:space="preserve">/ </w:t>
            </w:r>
            <w:proofErr w:type="spellStart"/>
            <w:r w:rsidRPr="007A0007">
              <w:t>Koikyenunuruff</w:t>
            </w:r>
            <w:proofErr w:type="spellEnd"/>
            <w:r w:rsidRPr="007A0007">
              <w:t xml:space="preserve"> </w:t>
            </w:r>
            <w:r>
              <w:rPr>
                <w:noProof/>
              </w:rPr>
              <w:t>(Wills 1993; Barrett 1996, 2000; Barrett et al. 2008; DPAW 2016)</w:t>
            </w:r>
            <w:r>
              <w:t xml:space="preserve">. </w:t>
            </w:r>
            <w:r w:rsidRPr="00924DBB">
              <w:t>Up to 80</w:t>
            </w:r>
            <w:r>
              <w:t xml:space="preserve">% </w:t>
            </w:r>
            <w:r w:rsidRPr="00924DBB">
              <w:t xml:space="preserve">of Stirling Range National Park is infested with </w:t>
            </w:r>
            <w:r w:rsidRPr="00924DBB">
              <w:rPr>
                <w:i/>
                <w:iCs/>
              </w:rPr>
              <w:t xml:space="preserve">P. cinnamomi, </w:t>
            </w:r>
            <w:r w:rsidRPr="00924DBB">
              <w:t xml:space="preserve">including the entire eastern extent of the Park </w:t>
            </w:r>
            <w:r>
              <w:rPr>
                <w:noProof/>
              </w:rPr>
              <w:t>(Wills 1993; Barrett 1996; Grant &amp; Barrett 2003; Crane &amp; Shearer 2007; Shearer et al. 2007; DPAW 2016; DBCA 2020)</w:t>
            </w:r>
            <w:r>
              <w:t xml:space="preserve">. </w:t>
            </w:r>
            <w:r w:rsidRPr="00924DBB">
              <w:t xml:space="preserve">The Eastern Stirling Range Montane Heath and Thicket </w:t>
            </w:r>
            <w:r w:rsidR="007B136B">
              <w:t>Threatened Ecological Community</w:t>
            </w:r>
            <w:r w:rsidRPr="00924DBB">
              <w:t xml:space="preserve">, to which the </w:t>
            </w:r>
            <w:r>
              <w:t xml:space="preserve">yellow mountain bell </w:t>
            </w:r>
            <w:r w:rsidRPr="00924DBB">
              <w:t>is endemic, has experienced approximately 88</w:t>
            </w:r>
            <w:r>
              <w:t xml:space="preserve">% </w:t>
            </w:r>
            <w:r w:rsidRPr="00924DBB">
              <w:t xml:space="preserve">decline in the abundance of defining shrub species over the past two decades, attributed to </w:t>
            </w:r>
            <w:r w:rsidR="006E2283">
              <w:t>the synergistic effects of</w:t>
            </w:r>
            <w:r w:rsidR="0079223B">
              <w:t xml:space="preserve"> </w:t>
            </w:r>
            <w:r w:rsidRPr="00924DBB">
              <w:t xml:space="preserve">dieback caused by </w:t>
            </w:r>
            <w:r w:rsidRPr="00924DBB">
              <w:rPr>
                <w:i/>
                <w:iCs/>
              </w:rPr>
              <w:t>P. cinnamomi</w:t>
            </w:r>
            <w:r w:rsidRPr="00924DBB">
              <w:t xml:space="preserve"> </w:t>
            </w:r>
            <w:r w:rsidR="0079223B">
              <w:t>and short fire interval</w:t>
            </w:r>
            <w:r w:rsidR="00CE3B07">
              <w:t>s</w:t>
            </w:r>
            <w:r w:rsidR="0079223B">
              <w:t xml:space="preserve"> </w:t>
            </w:r>
            <w:r>
              <w:rPr>
                <w:noProof/>
              </w:rPr>
              <w:t>(Barrett &amp; Yates 2015)</w:t>
            </w:r>
            <w:r>
              <w:t>.</w:t>
            </w:r>
          </w:p>
          <w:p w14:paraId="777C318D" w14:textId="1AD325FF" w:rsidR="00A324E3" w:rsidRPr="00C76350" w:rsidRDefault="00A324E3" w:rsidP="00A324E3">
            <w:pPr>
              <w:pStyle w:val="TableText"/>
              <w:rPr>
                <w:highlight w:val="yellow"/>
              </w:rPr>
            </w:pPr>
            <w:r w:rsidRPr="00924DBB">
              <w:t xml:space="preserve">The </w:t>
            </w:r>
            <w:r>
              <w:t xml:space="preserve">yellow mountain bell </w:t>
            </w:r>
            <w:r w:rsidRPr="00924DBB">
              <w:t xml:space="preserve">is susceptible to </w:t>
            </w:r>
            <w:r w:rsidRPr="00924DBB">
              <w:rPr>
                <w:i/>
                <w:iCs/>
              </w:rPr>
              <w:t>P. cinnamomi</w:t>
            </w:r>
            <w:r>
              <w:t>,</w:t>
            </w:r>
            <w:r w:rsidRPr="00924DBB">
              <w:rPr>
                <w:i/>
                <w:iCs/>
              </w:rPr>
              <w:t xml:space="preserve"> </w:t>
            </w:r>
            <w:r w:rsidRPr="00924DBB">
              <w:t xml:space="preserve">with </w:t>
            </w:r>
            <w:r>
              <w:t>confirmed infestation of plants in the wild</w:t>
            </w:r>
            <w:r w:rsidRPr="00924DBB">
              <w:t xml:space="preserve"> </w:t>
            </w:r>
            <w:r>
              <w:rPr>
                <w:noProof/>
              </w:rPr>
              <w:t>(Barrett 1996; Barrett et al. 2008)</w:t>
            </w:r>
            <w:r>
              <w:t xml:space="preserve">. </w:t>
            </w:r>
            <w:r w:rsidRPr="000640C8">
              <w:t xml:space="preserve">All known </w:t>
            </w:r>
            <w:r w:rsidRPr="00276F05">
              <w:t xml:space="preserve">extant and presumed </w:t>
            </w:r>
            <w:r>
              <w:t>extirpated</w:t>
            </w:r>
            <w:r w:rsidRPr="00276F05">
              <w:t xml:space="preserve"> subpopulations</w:t>
            </w:r>
            <w:r>
              <w:t xml:space="preserve"> are</w:t>
            </w:r>
            <w:r w:rsidRPr="00276F05">
              <w:t xml:space="preserve"> located within habitat significantly affected by </w:t>
            </w:r>
            <w:r w:rsidRPr="00276F05">
              <w:rPr>
                <w:i/>
                <w:iCs/>
              </w:rPr>
              <w:t xml:space="preserve">P. cinnamomi </w:t>
            </w:r>
            <w:r w:rsidRPr="00276F05">
              <w:t>dieback</w:t>
            </w:r>
            <w:r>
              <w:t>,</w:t>
            </w:r>
            <w:r w:rsidRPr="00276F05">
              <w:t xml:space="preserve"> </w:t>
            </w:r>
            <w:r w:rsidRPr="00276F05">
              <w:rPr>
                <w:noProof/>
              </w:rPr>
              <w:t xml:space="preserve">and the disease has </w:t>
            </w:r>
            <w:r w:rsidRPr="00276F05">
              <w:t xml:space="preserve">been implicated in the </w:t>
            </w:r>
            <w:r>
              <w:t>extirpation</w:t>
            </w:r>
            <w:r w:rsidRPr="00276F05">
              <w:t xml:space="preserve"> of four subpopulations </w:t>
            </w:r>
            <w:r>
              <w:rPr>
                <w:noProof/>
              </w:rPr>
              <w:t>(CALM 1999; Hartley &amp; Barrett 2008; DPAW 2016)</w:t>
            </w:r>
            <w:r>
              <w:t>.</w:t>
            </w:r>
          </w:p>
          <w:p w14:paraId="1DF4277B" w14:textId="0730F9A9" w:rsidR="00A324E3" w:rsidRPr="00C73C35" w:rsidRDefault="00A324E3" w:rsidP="00C73C35">
            <w:pPr>
              <w:pStyle w:val="TableText"/>
            </w:pPr>
            <w:r w:rsidRPr="00B30C59">
              <w:t xml:space="preserve">However, the impact of </w:t>
            </w:r>
            <w:r w:rsidRPr="00B30C59">
              <w:rPr>
                <w:i/>
                <w:iCs/>
              </w:rPr>
              <w:t xml:space="preserve">P. cinnamomi </w:t>
            </w:r>
            <w:r w:rsidRPr="00B30C59">
              <w:t xml:space="preserve">can vary among sites, with the greatest impact occurring where soils are infertile, and drainage is poor </w:t>
            </w:r>
            <w:r>
              <w:rPr>
                <w:noProof/>
              </w:rPr>
              <w:t>(Weste &amp; Marks 1987; Shearer &amp; Tippett 1989; Wilson et al. 1994)</w:t>
            </w:r>
            <w:r>
              <w:t xml:space="preserve">. </w:t>
            </w:r>
            <w:r w:rsidRPr="00B30C59">
              <w:t xml:space="preserve">This may explain why some subpopulations of the </w:t>
            </w:r>
            <w:r>
              <w:t xml:space="preserve">yellow mountain bell </w:t>
            </w:r>
            <w:r w:rsidRPr="00B30C59">
              <w:t xml:space="preserve">remain extant, while others are presumed </w:t>
            </w:r>
            <w:r>
              <w:t>extirpated</w:t>
            </w:r>
            <w:r w:rsidRPr="00B30C59">
              <w:t>. Additionally, lack of vegetative cover following fires can increase surface or sub-surface flow</w:t>
            </w:r>
            <w:r w:rsidR="00E66177">
              <w:t xml:space="preserve"> of water</w:t>
            </w:r>
            <w:r w:rsidRPr="00B30C59">
              <w:t xml:space="preserve"> on mountain </w:t>
            </w:r>
            <w:r w:rsidRPr="00BF2375">
              <w:t xml:space="preserve">slopes and facilitate the spread of </w:t>
            </w:r>
            <w:r w:rsidRPr="00BF2375">
              <w:rPr>
                <w:i/>
                <w:iCs/>
              </w:rPr>
              <w:t xml:space="preserve">P. cinnamomi </w:t>
            </w:r>
            <w:r w:rsidRPr="00BF2375">
              <w:rPr>
                <w:noProof/>
              </w:rPr>
              <w:t>(Barrett 2000)</w:t>
            </w:r>
            <w:r w:rsidRPr="00BF2375">
              <w:t>.</w:t>
            </w:r>
          </w:p>
        </w:tc>
      </w:tr>
      <w:tr w:rsidR="00A324E3" w14:paraId="2A22312B" w14:textId="77777777" w:rsidTr="008A0889">
        <w:trPr>
          <w:cantSplit/>
        </w:trPr>
        <w:tc>
          <w:tcPr>
            <w:tcW w:w="2122" w:type="dxa"/>
          </w:tcPr>
          <w:p w14:paraId="16A5356D" w14:textId="4C070206" w:rsidR="00A324E3" w:rsidRDefault="00A324E3" w:rsidP="00A324E3">
            <w:pPr>
              <w:pStyle w:val="TableText"/>
            </w:pPr>
            <w:r>
              <w:lastRenderedPageBreak/>
              <w:t xml:space="preserve">Myrtle </w:t>
            </w:r>
            <w:r w:rsidR="002C6E0F">
              <w:t>r</w:t>
            </w:r>
            <w:r>
              <w:t>ust (</w:t>
            </w:r>
            <w:proofErr w:type="spellStart"/>
            <w:r w:rsidRPr="00071C0E">
              <w:rPr>
                <w:i/>
                <w:iCs/>
              </w:rPr>
              <w:t>Austropuccinia</w:t>
            </w:r>
            <w:proofErr w:type="spellEnd"/>
            <w:r>
              <w:rPr>
                <w:i/>
                <w:iCs/>
              </w:rPr>
              <w:t xml:space="preserve"> </w:t>
            </w:r>
            <w:proofErr w:type="spellStart"/>
            <w:r>
              <w:rPr>
                <w:i/>
                <w:iCs/>
              </w:rPr>
              <w:t>psidii</w:t>
            </w:r>
            <w:proofErr w:type="spellEnd"/>
            <w:r>
              <w:t>)</w:t>
            </w:r>
          </w:p>
        </w:tc>
        <w:tc>
          <w:tcPr>
            <w:tcW w:w="2409" w:type="dxa"/>
          </w:tcPr>
          <w:p w14:paraId="2FD9D0AC" w14:textId="77777777" w:rsidR="00A324E3" w:rsidRPr="004B7385" w:rsidRDefault="00A324E3" w:rsidP="00A324E3">
            <w:pPr>
              <w:pStyle w:val="TableBullet1"/>
              <w:keepNext/>
            </w:pPr>
            <w:r w:rsidRPr="004B7385">
              <w:t>Status: future</w:t>
            </w:r>
          </w:p>
          <w:p w14:paraId="52271D84" w14:textId="77777777" w:rsidR="00A324E3" w:rsidRPr="004B7385" w:rsidRDefault="00A324E3" w:rsidP="00A324E3">
            <w:pPr>
              <w:pStyle w:val="TableBullet1"/>
              <w:keepNext/>
            </w:pPr>
            <w:r w:rsidRPr="004B7385">
              <w:t>Confidence: inferred</w:t>
            </w:r>
          </w:p>
          <w:p w14:paraId="41A43249" w14:textId="77777777" w:rsidR="00A324E3" w:rsidRPr="004B7385" w:rsidRDefault="00A324E3" w:rsidP="00A324E3">
            <w:pPr>
              <w:pStyle w:val="TableBullet1"/>
              <w:keepNext/>
            </w:pPr>
            <w:r w:rsidRPr="004B7385">
              <w:t xml:space="preserve">Consequence: </w:t>
            </w:r>
            <w:r>
              <w:t>major</w:t>
            </w:r>
          </w:p>
          <w:p w14:paraId="5329F27C" w14:textId="77777777" w:rsidR="00A324E3" w:rsidRPr="004B7385" w:rsidRDefault="00A324E3" w:rsidP="00A324E3">
            <w:pPr>
              <w:pStyle w:val="TableBullet1"/>
              <w:keepNext/>
            </w:pPr>
            <w:r w:rsidRPr="004B7385">
              <w:t>Trend: unknown</w:t>
            </w:r>
          </w:p>
          <w:p w14:paraId="5AFF4713" w14:textId="0B486255" w:rsidR="00A324E3" w:rsidRDefault="00A324E3" w:rsidP="00A324E3">
            <w:pPr>
              <w:pStyle w:val="TableBullet1"/>
              <w:keepNext/>
            </w:pPr>
            <w:r w:rsidRPr="004B7385">
              <w:t>Extent: across the entire range</w:t>
            </w:r>
          </w:p>
        </w:tc>
        <w:tc>
          <w:tcPr>
            <w:tcW w:w="4529" w:type="dxa"/>
          </w:tcPr>
          <w:p w14:paraId="69E8C90C" w14:textId="5BFF968D" w:rsidR="00A324E3" w:rsidRDefault="00A324E3" w:rsidP="00A324E3">
            <w:pPr>
              <w:pStyle w:val="TableText"/>
            </w:pPr>
            <w:r>
              <w:t xml:space="preserve">Myrtle </w:t>
            </w:r>
            <w:r w:rsidR="002C6E0F">
              <w:t>r</w:t>
            </w:r>
            <w:r>
              <w:t xml:space="preserve">ust is a disease caused by the introduced fungal pathogen </w:t>
            </w:r>
            <w:r>
              <w:rPr>
                <w:i/>
                <w:iCs/>
              </w:rPr>
              <w:t>A.</w:t>
            </w:r>
            <w:r w:rsidRPr="00071C0E">
              <w:rPr>
                <w:i/>
                <w:iCs/>
              </w:rPr>
              <w:t xml:space="preserve"> </w:t>
            </w:r>
            <w:proofErr w:type="spellStart"/>
            <w:r w:rsidRPr="00071C0E">
              <w:rPr>
                <w:i/>
                <w:iCs/>
              </w:rPr>
              <w:t>psidii</w:t>
            </w:r>
            <w:proofErr w:type="spellEnd"/>
            <w:r>
              <w:t xml:space="preserve">, which affects the family </w:t>
            </w:r>
            <w:proofErr w:type="spellStart"/>
            <w:r>
              <w:t>Myrtaceae</w:t>
            </w:r>
            <w:proofErr w:type="spellEnd"/>
            <w:r>
              <w:t xml:space="preserve"> </w:t>
            </w:r>
            <w:r>
              <w:rPr>
                <w:noProof/>
              </w:rPr>
              <w:t>(Makinson et al. 2020)</w:t>
            </w:r>
            <w:r>
              <w:t xml:space="preserve">. The </w:t>
            </w:r>
            <w:r w:rsidR="00DF2ADF">
              <w:t>m</w:t>
            </w:r>
            <w:r>
              <w:t xml:space="preserve">yrtle </w:t>
            </w:r>
            <w:r w:rsidR="00DF2ADF">
              <w:t>r</w:t>
            </w:r>
            <w:r>
              <w:t xml:space="preserve">ust pathogen is included in the ‘Novel biota and their impact on biodiversity’ key threatening process listed under the EPBC Act </w:t>
            </w:r>
            <w:r>
              <w:rPr>
                <w:noProof/>
              </w:rPr>
              <w:t>(DSEWPC 2013)</w:t>
            </w:r>
            <w:r>
              <w:t xml:space="preserve">. </w:t>
            </w:r>
            <w:r w:rsidRPr="001E5EE3">
              <w:t>In susceptible species</w:t>
            </w:r>
            <w:r>
              <w:t xml:space="preserve">, </w:t>
            </w:r>
            <w:r w:rsidRPr="001E5EE3">
              <w:t xml:space="preserve">it infects young, actively growing foliage and can cause significant damage (including reduced reproductive capacity) </w:t>
            </w:r>
            <w:r>
              <w:t>and plant death</w:t>
            </w:r>
            <w:r w:rsidRPr="001E5EE3">
              <w:t xml:space="preserve"> </w:t>
            </w:r>
            <w:r>
              <w:rPr>
                <w:noProof/>
              </w:rPr>
              <w:t>(Makinson et al. 2020)</w:t>
            </w:r>
            <w:r>
              <w:t>.</w:t>
            </w:r>
          </w:p>
          <w:p w14:paraId="0E5691C0" w14:textId="04295CA5" w:rsidR="00A324E3" w:rsidRPr="00F452C9" w:rsidRDefault="00A324E3" w:rsidP="00A324E3">
            <w:pPr>
              <w:pStyle w:val="TableText"/>
              <w:keepNext/>
              <w:rPr>
                <w:i/>
                <w:iCs/>
              </w:rPr>
            </w:pPr>
            <w:r w:rsidRPr="001E5EE3">
              <w:t xml:space="preserve">Although not yet detected in WA, </w:t>
            </w:r>
            <w:r>
              <w:t>the pathogen</w:t>
            </w:r>
            <w:r w:rsidRPr="001E5EE3">
              <w:t xml:space="preserve"> </w:t>
            </w:r>
            <w:r>
              <w:t>is</w:t>
            </w:r>
            <w:r w:rsidRPr="001E5EE3">
              <w:t xml:space="preserve"> naturalized </w:t>
            </w:r>
            <w:r>
              <w:t>in eastern Australia</w:t>
            </w:r>
            <w:r w:rsidRPr="001E5EE3">
              <w:t xml:space="preserve"> from Cooktown to Batemans Bay </w:t>
            </w:r>
            <w:r>
              <w:rPr>
                <w:noProof/>
              </w:rPr>
              <w:t>(Makinson et al. 2020)</w:t>
            </w:r>
            <w:r>
              <w:t xml:space="preserve">. Although the susceptibility of the yellow mountain bell has not been investigated, many </w:t>
            </w:r>
            <w:r>
              <w:rPr>
                <w:i/>
                <w:iCs/>
              </w:rPr>
              <w:t xml:space="preserve">Darwinia </w:t>
            </w:r>
            <w:r>
              <w:t xml:space="preserve">species are susceptible to </w:t>
            </w:r>
            <w:r w:rsidR="00DF2ADF">
              <w:t xml:space="preserve">myrtle rust </w:t>
            </w:r>
            <w:r>
              <w:rPr>
                <w:noProof/>
              </w:rPr>
              <w:t>(Makinson 2018)</w:t>
            </w:r>
            <w:r>
              <w:t>. Additionally, the m</w:t>
            </w:r>
            <w:r w:rsidRPr="00D40897">
              <w:t xml:space="preserve">oist, </w:t>
            </w:r>
            <w:proofErr w:type="spellStart"/>
            <w:r w:rsidRPr="00D40897">
              <w:t>Myrtaceae</w:t>
            </w:r>
            <w:proofErr w:type="spellEnd"/>
            <w:r w:rsidRPr="00D40897">
              <w:t>-rich communities in south</w:t>
            </w:r>
            <w:r>
              <w:t>ern</w:t>
            </w:r>
            <w:r w:rsidRPr="00D40897">
              <w:t xml:space="preserve"> WA </w:t>
            </w:r>
            <w:proofErr w:type="gramStart"/>
            <w:r w:rsidRPr="00D40897">
              <w:t>are considered to be</w:t>
            </w:r>
            <w:proofErr w:type="gramEnd"/>
            <w:r w:rsidRPr="00D40897">
              <w:t xml:space="preserve"> at high risk of infection, if the pathogen spreads to this area </w:t>
            </w:r>
            <w:r>
              <w:rPr>
                <w:noProof/>
              </w:rPr>
              <w:t>(Kriticos et al. 2013)</w:t>
            </w:r>
            <w:r>
              <w:t>. Accordingly, th</w:t>
            </w:r>
            <w:r w:rsidRPr="007A6685">
              <w:t xml:space="preserve">e </w:t>
            </w:r>
            <w:r>
              <w:t>species</w:t>
            </w:r>
            <w:r w:rsidRPr="007A6685">
              <w:t xml:space="preserve"> may be severely impacted if </w:t>
            </w:r>
            <w:r>
              <w:rPr>
                <w:i/>
                <w:iCs/>
              </w:rPr>
              <w:t>A.</w:t>
            </w:r>
            <w:r w:rsidRPr="00071C0E">
              <w:rPr>
                <w:i/>
                <w:iCs/>
              </w:rPr>
              <w:t xml:space="preserve"> </w:t>
            </w:r>
            <w:proofErr w:type="spellStart"/>
            <w:r w:rsidRPr="00071C0E">
              <w:rPr>
                <w:i/>
                <w:iCs/>
              </w:rPr>
              <w:t>psidii</w:t>
            </w:r>
            <w:proofErr w:type="spellEnd"/>
            <w:r>
              <w:t xml:space="preserve"> </w:t>
            </w:r>
            <w:r w:rsidRPr="007A6685">
              <w:t>spreads to</w:t>
            </w:r>
            <w:r>
              <w:t xml:space="preserve"> the Stirling Range/</w:t>
            </w:r>
            <w:proofErr w:type="spellStart"/>
            <w:r w:rsidRPr="004A32AB">
              <w:t>Koikyenunuruff</w:t>
            </w:r>
            <w:proofErr w:type="spellEnd"/>
            <w:r w:rsidRPr="007A6685">
              <w:t>.</w:t>
            </w:r>
          </w:p>
        </w:tc>
      </w:tr>
      <w:tr w:rsidR="00A324E3" w14:paraId="509BF3FC" w14:textId="77777777" w:rsidTr="00B72149">
        <w:tc>
          <w:tcPr>
            <w:tcW w:w="9060" w:type="dxa"/>
            <w:gridSpan w:val="3"/>
          </w:tcPr>
          <w:p w14:paraId="5B471275" w14:textId="11B8342D" w:rsidR="00A324E3" w:rsidRPr="00DE4967" w:rsidRDefault="00A324E3" w:rsidP="00A324E3">
            <w:pPr>
              <w:pStyle w:val="TableText"/>
              <w:keepNext/>
              <w:keepLines/>
            </w:pPr>
            <w:r>
              <w:lastRenderedPageBreak/>
              <w:t>Climate change</w:t>
            </w:r>
          </w:p>
        </w:tc>
      </w:tr>
      <w:tr w:rsidR="00A324E3" w14:paraId="5CC412E1" w14:textId="77777777" w:rsidTr="002168E4">
        <w:trPr>
          <w:cantSplit/>
        </w:trPr>
        <w:tc>
          <w:tcPr>
            <w:tcW w:w="2122" w:type="dxa"/>
          </w:tcPr>
          <w:p w14:paraId="18D2B199" w14:textId="49168E4D" w:rsidR="00A324E3" w:rsidRPr="00DE4967" w:rsidRDefault="00A324E3" w:rsidP="00A324E3">
            <w:pPr>
              <w:pStyle w:val="TableText"/>
            </w:pPr>
            <w:r w:rsidRPr="002060B1">
              <w:t>Increased temperature</w:t>
            </w:r>
            <w:r>
              <w:t>s</w:t>
            </w:r>
            <w:r w:rsidRPr="002060B1">
              <w:t xml:space="preserve"> and change to precipitation patterns</w:t>
            </w:r>
          </w:p>
        </w:tc>
        <w:tc>
          <w:tcPr>
            <w:tcW w:w="2409" w:type="dxa"/>
          </w:tcPr>
          <w:p w14:paraId="1BD41E7A" w14:textId="08941C35" w:rsidR="00A324E3" w:rsidRPr="002060B1" w:rsidRDefault="00A324E3" w:rsidP="00A324E3">
            <w:pPr>
              <w:pStyle w:val="TableBullet1"/>
              <w:keepNext/>
            </w:pPr>
            <w:r>
              <w:t xml:space="preserve"> Timing</w:t>
            </w:r>
            <w:r w:rsidRPr="002060B1">
              <w:t>: current</w:t>
            </w:r>
          </w:p>
          <w:p w14:paraId="33A1EA1D" w14:textId="62A99DB5" w:rsidR="00A324E3" w:rsidRDefault="00A324E3" w:rsidP="00A324E3">
            <w:pPr>
              <w:pStyle w:val="TableBullet1"/>
              <w:keepNext/>
            </w:pPr>
            <w:r>
              <w:t xml:space="preserve">Confidence: </w:t>
            </w:r>
            <w:r w:rsidR="00431529">
              <w:t>projected</w:t>
            </w:r>
          </w:p>
          <w:p w14:paraId="659F326D" w14:textId="16CC7CF7" w:rsidR="00A324E3" w:rsidRPr="002060B1" w:rsidRDefault="00A324E3" w:rsidP="00A324E3">
            <w:pPr>
              <w:pStyle w:val="TableBullet1"/>
              <w:keepNext/>
            </w:pPr>
            <w:r w:rsidRPr="002060B1">
              <w:t xml:space="preserve">Consequence: </w:t>
            </w:r>
            <w:r>
              <w:t>major</w:t>
            </w:r>
          </w:p>
          <w:p w14:paraId="181EF7F5" w14:textId="77777777" w:rsidR="00A324E3" w:rsidRDefault="00A324E3" w:rsidP="00A324E3">
            <w:pPr>
              <w:pStyle w:val="TableBullet1"/>
              <w:keepNext/>
            </w:pPr>
            <w:r w:rsidRPr="002060B1">
              <w:t>Trend: increasing</w:t>
            </w:r>
          </w:p>
          <w:p w14:paraId="65F405E2" w14:textId="35E7C936" w:rsidR="00A324E3" w:rsidRPr="00DE4967" w:rsidRDefault="00A324E3" w:rsidP="00A324E3">
            <w:pPr>
              <w:pStyle w:val="TableBullet1"/>
              <w:keepNext/>
            </w:pPr>
            <w:r w:rsidRPr="002060B1">
              <w:t>Extent: across the entire range</w:t>
            </w:r>
          </w:p>
        </w:tc>
        <w:tc>
          <w:tcPr>
            <w:tcW w:w="4529" w:type="dxa"/>
          </w:tcPr>
          <w:p w14:paraId="73230EDE" w14:textId="75645555" w:rsidR="00A324E3" w:rsidRDefault="00A324E3" w:rsidP="00A324E3">
            <w:pPr>
              <w:pStyle w:val="TableText"/>
            </w:pPr>
            <w:r>
              <w:t>The unique mesic conditions on the mid- to upper slopes of the Stirling Range/</w:t>
            </w:r>
            <w:proofErr w:type="spellStart"/>
            <w:r w:rsidRPr="00DA5B38">
              <w:t>Koikyenunuruff</w:t>
            </w:r>
            <w:proofErr w:type="spellEnd"/>
            <w:r>
              <w:t xml:space="preserve"> (high rainfall and low temperature) create refugia for specialised flora, such as the yellow mountain bell </w:t>
            </w:r>
            <w:r>
              <w:rPr>
                <w:noProof/>
              </w:rPr>
              <w:t>(Hartley &amp; Barrett 2008)</w:t>
            </w:r>
            <w:r>
              <w:t>.</w:t>
            </w:r>
          </w:p>
          <w:p w14:paraId="60A1DFDB" w14:textId="6AEB9F60" w:rsidR="00A324E3" w:rsidRDefault="00A324E3" w:rsidP="00A324E3">
            <w:pPr>
              <w:pStyle w:val="TableText"/>
            </w:pPr>
            <w:r>
              <w:t xml:space="preserve">In the twentieth century, south-western WA experienced a significant decrease in </w:t>
            </w:r>
            <w:r w:rsidRPr="009F2BAE">
              <w:t>autumn and early winter rainfall</w:t>
            </w:r>
            <w:r>
              <w:t xml:space="preserve"> and an increase in mean ambient temperatures </w:t>
            </w:r>
            <w:r>
              <w:rPr>
                <w:noProof/>
              </w:rPr>
              <w:t>(Bates et al. 2008; CSIRO &amp; Bureau of Meteorology 2015)</w:t>
            </w:r>
            <w:r>
              <w:t xml:space="preserve">. </w:t>
            </w:r>
            <w:r>
              <w:rPr>
                <w:noProof/>
              </w:rPr>
              <w:t>CSIRO &amp; Bureau of Meteorology (2015)</w:t>
            </w:r>
            <w:r>
              <w:t xml:space="preserve"> </w:t>
            </w:r>
            <w:r w:rsidRPr="009725A1">
              <w:t>predict south</w:t>
            </w:r>
            <w:r>
              <w:t>-</w:t>
            </w:r>
            <w:r w:rsidRPr="009725A1">
              <w:t>western</w:t>
            </w:r>
            <w:r>
              <w:t xml:space="preserve"> WA</w:t>
            </w:r>
            <w:r w:rsidRPr="009725A1">
              <w:t xml:space="preserve"> will co</w:t>
            </w:r>
            <w:r w:rsidRPr="009F2BAE">
              <w:t>ntinue to expe</w:t>
            </w:r>
            <w:r w:rsidRPr="00B6598E">
              <w:t xml:space="preserve">rience decreased </w:t>
            </w:r>
            <w:r>
              <w:t xml:space="preserve">average </w:t>
            </w:r>
            <w:r w:rsidRPr="00B6598E">
              <w:t>rainfall, increased average temperatures and increased frequency of droughts.</w:t>
            </w:r>
          </w:p>
          <w:p w14:paraId="70949EE3" w14:textId="49496958" w:rsidR="00A324E3" w:rsidRPr="00B6598E" w:rsidRDefault="00A324E3" w:rsidP="00A324E3">
            <w:pPr>
              <w:pStyle w:val="TableText"/>
            </w:pPr>
            <w:r w:rsidRPr="00B6598E">
              <w:rPr>
                <w:rFonts w:cs="Arial"/>
                <w:szCs w:val="18"/>
              </w:rPr>
              <w:t xml:space="preserve">The drier, hotter conditions associated with climate change </w:t>
            </w:r>
            <w:r>
              <w:rPr>
                <w:rFonts w:cs="Arial"/>
                <w:szCs w:val="18"/>
              </w:rPr>
              <w:t>are likely to</w:t>
            </w:r>
            <w:r w:rsidRPr="00B6598E">
              <w:rPr>
                <w:rFonts w:cs="Arial"/>
                <w:szCs w:val="18"/>
              </w:rPr>
              <w:t xml:space="preserve"> reduce the area of mesic habitat available in the Stirling Range (Monks et al. 2019), thereby reducing habitat for the </w:t>
            </w:r>
            <w:r>
              <w:t>yellow mountain bell</w:t>
            </w:r>
            <w:r w:rsidRPr="00B6598E">
              <w:rPr>
                <w:rFonts w:cs="Arial"/>
                <w:szCs w:val="18"/>
              </w:rPr>
              <w:t>.</w:t>
            </w:r>
            <w:r>
              <w:rPr>
                <w:rFonts w:cs="Arial"/>
                <w:szCs w:val="18"/>
              </w:rPr>
              <w:t xml:space="preserve"> </w:t>
            </w:r>
            <w:bookmarkStart w:id="15" w:name="_Hlk82588967"/>
            <w:r>
              <w:rPr>
                <w:rFonts w:cs="Arial"/>
                <w:szCs w:val="18"/>
              </w:rPr>
              <w:t xml:space="preserve">Drought conditions from 2018-2020 resulted in </w:t>
            </w:r>
            <w:r w:rsidR="00E66177">
              <w:rPr>
                <w:rFonts w:cs="Arial"/>
                <w:szCs w:val="18"/>
              </w:rPr>
              <w:t xml:space="preserve">hydraulic </w:t>
            </w:r>
            <w:r w:rsidR="00301977">
              <w:rPr>
                <w:rFonts w:cs="Arial"/>
                <w:szCs w:val="18"/>
              </w:rPr>
              <w:t xml:space="preserve">stress </w:t>
            </w:r>
            <w:r w:rsidR="00E66177">
              <w:rPr>
                <w:rFonts w:cs="Arial"/>
                <w:szCs w:val="18"/>
              </w:rPr>
              <w:t xml:space="preserve">in mature plants </w:t>
            </w:r>
            <w:r w:rsidR="00301977">
              <w:rPr>
                <w:rFonts w:cs="Arial"/>
                <w:szCs w:val="18"/>
              </w:rPr>
              <w:t>and seedling death</w:t>
            </w:r>
            <w:r>
              <w:rPr>
                <w:rFonts w:cs="Arial"/>
                <w:szCs w:val="18"/>
              </w:rPr>
              <w:t xml:space="preserve"> in </w:t>
            </w:r>
            <w:r w:rsidRPr="00701DE9">
              <w:t>subpopulations 1</w:t>
            </w:r>
            <w:r>
              <w:t xml:space="preserve">, 3 and 9 </w:t>
            </w:r>
            <w:r w:rsidRPr="00701DE9">
              <w:t>(Bluff Knoll/Bula Meela</w:t>
            </w:r>
            <w:r>
              <w:t xml:space="preserve">, </w:t>
            </w:r>
            <w:r w:rsidRPr="00701DE9">
              <w:t>Coyanarup Pea</w:t>
            </w:r>
            <w:r>
              <w:t>k</w:t>
            </w:r>
            <w:r w:rsidRPr="00701DE9">
              <w:t xml:space="preserve"> and East Bluff) </w:t>
            </w:r>
            <w:r>
              <w:t>(DBCA 2021. pers comm 3 September).</w:t>
            </w:r>
          </w:p>
          <w:bookmarkEnd w:id="15"/>
          <w:p w14:paraId="2F1C3718" w14:textId="62FA8592" w:rsidR="00A324E3" w:rsidRDefault="00E66177" w:rsidP="00A324E3">
            <w:pPr>
              <w:pStyle w:val="TableText"/>
            </w:pPr>
            <w:r>
              <w:t>D</w:t>
            </w:r>
            <w:r w:rsidR="00A324E3" w:rsidRPr="00B6598E">
              <w:t xml:space="preserve">rying climate will also lengthen the minimum fire interval required for self-replacement of obligate seed regenerators, due to higher seedling mortality and slower </w:t>
            </w:r>
            <w:r w:rsidR="00A324E3" w:rsidRPr="000F45AB">
              <w:t xml:space="preserve">growth </w:t>
            </w:r>
            <w:r>
              <w:t xml:space="preserve">resulting from changes in water availability </w:t>
            </w:r>
            <w:r w:rsidR="00A324E3" w:rsidRPr="000F45AB">
              <w:rPr>
                <w:noProof/>
              </w:rPr>
              <w:t>(Enright et al. 2014)</w:t>
            </w:r>
            <w:r w:rsidR="00A324E3" w:rsidRPr="000F45AB">
              <w:t xml:space="preserve">. Following only 20% reduction in post-fire winter rainfall, the minimum fire interval for </w:t>
            </w:r>
            <w:r w:rsidR="000F45AB">
              <w:t>obligate seed regenerat</w:t>
            </w:r>
            <w:r>
              <w:t>ion</w:t>
            </w:r>
            <w:r w:rsidR="00A324E3" w:rsidRPr="000F45AB">
              <w:t xml:space="preserve"> is predicted to increase </w:t>
            </w:r>
            <w:r w:rsidR="000F45AB">
              <w:t>by 50%</w:t>
            </w:r>
            <w:r w:rsidR="00A324E3" w:rsidRPr="000F45AB">
              <w:t xml:space="preserve"> </w:t>
            </w:r>
            <w:r w:rsidR="00A324E3" w:rsidRPr="000F45AB">
              <w:rPr>
                <w:noProof/>
              </w:rPr>
              <w:t>(Enright et al. 2014)</w:t>
            </w:r>
            <w:r w:rsidR="00A324E3" w:rsidRPr="000F45AB">
              <w:t>. Given that fire frequency and severity are predicted to continue</w:t>
            </w:r>
            <w:r w:rsidR="00A324E3" w:rsidRPr="004B3256">
              <w:t xml:space="preserve"> to increase due to climate change </w:t>
            </w:r>
            <w:r w:rsidR="00A324E3" w:rsidRPr="004B3256">
              <w:rPr>
                <w:noProof/>
              </w:rPr>
              <w:t>(Dowdy et al. 2019; Bureau of Meteorology &amp; CSIRO 2020; van Oldenborgh et al. 2021)</w:t>
            </w:r>
            <w:r w:rsidR="00A324E3" w:rsidRPr="004B3256">
              <w:t xml:space="preserve">, the species is likely to continue to decline as fire-free intervals continue to shorten (i.e., through interval squeeze) </w:t>
            </w:r>
            <w:r w:rsidR="00A324E3" w:rsidRPr="004B3256">
              <w:rPr>
                <w:noProof/>
              </w:rPr>
              <w:t>(Enright et al. 2015; Gallagher 2020; Gallagher et al. 2021)</w:t>
            </w:r>
            <w:r w:rsidR="00A324E3" w:rsidRPr="004B3256">
              <w:t>.</w:t>
            </w:r>
          </w:p>
          <w:p w14:paraId="6F6F3499" w14:textId="3FE31F49" w:rsidR="00A324E3" w:rsidRDefault="00A324E3" w:rsidP="00A324E3">
            <w:pPr>
              <w:pStyle w:val="TableText"/>
            </w:pPr>
            <w:r w:rsidRPr="00383790">
              <w:t>Additionally, while average rainfall is predicted to decline, heavy rainfall events are predicted to become more intense</w:t>
            </w:r>
            <w:r>
              <w:t xml:space="preserve"> </w:t>
            </w:r>
            <w:r>
              <w:rPr>
                <w:noProof/>
              </w:rPr>
              <w:t>(Bureau of Meteorology &amp; CSIRO 2020)</w:t>
            </w:r>
            <w:r>
              <w:t xml:space="preserve">. High rainfall from 1989-1993 exacerbated the impacts of </w:t>
            </w:r>
            <w:r>
              <w:rPr>
                <w:i/>
                <w:iCs/>
              </w:rPr>
              <w:t xml:space="preserve">P. cinnamomi </w:t>
            </w:r>
            <w:r>
              <w:t xml:space="preserve">and contributed to the extirpation of several subpopulations </w:t>
            </w:r>
            <w:r>
              <w:rPr>
                <w:noProof/>
              </w:rPr>
              <w:t>(Hartley &amp; Barrett 2008)</w:t>
            </w:r>
            <w:r>
              <w:t xml:space="preserve">. Similarly, </w:t>
            </w:r>
            <w:bookmarkStart w:id="16" w:name="_Hlk82588991"/>
            <w:r>
              <w:t xml:space="preserve">high rainfall in 2021 is expected to </w:t>
            </w:r>
            <w:r w:rsidRPr="00AB20A5">
              <w:t xml:space="preserve">exacerbate the impacts of </w:t>
            </w:r>
            <w:r w:rsidRPr="00AB20A5">
              <w:rPr>
                <w:i/>
                <w:iCs/>
              </w:rPr>
              <w:t>P. cinnamomi</w:t>
            </w:r>
            <w:r w:rsidRPr="00AB20A5">
              <w:t xml:space="preserve"> </w:t>
            </w:r>
            <w:r>
              <w:t xml:space="preserve">following fires in 2018 and 2019-20 </w:t>
            </w:r>
            <w:r w:rsidR="00221AA2" w:rsidRPr="00AB20A5">
              <w:t>(DBCA 2021. pers comm 3 September)</w:t>
            </w:r>
            <w:r w:rsidR="00221AA2">
              <w:t xml:space="preserve"> </w:t>
            </w:r>
            <w:r>
              <w:t xml:space="preserve">and may increase the risk of </w:t>
            </w:r>
            <w:r w:rsidR="00E66177">
              <w:t xml:space="preserve">local extinction in </w:t>
            </w:r>
            <w:r>
              <w:t>all subpopulations</w:t>
            </w:r>
            <w:r w:rsidR="00221AA2">
              <w:t>.</w:t>
            </w:r>
            <w:r>
              <w:t xml:space="preserve"> </w:t>
            </w:r>
            <w:bookmarkEnd w:id="16"/>
            <w:r w:rsidR="004C3E96">
              <w:t xml:space="preserve">The impacts of </w:t>
            </w:r>
            <w:r w:rsidR="004C3E96" w:rsidRPr="00AB20A5">
              <w:rPr>
                <w:i/>
                <w:iCs/>
              </w:rPr>
              <w:t>P. cinnamomi</w:t>
            </w:r>
            <w:r w:rsidR="004C3E96">
              <w:t xml:space="preserve"> are likely to continue to increase due to climate change </w:t>
            </w:r>
            <w:r w:rsidR="004C3E96" w:rsidRPr="00FF48E7">
              <w:rPr>
                <w:noProof/>
              </w:rPr>
              <w:t>(Thompson et al. 2014; Homet et al. 2019)</w:t>
            </w:r>
            <w:r w:rsidR="004C3E96" w:rsidRPr="00FF48E7">
              <w:t>.</w:t>
            </w:r>
            <w:r w:rsidR="004C3E96">
              <w:t xml:space="preserve"> </w:t>
            </w:r>
          </w:p>
          <w:p w14:paraId="5D929DFE" w14:textId="245E569D" w:rsidR="00A324E3" w:rsidRPr="00DE4967" w:rsidRDefault="00A324E3" w:rsidP="00A324E3">
            <w:pPr>
              <w:pStyle w:val="TableText"/>
            </w:pPr>
            <w:r w:rsidRPr="00FF48E7">
              <w:t xml:space="preserve">Warmer temperatures and changes to precipitation patterns may also favour the spread of </w:t>
            </w:r>
            <w:r w:rsidR="00E66177">
              <w:t xml:space="preserve">some </w:t>
            </w:r>
            <w:r w:rsidRPr="00FF48E7">
              <w:t>weed</w:t>
            </w:r>
            <w:r w:rsidR="00E66177">
              <w:t xml:space="preserve"> </w:t>
            </w:r>
            <w:r w:rsidRPr="00FF48E7">
              <w:t>s</w:t>
            </w:r>
            <w:r w:rsidR="00E66177">
              <w:t>pecies</w:t>
            </w:r>
            <w:r w:rsidRPr="00FF48E7">
              <w:rPr>
                <w:color w:val="000000" w:themeColor="text1"/>
              </w:rPr>
              <w:t xml:space="preserve"> </w:t>
            </w:r>
            <w:r w:rsidRPr="00FF48E7">
              <w:rPr>
                <w:noProof/>
                <w:color w:val="000000" w:themeColor="text1"/>
              </w:rPr>
              <w:t>(Scott et al. 2014)</w:t>
            </w:r>
            <w:r w:rsidR="004C3E96">
              <w:rPr>
                <w:color w:val="000000" w:themeColor="text1"/>
              </w:rPr>
              <w:t>.</w:t>
            </w:r>
          </w:p>
        </w:tc>
      </w:tr>
      <w:tr w:rsidR="00A324E3" w14:paraId="499DF315" w14:textId="77777777" w:rsidTr="00B72149">
        <w:tc>
          <w:tcPr>
            <w:tcW w:w="9060" w:type="dxa"/>
            <w:gridSpan w:val="3"/>
          </w:tcPr>
          <w:p w14:paraId="5C3DCAE7" w14:textId="455CF4C1" w:rsidR="00A324E3" w:rsidRPr="00DE4967" w:rsidRDefault="00A324E3" w:rsidP="00A324E3">
            <w:pPr>
              <w:pStyle w:val="TableText"/>
              <w:keepNext/>
            </w:pPr>
            <w:r>
              <w:lastRenderedPageBreak/>
              <w:t>Interactions with native species</w:t>
            </w:r>
          </w:p>
        </w:tc>
      </w:tr>
      <w:tr w:rsidR="00A324E3" w14:paraId="0A1F8CA2" w14:textId="77777777" w:rsidTr="00713D6E">
        <w:trPr>
          <w:cantSplit/>
        </w:trPr>
        <w:tc>
          <w:tcPr>
            <w:tcW w:w="2122" w:type="dxa"/>
          </w:tcPr>
          <w:p w14:paraId="71935BD2" w14:textId="1C7669A1" w:rsidR="00A324E3" w:rsidRPr="002060B1" w:rsidRDefault="00A324E3" w:rsidP="00A324E3">
            <w:pPr>
              <w:pStyle w:val="TableText"/>
            </w:pPr>
            <w:r>
              <w:t xml:space="preserve">Browsing by </w:t>
            </w:r>
            <w:proofErr w:type="spellStart"/>
            <w:r>
              <w:rPr>
                <w:i/>
                <w:iCs/>
              </w:rPr>
              <w:t>Setonix</w:t>
            </w:r>
            <w:proofErr w:type="spellEnd"/>
            <w:r>
              <w:rPr>
                <w:i/>
                <w:iCs/>
              </w:rPr>
              <w:t xml:space="preserve"> </w:t>
            </w:r>
            <w:proofErr w:type="spellStart"/>
            <w:r>
              <w:rPr>
                <w:i/>
                <w:iCs/>
              </w:rPr>
              <w:t>brachyurus</w:t>
            </w:r>
            <w:proofErr w:type="spellEnd"/>
            <w:r>
              <w:rPr>
                <w:i/>
                <w:iCs/>
              </w:rPr>
              <w:t xml:space="preserve"> </w:t>
            </w:r>
            <w:r>
              <w:t>(</w:t>
            </w:r>
            <w:r w:rsidR="00A93AC9">
              <w:t>q</w:t>
            </w:r>
            <w:r>
              <w:t>uokka)</w:t>
            </w:r>
          </w:p>
        </w:tc>
        <w:tc>
          <w:tcPr>
            <w:tcW w:w="2409" w:type="dxa"/>
          </w:tcPr>
          <w:p w14:paraId="13B1AEF6" w14:textId="77777777" w:rsidR="00A324E3" w:rsidRPr="0021454D" w:rsidRDefault="00A324E3" w:rsidP="00A324E3">
            <w:pPr>
              <w:pStyle w:val="TableBullet1"/>
              <w:keepNext/>
            </w:pPr>
            <w:r w:rsidRPr="0021454D">
              <w:t>Timing: current</w:t>
            </w:r>
          </w:p>
          <w:p w14:paraId="2291CC8A" w14:textId="1CF4989B" w:rsidR="00A324E3" w:rsidRPr="0021454D" w:rsidRDefault="00A324E3" w:rsidP="00A324E3">
            <w:pPr>
              <w:pStyle w:val="TableBullet1"/>
              <w:keepNext/>
            </w:pPr>
            <w:r w:rsidRPr="0021454D">
              <w:t xml:space="preserve">Confidence: </w:t>
            </w:r>
            <w:r w:rsidR="00431529">
              <w:t>observed</w:t>
            </w:r>
          </w:p>
          <w:p w14:paraId="4E609450" w14:textId="42AC36A5" w:rsidR="00A324E3" w:rsidRPr="0021454D" w:rsidRDefault="00A324E3" w:rsidP="00A324E3">
            <w:pPr>
              <w:pStyle w:val="TableBullet1"/>
              <w:keepNext/>
            </w:pPr>
            <w:r w:rsidRPr="0021454D">
              <w:t xml:space="preserve">Consequence: </w:t>
            </w:r>
            <w:r w:rsidR="002E6C50">
              <w:t>major</w:t>
            </w:r>
          </w:p>
          <w:p w14:paraId="6A269428" w14:textId="77777777" w:rsidR="00A324E3" w:rsidRPr="0021454D" w:rsidRDefault="00A324E3" w:rsidP="00A324E3">
            <w:pPr>
              <w:pStyle w:val="TableBullet1"/>
              <w:keepNext/>
            </w:pPr>
            <w:r w:rsidRPr="0021454D">
              <w:t>Trend: increasing</w:t>
            </w:r>
          </w:p>
          <w:p w14:paraId="3D36695F" w14:textId="650EAD3A" w:rsidR="00A324E3" w:rsidRPr="0021454D" w:rsidRDefault="00A324E3" w:rsidP="00A324E3">
            <w:pPr>
              <w:pStyle w:val="TableBullet1"/>
              <w:keepNext/>
              <w:rPr>
                <w:rStyle w:val="CommentReference"/>
              </w:rPr>
            </w:pPr>
            <w:r w:rsidRPr="0021454D">
              <w:t>Extent: across the entire range</w:t>
            </w:r>
          </w:p>
        </w:tc>
        <w:tc>
          <w:tcPr>
            <w:tcW w:w="4529" w:type="dxa"/>
          </w:tcPr>
          <w:p w14:paraId="652BA96F" w14:textId="03F02F30" w:rsidR="00A324E3" w:rsidRPr="0021454D" w:rsidRDefault="00A324E3" w:rsidP="00A324E3">
            <w:pPr>
              <w:pStyle w:val="TableText"/>
            </w:pPr>
            <w:r w:rsidRPr="0021454D">
              <w:t xml:space="preserve">Montane ecosystems are particularly vulnerable to herbivory </w:t>
            </w:r>
            <w:r>
              <w:t>by</w:t>
            </w:r>
            <w:r w:rsidRPr="0021454D">
              <w:t xml:space="preserve"> both feral and native animals </w:t>
            </w:r>
            <w:r w:rsidRPr="0021454D">
              <w:rPr>
                <w:noProof/>
              </w:rPr>
              <w:t>(Leigh et al. 1987; Kirkpatrick &amp; Bridle 1999; Bridle et al. 2001)</w:t>
            </w:r>
            <w:r w:rsidRPr="0021454D">
              <w:t xml:space="preserve">. </w:t>
            </w:r>
            <w:bookmarkStart w:id="17" w:name="_Hlk82589071"/>
            <w:r w:rsidRPr="00701DE9">
              <w:t xml:space="preserve">Browsing by </w:t>
            </w:r>
            <w:r w:rsidR="00A93AC9">
              <w:t>quokka</w:t>
            </w:r>
            <w:r w:rsidR="00A93AC9" w:rsidRPr="00701DE9">
              <w:t xml:space="preserve"> </w:t>
            </w:r>
            <w:r w:rsidRPr="00701DE9">
              <w:t>is a threat to all subpopulations, with subpopulations 1</w:t>
            </w:r>
            <w:r>
              <w:t xml:space="preserve">, 3 and 9 </w:t>
            </w:r>
            <w:r w:rsidRPr="00701DE9">
              <w:t>(Bluff Knoll/Bula Meela</w:t>
            </w:r>
            <w:r>
              <w:t xml:space="preserve">, </w:t>
            </w:r>
            <w:r w:rsidRPr="00701DE9">
              <w:t>Coyanarup Peak</w:t>
            </w:r>
            <w:r>
              <w:t xml:space="preserve"> and </w:t>
            </w:r>
            <w:r w:rsidRPr="00701DE9">
              <w:t xml:space="preserve">East Bluff) being the most impacted </w:t>
            </w:r>
            <w:r w:rsidRPr="00701DE9">
              <w:rPr>
                <w:noProof/>
              </w:rPr>
              <w:t>(Hartley &amp; Barrett 2008; DBCA 2021. pers comm 3 September)</w:t>
            </w:r>
            <w:r w:rsidRPr="00701DE9">
              <w:t>.</w:t>
            </w:r>
            <w:r w:rsidRPr="0021454D">
              <w:t xml:space="preserve"> </w:t>
            </w:r>
            <w:bookmarkEnd w:id="17"/>
            <w:r w:rsidRPr="0021454D">
              <w:t xml:space="preserve">Between 2011-2015, </w:t>
            </w:r>
            <w:r w:rsidR="00A93AC9">
              <w:t>quokka</w:t>
            </w:r>
            <w:r w:rsidR="00A93AC9" w:rsidRPr="0021454D">
              <w:t xml:space="preserve"> </w:t>
            </w:r>
            <w:proofErr w:type="gramStart"/>
            <w:r w:rsidRPr="0021454D">
              <w:t>were</w:t>
            </w:r>
            <w:proofErr w:type="gramEnd"/>
            <w:r w:rsidRPr="0021454D">
              <w:t xml:space="preserve"> responsible for 75</w:t>
            </w:r>
            <w:r w:rsidRPr="00A324E3">
              <w:t>%</w:t>
            </w:r>
            <w:r w:rsidRPr="0021454D">
              <w:t xml:space="preserve"> of herbivory events on rare native plants in the Eastern Stirling Range Montane Heath and Thicket </w:t>
            </w:r>
            <w:r w:rsidR="007B136B">
              <w:t>Threatened Ecological Community</w:t>
            </w:r>
            <w:r w:rsidR="007B136B" w:rsidRPr="0021454D">
              <w:t xml:space="preserve"> </w:t>
            </w:r>
            <w:r w:rsidRPr="0021454D">
              <w:rPr>
                <w:noProof/>
              </w:rPr>
              <w:t xml:space="preserve">(Rathbone &amp; Barrett 2017). Additionally, the </w:t>
            </w:r>
            <w:r>
              <w:t xml:space="preserve">yellow mountain bell </w:t>
            </w:r>
            <w:r w:rsidRPr="0021454D">
              <w:rPr>
                <w:noProof/>
              </w:rPr>
              <w:t>was evident in 60</w:t>
            </w:r>
            <w:r w:rsidRPr="00A324E3">
              <w:rPr>
                <w:noProof/>
              </w:rPr>
              <w:t>%</w:t>
            </w:r>
            <w:r w:rsidRPr="0021454D">
              <w:rPr>
                <w:noProof/>
              </w:rPr>
              <w:t xml:space="preserve"> of </w:t>
            </w:r>
            <w:r w:rsidR="00A93AC9">
              <w:t>quokka</w:t>
            </w:r>
            <w:r w:rsidR="00A93AC9" w:rsidRPr="0021454D">
              <w:rPr>
                <w:noProof/>
              </w:rPr>
              <w:t xml:space="preserve"> </w:t>
            </w:r>
            <w:r w:rsidRPr="0021454D">
              <w:rPr>
                <w:noProof/>
              </w:rPr>
              <w:t>scats (Rathbone &amp; Barrett 2017).</w:t>
            </w:r>
            <w:r w:rsidR="00301977">
              <w:rPr>
                <w:noProof/>
              </w:rPr>
              <w:t xml:space="preserve"> </w:t>
            </w:r>
          </w:p>
          <w:p w14:paraId="4D365A28" w14:textId="6D35BF0B" w:rsidR="00A324E3" w:rsidRPr="00EF28B7" w:rsidRDefault="00A324E3" w:rsidP="00A324E3">
            <w:pPr>
              <w:pStyle w:val="TableText"/>
              <w:rPr>
                <w:rFonts w:eastAsia="Calibri"/>
                <w:szCs w:val="18"/>
              </w:rPr>
            </w:pPr>
            <w:r w:rsidRPr="0021454D">
              <w:t xml:space="preserve">From 2001, plant cages were installed around some </w:t>
            </w:r>
            <w:r>
              <w:t xml:space="preserve">yellow mountain bell </w:t>
            </w:r>
            <w:r w:rsidRPr="0021454D">
              <w:t>plants</w:t>
            </w:r>
            <w:r>
              <w:t xml:space="preserve"> in subpopulation 1 (Bluff Knoll/Bula Meela)</w:t>
            </w:r>
            <w:r w:rsidRPr="0021454D">
              <w:t xml:space="preserve"> to protect them from browsing, with significant </w:t>
            </w:r>
            <w:r w:rsidRPr="00EF28B7">
              <w:t xml:space="preserve">recovery shown in caged plants </w:t>
            </w:r>
            <w:r w:rsidRPr="00EF28B7">
              <w:rPr>
                <w:noProof/>
              </w:rPr>
              <w:t>(Rathbone &amp; Spencer 2011)</w:t>
            </w:r>
            <w:r w:rsidRPr="00EF28B7">
              <w:t xml:space="preserve">. Between 2014-2015, ten fenced enclosures (25*25 m) were constructed around yellow mountain bell plants in subpopulations 1, 3 and 9 (Bluff Knoll/Bula Meela, Coyanarup Peak and East Bluff) </w:t>
            </w:r>
            <w:r w:rsidRPr="00EF28B7">
              <w:rPr>
                <w:noProof/>
              </w:rPr>
              <w:t xml:space="preserve">(Rathbone &amp; Barrett 2017). </w:t>
            </w:r>
            <w:r w:rsidRPr="00EF28B7">
              <w:t xml:space="preserve">After one year, the size and reproductive output of plants inside enclosures was significantly higher than outside enclosures </w:t>
            </w:r>
            <w:r w:rsidRPr="00EF28B7">
              <w:rPr>
                <w:noProof/>
              </w:rPr>
              <w:t xml:space="preserve">(Rathbone &amp; Barrett 2017). </w:t>
            </w:r>
            <w:bookmarkStart w:id="18" w:name="_Hlk83723220"/>
            <w:r w:rsidR="00DC2829" w:rsidRPr="00EF28B7">
              <w:rPr>
                <w:noProof/>
              </w:rPr>
              <w:t xml:space="preserve">This </w:t>
            </w:r>
            <w:r w:rsidR="00DC2829" w:rsidRPr="00EF28B7">
              <w:t xml:space="preserve">evidence suggests </w:t>
            </w:r>
            <w:r w:rsidR="00DC2829" w:rsidRPr="00EF28B7">
              <w:rPr>
                <w:noProof/>
              </w:rPr>
              <w:t xml:space="preserve">browsing reduces growth and reproduction, which in turn influences the length of the juvenile period </w:t>
            </w:r>
            <w:r w:rsidR="00DC2829" w:rsidRPr="00EF28B7">
              <w:rPr>
                <w:rFonts w:eastAsia="Calibri"/>
                <w:szCs w:val="18"/>
              </w:rPr>
              <w:t>(DBCA 2021. pers comm 28 September).</w:t>
            </w:r>
            <w:r w:rsidR="00DC2829" w:rsidRPr="00EF28B7">
              <w:rPr>
                <w:noProof/>
              </w:rPr>
              <w:t xml:space="preserve"> Repeated browsing can result in plant mortality </w:t>
            </w:r>
            <w:r w:rsidR="00DC2829" w:rsidRPr="00EF28B7">
              <w:rPr>
                <w:rFonts w:eastAsia="Calibri"/>
                <w:szCs w:val="18"/>
              </w:rPr>
              <w:t>(DBCA 2021. pers comm 28 September).</w:t>
            </w:r>
            <w:r w:rsidR="008C25C9" w:rsidRPr="00EF28B7">
              <w:rPr>
                <w:rFonts w:eastAsia="Calibri"/>
                <w:szCs w:val="18"/>
              </w:rPr>
              <w:t xml:space="preserve"> </w:t>
            </w:r>
            <w:bookmarkEnd w:id="18"/>
            <w:r w:rsidR="008C25C9" w:rsidRPr="00EF28B7">
              <w:rPr>
                <w:rFonts w:eastAsia="Calibri"/>
                <w:szCs w:val="18"/>
              </w:rPr>
              <w:t>Accordingly,</w:t>
            </w:r>
            <w:r w:rsidR="00DC2829" w:rsidRPr="00EF28B7">
              <w:rPr>
                <w:rFonts w:eastAsia="Calibri"/>
                <w:szCs w:val="18"/>
              </w:rPr>
              <w:t xml:space="preserve"> </w:t>
            </w:r>
            <w:r w:rsidRPr="00EF28B7">
              <w:t xml:space="preserve">the </w:t>
            </w:r>
            <w:r w:rsidR="00A93AC9" w:rsidRPr="00EF28B7">
              <w:t xml:space="preserve">quokka </w:t>
            </w:r>
            <w:r w:rsidR="008C25C9" w:rsidRPr="00EF28B7">
              <w:t>is likely to</w:t>
            </w:r>
            <w:r w:rsidRPr="00EF28B7">
              <w:t xml:space="preserve"> have a major impact on the yellow mountain bell.</w:t>
            </w:r>
            <w:r w:rsidRPr="00EF28B7">
              <w:rPr>
                <w:rFonts w:eastAsia="Calibri"/>
                <w:szCs w:val="18"/>
              </w:rPr>
              <w:t xml:space="preserve"> </w:t>
            </w:r>
          </w:p>
          <w:p w14:paraId="7DD47D1E" w14:textId="2D4BC630" w:rsidR="00A324E3" w:rsidRPr="0021454D" w:rsidRDefault="00A324E3" w:rsidP="00A324E3">
            <w:pPr>
              <w:pStyle w:val="TableText"/>
              <w:rPr>
                <w:noProof/>
              </w:rPr>
            </w:pPr>
            <w:r w:rsidRPr="00EF28B7">
              <w:t xml:space="preserve">Quokka populations can increase following fire, due to increased fresh growth (their preferred food source) </w:t>
            </w:r>
            <w:r w:rsidRPr="00EF28B7">
              <w:rPr>
                <w:noProof/>
              </w:rPr>
              <w:t>(Hayward 2005; Rathbone &amp; Barrett 2017)</w:t>
            </w:r>
            <w:r w:rsidRPr="00EF28B7">
              <w:t>. This may increase browsing pressure on the yellow</w:t>
            </w:r>
            <w:r>
              <w:t xml:space="preserve"> mountain bell </w:t>
            </w:r>
            <w:r w:rsidRPr="0021454D">
              <w:t xml:space="preserve">and delay post-fire recovery </w:t>
            </w:r>
            <w:r w:rsidRPr="0021454D">
              <w:rPr>
                <w:noProof/>
              </w:rPr>
              <w:t xml:space="preserve">(Rathbone &amp; Barrett 2017). </w:t>
            </w:r>
            <w:bookmarkStart w:id="19" w:name="_Hlk82589090"/>
            <w:r>
              <w:rPr>
                <w:rFonts w:eastAsia="Calibri"/>
                <w:szCs w:val="18"/>
              </w:rPr>
              <w:t xml:space="preserve">Further fenced enclosures have been installed around plants in </w:t>
            </w:r>
            <w:r>
              <w:t xml:space="preserve">subpopulations </w:t>
            </w:r>
            <w:r w:rsidRPr="00701DE9">
              <w:t>1</w:t>
            </w:r>
            <w:r>
              <w:t>, 3 and 9</w:t>
            </w:r>
            <w:r w:rsidRPr="00701DE9">
              <w:t xml:space="preserve"> (Bluff Knoll/Bula Meela, Coyanarup Peak</w:t>
            </w:r>
            <w:r>
              <w:t xml:space="preserve"> and </w:t>
            </w:r>
            <w:r w:rsidRPr="00701DE9">
              <w:t>East Bluff)</w:t>
            </w:r>
            <w:r>
              <w:t xml:space="preserve"> since the 2018 fire (DBCA 2021. pers comm 3 September). </w:t>
            </w:r>
            <w:bookmarkStart w:id="20" w:name="_Hlk82589109"/>
            <w:bookmarkEnd w:id="19"/>
            <w:r w:rsidRPr="0021454D">
              <w:rPr>
                <w:rFonts w:eastAsia="Calibri"/>
                <w:szCs w:val="18"/>
              </w:rPr>
              <w:t>In 2020, monitoring commenced in</w:t>
            </w:r>
            <w:r>
              <w:rPr>
                <w:rFonts w:eastAsia="Calibri"/>
                <w:szCs w:val="18"/>
              </w:rPr>
              <w:t xml:space="preserve"> this</w:t>
            </w:r>
            <w:r w:rsidRPr="0021454D">
              <w:rPr>
                <w:rFonts w:eastAsia="Calibri"/>
                <w:szCs w:val="18"/>
              </w:rPr>
              <w:t xml:space="preserve"> recently fenced and unfenced habitat to monitor growth and survival of juveniles that recruited after </w:t>
            </w:r>
            <w:r>
              <w:rPr>
                <w:rFonts w:eastAsia="Calibri"/>
                <w:szCs w:val="18"/>
              </w:rPr>
              <w:t xml:space="preserve">the 2018 </w:t>
            </w:r>
            <w:r w:rsidRPr="0021454D">
              <w:rPr>
                <w:rFonts w:eastAsia="Calibri"/>
                <w:szCs w:val="18"/>
              </w:rPr>
              <w:t>fire (DBCA 2021. pers comm 11 May).</w:t>
            </w:r>
          </w:p>
          <w:bookmarkEnd w:id="20"/>
          <w:p w14:paraId="6B753282" w14:textId="392535F1" w:rsidR="00A324E3" w:rsidRPr="0021454D" w:rsidRDefault="00A324E3" w:rsidP="00A324E3">
            <w:pPr>
              <w:pStyle w:val="TableText"/>
              <w:rPr>
                <w:rFonts w:eastAsia="Calibri"/>
                <w:szCs w:val="18"/>
              </w:rPr>
            </w:pPr>
            <w:r w:rsidRPr="0021454D">
              <w:t xml:space="preserve">Additionally, </w:t>
            </w:r>
            <w:proofErr w:type="gramStart"/>
            <w:r w:rsidRPr="0021454D">
              <w:t>as a result of</w:t>
            </w:r>
            <w:proofErr w:type="gramEnd"/>
            <w:r w:rsidRPr="0021454D">
              <w:t xml:space="preserve"> reduced vegetation cover, browsing by </w:t>
            </w:r>
            <w:r w:rsidR="00A93AC9">
              <w:t>quokka</w:t>
            </w:r>
            <w:r w:rsidR="00A93AC9" w:rsidRPr="0021454D">
              <w:t xml:space="preserve"> </w:t>
            </w:r>
            <w:r w:rsidR="00DC2829">
              <w:t>may result in conditions more conducive to</w:t>
            </w:r>
            <w:r w:rsidRPr="0021454D">
              <w:t xml:space="preserve"> </w:t>
            </w:r>
            <w:r w:rsidRPr="0021454D">
              <w:rPr>
                <w:i/>
                <w:iCs/>
              </w:rPr>
              <w:t xml:space="preserve">P. cinnamomi </w:t>
            </w:r>
            <w:r w:rsidRPr="0021454D">
              <w:rPr>
                <w:noProof/>
              </w:rPr>
              <w:t>(Barrett 2000)</w:t>
            </w:r>
            <w:r w:rsidRPr="0021454D">
              <w:t>.</w:t>
            </w:r>
          </w:p>
        </w:tc>
      </w:tr>
      <w:tr w:rsidR="00A324E3" w14:paraId="5F556373" w14:textId="77777777" w:rsidTr="00A324E3">
        <w:trPr>
          <w:cantSplit/>
        </w:trPr>
        <w:tc>
          <w:tcPr>
            <w:tcW w:w="9060" w:type="dxa"/>
            <w:gridSpan w:val="3"/>
          </w:tcPr>
          <w:p w14:paraId="00949644" w14:textId="6D4E008A" w:rsidR="00A324E3" w:rsidRPr="00DE4967" w:rsidRDefault="00A324E3" w:rsidP="00431529">
            <w:pPr>
              <w:pStyle w:val="TableText"/>
              <w:keepNext/>
            </w:pPr>
            <w:r>
              <w:lastRenderedPageBreak/>
              <w:t>Invasive species</w:t>
            </w:r>
          </w:p>
        </w:tc>
      </w:tr>
      <w:tr w:rsidR="00A324E3" w14:paraId="6CA3A888" w14:textId="77777777" w:rsidTr="00A324E3">
        <w:trPr>
          <w:cantSplit/>
        </w:trPr>
        <w:tc>
          <w:tcPr>
            <w:tcW w:w="2122" w:type="dxa"/>
          </w:tcPr>
          <w:p w14:paraId="19AED9B8" w14:textId="01EE38F4" w:rsidR="00A324E3" w:rsidRDefault="00A324E3" w:rsidP="00A324E3">
            <w:pPr>
              <w:pStyle w:val="TableText"/>
            </w:pPr>
            <w:r>
              <w:t>Weed invasion</w:t>
            </w:r>
          </w:p>
        </w:tc>
        <w:tc>
          <w:tcPr>
            <w:tcW w:w="2409" w:type="dxa"/>
          </w:tcPr>
          <w:p w14:paraId="2B0BA33C" w14:textId="77777777" w:rsidR="00A324E3" w:rsidRDefault="00A324E3" w:rsidP="00A324E3">
            <w:pPr>
              <w:pStyle w:val="TableBullet1"/>
              <w:keepNext/>
            </w:pPr>
            <w:r>
              <w:t>Timing: future</w:t>
            </w:r>
          </w:p>
          <w:p w14:paraId="78821049" w14:textId="734D224B" w:rsidR="00A324E3" w:rsidRPr="005347DB" w:rsidRDefault="00A324E3" w:rsidP="00A324E3">
            <w:pPr>
              <w:pStyle w:val="TableBullet1"/>
              <w:keepNext/>
            </w:pPr>
            <w:r w:rsidRPr="005347DB">
              <w:t xml:space="preserve">Confidence: </w:t>
            </w:r>
            <w:r w:rsidR="00431529">
              <w:t>projected</w:t>
            </w:r>
          </w:p>
          <w:p w14:paraId="30B7A90C" w14:textId="77777777" w:rsidR="00A324E3" w:rsidRDefault="00A324E3" w:rsidP="00A324E3">
            <w:pPr>
              <w:pStyle w:val="TableBullet1"/>
              <w:keepNext/>
            </w:pPr>
            <w:r>
              <w:t>Consequ</w:t>
            </w:r>
            <w:r w:rsidRPr="00CB51F9">
              <w:t xml:space="preserve">ence: </w:t>
            </w:r>
            <w:r>
              <w:t>moderate</w:t>
            </w:r>
          </w:p>
          <w:p w14:paraId="10DCF3D3" w14:textId="77777777" w:rsidR="00A324E3" w:rsidRPr="005347DB" w:rsidRDefault="00A324E3" w:rsidP="00A324E3">
            <w:pPr>
              <w:pStyle w:val="TableBullet1"/>
              <w:keepNext/>
            </w:pPr>
            <w:r>
              <w:t>T</w:t>
            </w:r>
            <w:r w:rsidRPr="005347DB">
              <w:t xml:space="preserve">rend: </w:t>
            </w:r>
            <w:r>
              <w:t>static</w:t>
            </w:r>
          </w:p>
          <w:p w14:paraId="63E31446" w14:textId="07829D8D" w:rsidR="00A324E3" w:rsidRDefault="00A324E3" w:rsidP="00A324E3">
            <w:pPr>
              <w:pStyle w:val="TableBullet1"/>
              <w:keepNext/>
            </w:pPr>
            <w:r w:rsidRPr="005347DB">
              <w:t>Extent: across the entire range</w:t>
            </w:r>
          </w:p>
        </w:tc>
        <w:tc>
          <w:tcPr>
            <w:tcW w:w="4529" w:type="dxa"/>
          </w:tcPr>
          <w:p w14:paraId="7B1CA1AC" w14:textId="420983A4" w:rsidR="00A324E3" w:rsidRPr="006C0D22" w:rsidRDefault="00A324E3" w:rsidP="00A324E3">
            <w:pPr>
              <w:pStyle w:val="TableText"/>
              <w:keepNext/>
            </w:pPr>
            <w:r w:rsidRPr="006C0D22">
              <w:t xml:space="preserve">Weed species may outcompete native flora and can adversely impact conservation objectives </w:t>
            </w:r>
            <w:r w:rsidRPr="006C0D22">
              <w:rPr>
                <w:noProof/>
              </w:rPr>
              <w:t>(CALM 1999)</w:t>
            </w:r>
            <w:r w:rsidRPr="006C0D22">
              <w:t xml:space="preserve">. Ninety-three weed species have been recorded in Stirling Range National Park, but they are mostly confined to road verges, amenity areas and some drainage lines </w:t>
            </w:r>
            <w:r w:rsidRPr="006C0D22">
              <w:rPr>
                <w:noProof/>
              </w:rPr>
              <w:t>(CALM 1999)</w:t>
            </w:r>
            <w:r w:rsidRPr="006C0D22">
              <w:t xml:space="preserve">. As weeds </w:t>
            </w:r>
            <w:proofErr w:type="gramStart"/>
            <w:r w:rsidRPr="006C0D22">
              <w:t>most commonly become</w:t>
            </w:r>
            <w:proofErr w:type="gramEnd"/>
            <w:r w:rsidRPr="006C0D22">
              <w:t xml:space="preserve"> established in areas of disturbance, recreational activities may facilitate the spread and establishment of weeds. Control of weeds entering the Park along roads and boundaries, as well as weed hygiene within the Park are required to prevent further weed invasion and establishment </w:t>
            </w:r>
            <w:r w:rsidRPr="006C0D22">
              <w:rPr>
                <w:noProof/>
              </w:rPr>
              <w:t>(CALM 1999)</w:t>
            </w:r>
            <w:r w:rsidRPr="006C0D22">
              <w:t xml:space="preserve">. Additionally, with ongoing climate change, weed species in the lowlands may rapidly move upwards and threaten mountain ecosystems </w:t>
            </w:r>
            <w:r w:rsidRPr="006C0D22">
              <w:rPr>
                <w:noProof/>
              </w:rPr>
              <w:t>(Petitpierre et al. 2016)</w:t>
            </w:r>
            <w:r w:rsidRPr="006C0D22">
              <w:t>.</w:t>
            </w:r>
          </w:p>
          <w:p w14:paraId="198DB69F" w14:textId="22152E6A" w:rsidR="00A324E3" w:rsidRPr="006C0D22" w:rsidRDefault="00A324E3" w:rsidP="00A324E3">
            <w:pPr>
              <w:pStyle w:val="TableText"/>
            </w:pPr>
            <w:r w:rsidRPr="006C0D22">
              <w:t xml:space="preserve">Although weed invasion is not considered a current threat to the </w:t>
            </w:r>
            <w:r>
              <w:t>yellow mountain bell</w:t>
            </w:r>
            <w:r w:rsidRPr="006C0D22">
              <w:t xml:space="preserve">, it may become a threat in the future, if not appropriately managed </w:t>
            </w:r>
            <w:r w:rsidRPr="006C0D22">
              <w:rPr>
                <w:noProof/>
              </w:rPr>
              <w:t>(CALM 1999)</w:t>
            </w:r>
            <w:r w:rsidRPr="006C0D22">
              <w:t>.</w:t>
            </w:r>
          </w:p>
        </w:tc>
      </w:tr>
      <w:tr w:rsidR="00A324E3" w14:paraId="2FF134DC" w14:textId="77777777" w:rsidTr="00712837">
        <w:trPr>
          <w:cantSplit/>
        </w:trPr>
        <w:tc>
          <w:tcPr>
            <w:tcW w:w="2122" w:type="dxa"/>
          </w:tcPr>
          <w:p w14:paraId="3DD65295" w14:textId="658BFE3D" w:rsidR="00A324E3" w:rsidRDefault="00A324E3" w:rsidP="00A324E3">
            <w:pPr>
              <w:pStyle w:val="TableText"/>
            </w:pPr>
            <w:r>
              <w:t xml:space="preserve">Grazing by </w:t>
            </w:r>
            <w:r w:rsidR="00A93AC9">
              <w:t>r</w:t>
            </w:r>
            <w:r>
              <w:t>abbits (</w:t>
            </w:r>
            <w:r>
              <w:rPr>
                <w:i/>
                <w:iCs/>
              </w:rPr>
              <w:t>Oryctolagus cuniculus</w:t>
            </w:r>
            <w:r>
              <w:t>)</w:t>
            </w:r>
          </w:p>
        </w:tc>
        <w:tc>
          <w:tcPr>
            <w:tcW w:w="2409" w:type="dxa"/>
          </w:tcPr>
          <w:p w14:paraId="60FFFBCC" w14:textId="77777777" w:rsidR="00A324E3" w:rsidRPr="00664957" w:rsidRDefault="00A324E3" w:rsidP="00A324E3">
            <w:pPr>
              <w:pStyle w:val="TableBullet1"/>
              <w:keepNext/>
            </w:pPr>
            <w:r>
              <w:t>Timing</w:t>
            </w:r>
            <w:r w:rsidRPr="00664957">
              <w:t>: current</w:t>
            </w:r>
          </w:p>
          <w:p w14:paraId="576BA3A4" w14:textId="77777777" w:rsidR="00A324E3" w:rsidRPr="00664957" w:rsidRDefault="00A324E3" w:rsidP="00A324E3">
            <w:pPr>
              <w:pStyle w:val="TableBullet1"/>
              <w:keepNext/>
            </w:pPr>
            <w:r w:rsidRPr="00664957">
              <w:t xml:space="preserve">Confidence: </w:t>
            </w:r>
            <w:r>
              <w:t>inferred</w:t>
            </w:r>
          </w:p>
          <w:p w14:paraId="57719EF2" w14:textId="4CB1EC7F" w:rsidR="00A324E3" w:rsidRPr="00664957" w:rsidRDefault="00A324E3" w:rsidP="00A324E3">
            <w:pPr>
              <w:pStyle w:val="TableBullet1"/>
              <w:keepNext/>
            </w:pPr>
            <w:r w:rsidRPr="00664957">
              <w:t xml:space="preserve">Consequence: </w:t>
            </w:r>
            <w:r>
              <w:t>minor</w:t>
            </w:r>
          </w:p>
          <w:p w14:paraId="3CEB97FC" w14:textId="58539A2F" w:rsidR="00A324E3" w:rsidRPr="00664957" w:rsidRDefault="00A324E3" w:rsidP="00A324E3">
            <w:pPr>
              <w:pStyle w:val="TableBullet1"/>
              <w:keepNext/>
            </w:pPr>
            <w:r w:rsidRPr="00664957">
              <w:t xml:space="preserve">Trend: </w:t>
            </w:r>
            <w:r>
              <w:t>unknown</w:t>
            </w:r>
          </w:p>
          <w:p w14:paraId="622AF50B" w14:textId="353271DE" w:rsidR="00A324E3" w:rsidRDefault="00A324E3" w:rsidP="00A324E3">
            <w:pPr>
              <w:pStyle w:val="TableBullet1"/>
              <w:keepNext/>
            </w:pPr>
            <w:r w:rsidRPr="00664957">
              <w:t>Extent: across the entire range</w:t>
            </w:r>
          </w:p>
        </w:tc>
        <w:tc>
          <w:tcPr>
            <w:tcW w:w="4529" w:type="dxa"/>
          </w:tcPr>
          <w:p w14:paraId="0EE4ABFC" w14:textId="7B6AE033" w:rsidR="00A324E3" w:rsidRPr="000D12B6" w:rsidRDefault="00A324E3" w:rsidP="00A324E3">
            <w:pPr>
              <w:pStyle w:val="TableText"/>
            </w:pPr>
            <w:bookmarkStart w:id="21" w:name="_Hlk82589177"/>
            <w:r w:rsidRPr="00FE4B5B">
              <w:t xml:space="preserve">Grazing by </w:t>
            </w:r>
            <w:r w:rsidR="00A93AC9">
              <w:t xml:space="preserve">rabbits </w:t>
            </w:r>
            <w:r w:rsidRPr="00FE4B5B">
              <w:t>is</w:t>
            </w:r>
            <w:r w:rsidRPr="00701DE9">
              <w:t xml:space="preserve"> a threat to all subpopulations, with subpopulations 1</w:t>
            </w:r>
            <w:r>
              <w:t xml:space="preserve">, 3 and 9 </w:t>
            </w:r>
            <w:r w:rsidRPr="00701DE9">
              <w:t>(Bluff Knoll/Bula Meela</w:t>
            </w:r>
            <w:r>
              <w:t xml:space="preserve">, </w:t>
            </w:r>
            <w:r w:rsidRPr="00701DE9">
              <w:t xml:space="preserve">Coyanarup Peak and East Bluff) being the most impacted </w:t>
            </w:r>
            <w:r w:rsidRPr="00701DE9">
              <w:rPr>
                <w:noProof/>
              </w:rPr>
              <w:t>(Hartley &amp; Barrett 2008; DBCA 2021. pers comm 3 September)</w:t>
            </w:r>
            <w:r w:rsidRPr="00701DE9">
              <w:t>.</w:t>
            </w:r>
            <w:r w:rsidRPr="0021454D">
              <w:t xml:space="preserve"> </w:t>
            </w:r>
            <w:bookmarkEnd w:id="21"/>
            <w:r w:rsidRPr="000D12B6">
              <w:t xml:space="preserve">However, between 2011-2015, </w:t>
            </w:r>
            <w:r w:rsidR="00A93AC9">
              <w:t xml:space="preserve">rabbits </w:t>
            </w:r>
            <w:r w:rsidRPr="000D12B6">
              <w:t xml:space="preserve">were infrequently observed to graze on rare native plants in the Eastern Stirling Range Montane Heath and Thicket </w:t>
            </w:r>
            <w:r w:rsidR="007B136B">
              <w:t>Threatened Ecological Community</w:t>
            </w:r>
            <w:r w:rsidR="007B136B" w:rsidRPr="000D12B6">
              <w:t xml:space="preserve"> </w:t>
            </w:r>
            <w:r w:rsidRPr="000D12B6">
              <w:rPr>
                <w:noProof/>
              </w:rPr>
              <w:t xml:space="preserve">(Rathbone &amp; Barrett 2017). Additionally, the </w:t>
            </w:r>
            <w:r>
              <w:t xml:space="preserve">yellow mountain bell </w:t>
            </w:r>
            <w:r w:rsidRPr="000D12B6">
              <w:rPr>
                <w:noProof/>
              </w:rPr>
              <w:t xml:space="preserve">was not detected in any </w:t>
            </w:r>
            <w:r w:rsidR="00A93AC9">
              <w:t xml:space="preserve">rabbit </w:t>
            </w:r>
            <w:r w:rsidRPr="000D12B6">
              <w:rPr>
                <w:noProof/>
              </w:rPr>
              <w:t>scats (Rathbone &amp; Barrett 2017).</w:t>
            </w:r>
            <w:r w:rsidRPr="000D12B6">
              <w:t xml:space="preserve"> This evidence suggests </w:t>
            </w:r>
            <w:r w:rsidR="00A93AC9">
              <w:t xml:space="preserve">rabbits </w:t>
            </w:r>
            <w:r w:rsidRPr="000D12B6">
              <w:t xml:space="preserve">may have a minor impact on the </w:t>
            </w:r>
            <w:r>
              <w:t>yellow mountain bell</w:t>
            </w:r>
            <w:r w:rsidRPr="000D12B6">
              <w:t>.</w:t>
            </w:r>
          </w:p>
          <w:p w14:paraId="3CD274BA" w14:textId="6EA97E81" w:rsidR="00A324E3" w:rsidRPr="000D12B6" w:rsidRDefault="00A324E3" w:rsidP="00A324E3">
            <w:pPr>
              <w:pStyle w:val="TableText"/>
            </w:pPr>
            <w:r w:rsidRPr="000D12B6">
              <w:t xml:space="preserve">Rabbit control using 1080 (sodium </w:t>
            </w:r>
            <w:proofErr w:type="spellStart"/>
            <w:r w:rsidRPr="000D12B6">
              <w:t>monofluoroacetate</w:t>
            </w:r>
            <w:proofErr w:type="spellEnd"/>
            <w:r w:rsidRPr="000D12B6">
              <w:t xml:space="preserve">) oats was trialled in 2001 and implemented annually from 2008 to 2015 </w:t>
            </w:r>
            <w:r>
              <w:t>in subpopulations 1 and 9</w:t>
            </w:r>
            <w:r w:rsidRPr="000D12B6">
              <w:t xml:space="preserve"> </w:t>
            </w:r>
            <w:r>
              <w:t>(</w:t>
            </w:r>
            <w:r w:rsidRPr="000D12B6">
              <w:t>Bluff Knoll</w:t>
            </w:r>
            <w:r>
              <w:t>/Bula Meela</w:t>
            </w:r>
            <w:r w:rsidRPr="000D12B6">
              <w:t xml:space="preserve"> and East Bluff</w:t>
            </w:r>
            <w:r>
              <w:t>)</w:t>
            </w:r>
            <w:r w:rsidRPr="000D12B6">
              <w:t xml:space="preserve"> </w:t>
            </w:r>
            <w:r w:rsidRPr="000D12B6">
              <w:rPr>
                <w:noProof/>
              </w:rPr>
              <w:t>(DPAW 2016)</w:t>
            </w:r>
            <w:r w:rsidRPr="000D12B6">
              <w:t xml:space="preserve">. </w:t>
            </w:r>
            <w:bookmarkStart w:id="22" w:name="_Hlk82589154"/>
            <w:r w:rsidRPr="000D12B6">
              <w:t xml:space="preserve">Calicivirus RH DV1-K5 has been released in </w:t>
            </w:r>
            <w:r>
              <w:t>subpopulations 1 and 9</w:t>
            </w:r>
            <w:r w:rsidRPr="000D12B6">
              <w:t xml:space="preserve"> </w:t>
            </w:r>
            <w:r>
              <w:t>(</w:t>
            </w:r>
            <w:r w:rsidRPr="000D12B6">
              <w:t>Bluff Knoll</w:t>
            </w:r>
            <w:r>
              <w:t>/Bula Meela</w:t>
            </w:r>
            <w:r w:rsidRPr="000D12B6">
              <w:t xml:space="preserve"> and East Bluff</w:t>
            </w:r>
            <w:r>
              <w:t>)</w:t>
            </w:r>
            <w:r w:rsidRPr="000D12B6">
              <w:t xml:space="preserve"> since 2017 </w:t>
            </w:r>
            <w:r w:rsidRPr="000D12B6">
              <w:rPr>
                <w:rFonts w:eastAsia="Calibri"/>
                <w:szCs w:val="18"/>
              </w:rPr>
              <w:t xml:space="preserve">(DBCA 2021. pers comm </w:t>
            </w:r>
            <w:r>
              <w:rPr>
                <w:rFonts w:eastAsia="Calibri"/>
                <w:szCs w:val="18"/>
              </w:rPr>
              <w:t>3 September</w:t>
            </w:r>
            <w:r w:rsidRPr="000D12B6">
              <w:rPr>
                <w:rFonts w:eastAsia="Calibri"/>
                <w:szCs w:val="18"/>
              </w:rPr>
              <w:t>).</w:t>
            </w:r>
            <w:bookmarkEnd w:id="22"/>
          </w:p>
          <w:p w14:paraId="25079BD0" w14:textId="54E16095" w:rsidR="00A324E3" w:rsidRPr="000D12B6" w:rsidRDefault="00A324E3" w:rsidP="00A324E3">
            <w:pPr>
              <w:pStyle w:val="TableText"/>
            </w:pPr>
            <w:r w:rsidRPr="000D12B6">
              <w:t xml:space="preserve">Rabbits were evident in regenerating vegetation in the Eastern Stirling Range Montane Heath and Thicket </w:t>
            </w:r>
            <w:r w:rsidR="007B136B">
              <w:t>Threatened Ecological Community</w:t>
            </w:r>
            <w:r w:rsidR="007B136B" w:rsidRPr="000D12B6">
              <w:t xml:space="preserve"> </w:t>
            </w:r>
            <w:r w:rsidRPr="000D12B6">
              <w:t xml:space="preserve">after a bushfire in 2000 </w:t>
            </w:r>
            <w:r w:rsidRPr="000D12B6">
              <w:rPr>
                <w:noProof/>
              </w:rPr>
              <w:t xml:space="preserve">(Rathbone &amp; Barrett 2017). </w:t>
            </w:r>
            <w:r w:rsidRPr="000D12B6">
              <w:t xml:space="preserve">Grazing pressure on the </w:t>
            </w:r>
            <w:r>
              <w:t xml:space="preserve">yellow mountain bell </w:t>
            </w:r>
            <w:r w:rsidRPr="000D12B6">
              <w:t xml:space="preserve">may increase following fire and delay post-fire recovery </w:t>
            </w:r>
            <w:r w:rsidRPr="000D12B6">
              <w:rPr>
                <w:noProof/>
              </w:rPr>
              <w:t>(Rathbone &amp; Barrett 2017).</w:t>
            </w:r>
            <w:r w:rsidRPr="000D12B6">
              <w:t xml:space="preserve"> Additionally, </w:t>
            </w:r>
            <w:proofErr w:type="gramStart"/>
            <w:r w:rsidRPr="000D12B6">
              <w:t>as a result of</w:t>
            </w:r>
            <w:proofErr w:type="gramEnd"/>
            <w:r w:rsidRPr="000D12B6">
              <w:t xml:space="preserve"> reduced vegetation cover, grazing by </w:t>
            </w:r>
            <w:r w:rsidR="00A93AC9">
              <w:t xml:space="preserve">rabbits </w:t>
            </w:r>
            <w:r w:rsidR="00DC2829">
              <w:t>may result in conditions more conducive to</w:t>
            </w:r>
            <w:r w:rsidRPr="000D12B6">
              <w:t xml:space="preserve"> </w:t>
            </w:r>
            <w:r w:rsidRPr="000D12B6">
              <w:rPr>
                <w:i/>
                <w:iCs/>
              </w:rPr>
              <w:t xml:space="preserve">P. cinnamomi </w:t>
            </w:r>
            <w:r w:rsidRPr="000D12B6">
              <w:rPr>
                <w:noProof/>
              </w:rPr>
              <w:t>(Barrett 2000)</w:t>
            </w:r>
            <w:r w:rsidRPr="000D12B6">
              <w:t>.</w:t>
            </w:r>
          </w:p>
        </w:tc>
      </w:tr>
      <w:tr w:rsidR="00A324E3" w14:paraId="24DCE9C0" w14:textId="77777777" w:rsidTr="00B72149">
        <w:tc>
          <w:tcPr>
            <w:tcW w:w="9060" w:type="dxa"/>
            <w:gridSpan w:val="3"/>
          </w:tcPr>
          <w:p w14:paraId="6F3D7C78" w14:textId="097E89A6" w:rsidR="00A324E3" w:rsidRPr="00DE4967" w:rsidRDefault="00A324E3" w:rsidP="00A324E3">
            <w:pPr>
              <w:pStyle w:val="TableText"/>
              <w:keepNext/>
              <w:keepLines/>
            </w:pPr>
            <w:r>
              <w:lastRenderedPageBreak/>
              <w:t>Hybridisation</w:t>
            </w:r>
          </w:p>
        </w:tc>
      </w:tr>
      <w:tr w:rsidR="00A324E3" w14:paraId="7EA7693B" w14:textId="77777777" w:rsidTr="008802D8">
        <w:trPr>
          <w:cantSplit/>
        </w:trPr>
        <w:tc>
          <w:tcPr>
            <w:tcW w:w="2122" w:type="dxa"/>
          </w:tcPr>
          <w:p w14:paraId="3C5EEC36" w14:textId="50131153" w:rsidR="00A324E3" w:rsidRDefault="00A324E3" w:rsidP="00A324E3">
            <w:pPr>
              <w:pStyle w:val="TableText"/>
            </w:pPr>
            <w:r w:rsidRPr="00C87B26">
              <w:t xml:space="preserve">Hybridisation with </w:t>
            </w:r>
            <w:r>
              <w:t xml:space="preserve">the </w:t>
            </w:r>
            <w:r w:rsidR="00A93AC9">
              <w:t>c</w:t>
            </w:r>
            <w:r w:rsidRPr="00C87B26">
              <w:t xml:space="preserve">ommon </w:t>
            </w:r>
            <w:r w:rsidR="00A93AC9">
              <w:t>m</w:t>
            </w:r>
            <w:r w:rsidRPr="00C87B26">
              <w:t xml:space="preserve">ountain </w:t>
            </w:r>
            <w:r w:rsidR="00A93AC9">
              <w:t>b</w:t>
            </w:r>
            <w:r w:rsidRPr="00C87B26">
              <w:t>ell</w:t>
            </w:r>
          </w:p>
        </w:tc>
        <w:tc>
          <w:tcPr>
            <w:tcW w:w="2409" w:type="dxa"/>
          </w:tcPr>
          <w:p w14:paraId="64A16919" w14:textId="77777777" w:rsidR="00A324E3" w:rsidRPr="00C87B26" w:rsidRDefault="00A324E3" w:rsidP="00A324E3">
            <w:pPr>
              <w:pStyle w:val="TableBullet1"/>
              <w:keepNext/>
            </w:pPr>
            <w:r>
              <w:t>Timing</w:t>
            </w:r>
            <w:r w:rsidRPr="00C87B26">
              <w:t>: current</w:t>
            </w:r>
          </w:p>
          <w:p w14:paraId="1F49D8BF" w14:textId="71297D5F" w:rsidR="00A324E3" w:rsidRPr="00C87B26" w:rsidRDefault="00A324E3" w:rsidP="00A324E3">
            <w:pPr>
              <w:pStyle w:val="TableBullet1"/>
              <w:keepNext/>
            </w:pPr>
            <w:r w:rsidRPr="00C87B26">
              <w:t xml:space="preserve">Confidence: </w:t>
            </w:r>
            <w:r w:rsidR="00431529">
              <w:t>observed</w:t>
            </w:r>
          </w:p>
          <w:p w14:paraId="6F0CEA1B" w14:textId="20200D5D" w:rsidR="00A324E3" w:rsidRPr="00C87B26" w:rsidRDefault="00A324E3" w:rsidP="00A324E3">
            <w:pPr>
              <w:pStyle w:val="TableBullet1"/>
              <w:keepNext/>
            </w:pPr>
            <w:r w:rsidRPr="00C87B26">
              <w:t xml:space="preserve">Consequence: </w:t>
            </w:r>
            <w:r>
              <w:t>unknown</w:t>
            </w:r>
          </w:p>
          <w:p w14:paraId="5D7DFC07" w14:textId="77777777" w:rsidR="00A324E3" w:rsidRPr="00C87B26" w:rsidRDefault="00A324E3" w:rsidP="00A324E3">
            <w:pPr>
              <w:pStyle w:val="TableBullet1"/>
              <w:keepNext/>
            </w:pPr>
            <w:r w:rsidRPr="00C87B26">
              <w:t>Trend: static</w:t>
            </w:r>
          </w:p>
          <w:p w14:paraId="2098A644" w14:textId="453A79E0" w:rsidR="00A324E3" w:rsidRDefault="00A324E3" w:rsidP="00A324E3">
            <w:pPr>
              <w:pStyle w:val="TableBullet1"/>
              <w:keepNext/>
            </w:pPr>
            <w:r w:rsidRPr="00C87B26">
              <w:t>Extent: across the entire range</w:t>
            </w:r>
          </w:p>
        </w:tc>
        <w:tc>
          <w:tcPr>
            <w:tcW w:w="4529" w:type="dxa"/>
          </w:tcPr>
          <w:p w14:paraId="610D5426" w14:textId="2E4EF8CC" w:rsidR="00A324E3" w:rsidRPr="00574DF6" w:rsidRDefault="00A324E3" w:rsidP="00A324E3">
            <w:pPr>
              <w:pStyle w:val="TableText"/>
              <w:keepNext/>
              <w:rPr>
                <w:highlight w:val="yellow"/>
              </w:rPr>
            </w:pPr>
            <w:r w:rsidRPr="00F572BA">
              <w:t xml:space="preserve">The </w:t>
            </w:r>
            <w:r>
              <w:t xml:space="preserve">yellow mountain bell </w:t>
            </w:r>
            <w:r w:rsidRPr="00F572BA">
              <w:t xml:space="preserve">is known to hybridise with the </w:t>
            </w:r>
            <w:r w:rsidR="00A93AC9">
              <w:t>c</w:t>
            </w:r>
            <w:r w:rsidRPr="00C87B26">
              <w:t xml:space="preserve">ommon </w:t>
            </w:r>
            <w:r w:rsidR="00A93AC9">
              <w:t>m</w:t>
            </w:r>
            <w:r w:rsidRPr="00C87B26">
              <w:t xml:space="preserve">ountain </w:t>
            </w:r>
            <w:r w:rsidR="00A93AC9">
              <w:t>b</w:t>
            </w:r>
            <w:r w:rsidRPr="00C87B26">
              <w:t>ell</w:t>
            </w:r>
            <w:r>
              <w:t xml:space="preserve"> </w:t>
            </w:r>
            <w:r w:rsidRPr="00841C57">
              <w:rPr>
                <w:noProof/>
              </w:rPr>
              <w:t>(Robinson &amp; Coates 1995)</w:t>
            </w:r>
            <w:r w:rsidRPr="00841C57">
              <w:t>. These species co-occur on two summits, Bluff Knoll</w:t>
            </w:r>
            <w:r w:rsidR="00A93AC9">
              <w:t xml:space="preserve">/Bula </w:t>
            </w:r>
            <w:proofErr w:type="gramStart"/>
            <w:r w:rsidR="00A93AC9">
              <w:t>Meela</w:t>
            </w:r>
            <w:proofErr w:type="gramEnd"/>
            <w:r w:rsidRPr="00841C57">
              <w:t xml:space="preserve"> and Bakers Knob, noting that the </w:t>
            </w:r>
            <w:r w:rsidR="00A93AC9">
              <w:t>c</w:t>
            </w:r>
            <w:r w:rsidR="00A93AC9" w:rsidRPr="00C87B26">
              <w:t xml:space="preserve">ommon </w:t>
            </w:r>
            <w:r w:rsidR="00A93AC9">
              <w:t>m</w:t>
            </w:r>
            <w:r w:rsidR="00A93AC9" w:rsidRPr="00C87B26">
              <w:t xml:space="preserve">ountain </w:t>
            </w:r>
            <w:r w:rsidR="00A93AC9">
              <w:t>b</w:t>
            </w:r>
            <w:r w:rsidR="00A93AC9" w:rsidRPr="00C87B26">
              <w:t>ell</w:t>
            </w:r>
            <w:r w:rsidR="00A93AC9">
              <w:t xml:space="preserve"> </w:t>
            </w:r>
            <w:r w:rsidRPr="00841C57">
              <w:t xml:space="preserve">also occurs on other mountain summits and valleys </w:t>
            </w:r>
            <w:r>
              <w:t>in the</w:t>
            </w:r>
            <w:r w:rsidRPr="00841C57">
              <w:t xml:space="preserve"> Stirling Range</w:t>
            </w:r>
            <w:r>
              <w:t>/</w:t>
            </w:r>
            <w:proofErr w:type="spellStart"/>
            <w:r w:rsidRPr="000336A5">
              <w:t>Koikyenunuruff</w:t>
            </w:r>
            <w:proofErr w:type="spellEnd"/>
            <w:r>
              <w:t xml:space="preserve"> </w:t>
            </w:r>
            <w:r w:rsidRPr="00841C57">
              <w:rPr>
                <w:noProof/>
              </w:rPr>
              <w:t>(Western Australian Herbarium 1998; AVH 2020)</w:t>
            </w:r>
            <w:r w:rsidRPr="00841C57">
              <w:t>.</w:t>
            </w:r>
          </w:p>
          <w:p w14:paraId="767400AE" w14:textId="5AFCDCCB" w:rsidR="00A324E3" w:rsidRDefault="00A324E3" w:rsidP="00A324E3">
            <w:pPr>
              <w:pStyle w:val="TableText"/>
              <w:rPr>
                <w:color w:val="000000"/>
                <w:shd w:val="clear" w:color="auto" w:fill="FFFFFF"/>
              </w:rPr>
            </w:pPr>
            <w:r w:rsidRPr="00EE223D">
              <w:t xml:space="preserve">Hybridisation may increase genetic diversity and viability (genetic rescue) of the </w:t>
            </w:r>
            <w:r>
              <w:t xml:space="preserve">yellow mountain bell </w:t>
            </w:r>
            <w:r w:rsidRPr="00EE223D">
              <w:rPr>
                <w:noProof/>
              </w:rPr>
              <w:t>(Whiteley et al. 2015)</w:t>
            </w:r>
            <w:r w:rsidRPr="00EE223D">
              <w:t xml:space="preserve">. However, hybridisation could also drive the species to extinction via </w:t>
            </w:r>
            <w:r w:rsidRPr="00EE223D">
              <w:rPr>
                <w:color w:val="000000"/>
                <w:shd w:val="clear" w:color="auto" w:fill="FFFFFF"/>
              </w:rPr>
              <w:t xml:space="preserve">genetic swamping, where it is replaced by hybrids, or demographic swamping, where population numbers decline due to outbreeding depression </w:t>
            </w:r>
            <w:r w:rsidRPr="001B1357">
              <w:rPr>
                <w:noProof/>
                <w:color w:val="000000"/>
                <w:shd w:val="clear" w:color="auto" w:fill="FFFFFF"/>
              </w:rPr>
              <w:t>(Rhymer &amp; Simberloff 1996; Wolf et al. 2001; Todesco et al. 2016)</w:t>
            </w:r>
            <w:r w:rsidRPr="001B1357">
              <w:rPr>
                <w:color w:val="000000"/>
                <w:shd w:val="clear" w:color="auto" w:fill="FFFFFF"/>
              </w:rPr>
              <w:t>.</w:t>
            </w:r>
          </w:p>
          <w:p w14:paraId="1B2F3F98" w14:textId="16B71908" w:rsidR="00A324E3" w:rsidRPr="00D40E17" w:rsidRDefault="00A324E3" w:rsidP="00A324E3">
            <w:pPr>
              <w:pStyle w:val="TableText"/>
              <w:rPr>
                <w:noProof/>
                <w:highlight w:val="yellow"/>
              </w:rPr>
            </w:pPr>
            <w:r w:rsidRPr="001B1357">
              <w:t xml:space="preserve">Narrow-range endemic species are particularly vulnerable to extinction following hybridisation </w:t>
            </w:r>
            <w:r w:rsidRPr="001B1357">
              <w:rPr>
                <w:noProof/>
              </w:rPr>
              <w:t>(Wolf et al. 2001; Whiteley et al. 2015)</w:t>
            </w:r>
            <w:r>
              <w:t xml:space="preserve">, so </w:t>
            </w:r>
            <w:r w:rsidRPr="008315B2">
              <w:t xml:space="preserve">hybridisation with the </w:t>
            </w:r>
            <w:r w:rsidR="00A93AC9">
              <w:t>c</w:t>
            </w:r>
            <w:r w:rsidR="00A93AC9" w:rsidRPr="00C87B26">
              <w:t xml:space="preserve">ommon </w:t>
            </w:r>
            <w:r w:rsidR="00A93AC9">
              <w:t>m</w:t>
            </w:r>
            <w:r w:rsidR="00A93AC9" w:rsidRPr="00C87B26">
              <w:t xml:space="preserve">ountain </w:t>
            </w:r>
            <w:r w:rsidR="00A93AC9">
              <w:t>b</w:t>
            </w:r>
            <w:r w:rsidR="00A93AC9" w:rsidRPr="00C87B26">
              <w:t>ell</w:t>
            </w:r>
            <w:r w:rsidR="00A93AC9">
              <w:t xml:space="preserve"> </w:t>
            </w:r>
            <w:r w:rsidRPr="008315B2">
              <w:t xml:space="preserve">could threaten the </w:t>
            </w:r>
            <w:r>
              <w:t xml:space="preserve">yellow mountain bell. However, as both species are endemic and co-occurring, hybridisation may have limited consequences for the yellow mountain bell. This threat </w:t>
            </w:r>
            <w:r w:rsidRPr="008315B2">
              <w:t>should be investigated in more detail.</w:t>
            </w:r>
          </w:p>
        </w:tc>
      </w:tr>
    </w:tbl>
    <w:p w14:paraId="33393BE2" w14:textId="77777777" w:rsidR="00C33405" w:rsidRPr="009A615F" w:rsidRDefault="00C33405" w:rsidP="00BA5526">
      <w:pPr>
        <w:pStyle w:val="FigureTableNoteSource"/>
        <w:spacing w:before="0"/>
      </w:pPr>
      <w:bookmarkStart w:id="23" w:name="_Toc430782162"/>
      <w:bookmarkStart w:id="24" w:name="_Toc511376531"/>
      <w:proofErr w:type="spellStart"/>
      <w:r w:rsidRPr="009F4586">
        <w:rPr>
          <w:vertAlign w:val="superscript"/>
        </w:rPr>
        <w:t>a</w:t>
      </w:r>
      <w:r>
        <w:t>Timing</w:t>
      </w:r>
      <w:proofErr w:type="spellEnd"/>
      <w:r w:rsidRPr="009A615F">
        <w:t xml:space="preserve">—identify the temporal nature of the </w:t>
      </w:r>
      <w:proofErr w:type="gramStart"/>
      <w:r w:rsidRPr="009A615F">
        <w:t>threat;</w:t>
      </w:r>
      <w:proofErr w:type="gramEnd"/>
    </w:p>
    <w:p w14:paraId="35BB2298" w14:textId="77777777" w:rsidR="00C33405" w:rsidRPr="009A615F" w:rsidRDefault="00C33405" w:rsidP="00C33405">
      <w:pPr>
        <w:pStyle w:val="FigureTableNoteSource"/>
      </w:pPr>
      <w:r w:rsidRPr="009A615F">
        <w:t xml:space="preserve">Confidence—identify the extent to which we have confidence about the impact of the threat on the </w:t>
      </w:r>
      <w:proofErr w:type="gramStart"/>
      <w:r w:rsidRPr="009A615F">
        <w:t>species;</w:t>
      </w:r>
      <w:proofErr w:type="gramEnd"/>
    </w:p>
    <w:p w14:paraId="672B04B9" w14:textId="77777777" w:rsidR="00C33405" w:rsidRPr="009A615F" w:rsidRDefault="00C33405" w:rsidP="00C33405">
      <w:pPr>
        <w:pStyle w:val="FigureTableNoteSource"/>
      </w:pPr>
      <w:r w:rsidRPr="009A615F">
        <w:t xml:space="preserve">Consequence—identify the severity of the </w:t>
      </w:r>
      <w:proofErr w:type="gramStart"/>
      <w:r w:rsidRPr="009A615F">
        <w:t>threat;</w:t>
      </w:r>
      <w:proofErr w:type="gramEnd"/>
    </w:p>
    <w:p w14:paraId="78610F6F" w14:textId="77777777" w:rsidR="00C33405" w:rsidRPr="009A615F" w:rsidRDefault="00C33405" w:rsidP="00C33405">
      <w:pPr>
        <w:pStyle w:val="FigureTableNoteSource"/>
      </w:pPr>
      <w:r w:rsidRPr="009A615F">
        <w:t xml:space="preserve">Trend—identify the extent to which it will continue to operate on the </w:t>
      </w:r>
      <w:proofErr w:type="gramStart"/>
      <w:r w:rsidRPr="009A615F">
        <w:t>species;</w:t>
      </w:r>
      <w:proofErr w:type="gramEnd"/>
    </w:p>
    <w:p w14:paraId="3E9A1A8C" w14:textId="257EED9E" w:rsidR="00C33405" w:rsidRDefault="00C33405" w:rsidP="00C33405">
      <w:pPr>
        <w:pStyle w:val="FigureTableNoteSource"/>
      </w:pPr>
      <w:r w:rsidRPr="009A615F">
        <w:t>Extent—identify its spatial content in terms of the range of the species.</w:t>
      </w:r>
    </w:p>
    <w:p w14:paraId="5934964B" w14:textId="6C77E3D9" w:rsidR="00E42AA6" w:rsidRDefault="00E42AA6" w:rsidP="00E42AA6">
      <w:pPr>
        <w:pStyle w:val="FigureTableNoteSource"/>
        <w:spacing w:before="240"/>
        <w:contextualSpacing w:val="0"/>
      </w:pPr>
      <w:r w:rsidRPr="00A1653E">
        <w:rPr>
          <w:b/>
          <w:bCs/>
        </w:rPr>
        <w:t>Note</w:t>
      </w:r>
      <w:r>
        <w:t xml:space="preserve">: </w:t>
      </w:r>
      <w:r w:rsidR="00B9370C">
        <w:t>T</w:t>
      </w:r>
      <w:r>
        <w:t>hreats in Table 2 are noted in approximate order of highest to lowest impact, based on available evidence.</w:t>
      </w:r>
    </w:p>
    <w:p w14:paraId="61C5E312" w14:textId="1F35674D" w:rsidR="00E707AE" w:rsidRDefault="00BD7983" w:rsidP="005A2237">
      <w:pPr>
        <w:spacing w:before="240"/>
      </w:pPr>
      <w:r>
        <w:t xml:space="preserve">Each threat has been described </w:t>
      </w:r>
      <w:r w:rsidR="000E630E">
        <w:t xml:space="preserve">in Table </w:t>
      </w:r>
      <w:r w:rsidR="005A2237">
        <w:t>2</w:t>
      </w:r>
      <w:r w:rsidR="000E630E">
        <w:t xml:space="preserve"> </w:t>
      </w:r>
      <w:r>
        <w:t xml:space="preserve">in terms of the extent that it is operating on the species. </w:t>
      </w:r>
      <w:r w:rsidR="00F92E66">
        <w:t>The</w:t>
      </w:r>
      <w:r>
        <w:t xml:space="preserve"> risk matrix (</w:t>
      </w:r>
      <w:r w:rsidR="005A2237">
        <w:t>Table 3</w:t>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r w:rsidR="00A52764">
        <w:t>are</w:t>
      </w:r>
      <w:r>
        <w:t xml:space="preserve"> the life stage they affect; the duration of the impact; and the efficacy of curre</w:t>
      </w:r>
      <w:r w:rsidRPr="00B038DF">
        <w:t xml:space="preserve">nt management regimes, </w:t>
      </w:r>
      <w:proofErr w:type="gramStart"/>
      <w:r w:rsidRPr="00B038DF">
        <w:t>assuming that</w:t>
      </w:r>
      <w:proofErr w:type="gramEnd"/>
      <w:r w:rsidRPr="00B038DF">
        <w:t xml:space="preserve">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209674EE" w14:textId="5BFAADCB" w:rsidR="00054E07" w:rsidRDefault="00054E07" w:rsidP="00A93AC9">
      <w:pPr>
        <w:pStyle w:val="Caption"/>
        <w:keepLines/>
      </w:pPr>
      <w:r>
        <w:lastRenderedPageBreak/>
        <w:t xml:space="preserve">Table </w:t>
      </w:r>
      <w:r>
        <w:rPr>
          <w:noProof/>
        </w:rPr>
        <w:t>3</w:t>
      </w:r>
      <w:r>
        <w:t xml:space="preserve"> </w:t>
      </w:r>
      <w:r w:rsidR="00A324E3">
        <w:t xml:space="preserve">Yellow mountain bell </w:t>
      </w:r>
      <w:r>
        <w:t>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5F0C84" w14:paraId="73A7DCE5" w14:textId="77777777" w:rsidTr="00B72149">
        <w:trPr>
          <w:cantSplit/>
          <w:tblHeader/>
        </w:trPr>
        <w:tc>
          <w:tcPr>
            <w:tcW w:w="1510" w:type="dxa"/>
            <w:vMerge w:val="restart"/>
          </w:tcPr>
          <w:p w14:paraId="56C201DF" w14:textId="77777777" w:rsidR="005F0C84" w:rsidRDefault="005F0C84" w:rsidP="00A93AC9">
            <w:pPr>
              <w:pStyle w:val="TableHeading"/>
              <w:keepLines/>
            </w:pPr>
            <w:r>
              <w:t>Likelihood</w:t>
            </w:r>
          </w:p>
        </w:tc>
        <w:tc>
          <w:tcPr>
            <w:tcW w:w="7550" w:type="dxa"/>
            <w:gridSpan w:val="5"/>
          </w:tcPr>
          <w:p w14:paraId="6BCEB2A2" w14:textId="77777777" w:rsidR="005F0C84" w:rsidRDefault="005F0C84" w:rsidP="00A93AC9">
            <w:pPr>
              <w:pStyle w:val="TableHeading"/>
              <w:keepLines/>
            </w:pPr>
            <w:r>
              <w:t>Consequences</w:t>
            </w:r>
          </w:p>
        </w:tc>
      </w:tr>
      <w:tr w:rsidR="005F0C84" w14:paraId="4E315474" w14:textId="77777777" w:rsidTr="00B72149">
        <w:trPr>
          <w:cantSplit/>
          <w:tblHeader/>
        </w:trPr>
        <w:tc>
          <w:tcPr>
            <w:tcW w:w="1510" w:type="dxa"/>
            <w:vMerge/>
          </w:tcPr>
          <w:p w14:paraId="09D23AB3" w14:textId="77777777" w:rsidR="005F0C84" w:rsidRDefault="005F0C84" w:rsidP="00A93AC9">
            <w:pPr>
              <w:pStyle w:val="TableHeading"/>
              <w:keepLines/>
            </w:pPr>
          </w:p>
        </w:tc>
        <w:tc>
          <w:tcPr>
            <w:tcW w:w="1510" w:type="dxa"/>
          </w:tcPr>
          <w:p w14:paraId="6122A218" w14:textId="77777777" w:rsidR="005F0C84" w:rsidRDefault="005F0C84" w:rsidP="00A93AC9">
            <w:pPr>
              <w:pStyle w:val="TableHeading"/>
              <w:keepLines/>
            </w:pPr>
            <w:r>
              <w:t>Not significant</w:t>
            </w:r>
          </w:p>
        </w:tc>
        <w:tc>
          <w:tcPr>
            <w:tcW w:w="1510" w:type="dxa"/>
          </w:tcPr>
          <w:p w14:paraId="08B14DFC" w14:textId="77777777" w:rsidR="005F0C84" w:rsidRDefault="005F0C84" w:rsidP="00A93AC9">
            <w:pPr>
              <w:pStyle w:val="TableHeading"/>
              <w:keepLines/>
            </w:pPr>
            <w:r>
              <w:t>Minor</w:t>
            </w:r>
          </w:p>
        </w:tc>
        <w:tc>
          <w:tcPr>
            <w:tcW w:w="1510" w:type="dxa"/>
          </w:tcPr>
          <w:p w14:paraId="1509792B" w14:textId="77777777" w:rsidR="005F0C84" w:rsidRDefault="005F0C84" w:rsidP="00A93AC9">
            <w:pPr>
              <w:pStyle w:val="TableHeading"/>
              <w:keepLines/>
            </w:pPr>
            <w:r>
              <w:t>Moderate</w:t>
            </w:r>
          </w:p>
        </w:tc>
        <w:tc>
          <w:tcPr>
            <w:tcW w:w="1510" w:type="dxa"/>
          </w:tcPr>
          <w:p w14:paraId="277A1813" w14:textId="77777777" w:rsidR="005F0C84" w:rsidRDefault="005F0C84" w:rsidP="00A93AC9">
            <w:pPr>
              <w:pStyle w:val="TableHeading"/>
              <w:keepLines/>
            </w:pPr>
            <w:r>
              <w:t>Major</w:t>
            </w:r>
          </w:p>
        </w:tc>
        <w:tc>
          <w:tcPr>
            <w:tcW w:w="1510" w:type="dxa"/>
          </w:tcPr>
          <w:p w14:paraId="11FA6640" w14:textId="77777777" w:rsidR="005F0C84" w:rsidRDefault="005F0C84" w:rsidP="00A93AC9">
            <w:pPr>
              <w:pStyle w:val="TableHeading"/>
              <w:keepLines/>
            </w:pPr>
            <w:r>
              <w:t>Catastrophic</w:t>
            </w:r>
          </w:p>
        </w:tc>
      </w:tr>
      <w:tr w:rsidR="005F0C84" w:rsidRPr="00A05B98" w14:paraId="39FB8FF7" w14:textId="77777777" w:rsidTr="00B72149">
        <w:tc>
          <w:tcPr>
            <w:tcW w:w="1510" w:type="dxa"/>
          </w:tcPr>
          <w:p w14:paraId="5581D09D" w14:textId="77777777" w:rsidR="005F0C84" w:rsidRPr="00774EAA" w:rsidRDefault="005F0C84" w:rsidP="00A93AC9">
            <w:pPr>
              <w:pStyle w:val="TableText"/>
              <w:keepNext/>
              <w:keepLines/>
              <w:rPr>
                <w:rStyle w:val="Strong"/>
              </w:rPr>
            </w:pPr>
            <w:r w:rsidRPr="00774EAA">
              <w:rPr>
                <w:rStyle w:val="Strong"/>
              </w:rPr>
              <w:t>Almost certain</w:t>
            </w:r>
          </w:p>
        </w:tc>
        <w:tc>
          <w:tcPr>
            <w:tcW w:w="1510" w:type="dxa"/>
            <w:shd w:val="clear" w:color="auto" w:fill="C2D69B" w:themeFill="accent3" w:themeFillTint="99"/>
          </w:tcPr>
          <w:p w14:paraId="702CF524" w14:textId="77777777" w:rsidR="005F0C84" w:rsidRPr="00A13840" w:rsidRDefault="005F0C84" w:rsidP="00A93AC9">
            <w:pPr>
              <w:pStyle w:val="TableText"/>
              <w:keepNext/>
              <w:keepLines/>
            </w:pPr>
            <w:r w:rsidRPr="00A13840">
              <w:t>Low risk</w:t>
            </w:r>
          </w:p>
        </w:tc>
        <w:tc>
          <w:tcPr>
            <w:tcW w:w="1510" w:type="dxa"/>
            <w:shd w:val="clear" w:color="auto" w:fill="8DB3E2" w:themeFill="text2" w:themeFillTint="66"/>
          </w:tcPr>
          <w:p w14:paraId="3BC0A098" w14:textId="3574D1A8" w:rsidR="005F0C84" w:rsidRPr="00F2718E" w:rsidRDefault="005F0C84" w:rsidP="00A93AC9">
            <w:pPr>
              <w:pStyle w:val="TableText"/>
              <w:keepNext/>
              <w:keepLines/>
            </w:pPr>
            <w:r w:rsidRPr="00F2718E">
              <w:t>Moderate ris</w:t>
            </w:r>
            <w:r w:rsidR="00A13840" w:rsidRPr="00F2718E">
              <w:t>k</w:t>
            </w:r>
          </w:p>
        </w:tc>
        <w:tc>
          <w:tcPr>
            <w:tcW w:w="1510" w:type="dxa"/>
            <w:shd w:val="clear" w:color="auto" w:fill="D99594" w:themeFill="accent2" w:themeFillTint="99"/>
          </w:tcPr>
          <w:p w14:paraId="71F155A8" w14:textId="77777777" w:rsidR="005F0C84" w:rsidRPr="00F2718E" w:rsidRDefault="005F0C84" w:rsidP="00A93AC9">
            <w:pPr>
              <w:pStyle w:val="TableText"/>
              <w:keepNext/>
              <w:keepLines/>
            </w:pPr>
            <w:r w:rsidRPr="00F2718E">
              <w:t>Very high risk</w:t>
            </w:r>
          </w:p>
          <w:p w14:paraId="67DDAB67" w14:textId="7B2B0C5B" w:rsidR="00F2718E" w:rsidRPr="00F2718E" w:rsidRDefault="00F2718E" w:rsidP="00A93AC9">
            <w:pPr>
              <w:pStyle w:val="TableText"/>
              <w:keepNext/>
              <w:keepLines/>
            </w:pPr>
          </w:p>
        </w:tc>
        <w:tc>
          <w:tcPr>
            <w:tcW w:w="1510" w:type="dxa"/>
            <w:shd w:val="clear" w:color="auto" w:fill="D99594" w:themeFill="accent2" w:themeFillTint="99"/>
          </w:tcPr>
          <w:p w14:paraId="2668268B" w14:textId="77777777" w:rsidR="00D218E3" w:rsidRDefault="005F0C84" w:rsidP="00A93AC9">
            <w:pPr>
              <w:pStyle w:val="TableText"/>
              <w:keepNext/>
              <w:keepLines/>
            </w:pPr>
            <w:r w:rsidRPr="00B12BCF">
              <w:t>Very high risk</w:t>
            </w:r>
          </w:p>
          <w:p w14:paraId="232655C8" w14:textId="77777777" w:rsidR="00CC2ABC" w:rsidRDefault="00CC2ABC" w:rsidP="00A93AC9">
            <w:pPr>
              <w:pStyle w:val="TableText"/>
              <w:keepNext/>
              <w:keepLines/>
              <w:rPr>
                <w:b/>
                <w:bCs/>
              </w:rPr>
            </w:pPr>
            <w:r w:rsidRPr="00CC2ABC">
              <w:rPr>
                <w:b/>
                <w:bCs/>
              </w:rPr>
              <w:t>Increased temperatures and change to precipitation patterns</w:t>
            </w:r>
          </w:p>
          <w:p w14:paraId="722CAA3F" w14:textId="3D860495" w:rsidR="002E6C50" w:rsidRPr="00CC2ABC" w:rsidRDefault="002E6C50" w:rsidP="00A93AC9">
            <w:pPr>
              <w:pStyle w:val="TableText"/>
              <w:keepNext/>
              <w:keepLines/>
              <w:rPr>
                <w:b/>
                <w:bCs/>
                <w:highlight w:val="green"/>
              </w:rPr>
            </w:pPr>
            <w:r w:rsidRPr="00F2718E">
              <w:rPr>
                <w:b/>
                <w:bCs/>
              </w:rPr>
              <w:t xml:space="preserve">Browsing by </w:t>
            </w:r>
            <w:r w:rsidRPr="00A93AC9">
              <w:rPr>
                <w:b/>
                <w:bCs/>
              </w:rPr>
              <w:t>quokka</w:t>
            </w:r>
          </w:p>
        </w:tc>
        <w:tc>
          <w:tcPr>
            <w:tcW w:w="1510" w:type="dxa"/>
            <w:shd w:val="clear" w:color="auto" w:fill="D99594" w:themeFill="accent2" w:themeFillTint="99"/>
          </w:tcPr>
          <w:p w14:paraId="565D2613" w14:textId="77777777" w:rsidR="005F0C84" w:rsidRDefault="005F0C84" w:rsidP="00A93AC9">
            <w:pPr>
              <w:pStyle w:val="TableText"/>
              <w:keepNext/>
              <w:keepLines/>
            </w:pPr>
            <w:r w:rsidRPr="00085401">
              <w:t>Very high risk</w:t>
            </w:r>
          </w:p>
          <w:p w14:paraId="2B320BCD" w14:textId="4E8A89CF" w:rsidR="00085401" w:rsidRPr="00085401" w:rsidRDefault="00085401" w:rsidP="00A93AC9">
            <w:pPr>
              <w:pStyle w:val="TableText"/>
              <w:keepNext/>
              <w:keepLines/>
            </w:pPr>
            <w:r w:rsidRPr="00B12BCF">
              <w:rPr>
                <w:b/>
                <w:bCs/>
              </w:rPr>
              <w:t xml:space="preserve">Dieback caused by </w:t>
            </w:r>
            <w:r w:rsidRPr="00B12BCF">
              <w:rPr>
                <w:b/>
                <w:bCs/>
                <w:i/>
                <w:iCs/>
              </w:rPr>
              <w:t>P. cinnamomi</w:t>
            </w:r>
          </w:p>
        </w:tc>
      </w:tr>
      <w:tr w:rsidR="005F0C84" w14:paraId="3F8701F5" w14:textId="77777777" w:rsidTr="00B72149">
        <w:tc>
          <w:tcPr>
            <w:tcW w:w="1510" w:type="dxa"/>
          </w:tcPr>
          <w:p w14:paraId="02CEBE11" w14:textId="77777777" w:rsidR="005F0C84" w:rsidRPr="00774EAA" w:rsidRDefault="005F0C84" w:rsidP="00A93AC9">
            <w:pPr>
              <w:pStyle w:val="TableText"/>
              <w:keepNext/>
              <w:keepLines/>
              <w:rPr>
                <w:rStyle w:val="Strong"/>
              </w:rPr>
            </w:pPr>
            <w:r w:rsidRPr="00774EAA">
              <w:rPr>
                <w:rStyle w:val="Strong"/>
              </w:rPr>
              <w:t>Likely</w:t>
            </w:r>
          </w:p>
        </w:tc>
        <w:tc>
          <w:tcPr>
            <w:tcW w:w="1510" w:type="dxa"/>
            <w:shd w:val="clear" w:color="auto" w:fill="C2D69B" w:themeFill="accent3" w:themeFillTint="99"/>
          </w:tcPr>
          <w:p w14:paraId="505E42A7" w14:textId="77777777" w:rsidR="005F0C84" w:rsidRDefault="005F0C84" w:rsidP="00A93AC9">
            <w:pPr>
              <w:pStyle w:val="TableText"/>
              <w:keepNext/>
              <w:keepLines/>
            </w:pPr>
            <w:r>
              <w:t>Low risk</w:t>
            </w:r>
          </w:p>
        </w:tc>
        <w:tc>
          <w:tcPr>
            <w:tcW w:w="1510" w:type="dxa"/>
            <w:shd w:val="clear" w:color="auto" w:fill="8DB3E2" w:themeFill="text2" w:themeFillTint="66"/>
          </w:tcPr>
          <w:p w14:paraId="52F0A7D7" w14:textId="77777777" w:rsidR="005F0C84" w:rsidRDefault="005F0C84" w:rsidP="00A93AC9">
            <w:pPr>
              <w:pStyle w:val="TableText"/>
              <w:keepNext/>
              <w:keepLines/>
              <w:rPr>
                <w:b/>
                <w:bCs/>
              </w:rPr>
            </w:pPr>
            <w:r w:rsidRPr="002766F2">
              <w:t>Moderate risk</w:t>
            </w:r>
            <w:r w:rsidRPr="002766F2">
              <w:rPr>
                <w:b/>
                <w:bCs/>
              </w:rPr>
              <w:t xml:space="preserve"> </w:t>
            </w:r>
          </w:p>
          <w:p w14:paraId="08DE1360" w14:textId="6C16B800" w:rsidR="00165398" w:rsidRPr="002C7467" w:rsidRDefault="00165398" w:rsidP="00A93AC9">
            <w:pPr>
              <w:pStyle w:val="TableText"/>
              <w:keepNext/>
              <w:keepLines/>
              <w:rPr>
                <w:b/>
                <w:bCs/>
              </w:rPr>
            </w:pPr>
            <w:r w:rsidRPr="00F347CF">
              <w:rPr>
                <w:b/>
                <w:bCs/>
              </w:rPr>
              <w:t>Damage from recreational activities</w:t>
            </w:r>
            <w:r w:rsidR="00627E45">
              <w:rPr>
                <w:b/>
                <w:bCs/>
              </w:rPr>
              <w:t>`</w:t>
            </w:r>
          </w:p>
        </w:tc>
        <w:tc>
          <w:tcPr>
            <w:tcW w:w="1510" w:type="dxa"/>
            <w:shd w:val="clear" w:color="auto" w:fill="FFFF00"/>
          </w:tcPr>
          <w:p w14:paraId="1100B2B7" w14:textId="779DDCAC" w:rsidR="005F0C84" w:rsidRPr="00165398" w:rsidRDefault="005F0C84" w:rsidP="00A93AC9">
            <w:pPr>
              <w:pStyle w:val="TableText"/>
              <w:keepNext/>
              <w:keepLines/>
            </w:pPr>
            <w:r w:rsidRPr="00F347CF">
              <w:t>High risk</w:t>
            </w:r>
          </w:p>
        </w:tc>
        <w:tc>
          <w:tcPr>
            <w:tcW w:w="1510" w:type="dxa"/>
            <w:shd w:val="clear" w:color="auto" w:fill="D99594" w:themeFill="accent2" w:themeFillTint="99"/>
          </w:tcPr>
          <w:p w14:paraId="1906C5A9" w14:textId="71AD9F8B" w:rsidR="005F0C84" w:rsidRPr="00085401" w:rsidRDefault="005F0C84" w:rsidP="00A93AC9">
            <w:pPr>
              <w:pStyle w:val="TableText"/>
              <w:keepNext/>
              <w:keepLines/>
            </w:pPr>
            <w:r w:rsidRPr="00BB49D0">
              <w:t>Very high risk</w:t>
            </w:r>
          </w:p>
        </w:tc>
        <w:tc>
          <w:tcPr>
            <w:tcW w:w="1510" w:type="dxa"/>
            <w:shd w:val="clear" w:color="auto" w:fill="D99594" w:themeFill="accent2" w:themeFillTint="99"/>
          </w:tcPr>
          <w:p w14:paraId="304946E2" w14:textId="00C03628" w:rsidR="005F0C84" w:rsidRDefault="005F0C84" w:rsidP="00A93AC9">
            <w:pPr>
              <w:pStyle w:val="TableText"/>
              <w:keepNext/>
              <w:keepLines/>
            </w:pPr>
            <w:r w:rsidRPr="002766F2">
              <w:t>Very high risk</w:t>
            </w:r>
          </w:p>
          <w:p w14:paraId="33D9A476" w14:textId="716E42F0" w:rsidR="00085401" w:rsidRPr="002766F2" w:rsidRDefault="00DE41FE" w:rsidP="00A93AC9">
            <w:pPr>
              <w:pStyle w:val="TableText"/>
              <w:keepNext/>
              <w:keepLines/>
            </w:pPr>
            <w:r w:rsidRPr="00CC2ABC">
              <w:rPr>
                <w:b/>
                <w:bCs/>
              </w:rPr>
              <w:t>Inappropriate fire regimes</w:t>
            </w:r>
          </w:p>
        </w:tc>
      </w:tr>
      <w:tr w:rsidR="005F0C84" w14:paraId="6F30809F" w14:textId="77777777" w:rsidTr="00B72149">
        <w:tc>
          <w:tcPr>
            <w:tcW w:w="1510" w:type="dxa"/>
          </w:tcPr>
          <w:p w14:paraId="3962EB99" w14:textId="77777777" w:rsidR="005F0C84" w:rsidRPr="00774EAA" w:rsidRDefault="005F0C84" w:rsidP="00A93AC9">
            <w:pPr>
              <w:pStyle w:val="TableText"/>
              <w:keepNext/>
              <w:keepLines/>
              <w:rPr>
                <w:rStyle w:val="Strong"/>
              </w:rPr>
            </w:pPr>
            <w:r w:rsidRPr="00774EAA">
              <w:rPr>
                <w:rStyle w:val="Strong"/>
              </w:rPr>
              <w:t>Possible</w:t>
            </w:r>
          </w:p>
        </w:tc>
        <w:tc>
          <w:tcPr>
            <w:tcW w:w="1510" w:type="dxa"/>
            <w:shd w:val="clear" w:color="auto" w:fill="C2D69B" w:themeFill="accent3" w:themeFillTint="99"/>
          </w:tcPr>
          <w:p w14:paraId="22F50D06" w14:textId="77777777" w:rsidR="005F0C84" w:rsidRDefault="005F0C84" w:rsidP="00A93AC9">
            <w:pPr>
              <w:pStyle w:val="TableText"/>
              <w:keepNext/>
              <w:keepLines/>
            </w:pPr>
            <w:r>
              <w:t>Low risk</w:t>
            </w:r>
          </w:p>
        </w:tc>
        <w:tc>
          <w:tcPr>
            <w:tcW w:w="1510" w:type="dxa"/>
            <w:shd w:val="clear" w:color="auto" w:fill="8DB3E2" w:themeFill="text2" w:themeFillTint="66"/>
          </w:tcPr>
          <w:p w14:paraId="2E015AC0" w14:textId="1CB280E8" w:rsidR="005F0C84" w:rsidRDefault="005F0C84" w:rsidP="00A93AC9">
            <w:pPr>
              <w:pStyle w:val="TableText"/>
              <w:keepNext/>
              <w:keepLines/>
            </w:pPr>
            <w:r w:rsidRPr="002766F2">
              <w:t>Moderate risk</w:t>
            </w:r>
          </w:p>
          <w:p w14:paraId="05033ABD" w14:textId="63D8F393" w:rsidR="005F0C84" w:rsidRPr="002766F2" w:rsidRDefault="00BB49D0" w:rsidP="00A93AC9">
            <w:pPr>
              <w:pStyle w:val="TableText"/>
              <w:keepNext/>
              <w:keepLines/>
            </w:pPr>
            <w:r w:rsidRPr="00BB49D0">
              <w:rPr>
                <w:b/>
                <w:bCs/>
              </w:rPr>
              <w:t xml:space="preserve">Grazing by </w:t>
            </w:r>
            <w:r w:rsidR="00A93AC9">
              <w:rPr>
                <w:b/>
                <w:bCs/>
              </w:rPr>
              <w:t>r</w:t>
            </w:r>
            <w:r w:rsidRPr="00BB49D0">
              <w:rPr>
                <w:b/>
                <w:bCs/>
              </w:rPr>
              <w:t>abbits</w:t>
            </w:r>
          </w:p>
        </w:tc>
        <w:tc>
          <w:tcPr>
            <w:tcW w:w="1510" w:type="dxa"/>
            <w:shd w:val="clear" w:color="auto" w:fill="FFFF00"/>
          </w:tcPr>
          <w:p w14:paraId="6C853DB4" w14:textId="34C69CCF" w:rsidR="005F0C84" w:rsidRPr="002C7467" w:rsidRDefault="005F0C84" w:rsidP="00A93AC9">
            <w:pPr>
              <w:pStyle w:val="TableText"/>
              <w:keepNext/>
              <w:keepLines/>
            </w:pPr>
            <w:r w:rsidRPr="00F347CF">
              <w:t>High risk</w:t>
            </w:r>
          </w:p>
        </w:tc>
        <w:tc>
          <w:tcPr>
            <w:tcW w:w="1510" w:type="dxa"/>
            <w:shd w:val="clear" w:color="auto" w:fill="D99594" w:themeFill="accent2" w:themeFillTint="99"/>
          </w:tcPr>
          <w:p w14:paraId="692F490D" w14:textId="77777777" w:rsidR="005F0C84" w:rsidRDefault="005F0C84" w:rsidP="00A93AC9">
            <w:pPr>
              <w:pStyle w:val="TableText"/>
              <w:keepNext/>
              <w:keepLines/>
            </w:pPr>
            <w:r w:rsidRPr="002766F2">
              <w:t>Very high risk</w:t>
            </w:r>
          </w:p>
          <w:p w14:paraId="4E9D146E" w14:textId="5FD6FB76" w:rsidR="00BB796D" w:rsidRPr="00BB796D" w:rsidRDefault="00BB796D" w:rsidP="00A93AC9">
            <w:pPr>
              <w:pStyle w:val="TableText"/>
              <w:keepNext/>
              <w:keepLines/>
              <w:rPr>
                <w:b/>
                <w:bCs/>
              </w:rPr>
            </w:pPr>
            <w:r w:rsidRPr="00BB796D">
              <w:rPr>
                <w:b/>
                <w:bCs/>
              </w:rPr>
              <w:t xml:space="preserve">Myrtle </w:t>
            </w:r>
            <w:r w:rsidR="00DF2ADF">
              <w:rPr>
                <w:b/>
                <w:bCs/>
              </w:rPr>
              <w:t>r</w:t>
            </w:r>
            <w:r w:rsidRPr="00BB796D">
              <w:rPr>
                <w:b/>
                <w:bCs/>
              </w:rPr>
              <w:t>ust</w:t>
            </w:r>
          </w:p>
        </w:tc>
        <w:tc>
          <w:tcPr>
            <w:tcW w:w="1510" w:type="dxa"/>
            <w:shd w:val="clear" w:color="auto" w:fill="D99594" w:themeFill="accent2" w:themeFillTint="99"/>
          </w:tcPr>
          <w:p w14:paraId="7B25AB7B" w14:textId="77777777" w:rsidR="005F0C84" w:rsidRPr="002766F2" w:rsidRDefault="005F0C84" w:rsidP="00A93AC9">
            <w:pPr>
              <w:pStyle w:val="TableText"/>
              <w:keepNext/>
              <w:keepLines/>
            </w:pPr>
            <w:r w:rsidRPr="002766F2">
              <w:t>Very high risk</w:t>
            </w:r>
          </w:p>
        </w:tc>
      </w:tr>
      <w:tr w:rsidR="005F0C84" w14:paraId="5797EA9A" w14:textId="77777777" w:rsidTr="00B72149">
        <w:tc>
          <w:tcPr>
            <w:tcW w:w="1510" w:type="dxa"/>
          </w:tcPr>
          <w:p w14:paraId="32C3462E" w14:textId="77777777" w:rsidR="005F0C84" w:rsidRPr="00774EAA" w:rsidRDefault="005F0C84" w:rsidP="00A93AC9">
            <w:pPr>
              <w:pStyle w:val="TableText"/>
              <w:keepNext/>
              <w:keepLines/>
              <w:rPr>
                <w:rStyle w:val="Strong"/>
              </w:rPr>
            </w:pPr>
            <w:r w:rsidRPr="00774EAA">
              <w:rPr>
                <w:rStyle w:val="Strong"/>
              </w:rPr>
              <w:t>Unlikely</w:t>
            </w:r>
          </w:p>
        </w:tc>
        <w:tc>
          <w:tcPr>
            <w:tcW w:w="1510" w:type="dxa"/>
            <w:shd w:val="clear" w:color="auto" w:fill="C2D69B" w:themeFill="accent3" w:themeFillTint="99"/>
          </w:tcPr>
          <w:p w14:paraId="08681447" w14:textId="77777777" w:rsidR="005F0C84" w:rsidRPr="00787E62" w:rsidRDefault="005F0C84" w:rsidP="00A93AC9">
            <w:pPr>
              <w:pStyle w:val="TableText"/>
              <w:keepNext/>
              <w:keepLines/>
              <w:rPr>
                <w:b/>
                <w:bCs/>
              </w:rPr>
            </w:pPr>
            <w:r>
              <w:t>Low risk</w:t>
            </w:r>
          </w:p>
        </w:tc>
        <w:tc>
          <w:tcPr>
            <w:tcW w:w="1510" w:type="dxa"/>
            <w:shd w:val="clear" w:color="auto" w:fill="C2D69B" w:themeFill="accent3" w:themeFillTint="99"/>
          </w:tcPr>
          <w:p w14:paraId="1BDE98CC" w14:textId="77777777" w:rsidR="005F0C84" w:rsidRPr="002766F2" w:rsidRDefault="005F0C84" w:rsidP="00A93AC9">
            <w:pPr>
              <w:pStyle w:val="TableText"/>
              <w:keepNext/>
              <w:keepLines/>
            </w:pPr>
            <w:r w:rsidRPr="002766F2">
              <w:t>Low risk</w:t>
            </w:r>
          </w:p>
        </w:tc>
        <w:tc>
          <w:tcPr>
            <w:tcW w:w="1510" w:type="dxa"/>
            <w:shd w:val="clear" w:color="auto" w:fill="8DB3E2" w:themeFill="text2" w:themeFillTint="66"/>
          </w:tcPr>
          <w:p w14:paraId="45989C02" w14:textId="77777777" w:rsidR="005F0C84" w:rsidRPr="006C6D63" w:rsidRDefault="005F0C84" w:rsidP="00A93AC9">
            <w:pPr>
              <w:pStyle w:val="TableText"/>
              <w:keepNext/>
              <w:keepLines/>
            </w:pPr>
            <w:r w:rsidRPr="006C6D63">
              <w:t>Moderate risk</w:t>
            </w:r>
          </w:p>
          <w:p w14:paraId="0AA5C0A9" w14:textId="77777777" w:rsidR="005F0C84" w:rsidRPr="00A90E58" w:rsidRDefault="005F0C84" w:rsidP="00A93AC9">
            <w:pPr>
              <w:pStyle w:val="TableText"/>
              <w:keepNext/>
              <w:keepLines/>
              <w:rPr>
                <w:highlight w:val="yellow"/>
              </w:rPr>
            </w:pPr>
            <w:r w:rsidRPr="006C6D63">
              <w:rPr>
                <w:b/>
                <w:bCs/>
              </w:rPr>
              <w:t>Weed invasion</w:t>
            </w:r>
          </w:p>
        </w:tc>
        <w:tc>
          <w:tcPr>
            <w:tcW w:w="1510" w:type="dxa"/>
            <w:shd w:val="clear" w:color="auto" w:fill="FFFF00"/>
          </w:tcPr>
          <w:p w14:paraId="5D2FBFF8" w14:textId="69B9EC7E" w:rsidR="005F0C84" w:rsidRPr="00105A64" w:rsidRDefault="005F0C84" w:rsidP="00A93AC9">
            <w:pPr>
              <w:pStyle w:val="TableText"/>
              <w:keepNext/>
              <w:keepLines/>
              <w:rPr>
                <w:highlight w:val="green"/>
              </w:rPr>
            </w:pPr>
            <w:r w:rsidRPr="00BB49D0">
              <w:t>High risk</w:t>
            </w:r>
          </w:p>
        </w:tc>
        <w:tc>
          <w:tcPr>
            <w:tcW w:w="1510" w:type="dxa"/>
            <w:shd w:val="clear" w:color="auto" w:fill="D99594" w:themeFill="accent2" w:themeFillTint="99"/>
          </w:tcPr>
          <w:p w14:paraId="0BE47CE4" w14:textId="77777777" w:rsidR="005F0C84" w:rsidRPr="002766F2" w:rsidRDefault="005F0C84" w:rsidP="00A93AC9">
            <w:pPr>
              <w:pStyle w:val="TableText"/>
              <w:keepNext/>
              <w:keepLines/>
            </w:pPr>
            <w:r w:rsidRPr="002766F2">
              <w:t>Very high risk</w:t>
            </w:r>
          </w:p>
        </w:tc>
      </w:tr>
      <w:tr w:rsidR="005F0C84" w14:paraId="429402DE" w14:textId="77777777" w:rsidTr="00B72149">
        <w:tc>
          <w:tcPr>
            <w:tcW w:w="1510" w:type="dxa"/>
          </w:tcPr>
          <w:p w14:paraId="7A10037D" w14:textId="77777777" w:rsidR="005F0C84" w:rsidRPr="00774EAA" w:rsidRDefault="005F0C84" w:rsidP="00A93AC9">
            <w:pPr>
              <w:pStyle w:val="TableText"/>
              <w:keepNext/>
              <w:keepLines/>
              <w:rPr>
                <w:rStyle w:val="Strong"/>
              </w:rPr>
            </w:pPr>
            <w:r w:rsidRPr="00774EAA">
              <w:rPr>
                <w:rStyle w:val="Strong"/>
              </w:rPr>
              <w:t>Unknown</w:t>
            </w:r>
          </w:p>
        </w:tc>
        <w:tc>
          <w:tcPr>
            <w:tcW w:w="1510" w:type="dxa"/>
            <w:shd w:val="clear" w:color="auto" w:fill="C2D69B" w:themeFill="accent3" w:themeFillTint="99"/>
          </w:tcPr>
          <w:p w14:paraId="5362C1AE" w14:textId="77777777" w:rsidR="005F0C84" w:rsidRDefault="005F0C84" w:rsidP="00A93AC9">
            <w:pPr>
              <w:pStyle w:val="TableText"/>
              <w:keepNext/>
              <w:keepLines/>
            </w:pPr>
            <w:r>
              <w:t>Low risk</w:t>
            </w:r>
          </w:p>
        </w:tc>
        <w:tc>
          <w:tcPr>
            <w:tcW w:w="1510" w:type="dxa"/>
            <w:shd w:val="clear" w:color="auto" w:fill="C2D69B" w:themeFill="accent3" w:themeFillTint="99"/>
          </w:tcPr>
          <w:p w14:paraId="0EAD0003" w14:textId="77777777" w:rsidR="005F0C84" w:rsidRDefault="005F0C84" w:rsidP="00A93AC9">
            <w:pPr>
              <w:pStyle w:val="TableText"/>
              <w:keepNext/>
              <w:keepLines/>
            </w:pPr>
            <w:r>
              <w:t>Low risk</w:t>
            </w:r>
          </w:p>
        </w:tc>
        <w:tc>
          <w:tcPr>
            <w:tcW w:w="1510" w:type="dxa"/>
            <w:shd w:val="clear" w:color="auto" w:fill="8DB3E2" w:themeFill="text2" w:themeFillTint="66"/>
          </w:tcPr>
          <w:p w14:paraId="1DE637BA" w14:textId="77777777" w:rsidR="005F0C84" w:rsidRDefault="005F0C84" w:rsidP="00A93AC9">
            <w:pPr>
              <w:pStyle w:val="TableText"/>
              <w:keepNext/>
              <w:keepLines/>
            </w:pPr>
            <w:r>
              <w:t>Moderate risk</w:t>
            </w:r>
          </w:p>
        </w:tc>
        <w:tc>
          <w:tcPr>
            <w:tcW w:w="1510" w:type="dxa"/>
            <w:shd w:val="clear" w:color="auto" w:fill="FFFF00"/>
          </w:tcPr>
          <w:p w14:paraId="23F49CBC" w14:textId="77777777" w:rsidR="005F0C84" w:rsidRDefault="005F0C84" w:rsidP="00A93AC9">
            <w:pPr>
              <w:pStyle w:val="TableText"/>
              <w:keepNext/>
              <w:keepLines/>
            </w:pPr>
            <w:r>
              <w:t>High risk</w:t>
            </w:r>
          </w:p>
        </w:tc>
        <w:tc>
          <w:tcPr>
            <w:tcW w:w="1510" w:type="dxa"/>
            <w:shd w:val="clear" w:color="auto" w:fill="D99594" w:themeFill="accent2" w:themeFillTint="99"/>
          </w:tcPr>
          <w:p w14:paraId="7A2D9AAE" w14:textId="77777777" w:rsidR="005F0C84" w:rsidRDefault="005F0C84" w:rsidP="00A93AC9">
            <w:pPr>
              <w:pStyle w:val="TableText"/>
              <w:keepNext/>
              <w:keepLines/>
            </w:pPr>
            <w:r>
              <w:t>Very high risk</w:t>
            </w:r>
          </w:p>
        </w:tc>
      </w:tr>
    </w:tbl>
    <w:p w14:paraId="75AAA872" w14:textId="2E0ADA17" w:rsidR="00697607" w:rsidRPr="00C33405" w:rsidRDefault="00697607" w:rsidP="00C33405">
      <w:pPr>
        <w:pStyle w:val="FigureTableNoteSource"/>
        <w:rPr>
          <w:b/>
          <w:bCs/>
        </w:rPr>
      </w:pPr>
      <w:bookmarkStart w:id="25" w:name="_Hlk82421799"/>
      <w:r w:rsidRPr="00C33405">
        <w:rPr>
          <w:b/>
          <w:bCs/>
        </w:rPr>
        <w:t>Categories for likelihood are defined as follows:</w:t>
      </w:r>
    </w:p>
    <w:p w14:paraId="2F0D0CAF" w14:textId="77777777" w:rsidR="00697607" w:rsidRDefault="00697607" w:rsidP="00C33405">
      <w:pPr>
        <w:pStyle w:val="FigureTableNoteSource"/>
      </w:pPr>
      <w:r>
        <w:t>Almost certain – expected to occur every year</w:t>
      </w:r>
    </w:p>
    <w:p w14:paraId="22AC6560" w14:textId="1B194BBB" w:rsidR="00697607" w:rsidRDefault="00697607" w:rsidP="00C33405">
      <w:pPr>
        <w:pStyle w:val="FigureTableNoteSource"/>
      </w:pPr>
      <w:r>
        <w:t>L</w:t>
      </w:r>
      <w:r w:rsidR="0094468A">
        <w:t>i</w:t>
      </w:r>
      <w:r>
        <w:t>kely – expected to occur at least once every five years</w:t>
      </w:r>
    </w:p>
    <w:p w14:paraId="4AB9D882" w14:textId="77777777" w:rsidR="00697607" w:rsidRDefault="00697607" w:rsidP="00C33405">
      <w:pPr>
        <w:pStyle w:val="FigureTableNoteSource"/>
      </w:pPr>
      <w:r>
        <w:t>Possible – might occur at some time</w:t>
      </w:r>
    </w:p>
    <w:p w14:paraId="56B3DBC0" w14:textId="77777777" w:rsidR="00697607" w:rsidRDefault="00697607" w:rsidP="00C33405">
      <w:pPr>
        <w:pStyle w:val="FigureTableNoteSource"/>
      </w:pPr>
      <w:r>
        <w:t>Unlikely – such events are known to have occurred on a worldwide bases but only a few ties</w:t>
      </w:r>
    </w:p>
    <w:p w14:paraId="4D023D80" w14:textId="3C5996A6" w:rsidR="00697607" w:rsidRDefault="00697607" w:rsidP="00C33405">
      <w:pPr>
        <w:pStyle w:val="FigureTableNoteSource"/>
        <w:contextualSpacing w:val="0"/>
      </w:pPr>
      <w:r>
        <w:t>Unknown –</w:t>
      </w:r>
      <w:r w:rsidR="00B26068">
        <w:t xml:space="preserve"> </w:t>
      </w:r>
      <w:r>
        <w:t>currently unknown how often the incident will occur</w:t>
      </w:r>
    </w:p>
    <w:p w14:paraId="69FE2ECA" w14:textId="77777777" w:rsidR="00697607" w:rsidRPr="00C33405" w:rsidRDefault="00697607" w:rsidP="00C33405">
      <w:pPr>
        <w:pStyle w:val="FigureTableNoteSource"/>
        <w:rPr>
          <w:b/>
          <w:bCs/>
        </w:rPr>
      </w:pPr>
      <w:r w:rsidRPr="00C33405">
        <w:rPr>
          <w:b/>
          <w:bCs/>
        </w:rPr>
        <w:t xml:space="preserve">Categories for consequences are defined as follows: </w:t>
      </w:r>
    </w:p>
    <w:p w14:paraId="5755ECAC" w14:textId="77777777" w:rsidR="00697607" w:rsidRDefault="00697607" w:rsidP="00C33405">
      <w:pPr>
        <w:pStyle w:val="FigureTableNoteSource"/>
      </w:pPr>
      <w:r>
        <w:t>Not significant – no long-term effect on individuals or populations</w:t>
      </w:r>
    </w:p>
    <w:p w14:paraId="166574E7" w14:textId="77777777" w:rsidR="00697607" w:rsidRDefault="00697607" w:rsidP="00C33405">
      <w:pPr>
        <w:pStyle w:val="FigureTableNoteSource"/>
      </w:pPr>
      <w:r>
        <w:t>Minor – individuals are adversely affected but no effect at population level</w:t>
      </w:r>
    </w:p>
    <w:p w14:paraId="4D428368" w14:textId="0CA2F4E5" w:rsidR="00697607" w:rsidRDefault="00697607" w:rsidP="00C33405">
      <w:pPr>
        <w:pStyle w:val="FigureTableNoteSource"/>
      </w:pPr>
      <w:r>
        <w:t>Mode</w:t>
      </w:r>
      <w:r w:rsidR="00676E7A">
        <w:t>r</w:t>
      </w:r>
      <w:r>
        <w:t>ate – population recovery stalls or reduces</w:t>
      </w:r>
    </w:p>
    <w:p w14:paraId="0BB7FD2F" w14:textId="77777777" w:rsidR="00697607" w:rsidRDefault="00697607" w:rsidP="00713D6E">
      <w:pPr>
        <w:pStyle w:val="FigureTableNoteSource"/>
        <w:spacing w:before="0"/>
      </w:pPr>
      <w:r>
        <w:t>Major – population decreases</w:t>
      </w:r>
    </w:p>
    <w:p w14:paraId="2C78A3BB" w14:textId="517CEA70" w:rsidR="00697607" w:rsidRDefault="00697607" w:rsidP="00713D6E">
      <w:pPr>
        <w:pStyle w:val="FigureTableNoteSource"/>
        <w:spacing w:before="0"/>
        <w:contextualSpacing w:val="0"/>
      </w:pPr>
      <w:r>
        <w:t xml:space="preserve">Catastrophic – population </w:t>
      </w:r>
      <w:r w:rsidR="00A62E13">
        <w:t>extirpation/extinction</w:t>
      </w:r>
    </w:p>
    <w:bookmarkEnd w:id="25"/>
    <w:p w14:paraId="1DE8F3CF" w14:textId="407ECF55" w:rsidR="00D2496D" w:rsidRDefault="00D2496D" w:rsidP="00D2496D">
      <w:pPr>
        <w:pStyle w:val="FigureTableNoteSource"/>
        <w:rPr>
          <w:lang w:eastAsia="ja-JP"/>
        </w:rPr>
      </w:pPr>
      <w:r w:rsidRPr="001825DE">
        <w:rPr>
          <w:b/>
          <w:bCs/>
          <w:lang w:eastAsia="ja-JP"/>
        </w:rPr>
        <w:t>Note</w:t>
      </w:r>
      <w:r>
        <w:rPr>
          <w:lang w:eastAsia="ja-JP"/>
        </w:rPr>
        <w:t xml:space="preserve">: Hybridisation with the </w:t>
      </w:r>
      <w:r w:rsidR="00A93AC9">
        <w:t>c</w:t>
      </w:r>
      <w:r w:rsidR="00A93AC9" w:rsidRPr="00C87B26">
        <w:t xml:space="preserve">ommon </w:t>
      </w:r>
      <w:r w:rsidR="00A93AC9">
        <w:t>m</w:t>
      </w:r>
      <w:r w:rsidR="00A93AC9" w:rsidRPr="00C87B26">
        <w:t xml:space="preserve">ountain </w:t>
      </w:r>
      <w:r w:rsidR="00A93AC9">
        <w:t>b</w:t>
      </w:r>
      <w:r w:rsidR="00A93AC9" w:rsidRPr="00C87B26">
        <w:t>ell</w:t>
      </w:r>
      <w:r w:rsidR="00A93AC9">
        <w:t xml:space="preserve"> </w:t>
      </w:r>
      <w:r>
        <w:rPr>
          <w:lang w:eastAsia="ja-JP"/>
        </w:rPr>
        <w:t>has not been included in Table 3 as the consequences are unknown.</w:t>
      </w:r>
    </w:p>
    <w:p w14:paraId="750124C5" w14:textId="144FDC1A" w:rsidR="004466FD" w:rsidRPr="00D17C88" w:rsidRDefault="008E6BA8" w:rsidP="008E6BA8">
      <w:pPr>
        <w:spacing w:before="240"/>
      </w:pPr>
      <w:r w:rsidRPr="00876812">
        <w:t>Priority actions have then been developed to manage the threat particularly where the risk was deemed to be ‘very high’ (red shading) or ‘high’ (yellow shading). For those threats with an unknown or low risk outcome (green and blue shading) it may be more appropriate to identify further research or maintain a watching brief.</w:t>
      </w:r>
    </w:p>
    <w:p w14:paraId="054CF343" w14:textId="77777777" w:rsidR="002B6A3F" w:rsidRDefault="002B6A3F" w:rsidP="008F7E93">
      <w:pPr>
        <w:pStyle w:val="Heading2"/>
        <w:keepLines/>
        <w:ind w:left="720" w:hanging="720"/>
      </w:pPr>
      <w:r>
        <w:lastRenderedPageBreak/>
        <w:t xml:space="preserve">Conservation and recovery </w:t>
      </w:r>
      <w:r w:rsidRPr="002B6A3F">
        <w:t>actions</w:t>
      </w:r>
    </w:p>
    <w:p w14:paraId="741CF54D" w14:textId="77777777" w:rsidR="002B6A3F" w:rsidRDefault="002B6A3F" w:rsidP="008F7E93">
      <w:pPr>
        <w:pStyle w:val="Heading3"/>
        <w:ind w:left="964" w:hanging="964"/>
      </w:pPr>
      <w:r>
        <w:t xml:space="preserve">Primary conservation </w:t>
      </w:r>
      <w:r w:rsidR="003A6771">
        <w:t>objective</w:t>
      </w:r>
    </w:p>
    <w:p w14:paraId="45CD98FC" w14:textId="26781940" w:rsidR="002B6A3F" w:rsidRDefault="005E2859" w:rsidP="008F7E93">
      <w:pPr>
        <w:keepNext/>
        <w:keepLines/>
      </w:pPr>
      <w:r w:rsidRPr="00104FDB">
        <w:t xml:space="preserve">Within the next three generations, the population of the </w:t>
      </w:r>
      <w:r w:rsidR="00A93AC9">
        <w:t>y</w:t>
      </w:r>
      <w:r w:rsidRPr="00104FDB">
        <w:t xml:space="preserve">ellow </w:t>
      </w:r>
      <w:r w:rsidR="00A93AC9">
        <w:t>m</w:t>
      </w:r>
      <w:r w:rsidRPr="00104FDB">
        <w:t xml:space="preserve">ountain </w:t>
      </w:r>
      <w:r w:rsidR="00A93AC9">
        <w:t>b</w:t>
      </w:r>
      <w:r w:rsidRPr="00104FDB">
        <w:t xml:space="preserve">ell </w:t>
      </w:r>
      <w:r w:rsidR="00981250" w:rsidRPr="00104FDB">
        <w:t>will have increased in abundance</w:t>
      </w:r>
      <w:r w:rsidR="00437675" w:rsidRPr="00104FDB">
        <w:t xml:space="preserve"> and EOO/AOO will have increased or</w:t>
      </w:r>
      <w:r w:rsidR="00437675">
        <w:t xml:space="preserve"> remained stable</w:t>
      </w:r>
      <w:r w:rsidR="00246A33">
        <w:t>.</w:t>
      </w:r>
    </w:p>
    <w:p w14:paraId="7B72DCCD" w14:textId="77777777" w:rsidR="002B6A3F" w:rsidRDefault="002B6A3F" w:rsidP="008F7E93">
      <w:pPr>
        <w:pStyle w:val="Heading3"/>
        <w:ind w:left="964" w:hanging="964"/>
      </w:pPr>
      <w:r>
        <w:t>Conservation and management priorities</w:t>
      </w:r>
    </w:p>
    <w:p w14:paraId="587EFFF7" w14:textId="77777777" w:rsidR="003709D3" w:rsidRDefault="003709D3" w:rsidP="003709D3">
      <w:pPr>
        <w:pStyle w:val="Heading4"/>
        <w:ind w:left="964" w:hanging="964"/>
      </w:pPr>
      <w:r>
        <w:t>Fire</w:t>
      </w:r>
    </w:p>
    <w:p w14:paraId="1B2E994C" w14:textId="37EA6E4F" w:rsidR="003709D3" w:rsidRDefault="003709D3" w:rsidP="003709D3">
      <w:pPr>
        <w:pStyle w:val="ListBullet"/>
        <w:numPr>
          <w:ilvl w:val="0"/>
          <w:numId w:val="8"/>
        </w:numPr>
      </w:pPr>
      <w:r>
        <w:t xml:space="preserve">Ensure that planned burns do not occur in areas occupied by the </w:t>
      </w:r>
      <w:r w:rsidR="00A93AC9">
        <w:t>y</w:t>
      </w:r>
      <w:r w:rsidR="00A93AC9" w:rsidRPr="00104FDB">
        <w:t xml:space="preserve">ellow </w:t>
      </w:r>
      <w:r w:rsidR="00A93AC9">
        <w:t>m</w:t>
      </w:r>
      <w:r w:rsidR="00A93AC9" w:rsidRPr="00104FDB">
        <w:t xml:space="preserve">ountain </w:t>
      </w:r>
      <w:r w:rsidR="00A93AC9">
        <w:t>b</w:t>
      </w:r>
      <w:r w:rsidR="00A93AC9" w:rsidRPr="00104FDB">
        <w:t xml:space="preserve">ell </w:t>
      </w:r>
      <w:r>
        <w:t>before an accumulation of a seedbank large enough to replace the number of fire-killed standing plants.</w:t>
      </w:r>
    </w:p>
    <w:p w14:paraId="65BBC808" w14:textId="77777777" w:rsidR="003709D3" w:rsidRDefault="003709D3" w:rsidP="003709D3">
      <w:pPr>
        <w:pStyle w:val="ListBullet"/>
        <w:keepNext/>
        <w:keepLines/>
        <w:numPr>
          <w:ilvl w:val="0"/>
          <w:numId w:val="8"/>
        </w:numPr>
      </w:pPr>
      <w:r>
        <w:t>Develop and implement an evidence-based fire management strategy that optimises the survival of the species during planned burns and bushfires. Avoid planned burns and control the impacts of herbivory in recently burnt habitat.</w:t>
      </w:r>
    </w:p>
    <w:p w14:paraId="6FF5C96C" w14:textId="77777777" w:rsidR="003709D3" w:rsidRDefault="003709D3" w:rsidP="003709D3">
      <w:pPr>
        <w:pStyle w:val="ListBullet"/>
        <w:keepNext/>
        <w:keepLines/>
        <w:numPr>
          <w:ilvl w:val="0"/>
          <w:numId w:val="8"/>
        </w:numPr>
      </w:pPr>
      <w:r w:rsidRPr="00014F11">
        <w:t xml:space="preserve">Provide maps of known occurrences to </w:t>
      </w:r>
      <w:r>
        <w:t>fire services</w:t>
      </w:r>
      <w:r w:rsidRPr="00014F11">
        <w:t xml:space="preserve"> and seek inclusion of mitigation measures in fire risk management plan/s, risk register and/or operation maps.</w:t>
      </w:r>
    </w:p>
    <w:p w14:paraId="4CE3B0E2" w14:textId="77777777" w:rsidR="00EA0299" w:rsidRDefault="00EA0299" w:rsidP="00EA0299">
      <w:pPr>
        <w:pStyle w:val="Heading4"/>
        <w:ind w:left="964" w:hanging="964"/>
      </w:pPr>
      <w:r>
        <w:t>Disease</w:t>
      </w:r>
    </w:p>
    <w:p w14:paraId="1E4EC7F4" w14:textId="77777777" w:rsidR="00D051F2" w:rsidRPr="00DF7047" w:rsidRDefault="00D051F2" w:rsidP="00E66759">
      <w:pPr>
        <w:pStyle w:val="ListBullet"/>
        <w:keepNext/>
        <w:keepLines/>
        <w:numPr>
          <w:ilvl w:val="0"/>
          <w:numId w:val="8"/>
        </w:numPr>
      </w:pPr>
      <w:r w:rsidRPr="00E53752">
        <w:t xml:space="preserve">Implement a hygiene management plan and risk assessment to protect known </w:t>
      </w:r>
      <w:r w:rsidRPr="00DF7047">
        <w:t xml:space="preserve">subpopulations </w:t>
      </w:r>
      <w:r w:rsidRPr="00E53752">
        <w:t xml:space="preserve">from </w:t>
      </w:r>
      <w:r>
        <w:t xml:space="preserve">introduction of new isolates of </w:t>
      </w:r>
      <w:r>
        <w:rPr>
          <w:i/>
          <w:iCs/>
        </w:rPr>
        <w:t>P. cinnamomi</w:t>
      </w:r>
      <w:r>
        <w:t xml:space="preserve"> or other pathogens</w:t>
      </w:r>
      <w:r w:rsidRPr="00E53752">
        <w:t>. This may include but is not limited to:</w:t>
      </w:r>
    </w:p>
    <w:p w14:paraId="3BF0AB42" w14:textId="1633E7FB" w:rsidR="00D051F2" w:rsidRDefault="00D051F2" w:rsidP="00E66759">
      <w:pPr>
        <w:pStyle w:val="ListBullet2"/>
        <w:numPr>
          <w:ilvl w:val="1"/>
          <w:numId w:val="8"/>
        </w:numPr>
        <w:ind w:left="850" w:hanging="425"/>
        <w:contextualSpacing w:val="0"/>
      </w:pPr>
      <w:r>
        <w:t>Ensure c</w:t>
      </w:r>
      <w:r w:rsidRPr="00DF7047">
        <w:t>ontaminated water</w:t>
      </w:r>
      <w:r w:rsidR="00A41BFF">
        <w:t xml:space="preserve"> and</w:t>
      </w:r>
      <w:r w:rsidR="00A26997">
        <w:t xml:space="preserve">/or </w:t>
      </w:r>
      <w:r w:rsidR="00A41BFF">
        <w:t>soil are not intr</w:t>
      </w:r>
      <w:r w:rsidR="00E34C27">
        <w:t>oduced into the area</w:t>
      </w:r>
      <w:r w:rsidRPr="00DF7047">
        <w:t xml:space="preserve"> for firefighting</w:t>
      </w:r>
      <w:r w:rsidR="00E34C27">
        <w:t xml:space="preserve">, </w:t>
      </w:r>
      <w:r>
        <w:t>track maintenance</w:t>
      </w:r>
      <w:r w:rsidRPr="00E53752">
        <w:t>,</w:t>
      </w:r>
      <w:r w:rsidRPr="00DF7047">
        <w:t xml:space="preserve"> </w:t>
      </w:r>
      <w:r w:rsidRPr="00E53752">
        <w:t>infrastructure development or revegetation activitie</w:t>
      </w:r>
      <w:r w:rsidRPr="00F657CD">
        <w:t>s</w:t>
      </w:r>
      <w:r w:rsidR="0091047F">
        <w:t>, e.g., ensure all nursery propagation is through disease accredited production facilities</w:t>
      </w:r>
      <w:r w:rsidR="00A26997">
        <w:t>.</w:t>
      </w:r>
    </w:p>
    <w:p w14:paraId="1AE6D4E0" w14:textId="073406EB" w:rsidR="00D051F2" w:rsidRPr="00F657CD" w:rsidRDefault="00D051F2" w:rsidP="00E66759">
      <w:pPr>
        <w:pStyle w:val="ListBullet2"/>
        <w:numPr>
          <w:ilvl w:val="1"/>
          <w:numId w:val="8"/>
        </w:numPr>
      </w:pPr>
      <w:r w:rsidRPr="00750DC0">
        <w:t xml:space="preserve">Ensure appropriate </w:t>
      </w:r>
      <w:proofErr w:type="spellStart"/>
      <w:r w:rsidR="0091047F">
        <w:t>phyto</w:t>
      </w:r>
      <w:proofErr w:type="spellEnd"/>
      <w:r w:rsidR="009A145E">
        <w:t>-</w:t>
      </w:r>
      <w:r w:rsidRPr="00750DC0">
        <w:t xml:space="preserve">hygiene protocols are adhered to when entering or exiting </w:t>
      </w:r>
      <w:r w:rsidRPr="00E53752">
        <w:t>known l</w:t>
      </w:r>
      <w:r w:rsidRPr="00750DC0">
        <w:t>ocalities of the Yellow Mountain Bell</w:t>
      </w:r>
      <w:r w:rsidRPr="00E53752">
        <w:t xml:space="preserve">, such as those outlined in </w:t>
      </w:r>
      <w:r>
        <w:rPr>
          <w:noProof/>
        </w:rPr>
        <w:t>Podger et al. (2001)</w:t>
      </w:r>
      <w:r w:rsidRPr="00750DC0">
        <w:t>.</w:t>
      </w:r>
    </w:p>
    <w:p w14:paraId="11E56190" w14:textId="7F1B9A5E" w:rsidR="00D051F2" w:rsidRPr="00096462" w:rsidRDefault="00D051F2" w:rsidP="00A41BFF">
      <w:pPr>
        <w:pStyle w:val="ListBullet"/>
      </w:pPr>
      <w:r w:rsidRPr="00096462">
        <w:t xml:space="preserve">Implement mitigation measures in areas that are known to be infected by </w:t>
      </w:r>
      <w:r w:rsidRPr="00096462">
        <w:rPr>
          <w:i/>
          <w:iCs/>
        </w:rPr>
        <w:t>P. cinnamomi</w:t>
      </w:r>
      <w:r w:rsidR="00A41BFF" w:rsidRPr="00096462">
        <w:t xml:space="preserve">, </w:t>
      </w:r>
      <w:r w:rsidR="002C7467" w:rsidRPr="00096462">
        <w:t>e.g.,</w:t>
      </w:r>
      <w:r w:rsidR="00A41BFF" w:rsidRPr="00096462">
        <w:t xml:space="preserve"> </w:t>
      </w:r>
      <w:r w:rsidR="00C52A55" w:rsidRPr="00096462">
        <w:t>appropriate</w:t>
      </w:r>
      <w:r w:rsidRPr="00096462">
        <w:t xml:space="preserve"> application of phosphite</w:t>
      </w:r>
      <w:r w:rsidR="00C52A55" w:rsidRPr="00096462">
        <w:t>, until alternative disease treatments are developed</w:t>
      </w:r>
      <w:r w:rsidRPr="00096462">
        <w:t>.</w:t>
      </w:r>
      <w:r w:rsidR="004F0FEC" w:rsidRPr="00096462">
        <w:rPr>
          <w:rFonts w:eastAsia="Calibri" w:cs="Times New Roman"/>
        </w:rPr>
        <w:t xml:space="preserve"> </w:t>
      </w:r>
      <w:proofErr w:type="gramStart"/>
      <w:r w:rsidR="004F0FEC" w:rsidRPr="00096462">
        <w:rPr>
          <w:rFonts w:eastAsia="Calibri" w:cs="Times New Roman"/>
        </w:rPr>
        <w:t>In order to</w:t>
      </w:r>
      <w:proofErr w:type="gramEnd"/>
      <w:r w:rsidR="004F0FEC" w:rsidRPr="00096462">
        <w:rPr>
          <w:rFonts w:eastAsia="Calibri" w:cs="Times New Roman"/>
        </w:rPr>
        <w:t xml:space="preserve"> minimise potential off-target impacts that may result from the build-up of phosphorus in low-nutrient soils (</w:t>
      </w:r>
      <w:r w:rsidR="004F0FEC" w:rsidRPr="00C73C35">
        <w:rPr>
          <w:rFonts w:eastAsia="Calibri" w:cs="Times New Roman"/>
        </w:rPr>
        <w:t xml:space="preserve">Lambers et al. 2013; Hopper et al. 2021), </w:t>
      </w:r>
      <w:r w:rsidR="004F0FEC" w:rsidRPr="00096462">
        <w:rPr>
          <w:rFonts w:eastAsia="Calibri" w:cs="Times New Roman"/>
        </w:rPr>
        <w:t>ensure that applications of phosphite are highly localised where possible.</w:t>
      </w:r>
    </w:p>
    <w:p w14:paraId="3AE1898E" w14:textId="644A66AC" w:rsidR="00A26997" w:rsidRDefault="00053929" w:rsidP="00053929">
      <w:pPr>
        <w:pStyle w:val="ListBullet"/>
      </w:pPr>
      <w:r w:rsidRPr="00046CE9">
        <w:t xml:space="preserve">Ensure strict quarantine measures are in place to ensure </w:t>
      </w:r>
      <w:r w:rsidRPr="00046CE9">
        <w:rPr>
          <w:i/>
          <w:iCs/>
        </w:rPr>
        <w:t xml:space="preserve">A. </w:t>
      </w:r>
      <w:proofErr w:type="spellStart"/>
      <w:r w:rsidRPr="00046CE9">
        <w:rPr>
          <w:i/>
          <w:iCs/>
        </w:rPr>
        <w:t>psidii</w:t>
      </w:r>
      <w:proofErr w:type="spellEnd"/>
      <w:r w:rsidRPr="00046CE9">
        <w:rPr>
          <w:i/>
          <w:iCs/>
        </w:rPr>
        <w:t xml:space="preserve"> </w:t>
      </w:r>
      <w:r w:rsidRPr="00046CE9">
        <w:t>does not spread to WA, such as those outlined in</w:t>
      </w:r>
      <w:r>
        <w:rPr>
          <w:noProof/>
        </w:rPr>
        <w:t xml:space="preserve"> Makinson &amp; Olde (2020)</w:t>
      </w:r>
      <w:r w:rsidR="0091047F">
        <w:rPr>
          <w:noProof/>
        </w:rPr>
        <w:t>, supplemented where appropriate (due to low seed outputs and/or lack of germinability in seed) by cutting propagation</w:t>
      </w:r>
      <w:r>
        <w:rPr>
          <w:noProof/>
        </w:rPr>
        <w:t>.</w:t>
      </w:r>
    </w:p>
    <w:p w14:paraId="40897F8F" w14:textId="77777777" w:rsidR="00321463" w:rsidRDefault="00321463" w:rsidP="00321463">
      <w:pPr>
        <w:pStyle w:val="Heading4"/>
        <w:ind w:left="964" w:hanging="964"/>
      </w:pPr>
      <w:r>
        <w:t>Climate change and severe weather</w:t>
      </w:r>
    </w:p>
    <w:p w14:paraId="75EF623E" w14:textId="3AB169EF" w:rsidR="00321463" w:rsidRPr="001903BC" w:rsidRDefault="00E66177" w:rsidP="00E66177">
      <w:pPr>
        <w:pStyle w:val="ListBullet"/>
        <w:keepLines/>
      </w:pPr>
      <w:r>
        <w:t xml:space="preserve">Map all habitat that would be suitable for this species </w:t>
      </w:r>
      <w:r w:rsidR="0019381F">
        <w:t xml:space="preserve">currently and under climate change </w:t>
      </w:r>
      <w:proofErr w:type="gramStart"/>
      <w:r w:rsidR="0019381F">
        <w:t>scenarios,</w:t>
      </w:r>
      <w:r>
        <w:t xml:space="preserve"> and</w:t>
      </w:r>
      <w:proofErr w:type="gramEnd"/>
      <w:r>
        <w:t xml:space="preserve"> i</w:t>
      </w:r>
      <w:r w:rsidR="001903BC" w:rsidRPr="001903BC">
        <w:t>n</w:t>
      </w:r>
      <w:r w:rsidR="00730400" w:rsidRPr="001903BC">
        <w:t>vestigate the establishment of translocated subpopulations in suitable climate refugia.</w:t>
      </w:r>
    </w:p>
    <w:p w14:paraId="3D431F2F" w14:textId="74573CC7" w:rsidR="00C17832" w:rsidRDefault="00C17832" w:rsidP="00C17832">
      <w:pPr>
        <w:pStyle w:val="Heading4"/>
        <w:ind w:left="964" w:hanging="964"/>
      </w:pPr>
      <w:r>
        <w:lastRenderedPageBreak/>
        <w:t>Interactions with native species</w:t>
      </w:r>
    </w:p>
    <w:p w14:paraId="5BFD52A2" w14:textId="568BFD1D" w:rsidR="00BB6471" w:rsidRDefault="00BB6471" w:rsidP="00BB6471">
      <w:pPr>
        <w:pStyle w:val="ListBullet"/>
      </w:pPr>
      <w:r w:rsidRPr="00706DDF">
        <w:t xml:space="preserve">Implement browsing management </w:t>
      </w:r>
      <w:r w:rsidR="00450368">
        <w:t>actions, in c</w:t>
      </w:r>
      <w:r w:rsidR="00450368" w:rsidRPr="00014F11">
        <w:t xml:space="preserve">onsultation with land managers and community groups, </w:t>
      </w:r>
      <w:r w:rsidR="00EC07E6">
        <w:t xml:space="preserve">to reduce the impacts of </w:t>
      </w:r>
      <w:r w:rsidR="00A93AC9">
        <w:t xml:space="preserve">quokka </w:t>
      </w:r>
      <w:r w:rsidR="00EC07E6">
        <w:t xml:space="preserve">on the </w:t>
      </w:r>
      <w:r w:rsidR="001C6775">
        <w:t>Yellow Mountain Bell</w:t>
      </w:r>
      <w:r w:rsidRPr="00706DDF">
        <w:t>,</w:t>
      </w:r>
      <w:r>
        <w:t xml:space="preserve"> </w:t>
      </w:r>
      <w:r w:rsidR="002C7467">
        <w:t>e.g.,</w:t>
      </w:r>
      <w:r w:rsidR="001C6775">
        <w:t xml:space="preserve"> maintain</w:t>
      </w:r>
      <w:r>
        <w:t xml:space="preserve"> </w:t>
      </w:r>
      <w:r w:rsidRPr="00706DDF">
        <w:t xml:space="preserve">existing </w:t>
      </w:r>
      <w:r>
        <w:t xml:space="preserve">fenced </w:t>
      </w:r>
      <w:r w:rsidR="002C7467" w:rsidRPr="00706DDF">
        <w:t>enclosures</w:t>
      </w:r>
      <w:r>
        <w:t xml:space="preserve"> </w:t>
      </w:r>
      <w:r w:rsidR="001C6775">
        <w:t xml:space="preserve">around plants </w:t>
      </w:r>
      <w:r w:rsidRPr="00706DDF">
        <w:t>an</w:t>
      </w:r>
      <w:r>
        <w:t xml:space="preserve">d </w:t>
      </w:r>
      <w:r w:rsidR="001C6775">
        <w:t>establish</w:t>
      </w:r>
      <w:r w:rsidRPr="00706DDF">
        <w:t xml:space="preserve"> new ones</w:t>
      </w:r>
      <w:r>
        <w:t xml:space="preserve"> </w:t>
      </w:r>
      <w:r w:rsidR="001C6775">
        <w:t>as</w:t>
      </w:r>
      <w:r>
        <w:t xml:space="preserve"> required</w:t>
      </w:r>
      <w:r w:rsidRPr="00706DDF">
        <w:t>.</w:t>
      </w:r>
    </w:p>
    <w:p w14:paraId="375B5B47" w14:textId="77777777" w:rsidR="00DA53C2" w:rsidRDefault="00DA53C2" w:rsidP="00DA53C2">
      <w:pPr>
        <w:pStyle w:val="Heading4"/>
        <w:ind w:left="964" w:hanging="964"/>
      </w:pPr>
      <w:r>
        <w:t xml:space="preserve">Habitat loss, </w:t>
      </w:r>
      <w:proofErr w:type="gramStart"/>
      <w:r>
        <w:t>disturbance</w:t>
      </w:r>
      <w:proofErr w:type="gramEnd"/>
      <w:r>
        <w:t xml:space="preserve"> and modifications</w:t>
      </w:r>
    </w:p>
    <w:p w14:paraId="46C98BCF" w14:textId="77777777" w:rsidR="00DA53C2" w:rsidRPr="00233A1C" w:rsidRDefault="00DA53C2" w:rsidP="00DA53C2">
      <w:pPr>
        <w:pStyle w:val="ListBullet"/>
        <w:keepNext/>
        <w:keepLines/>
      </w:pPr>
      <w:r w:rsidRPr="00233A1C">
        <w:t>Avoid or minimise further loss and fragmentation of habitat.</w:t>
      </w:r>
    </w:p>
    <w:p w14:paraId="3D0555F2" w14:textId="06C64F48" w:rsidR="00DA53C2" w:rsidRPr="00EE4E28" w:rsidRDefault="00DA53C2" w:rsidP="00DA53C2">
      <w:pPr>
        <w:pStyle w:val="ListBullet"/>
      </w:pPr>
      <w:r>
        <w:t>P</w:t>
      </w:r>
      <w:r w:rsidRPr="007C2DAD">
        <w:t xml:space="preserve">revent </w:t>
      </w:r>
      <w:r>
        <w:t>further habitat</w:t>
      </w:r>
      <w:r w:rsidRPr="007C2DAD">
        <w:t xml:space="preserve"> </w:t>
      </w:r>
      <w:r>
        <w:t xml:space="preserve">degradation </w:t>
      </w:r>
      <w:r w:rsidRPr="007C2DAD">
        <w:t xml:space="preserve">from </w:t>
      </w:r>
      <w:r w:rsidRPr="00390EC7">
        <w:t xml:space="preserve">recreational </w:t>
      </w:r>
      <w:r w:rsidRPr="007C2DAD">
        <w:t>activities</w:t>
      </w:r>
      <w:r>
        <w:t xml:space="preserve">, </w:t>
      </w:r>
      <w:r w:rsidR="002C7467">
        <w:t>e.g.,</w:t>
      </w:r>
      <w:r>
        <w:t xml:space="preserve"> avoid disturbances to native vegetation and soil, apply recommended buffer zones around the Yellow Mountain Bell, and control run-off from tracks</w:t>
      </w:r>
      <w:r w:rsidRPr="00390EC7">
        <w:t>.</w:t>
      </w:r>
    </w:p>
    <w:p w14:paraId="7007828B" w14:textId="77777777" w:rsidR="00321463" w:rsidRDefault="00321463" w:rsidP="00321463">
      <w:pPr>
        <w:pStyle w:val="Heading4"/>
        <w:ind w:left="964" w:hanging="964"/>
      </w:pPr>
      <w:r w:rsidRPr="00921F7C">
        <w:t>Invasive species</w:t>
      </w:r>
      <w:r>
        <w:t xml:space="preserve"> (including threats from grazing, trampling, predation)</w:t>
      </w:r>
    </w:p>
    <w:p w14:paraId="666419DA" w14:textId="1DA989DF" w:rsidR="00BE03A4" w:rsidRPr="00E14664" w:rsidRDefault="000141C0" w:rsidP="00E66759">
      <w:pPr>
        <w:pStyle w:val="ListBullet"/>
        <w:numPr>
          <w:ilvl w:val="0"/>
          <w:numId w:val="11"/>
        </w:numPr>
      </w:pPr>
      <w:r w:rsidRPr="00014F11">
        <w:t>Implem</w:t>
      </w:r>
      <w:r w:rsidRPr="00E14664">
        <w:t>ent weed management actions in consultation with land managers and community groups, using appropriate techniques to minimise the effect of herbicide on native vegetation</w:t>
      </w:r>
      <w:r w:rsidR="00BE03A4" w:rsidRPr="00E14664">
        <w:t xml:space="preserve">, according to the Australian </w:t>
      </w:r>
      <w:r w:rsidR="00E66177">
        <w:t>W</w:t>
      </w:r>
      <w:r w:rsidR="00BE03A4" w:rsidRPr="00E14664">
        <w:t xml:space="preserve">eeds </w:t>
      </w:r>
      <w:r w:rsidR="00E66177">
        <w:t>S</w:t>
      </w:r>
      <w:r w:rsidR="00BE03A4" w:rsidRPr="00E14664">
        <w:t xml:space="preserve">trategy 2017-2027 </w:t>
      </w:r>
      <w:r w:rsidR="00BE03A4" w:rsidRPr="00E14664">
        <w:rPr>
          <w:noProof/>
        </w:rPr>
        <w:t>(IPAC 2016)</w:t>
      </w:r>
      <w:r w:rsidR="00BE03A4" w:rsidRPr="00E14664">
        <w:t>.</w:t>
      </w:r>
    </w:p>
    <w:p w14:paraId="29B97F29" w14:textId="7B1CDC4A" w:rsidR="00BE03A4" w:rsidRPr="00E14664" w:rsidRDefault="0062342F" w:rsidP="00E66759">
      <w:pPr>
        <w:pStyle w:val="ListBullet"/>
        <w:numPr>
          <w:ilvl w:val="0"/>
          <w:numId w:val="11"/>
        </w:numPr>
      </w:pPr>
      <w:r w:rsidRPr="00E14664">
        <w:t xml:space="preserve">Implement management actions for </w:t>
      </w:r>
      <w:r w:rsidR="00A93AC9">
        <w:t>rabbits</w:t>
      </w:r>
      <w:r w:rsidRPr="00E14664">
        <w:t>, in consultation with land managers and community groups,</w:t>
      </w:r>
      <w:r w:rsidR="001E4EF9" w:rsidRPr="00E14664">
        <w:t xml:space="preserve"> as detailed in the relevant threat abatement plan </w:t>
      </w:r>
      <w:r w:rsidR="00E14664" w:rsidRPr="00E14664">
        <w:rPr>
          <w:noProof/>
        </w:rPr>
        <w:t>(DOEE 2016)</w:t>
      </w:r>
      <w:r w:rsidR="00E14664" w:rsidRPr="00E14664">
        <w:t>.</w:t>
      </w:r>
    </w:p>
    <w:p w14:paraId="72D2F2C9" w14:textId="6CD5F70D" w:rsidR="002B6A3F" w:rsidRPr="00E14664" w:rsidRDefault="00A22DDE" w:rsidP="009E7A91">
      <w:pPr>
        <w:pStyle w:val="Heading4"/>
        <w:ind w:left="964" w:hanging="964"/>
      </w:pPr>
      <w:r>
        <w:t>E</w:t>
      </w:r>
      <w:r w:rsidR="002B6A3F" w:rsidRPr="00E14664">
        <w:t>x situ recovery action</w:t>
      </w:r>
      <w:r>
        <w:t>s</w:t>
      </w:r>
    </w:p>
    <w:p w14:paraId="6AC8F29E" w14:textId="23186BB0" w:rsidR="006D718C" w:rsidRDefault="00723B98" w:rsidP="00723B98">
      <w:pPr>
        <w:pStyle w:val="ListBullet"/>
      </w:pPr>
      <w:r w:rsidRPr="00E14664">
        <w:t>To manage the risk of losing genetic diversity, undertake appropriate seed collection and storage, and determine the viability of stored seeds</w:t>
      </w:r>
      <w:r w:rsidR="004A741A">
        <w:t xml:space="preserve">, according to </w:t>
      </w:r>
      <w:r w:rsidR="004A741A">
        <w:rPr>
          <w:noProof/>
        </w:rPr>
        <w:t>Martyn Yenson et al. (2021)</w:t>
      </w:r>
      <w:r w:rsidRPr="00E14664">
        <w:t xml:space="preserve">. </w:t>
      </w:r>
    </w:p>
    <w:p w14:paraId="3C01BDF1" w14:textId="18EE2D71" w:rsidR="004F0FEC" w:rsidRDefault="006D718C" w:rsidP="00723B98">
      <w:pPr>
        <w:pStyle w:val="ListBullet"/>
      </w:pPr>
      <w:r>
        <w:t xml:space="preserve">Continue cultivation of seedlings </w:t>
      </w:r>
      <w:r w:rsidR="0080398D">
        <w:t xml:space="preserve">in translocation sites </w:t>
      </w:r>
      <w:r>
        <w:t xml:space="preserve">outside Stirling Range National Park. </w:t>
      </w:r>
      <w:r w:rsidR="00723B98" w:rsidRPr="00E14664">
        <w:t xml:space="preserve">If required, </w:t>
      </w:r>
      <w:r w:rsidR="00723B98" w:rsidRPr="00EF28B7">
        <w:t xml:space="preserve">investigate the possibility of establishing </w:t>
      </w:r>
      <w:r w:rsidR="0080398D" w:rsidRPr="00EF28B7">
        <w:t xml:space="preserve">additional </w:t>
      </w:r>
      <w:r w:rsidR="00723B98" w:rsidRPr="00EF28B7">
        <w:t>translocated subpopulations</w:t>
      </w:r>
      <w:r w:rsidR="00C73C35">
        <w:t xml:space="preserve"> </w:t>
      </w:r>
      <w:r w:rsidR="004F0FEC">
        <w:t>(</w:t>
      </w:r>
      <w:r w:rsidR="00723B98" w:rsidRPr="00EF28B7">
        <w:rPr>
          <w:noProof/>
        </w:rPr>
        <w:t>Commander et al. 2018)</w:t>
      </w:r>
      <w:r w:rsidR="004F0FEC">
        <w:rPr>
          <w:noProof/>
        </w:rPr>
        <w:t xml:space="preserve"> in areas free from </w:t>
      </w:r>
      <w:r w:rsidR="004F0FEC">
        <w:rPr>
          <w:i/>
          <w:iCs/>
          <w:noProof/>
        </w:rPr>
        <w:t>P. cinnamomi</w:t>
      </w:r>
      <w:r w:rsidR="00723B98" w:rsidRPr="00EF28B7">
        <w:t>.</w:t>
      </w:r>
    </w:p>
    <w:p w14:paraId="0131B367" w14:textId="04521096" w:rsidR="00723B98" w:rsidRPr="00EF28B7" w:rsidRDefault="0080398D" w:rsidP="00723B98">
      <w:pPr>
        <w:pStyle w:val="ListBullet"/>
      </w:pPr>
      <w:r w:rsidRPr="00EF28B7">
        <w:t>Investigate</w:t>
      </w:r>
      <w:r w:rsidR="00A44919">
        <w:t xml:space="preserve"> the possibility of</w:t>
      </w:r>
      <w:r w:rsidRPr="00EF28B7">
        <w:t xml:space="preserve"> reinforcement translocation at extinct or extant populations.</w:t>
      </w:r>
    </w:p>
    <w:p w14:paraId="5193C74E" w14:textId="77777777" w:rsidR="002B6A3F" w:rsidRDefault="002B6A3F" w:rsidP="000A5180">
      <w:pPr>
        <w:pStyle w:val="Heading3"/>
        <w:ind w:left="964" w:hanging="964"/>
      </w:pPr>
      <w:r w:rsidRPr="00EF28B7">
        <w:t>Stakeholder engagement/community engagement</w:t>
      </w:r>
    </w:p>
    <w:p w14:paraId="7A150A8D" w14:textId="00DC398D" w:rsidR="00733605" w:rsidRPr="002659BD" w:rsidRDefault="00733605" w:rsidP="000A5180">
      <w:pPr>
        <w:pStyle w:val="ListBullet"/>
        <w:keepNext/>
        <w:keepLines/>
      </w:pPr>
      <w:r w:rsidRPr="002659BD">
        <w:t xml:space="preserve">Engage and involve </w:t>
      </w:r>
      <w:r>
        <w:t>T</w:t>
      </w:r>
      <w:r w:rsidRPr="002659BD">
        <w:t xml:space="preserve">raditional </w:t>
      </w:r>
      <w:r>
        <w:t>O</w:t>
      </w:r>
      <w:r w:rsidRPr="002659BD">
        <w:t xml:space="preserve">wners in conservation actions, including the implementation of Indigenous fire management </w:t>
      </w:r>
      <w:r>
        <w:t xml:space="preserve">practices </w:t>
      </w:r>
      <w:r w:rsidRPr="002659BD">
        <w:t>and other survey, monitoring and management actions.</w:t>
      </w:r>
    </w:p>
    <w:p w14:paraId="1442B0B2" w14:textId="1B989923" w:rsidR="00733605" w:rsidRPr="002659BD" w:rsidRDefault="00733605" w:rsidP="00E66759">
      <w:pPr>
        <w:pStyle w:val="ListBullet"/>
        <w:keepNext/>
        <w:keepLines/>
        <w:numPr>
          <w:ilvl w:val="0"/>
          <w:numId w:val="8"/>
        </w:numPr>
      </w:pPr>
      <w:r w:rsidRPr="002659BD">
        <w:t>Liaise with the local community and government agencies to ensure that up-to-date population data and scientific knowledge inform the implementation of conservation actions for this species.</w:t>
      </w:r>
    </w:p>
    <w:p w14:paraId="3CF822B2" w14:textId="77777777" w:rsidR="002B6A3F" w:rsidRDefault="002B6A3F" w:rsidP="009E7A91">
      <w:pPr>
        <w:pStyle w:val="Heading3"/>
        <w:ind w:left="964" w:hanging="964"/>
      </w:pPr>
      <w:r>
        <w:t xml:space="preserve">Survey and </w:t>
      </w:r>
      <w:r w:rsidR="009F08D5">
        <w:t>m</w:t>
      </w:r>
      <w:r>
        <w:t>onitoring priorities</w:t>
      </w:r>
    </w:p>
    <w:p w14:paraId="2872FB94" w14:textId="77777777" w:rsidR="00DE38F8" w:rsidRPr="00C45712" w:rsidRDefault="00DE38F8" w:rsidP="00E66759">
      <w:pPr>
        <w:pStyle w:val="ListBullet"/>
        <w:numPr>
          <w:ilvl w:val="0"/>
          <w:numId w:val="8"/>
        </w:numPr>
        <w:rPr>
          <w:bCs/>
        </w:rPr>
      </w:pPr>
      <w:r w:rsidRPr="00D429E4">
        <w:rPr>
          <w:bCs/>
        </w:rPr>
        <w:t xml:space="preserve">Undertake annual </w:t>
      </w:r>
      <w:r w:rsidRPr="00C45712">
        <w:rPr>
          <w:bCs/>
        </w:rPr>
        <w:t xml:space="preserve">monitoring of habitat condition/degradation (including impacts from herbivores, weed invasion and diseases, such as </w:t>
      </w:r>
      <w:r w:rsidRPr="00C45712">
        <w:rPr>
          <w:bCs/>
          <w:i/>
          <w:iCs/>
        </w:rPr>
        <w:t>P. cinnamomi</w:t>
      </w:r>
      <w:r w:rsidRPr="00C45712">
        <w:rPr>
          <w:bCs/>
        </w:rPr>
        <w:t xml:space="preserve">), population stability (expansion or decline), pollination activity, seed production, </w:t>
      </w:r>
      <w:proofErr w:type="gramStart"/>
      <w:r w:rsidRPr="00C45712">
        <w:rPr>
          <w:bCs/>
        </w:rPr>
        <w:t>recruitment</w:t>
      </w:r>
      <w:proofErr w:type="gramEnd"/>
      <w:r w:rsidRPr="00C45712">
        <w:rPr>
          <w:bCs/>
        </w:rPr>
        <w:t xml:space="preserve"> and longevity.</w:t>
      </w:r>
    </w:p>
    <w:p w14:paraId="5E2A1C01" w14:textId="48378F0F" w:rsidR="00DE38F8" w:rsidRPr="00EE4E28" w:rsidRDefault="00DE38F8" w:rsidP="00E66759">
      <w:pPr>
        <w:pStyle w:val="ListBullet"/>
        <w:numPr>
          <w:ilvl w:val="0"/>
          <w:numId w:val="8"/>
        </w:numPr>
      </w:pPr>
      <w:r>
        <w:t>Continue to monitor and evaluate the effectiveness of disease and herbivore management.</w:t>
      </w:r>
    </w:p>
    <w:p w14:paraId="108137E5" w14:textId="16781266" w:rsidR="00DE38F8" w:rsidRPr="002A3653" w:rsidRDefault="00DE38F8" w:rsidP="00E66759">
      <w:pPr>
        <w:pStyle w:val="ListBullet"/>
        <w:numPr>
          <w:ilvl w:val="0"/>
          <w:numId w:val="8"/>
        </w:numPr>
        <w:rPr>
          <w:bCs/>
        </w:rPr>
      </w:pPr>
      <w:r w:rsidRPr="00C45712">
        <w:rPr>
          <w:bCs/>
        </w:rPr>
        <w:t xml:space="preserve">Monitor the size, </w:t>
      </w:r>
      <w:proofErr w:type="gramStart"/>
      <w:r w:rsidRPr="00C45712">
        <w:rPr>
          <w:bCs/>
        </w:rPr>
        <w:t>structure</w:t>
      </w:r>
      <w:proofErr w:type="gramEnd"/>
      <w:r w:rsidRPr="00C45712">
        <w:rPr>
          <w:bCs/>
        </w:rPr>
        <w:t xml:space="preserve"> and</w:t>
      </w:r>
      <w:r w:rsidRPr="002A3653">
        <w:rPr>
          <w:bCs/>
        </w:rPr>
        <w:t xml:space="preserve"> reproductive status of </w:t>
      </w:r>
      <w:r>
        <w:rPr>
          <w:bCs/>
        </w:rPr>
        <w:t>sub</w:t>
      </w:r>
      <w:r w:rsidRPr="002A3653">
        <w:rPr>
          <w:bCs/>
        </w:rPr>
        <w:t>populations at different stages in the fire cycle, taking opportunities to monitor after planned and unplanned fires (where they occur) and improve understanding of the fire response of the species.</w:t>
      </w:r>
    </w:p>
    <w:p w14:paraId="57021886" w14:textId="77777777" w:rsidR="002B6A3F" w:rsidRDefault="002B6A3F" w:rsidP="00AF2AD5">
      <w:pPr>
        <w:pStyle w:val="Heading3"/>
        <w:ind w:left="964" w:hanging="964"/>
      </w:pPr>
      <w:r>
        <w:lastRenderedPageBreak/>
        <w:t xml:space="preserve">Information and </w:t>
      </w:r>
      <w:r w:rsidR="009F08D5">
        <w:t>r</w:t>
      </w:r>
      <w:r>
        <w:t>esearch priorities</w:t>
      </w:r>
    </w:p>
    <w:p w14:paraId="5DBC2229" w14:textId="77777777" w:rsidR="005C3430" w:rsidRPr="002F24EB" w:rsidRDefault="005C3430" w:rsidP="00E66759">
      <w:pPr>
        <w:pStyle w:val="ListBullet"/>
        <w:keepNext/>
        <w:keepLines/>
        <w:numPr>
          <w:ilvl w:val="0"/>
          <w:numId w:val="8"/>
        </w:numPr>
        <w:rPr>
          <w:b/>
        </w:rPr>
      </w:pPr>
      <w:r w:rsidRPr="002F24EB">
        <w:t xml:space="preserve">Investigate options for linking, </w:t>
      </w:r>
      <w:proofErr w:type="gramStart"/>
      <w:r w:rsidRPr="002F24EB">
        <w:t>enhancing</w:t>
      </w:r>
      <w:proofErr w:type="gramEnd"/>
      <w:r w:rsidRPr="002F24EB">
        <w:t xml:space="preserve"> or establishing additional </w:t>
      </w:r>
      <w:r>
        <w:t>sub</w:t>
      </w:r>
      <w:r w:rsidRPr="002F24EB">
        <w:t>populations.</w:t>
      </w:r>
    </w:p>
    <w:p w14:paraId="37559301" w14:textId="77777777" w:rsidR="0029195E" w:rsidRPr="0029195E" w:rsidRDefault="005C3430" w:rsidP="00760AF7">
      <w:pPr>
        <w:pStyle w:val="ListBullet"/>
        <w:keepNext/>
        <w:keepLines/>
        <w:numPr>
          <w:ilvl w:val="0"/>
          <w:numId w:val="8"/>
        </w:numPr>
        <w:rPr>
          <w:b/>
        </w:rPr>
      </w:pPr>
      <w:r w:rsidRPr="002F24EB">
        <w:t xml:space="preserve">Survey habitat to locate any additional </w:t>
      </w:r>
      <w:r>
        <w:t>sub</w:t>
      </w:r>
      <w:r w:rsidRPr="002F24EB">
        <w:t>populations/occurrences/remnants to assess population size and distribution more precisely.</w:t>
      </w:r>
    </w:p>
    <w:p w14:paraId="398A194A" w14:textId="0BBB624A" w:rsidR="00A22DDE" w:rsidRPr="00FD606B" w:rsidRDefault="0029195E" w:rsidP="00E66759">
      <w:pPr>
        <w:pStyle w:val="ListBullet"/>
        <w:keepNext/>
        <w:keepLines/>
        <w:numPr>
          <w:ilvl w:val="0"/>
          <w:numId w:val="8"/>
        </w:numPr>
        <w:rPr>
          <w:b/>
        </w:rPr>
      </w:pPr>
      <w:r>
        <w:t>Map habitat critical to the survival of the species and identify any critical habitat on Commonwealth land.</w:t>
      </w:r>
    </w:p>
    <w:p w14:paraId="7967839E" w14:textId="1BB3C6E6" w:rsidR="008F67A8" w:rsidRPr="00FD606B" w:rsidRDefault="00A22DDE" w:rsidP="00FD606B">
      <w:pPr>
        <w:pStyle w:val="ListParagraph"/>
        <w:numPr>
          <w:ilvl w:val="0"/>
          <w:numId w:val="8"/>
        </w:numPr>
      </w:pPr>
      <w:r w:rsidRPr="00A22DDE">
        <w:t xml:space="preserve">Promote research and development of alternative treatments of </w:t>
      </w:r>
      <w:r w:rsidRPr="00FD606B">
        <w:rPr>
          <w:i/>
          <w:iCs/>
        </w:rPr>
        <w:t>P. cinnamomi</w:t>
      </w:r>
      <w:r w:rsidRPr="00A22DDE">
        <w:t xml:space="preserve"> and the disease it causes</w:t>
      </w:r>
      <w:r w:rsidR="004F0FEC">
        <w:t xml:space="preserve">, </w:t>
      </w:r>
      <w:proofErr w:type="gramStart"/>
      <w:r w:rsidR="004F0FEC">
        <w:t>in order to</w:t>
      </w:r>
      <w:proofErr w:type="gramEnd"/>
      <w:r w:rsidR="004F0FEC">
        <w:t xml:space="preserve"> reduce potential off-target impacts caused by the application of phosphite</w:t>
      </w:r>
      <w:r w:rsidRPr="00A22DDE">
        <w:t>.</w:t>
      </w:r>
    </w:p>
    <w:p w14:paraId="1F7CCB7F" w14:textId="17668A0E" w:rsidR="005C3430" w:rsidRPr="00B511A4" w:rsidRDefault="005C3430" w:rsidP="00E66759">
      <w:pPr>
        <w:pStyle w:val="ListBullet"/>
        <w:keepNext/>
        <w:keepLines/>
        <w:numPr>
          <w:ilvl w:val="0"/>
          <w:numId w:val="8"/>
        </w:numPr>
        <w:rPr>
          <w:b/>
        </w:rPr>
      </w:pPr>
      <w:r w:rsidRPr="002F24EB">
        <w:t xml:space="preserve">Investigate the ecological requirements of </w:t>
      </w:r>
      <w:r>
        <w:t>the Yellow Mountain Bell</w:t>
      </w:r>
      <w:r w:rsidRPr="002F24EB">
        <w:t>, that are relevant to persistence</w:t>
      </w:r>
      <w:r>
        <w:t>, including</w:t>
      </w:r>
      <w:r w:rsidRPr="002F24EB">
        <w:t>:</w:t>
      </w:r>
    </w:p>
    <w:p w14:paraId="119785A1" w14:textId="462030FC" w:rsidR="005C3430" w:rsidRPr="00875138" w:rsidRDefault="00236FAE" w:rsidP="00E66759">
      <w:pPr>
        <w:pStyle w:val="ListBullet2"/>
        <w:keepNext/>
        <w:keepLines/>
        <w:numPr>
          <w:ilvl w:val="1"/>
          <w:numId w:val="8"/>
        </w:numPr>
        <w:rPr>
          <w:b/>
        </w:rPr>
      </w:pPr>
      <w:r>
        <w:t>p</w:t>
      </w:r>
      <w:r w:rsidR="005C3430" w:rsidRPr="002F24EB">
        <w:t>opulation genetic structure, levels of genetic diversity and minimum viable population size</w:t>
      </w:r>
      <w:r>
        <w:t>,</w:t>
      </w:r>
    </w:p>
    <w:p w14:paraId="7CEE37B1" w14:textId="4744B3E8" w:rsidR="005C3430" w:rsidRPr="002F24EB" w:rsidRDefault="00236FAE" w:rsidP="00E66759">
      <w:pPr>
        <w:pStyle w:val="ListBullet2"/>
        <w:keepNext/>
        <w:keepLines/>
        <w:numPr>
          <w:ilvl w:val="1"/>
          <w:numId w:val="8"/>
        </w:numPr>
      </w:pPr>
      <w:r>
        <w:t>s</w:t>
      </w:r>
      <w:r w:rsidR="005C3430" w:rsidRPr="002F24EB">
        <w:t>oil seed bank dynamics and the role of various disturbances (including fire), competition, rainfall and grazing in germination and recruitment</w:t>
      </w:r>
      <w:r>
        <w:t>,</w:t>
      </w:r>
    </w:p>
    <w:p w14:paraId="72758FEF" w14:textId="77777777" w:rsidR="00A033D2" w:rsidRDefault="00236FAE" w:rsidP="00E66759">
      <w:pPr>
        <w:pStyle w:val="ListBullet2"/>
        <w:numPr>
          <w:ilvl w:val="1"/>
          <w:numId w:val="8"/>
        </w:numPr>
      </w:pPr>
      <w:r>
        <w:t>r</w:t>
      </w:r>
      <w:r w:rsidR="005C3430" w:rsidRPr="002F24EB">
        <w:t xml:space="preserve">eproductive strategies, </w:t>
      </w:r>
      <w:proofErr w:type="gramStart"/>
      <w:r w:rsidR="005C3430" w:rsidRPr="002F24EB">
        <w:t>phenology</w:t>
      </w:r>
      <w:proofErr w:type="gramEnd"/>
      <w:r w:rsidR="005C3430" w:rsidRPr="002F24EB">
        <w:t xml:space="preserve"> and seasonal growth</w:t>
      </w:r>
      <w:r>
        <w:t xml:space="preserve">, </w:t>
      </w:r>
    </w:p>
    <w:p w14:paraId="59DB8912" w14:textId="17AACE93" w:rsidR="005C3430" w:rsidRPr="002F24EB" w:rsidRDefault="00A033D2" w:rsidP="00E66759">
      <w:pPr>
        <w:pStyle w:val="ListBullet2"/>
        <w:numPr>
          <w:ilvl w:val="1"/>
          <w:numId w:val="8"/>
        </w:numPr>
      </w:pPr>
      <w:r>
        <w:t xml:space="preserve">the effects of hybridisation with the Common Mountain Bell, </w:t>
      </w:r>
      <w:r w:rsidR="00236FAE">
        <w:t>and</w:t>
      </w:r>
    </w:p>
    <w:p w14:paraId="56265679" w14:textId="43690B3D" w:rsidR="005C3430" w:rsidRPr="000A5180" w:rsidRDefault="00236FAE" w:rsidP="00E66759">
      <w:pPr>
        <w:pStyle w:val="ListBullet2"/>
        <w:numPr>
          <w:ilvl w:val="1"/>
          <w:numId w:val="8"/>
        </w:numPr>
        <w:rPr>
          <w:b/>
        </w:rPr>
      </w:pPr>
      <w:r>
        <w:t>p</w:t>
      </w:r>
      <w:r w:rsidR="005C3430" w:rsidRPr="002F24EB">
        <w:t>ollinator biology and requirements</w:t>
      </w:r>
      <w:r w:rsidR="005C3430">
        <w:t>.</w:t>
      </w:r>
    </w:p>
    <w:p w14:paraId="64F50A88" w14:textId="0D05D35D" w:rsidR="000A5180" w:rsidRPr="00E93339" w:rsidRDefault="000A5180" w:rsidP="00E66759">
      <w:pPr>
        <w:pStyle w:val="ListBullet"/>
        <w:numPr>
          <w:ilvl w:val="0"/>
          <w:numId w:val="8"/>
        </w:numPr>
      </w:pPr>
      <w:r w:rsidRPr="00E93339">
        <w:t xml:space="preserve">Avoid any use of managed fire research and other activities that impact upon the persistence of the </w:t>
      </w:r>
      <w:proofErr w:type="gramStart"/>
      <w:r w:rsidRPr="00E93339">
        <w:t>species, unless</w:t>
      </w:r>
      <w:proofErr w:type="gramEnd"/>
      <w:r w:rsidRPr="00E93339">
        <w:t xml:space="preserve"> there is evidence to show there would be a positive and enduring effect on the </w:t>
      </w:r>
      <w:r>
        <w:t>species’</w:t>
      </w:r>
      <w:r w:rsidRPr="00E93339">
        <w:t xml:space="preserve"> persistence.</w:t>
      </w:r>
    </w:p>
    <w:p w14:paraId="2FE0FA74" w14:textId="3FE89EE2" w:rsidR="000A5180" w:rsidRPr="000A5180" w:rsidRDefault="000A5180" w:rsidP="00E66759">
      <w:pPr>
        <w:pStyle w:val="ListBullet"/>
        <w:numPr>
          <w:ilvl w:val="0"/>
          <w:numId w:val="8"/>
        </w:numPr>
      </w:pPr>
      <w:r>
        <w:t>Ascertain the cultural significance of the species to Traditional Owners.</w:t>
      </w:r>
    </w:p>
    <w:p w14:paraId="5196E623" w14:textId="77777777" w:rsidR="002B6A3F" w:rsidRDefault="002B6A3F" w:rsidP="00387E7C">
      <w:pPr>
        <w:pStyle w:val="Heading3"/>
        <w:ind w:left="964" w:hanging="964"/>
      </w:pPr>
      <w:r>
        <w:t xml:space="preserve">Recovery </w:t>
      </w:r>
      <w:r w:rsidR="001E4765">
        <w:t>p</w:t>
      </w:r>
      <w:r>
        <w:t xml:space="preserve">lan </w:t>
      </w:r>
      <w:r w:rsidR="009F08D5">
        <w:t>d</w:t>
      </w:r>
      <w:r>
        <w:t>ecision</w:t>
      </w:r>
    </w:p>
    <w:p w14:paraId="4673B2A1" w14:textId="04C69BCE" w:rsidR="00321463" w:rsidRDefault="00321463" w:rsidP="00321463">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p w14:paraId="20CFDCD5" w14:textId="77777777" w:rsidR="002B6A3F" w:rsidRDefault="002B6A3F" w:rsidP="00CC062B">
      <w:pPr>
        <w:pStyle w:val="Heading2"/>
        <w:ind w:left="720" w:hanging="720"/>
      </w:pPr>
      <w:r>
        <w:t>Links to relevant implementation documents</w:t>
      </w:r>
    </w:p>
    <w:p w14:paraId="0C652E53" w14:textId="77777777" w:rsidR="00BC11D7" w:rsidRDefault="007D642D" w:rsidP="00BC11D7">
      <w:pPr>
        <w:rPr>
          <w:rStyle w:val="Hyperlink"/>
          <w:lang w:eastAsia="ja-JP"/>
        </w:rPr>
      </w:pPr>
      <w:hyperlink r:id="rId24" w:history="1">
        <w:r w:rsidR="00BC11D7" w:rsidRPr="00193BF2">
          <w:rPr>
            <w:rStyle w:val="Hyperlink"/>
            <w:lang w:eastAsia="ja-JP"/>
          </w:rPr>
          <w:t>Declared rare and poorly known flora in the Albany district, Western Australian wildlife management program no. 20 (1995)</w:t>
        </w:r>
      </w:hyperlink>
    </w:p>
    <w:p w14:paraId="20AECAA5" w14:textId="77777777" w:rsidR="00BC11D7" w:rsidRDefault="007D642D" w:rsidP="00BC11D7">
      <w:pPr>
        <w:rPr>
          <w:lang w:eastAsia="ja-JP"/>
        </w:rPr>
      </w:pPr>
      <w:hyperlink r:id="rId25" w:history="1">
        <w:r w:rsidR="00BC11D7" w:rsidRPr="000F569C">
          <w:rPr>
            <w:rStyle w:val="Hyperlink"/>
            <w:lang w:eastAsia="ja-JP"/>
          </w:rPr>
          <w:t>Montane heath and thic</w:t>
        </w:r>
        <w:r w:rsidR="00BC11D7">
          <w:rPr>
            <w:rStyle w:val="Hyperlink"/>
            <w:lang w:eastAsia="ja-JP"/>
          </w:rPr>
          <w:t>ket</w:t>
        </w:r>
        <w:r w:rsidR="00BC11D7" w:rsidRPr="000F569C">
          <w:rPr>
            <w:rStyle w:val="Hyperlink"/>
            <w:lang w:eastAsia="ja-JP"/>
          </w:rPr>
          <w:t xml:space="preserve"> of the south west botanical province, a</w:t>
        </w:r>
        <w:r w:rsidR="00BC11D7">
          <w:rPr>
            <w:rStyle w:val="Hyperlink"/>
            <w:lang w:eastAsia="ja-JP"/>
          </w:rPr>
          <w:t>b</w:t>
        </w:r>
        <w:r w:rsidR="00BC11D7" w:rsidRPr="000F569C">
          <w:rPr>
            <w:rStyle w:val="Hyperlink"/>
            <w:lang w:eastAsia="ja-JP"/>
          </w:rPr>
          <w:t>ove approximately 900 m above sea level (Eastern Stirling Range Montane Heath and Thicket Community) 2016 – 2021 (2016)</w:t>
        </w:r>
      </w:hyperlink>
    </w:p>
    <w:p w14:paraId="6CA0E106" w14:textId="7B40E39B" w:rsidR="00BC11D7" w:rsidRDefault="007D642D" w:rsidP="00BC11D7">
      <w:pPr>
        <w:rPr>
          <w:lang w:eastAsia="ja-JP"/>
        </w:rPr>
      </w:pPr>
      <w:hyperlink r:id="rId26" w:history="1">
        <w:r w:rsidR="00BC11D7" w:rsidRPr="002B2F9C">
          <w:rPr>
            <w:rStyle w:val="Hyperlink"/>
            <w:lang w:eastAsia="ja-JP"/>
          </w:rPr>
          <w:t xml:space="preserve">Threat abatement plan for competition and land degradation by </w:t>
        </w:r>
        <w:r w:rsidR="00A93AC9" w:rsidRPr="00A93AC9">
          <w:rPr>
            <w:rStyle w:val="Hyperlink"/>
            <w:lang w:eastAsia="ja-JP"/>
          </w:rPr>
          <w:t xml:space="preserve">rabbits </w:t>
        </w:r>
        <w:r w:rsidR="00BC11D7" w:rsidRPr="002B2F9C">
          <w:rPr>
            <w:rStyle w:val="Hyperlink"/>
            <w:lang w:eastAsia="ja-JP"/>
          </w:rPr>
          <w:t>(2016)</w:t>
        </w:r>
      </w:hyperlink>
    </w:p>
    <w:p w14:paraId="72E58F26" w14:textId="77777777" w:rsidR="00BC11D7" w:rsidRDefault="007D642D" w:rsidP="00BC11D7">
      <w:pPr>
        <w:rPr>
          <w:lang w:eastAsia="ja-JP"/>
        </w:rPr>
      </w:pPr>
      <w:hyperlink r:id="rId27" w:history="1">
        <w:r w:rsidR="00BC11D7" w:rsidRPr="00F502F6">
          <w:rPr>
            <w:rStyle w:val="Hyperlink"/>
            <w:lang w:eastAsia="ja-JP"/>
          </w:rPr>
          <w:t>Threat abatement plan for disease in n</w:t>
        </w:r>
        <w:r w:rsidR="00BC11D7">
          <w:rPr>
            <w:rStyle w:val="Hyperlink"/>
            <w:lang w:eastAsia="ja-JP"/>
          </w:rPr>
          <w:t>a</w:t>
        </w:r>
        <w:r w:rsidR="00BC11D7" w:rsidRPr="00F502F6">
          <w:rPr>
            <w:rStyle w:val="Hyperlink"/>
            <w:lang w:eastAsia="ja-JP"/>
          </w:rPr>
          <w:t xml:space="preserve">tural ecosystems caused by </w:t>
        </w:r>
        <w:r w:rsidR="00BC11D7" w:rsidRPr="00F502F6">
          <w:rPr>
            <w:rStyle w:val="Hyperlink"/>
            <w:i/>
            <w:iCs/>
            <w:lang w:eastAsia="ja-JP"/>
          </w:rPr>
          <w:t xml:space="preserve">Phytophthora cinnamomi </w:t>
        </w:r>
        <w:r w:rsidR="00BC11D7" w:rsidRPr="00F502F6">
          <w:rPr>
            <w:rStyle w:val="Hyperlink"/>
            <w:lang w:eastAsia="ja-JP"/>
          </w:rPr>
          <w:t>(2018)</w:t>
        </w:r>
      </w:hyperlink>
    </w:p>
    <w:p w14:paraId="5B9AEE1B" w14:textId="1247721A" w:rsidR="00AF2AD5" w:rsidRPr="00C73C35" w:rsidRDefault="007D642D" w:rsidP="00C73C35">
      <w:pPr>
        <w:rPr>
          <w:lang w:eastAsia="ja-JP"/>
        </w:rPr>
      </w:pPr>
      <w:hyperlink r:id="rId28" w:history="1">
        <w:r w:rsidR="00BC11D7" w:rsidRPr="00F15AB6">
          <w:rPr>
            <w:rStyle w:val="Hyperlink"/>
            <w:lang w:eastAsia="ja-JP"/>
          </w:rPr>
          <w:t xml:space="preserve">Yellow </w:t>
        </w:r>
        <w:r w:rsidR="00A93AC9">
          <w:rPr>
            <w:rStyle w:val="Hyperlink"/>
            <w:lang w:eastAsia="ja-JP"/>
          </w:rPr>
          <w:t>m</w:t>
        </w:r>
        <w:r w:rsidR="00BC11D7" w:rsidRPr="00F15AB6">
          <w:rPr>
            <w:rStyle w:val="Hyperlink"/>
            <w:lang w:eastAsia="ja-JP"/>
          </w:rPr>
          <w:t xml:space="preserve">ountain </w:t>
        </w:r>
        <w:r w:rsidR="00A93AC9">
          <w:rPr>
            <w:rStyle w:val="Hyperlink"/>
            <w:lang w:eastAsia="ja-JP"/>
          </w:rPr>
          <w:t>b</w:t>
        </w:r>
        <w:r w:rsidR="00BC11D7" w:rsidRPr="00F15AB6">
          <w:rPr>
            <w:rStyle w:val="Hyperlink"/>
            <w:lang w:eastAsia="ja-JP"/>
          </w:rPr>
          <w:t>ell (</w:t>
        </w:r>
        <w:proofErr w:type="spellStart"/>
        <w:r w:rsidR="00BC11D7" w:rsidRPr="00F15AB6">
          <w:rPr>
            <w:rStyle w:val="Hyperlink"/>
            <w:i/>
            <w:iCs/>
            <w:lang w:eastAsia="ja-JP"/>
          </w:rPr>
          <w:t>D</w:t>
        </w:r>
        <w:r w:rsidR="00BC11D7" w:rsidRPr="00992AF8">
          <w:rPr>
            <w:rStyle w:val="Hyperlink"/>
            <w:i/>
            <w:iCs/>
          </w:rPr>
          <w:t>arwinia</w:t>
        </w:r>
        <w:proofErr w:type="spellEnd"/>
        <w:r w:rsidR="00BC11D7" w:rsidRPr="00992AF8">
          <w:rPr>
            <w:rStyle w:val="Hyperlink"/>
            <w:i/>
            <w:iCs/>
          </w:rPr>
          <w:t xml:space="preserve"> </w:t>
        </w:r>
        <w:proofErr w:type="spellStart"/>
        <w:r w:rsidR="00BC11D7" w:rsidRPr="00992AF8">
          <w:rPr>
            <w:rStyle w:val="Hyperlink"/>
            <w:i/>
            <w:iCs/>
          </w:rPr>
          <w:t>collina</w:t>
        </w:r>
        <w:proofErr w:type="spellEnd"/>
        <w:r w:rsidR="00BC11D7" w:rsidRPr="00F15AB6">
          <w:rPr>
            <w:rStyle w:val="Hyperlink"/>
            <w:lang w:eastAsia="ja-JP"/>
          </w:rPr>
          <w:t xml:space="preserve">) </w:t>
        </w:r>
        <w:r w:rsidR="00A93AC9">
          <w:rPr>
            <w:rStyle w:val="Hyperlink"/>
            <w:lang w:eastAsia="ja-JP"/>
          </w:rPr>
          <w:t>r</w:t>
        </w:r>
        <w:r w:rsidR="00BC11D7" w:rsidRPr="00F15AB6">
          <w:rPr>
            <w:rStyle w:val="Hyperlink"/>
            <w:lang w:eastAsia="ja-JP"/>
          </w:rPr>
          <w:t xml:space="preserve">ecovery </w:t>
        </w:r>
        <w:r w:rsidR="00A93AC9">
          <w:rPr>
            <w:rStyle w:val="Hyperlink"/>
            <w:lang w:eastAsia="ja-JP"/>
          </w:rPr>
          <w:t>p</w:t>
        </w:r>
        <w:r w:rsidR="00BC11D7" w:rsidRPr="00F15AB6">
          <w:rPr>
            <w:rStyle w:val="Hyperlink"/>
            <w:lang w:eastAsia="ja-JP"/>
          </w:rPr>
          <w:t>lan (2008)</w:t>
        </w:r>
      </w:hyperlink>
    </w:p>
    <w:p w14:paraId="7B398E65" w14:textId="22316275" w:rsidR="002319AB" w:rsidRDefault="002319AB" w:rsidP="002319AB">
      <w:pPr>
        <w:pStyle w:val="Heading2"/>
        <w:spacing w:before="120"/>
        <w:ind w:left="709" w:hanging="709"/>
      </w:pPr>
      <w:r>
        <w:lastRenderedPageBreak/>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3"/>
      <w:bookmarkEnd w:id="24"/>
      <w:r w:rsidR="0012461E">
        <w:t>L</w:t>
      </w:r>
      <w:r>
        <w:t xml:space="preserve">isting </w:t>
      </w:r>
      <w:r w:rsidR="0012461E">
        <w:t>A</w:t>
      </w:r>
      <w:r>
        <w:t>ssessment references</w:t>
      </w:r>
    </w:p>
    <w:p w14:paraId="649D806F" w14:textId="47CE50DE" w:rsidR="00237B4B" w:rsidRPr="00237B4B" w:rsidRDefault="00237B4B" w:rsidP="00237B4B">
      <w:pPr>
        <w:pStyle w:val="EndNoteBibliography"/>
        <w:spacing w:after="240"/>
        <w:ind w:left="720" w:hanging="720"/>
      </w:pPr>
      <w:r w:rsidRPr="00237B4B">
        <w:t xml:space="preserve">Auld TD &amp; Denham AJ (2006) How much seed remains in the soil after a fire? </w:t>
      </w:r>
      <w:r w:rsidRPr="00237B4B">
        <w:rPr>
          <w:i/>
        </w:rPr>
        <w:t>Plant Ecology</w:t>
      </w:r>
      <w:r w:rsidRPr="00237B4B">
        <w:t xml:space="preserve"> 187, 15-24.</w:t>
      </w:r>
    </w:p>
    <w:p w14:paraId="1F882455" w14:textId="435CF275" w:rsidR="00237B4B" w:rsidRPr="00237B4B" w:rsidRDefault="00175D01" w:rsidP="00237B4B">
      <w:pPr>
        <w:pStyle w:val="EndNoteBibliography"/>
        <w:spacing w:after="240"/>
        <w:ind w:left="720" w:hanging="720"/>
      </w:pPr>
      <w:r>
        <w:t>AVH</w:t>
      </w:r>
      <w:r w:rsidR="002D333B">
        <w:t xml:space="preserve"> (</w:t>
      </w:r>
      <w:r w:rsidRPr="002D333B">
        <w:t>Australasian Virtual Herbarium</w:t>
      </w:r>
      <w:r w:rsidR="002D333B">
        <w:t>)</w:t>
      </w:r>
      <w:r w:rsidR="00237B4B" w:rsidRPr="00237B4B">
        <w:t xml:space="preserve"> (2020) Occurrence records for </w:t>
      </w:r>
      <w:r w:rsidR="00237B4B" w:rsidRPr="00237B4B">
        <w:rPr>
          <w:i/>
        </w:rPr>
        <w:t>Darwinia leiostyla</w:t>
      </w:r>
      <w:r w:rsidR="00237B4B" w:rsidRPr="00237B4B">
        <w:t xml:space="preserve">. Accessed: 13 October 2020 Available at: </w:t>
      </w:r>
      <w:hyperlink r:id="rId29" w:anchor="tab_recordsView" w:history="1">
        <w:r w:rsidR="002D333B" w:rsidRPr="004F42E2">
          <w:rPr>
            <w:rStyle w:val="Hyperlink"/>
          </w:rPr>
          <w:t>https://avh.ala.org.au/occurrences/search?taxa=darwinia+leiostyla#tab_recordsView</w:t>
        </w:r>
      </w:hyperlink>
      <w:r w:rsidR="002D333B">
        <w:t xml:space="preserve"> </w:t>
      </w:r>
    </w:p>
    <w:p w14:paraId="4E39286A" w14:textId="7FBEF72C" w:rsidR="00237B4B" w:rsidRPr="00237B4B" w:rsidRDefault="00237B4B" w:rsidP="00237B4B">
      <w:pPr>
        <w:pStyle w:val="EndNoteBibliography"/>
        <w:spacing w:after="240"/>
        <w:ind w:left="720" w:hanging="720"/>
      </w:pPr>
      <w:r w:rsidRPr="00237B4B">
        <w:t xml:space="preserve">Barrett S (1996) </w:t>
      </w:r>
      <w:r w:rsidRPr="00237B4B">
        <w:rPr>
          <w:i/>
        </w:rPr>
        <w:t>Biological survey of mountains in southern Western Australia</w:t>
      </w:r>
      <w:r w:rsidRPr="00237B4B">
        <w:t>. Environment Australia, Perth.</w:t>
      </w:r>
    </w:p>
    <w:p w14:paraId="2BC4340F" w14:textId="5C1D4B18" w:rsidR="00237B4B" w:rsidRPr="00237B4B" w:rsidRDefault="00237B4B" w:rsidP="00237B4B">
      <w:pPr>
        <w:pStyle w:val="EndNoteBibliography"/>
        <w:spacing w:after="240"/>
        <w:ind w:left="720" w:hanging="720"/>
      </w:pPr>
      <w:r w:rsidRPr="00237B4B">
        <w:t xml:space="preserve">Barrett S (2000) </w:t>
      </w:r>
      <w:r w:rsidRPr="00237B4B">
        <w:rPr>
          <w:i/>
        </w:rPr>
        <w:t xml:space="preserve">Eastern Stirling </w:t>
      </w:r>
      <w:r w:rsidR="002D333B">
        <w:rPr>
          <w:i/>
        </w:rPr>
        <w:t>R</w:t>
      </w:r>
      <w:r w:rsidRPr="00237B4B">
        <w:rPr>
          <w:i/>
        </w:rPr>
        <w:t xml:space="preserve">ange </w:t>
      </w:r>
      <w:r w:rsidR="002D333B">
        <w:rPr>
          <w:i/>
        </w:rPr>
        <w:t>M</w:t>
      </w:r>
      <w:r w:rsidRPr="00237B4B">
        <w:rPr>
          <w:i/>
        </w:rPr>
        <w:t xml:space="preserve">ontane </w:t>
      </w:r>
      <w:r w:rsidR="002D333B">
        <w:rPr>
          <w:i/>
        </w:rPr>
        <w:t>H</w:t>
      </w:r>
      <w:r w:rsidRPr="00237B4B">
        <w:rPr>
          <w:i/>
        </w:rPr>
        <w:t xml:space="preserve">eath and </w:t>
      </w:r>
      <w:r w:rsidR="002D333B">
        <w:rPr>
          <w:i/>
        </w:rPr>
        <w:t>T</w:t>
      </w:r>
      <w:r w:rsidRPr="00237B4B">
        <w:rPr>
          <w:i/>
        </w:rPr>
        <w:t xml:space="preserve">hicket </w:t>
      </w:r>
      <w:r w:rsidR="002D333B">
        <w:rPr>
          <w:i/>
        </w:rPr>
        <w:t>C</w:t>
      </w:r>
      <w:r w:rsidRPr="00237B4B">
        <w:rPr>
          <w:i/>
        </w:rPr>
        <w:t>ommunity interim recovery plan no. 52, 1999−2002</w:t>
      </w:r>
      <w:r w:rsidRPr="00237B4B">
        <w:t>. Department of Conservation and Land Management (WA), Albany.</w:t>
      </w:r>
    </w:p>
    <w:p w14:paraId="1C1BE24B" w14:textId="2B2D6DDE" w:rsidR="00237B4B" w:rsidRDefault="00237B4B" w:rsidP="00237B4B">
      <w:pPr>
        <w:pStyle w:val="EndNoteBibliography"/>
        <w:spacing w:after="240"/>
        <w:ind w:left="720" w:hanging="720"/>
      </w:pPr>
      <w:r w:rsidRPr="00237B4B">
        <w:t xml:space="preserve">Barrett S, Shearer BL, Crane CE &amp; Cochrane A (2008) An extinction-risk assessment tool for flora threatened by </w:t>
      </w:r>
      <w:r w:rsidRPr="00237B4B">
        <w:rPr>
          <w:i/>
        </w:rPr>
        <w:t>Phytophthora cinnamomi</w:t>
      </w:r>
      <w:r w:rsidRPr="00237B4B">
        <w:t xml:space="preserve">. </w:t>
      </w:r>
      <w:r w:rsidRPr="00237B4B">
        <w:rPr>
          <w:i/>
        </w:rPr>
        <w:t>Australian Journal of Botany</w:t>
      </w:r>
      <w:r w:rsidRPr="00237B4B">
        <w:t xml:space="preserve"> 56, 477-486.</w:t>
      </w:r>
    </w:p>
    <w:p w14:paraId="08DC9BEB" w14:textId="48CB0241" w:rsidR="00635AAF" w:rsidRPr="00237B4B" w:rsidRDefault="00635AAF" w:rsidP="00635AAF">
      <w:pPr>
        <w:pStyle w:val="EndNoteBibliography"/>
        <w:spacing w:after="240"/>
        <w:ind w:left="720" w:hanging="720"/>
      </w:pPr>
      <w:r>
        <w:t xml:space="preserve">Barrett S, Comer S, McQuoid N, Porter M, Tiller C &amp; Utber D (2009) </w:t>
      </w:r>
      <w:r w:rsidRPr="008475E0">
        <w:rPr>
          <w:i/>
          <w:iCs/>
        </w:rPr>
        <w:t xml:space="preserve">Identification and conservation of fire sensitive ecosystems and species of the South Coast Natural Resource Management Region. </w:t>
      </w:r>
      <w:r>
        <w:t>Department of Conservation and Land Management (WA), South Coast Region.</w:t>
      </w:r>
    </w:p>
    <w:p w14:paraId="49276B20" w14:textId="5E6E5E70" w:rsidR="00237B4B" w:rsidRDefault="00237B4B" w:rsidP="00237B4B">
      <w:pPr>
        <w:pStyle w:val="EndNoteBibliography"/>
        <w:spacing w:after="240"/>
        <w:ind w:left="720" w:hanging="720"/>
      </w:pPr>
      <w:r w:rsidRPr="00237B4B">
        <w:t xml:space="preserve">Barrett S &amp; Yates CJ (2015) Risks to a mountain summit ecosystem with endemic biota in southwestern Australia. </w:t>
      </w:r>
      <w:r w:rsidRPr="00237B4B">
        <w:rPr>
          <w:i/>
        </w:rPr>
        <w:t>Austral Ecology</w:t>
      </w:r>
      <w:r w:rsidRPr="00237B4B">
        <w:t xml:space="preserve"> 40, 423-432.</w:t>
      </w:r>
    </w:p>
    <w:p w14:paraId="78647BEE" w14:textId="5634BCFA" w:rsidR="00237B4B" w:rsidRPr="00237B4B" w:rsidRDefault="00237B4B" w:rsidP="00237B4B">
      <w:pPr>
        <w:pStyle w:val="EndNoteBibliography"/>
        <w:spacing w:after="240"/>
        <w:ind w:left="720" w:hanging="720"/>
      </w:pPr>
      <w:r w:rsidRPr="00237B4B">
        <w:t xml:space="preserve">Bates BC, Hope P, Ryan B, Smith I &amp; Charles S (2008) Key findings from the Indian Ocean climate initiative and their impact on policy development in Australia. </w:t>
      </w:r>
      <w:r w:rsidRPr="00237B4B">
        <w:rPr>
          <w:i/>
        </w:rPr>
        <w:t>Climatic Change</w:t>
      </w:r>
      <w:r w:rsidRPr="00237B4B">
        <w:t xml:space="preserve"> 89, 339-354.</w:t>
      </w:r>
    </w:p>
    <w:p w14:paraId="7793FF2D" w14:textId="4042A9B2" w:rsidR="00237B4B" w:rsidRPr="00237B4B" w:rsidRDefault="00237B4B" w:rsidP="00237B4B">
      <w:pPr>
        <w:pStyle w:val="EndNoteBibliography"/>
        <w:spacing w:after="240"/>
        <w:ind w:left="720" w:hanging="720"/>
      </w:pPr>
      <w:r w:rsidRPr="00237B4B">
        <w:t xml:space="preserve">Bridle KL, Kirkpatrick JB, Cullen P &amp; Shepherd RR (2001) Recovery in alpine heath and grassland following burning and grazing, eastern central plateau, Tasmania, Australia. </w:t>
      </w:r>
      <w:r w:rsidRPr="00237B4B">
        <w:rPr>
          <w:i/>
        </w:rPr>
        <w:t>Arctic, Antarctic, and Alpine Research</w:t>
      </w:r>
      <w:r w:rsidRPr="00237B4B">
        <w:t xml:space="preserve"> 33, 348-356.</w:t>
      </w:r>
    </w:p>
    <w:p w14:paraId="4679B5A9" w14:textId="6B07D62E" w:rsidR="00237B4B" w:rsidRPr="00237B4B" w:rsidRDefault="00237B4B" w:rsidP="00237B4B">
      <w:pPr>
        <w:pStyle w:val="EndNoteBibliography"/>
        <w:spacing w:after="240"/>
        <w:ind w:left="720" w:hanging="720"/>
      </w:pPr>
      <w:r w:rsidRPr="00237B4B">
        <w:t>Brown A, Thomson-Dans C &amp; Marchant N (1998)</w:t>
      </w:r>
      <w:r w:rsidR="00E46F88">
        <w:t xml:space="preserve"> </w:t>
      </w:r>
      <w:r w:rsidRPr="00237B4B">
        <w:rPr>
          <w:i/>
        </w:rPr>
        <w:t>Western Australia's threatened flora</w:t>
      </w:r>
      <w:r w:rsidRPr="00237B4B">
        <w:t>. Department of Conservation and Land Management (WA), Como.</w:t>
      </w:r>
    </w:p>
    <w:p w14:paraId="122BF9C8" w14:textId="10C69BD6" w:rsidR="00237B4B" w:rsidRPr="00237B4B" w:rsidRDefault="00237B4B" w:rsidP="00237B4B">
      <w:pPr>
        <w:pStyle w:val="EndNoteBibliography"/>
        <w:spacing w:after="240"/>
        <w:ind w:left="720" w:hanging="720"/>
      </w:pPr>
      <w:r w:rsidRPr="00237B4B">
        <w:t xml:space="preserve">Bureau of Meteorology &amp; CSIRO </w:t>
      </w:r>
      <w:r w:rsidR="00E46F88">
        <w:t>(</w:t>
      </w:r>
      <w:r w:rsidR="00E46F88" w:rsidRPr="002D333B">
        <w:t>Commonwealth Scientific and Industrial Research Organisation</w:t>
      </w:r>
      <w:r w:rsidR="00E46F88">
        <w:t xml:space="preserve">) </w:t>
      </w:r>
      <w:r w:rsidRPr="00237B4B">
        <w:t xml:space="preserve">(2020) </w:t>
      </w:r>
      <w:r w:rsidRPr="00237B4B">
        <w:rPr>
          <w:i/>
        </w:rPr>
        <w:t xml:space="preserve">State of the </w:t>
      </w:r>
      <w:r w:rsidR="002D333B">
        <w:rPr>
          <w:i/>
        </w:rPr>
        <w:t>c</w:t>
      </w:r>
      <w:r w:rsidRPr="00237B4B">
        <w:rPr>
          <w:i/>
        </w:rPr>
        <w:t>limate</w:t>
      </w:r>
      <w:r w:rsidRPr="00237B4B">
        <w:t>. Commonwealth of Australia, Australia.</w:t>
      </w:r>
    </w:p>
    <w:p w14:paraId="527E5B20" w14:textId="1D6CC444" w:rsidR="00237B4B" w:rsidRPr="00237B4B" w:rsidRDefault="00237B4B" w:rsidP="00237B4B">
      <w:pPr>
        <w:pStyle w:val="EndNoteBibliography"/>
        <w:spacing w:after="240"/>
        <w:ind w:left="720" w:hanging="720"/>
      </w:pPr>
      <w:r w:rsidRPr="00237B4B">
        <w:t>CALM</w:t>
      </w:r>
      <w:r w:rsidR="00E46F88">
        <w:t xml:space="preserve"> (</w:t>
      </w:r>
      <w:r w:rsidR="00E46F88" w:rsidRPr="00237B4B">
        <w:t>Department of Conservation and Land Manageme</w:t>
      </w:r>
      <w:r w:rsidR="00E46F88">
        <w:t>nt</w:t>
      </w:r>
      <w:r w:rsidR="002D333B">
        <w:t xml:space="preserve">) </w:t>
      </w:r>
      <w:r w:rsidRPr="00237B4B">
        <w:t xml:space="preserve">(1999) </w:t>
      </w:r>
      <w:r w:rsidRPr="00237B4B">
        <w:rPr>
          <w:i/>
        </w:rPr>
        <w:t>Stirling Range and Porongurup National Parks management plan 1999-2009; management plan no 42</w:t>
      </w:r>
      <w:r w:rsidRPr="00237B4B">
        <w:t>. Department of Conservation and Land Management (WA), Perth.</w:t>
      </w:r>
    </w:p>
    <w:p w14:paraId="7C0B6F66" w14:textId="49881F7F" w:rsidR="00237B4B" w:rsidRPr="00237B4B" w:rsidRDefault="00237B4B" w:rsidP="00237B4B">
      <w:pPr>
        <w:pStyle w:val="EndNoteBibliography"/>
        <w:spacing w:after="240"/>
        <w:ind w:left="720" w:hanging="720"/>
      </w:pPr>
      <w:r w:rsidRPr="00237B4B">
        <w:t xml:space="preserve">Cochrane A (2013) </w:t>
      </w:r>
      <w:r w:rsidRPr="00237B4B">
        <w:rPr>
          <w:i/>
        </w:rPr>
        <w:t>Seed notes for Western Australia: no 10 Darwinia, Chamelaucium and Verticordia</w:t>
      </w:r>
      <w:r w:rsidRPr="00237B4B">
        <w:t>. Perth Branch, Wildflower Society of Western Australia Inc</w:t>
      </w:r>
      <w:r w:rsidR="002D333B">
        <w:t>.</w:t>
      </w:r>
      <w:r w:rsidRPr="00237B4B">
        <w:t>, Western Australian Lotteries Commission and Department of Environment and Conservation (WA).</w:t>
      </w:r>
    </w:p>
    <w:p w14:paraId="5865E049" w14:textId="062D20C9" w:rsidR="00237B4B" w:rsidRPr="00237B4B" w:rsidRDefault="00237B4B" w:rsidP="00237B4B">
      <w:pPr>
        <w:pStyle w:val="EndNoteBibliography"/>
        <w:spacing w:after="240"/>
        <w:ind w:left="720" w:hanging="720"/>
      </w:pPr>
      <w:r w:rsidRPr="00237B4B">
        <w:t xml:space="preserve">Commander LE, Coates D, Broadhurst L, Offord CA, Makinson RO &amp; Matthes M (2018) </w:t>
      </w:r>
      <w:r w:rsidRPr="00237B4B">
        <w:rPr>
          <w:i/>
        </w:rPr>
        <w:t>Guidelines for the translocation of threatened plants in Australia</w:t>
      </w:r>
      <w:r w:rsidRPr="00237B4B">
        <w:t>. 3rd edn. Australian Network for Plant Conservation, Canberra.</w:t>
      </w:r>
    </w:p>
    <w:p w14:paraId="5AF541FF" w14:textId="0C4F63BD" w:rsidR="00237B4B" w:rsidRPr="00237B4B" w:rsidRDefault="00237B4B" w:rsidP="00237B4B">
      <w:pPr>
        <w:pStyle w:val="EndNoteBibliography"/>
        <w:spacing w:after="240"/>
        <w:ind w:left="720" w:hanging="720"/>
      </w:pPr>
      <w:r w:rsidRPr="00237B4B">
        <w:lastRenderedPageBreak/>
        <w:t xml:space="preserve">Crane CE &amp; Shearer BL (2007) Hemispherical digital photographs offer advantages over conventional methods for quantifying pathogen-mediated changes caused by infestation of </w:t>
      </w:r>
      <w:r w:rsidRPr="00237B4B">
        <w:rPr>
          <w:i/>
        </w:rPr>
        <w:t>Phytophthora cinnamomi</w:t>
      </w:r>
      <w:r w:rsidRPr="00237B4B">
        <w:t xml:space="preserve">. </w:t>
      </w:r>
      <w:r w:rsidRPr="00237B4B">
        <w:rPr>
          <w:i/>
        </w:rPr>
        <w:t>Australasian Plant Pathology</w:t>
      </w:r>
      <w:r w:rsidRPr="00237B4B">
        <w:t xml:space="preserve"> 36, 466-474.</w:t>
      </w:r>
    </w:p>
    <w:p w14:paraId="6FAB00FF" w14:textId="6AF707F4" w:rsidR="00237B4B" w:rsidRPr="00237B4B" w:rsidRDefault="00237B4B" w:rsidP="00237B4B">
      <w:pPr>
        <w:pStyle w:val="EndNoteBibliography"/>
        <w:spacing w:after="240"/>
        <w:ind w:left="720" w:hanging="720"/>
      </w:pPr>
      <w:r w:rsidRPr="00237B4B">
        <w:t>CSIRO</w:t>
      </w:r>
      <w:r w:rsidR="00C01FE6">
        <w:t xml:space="preserve"> (</w:t>
      </w:r>
      <w:r w:rsidR="00C01FE6" w:rsidRPr="002D333B">
        <w:t>Commonwealth Scientific and Industrial Research Organisation</w:t>
      </w:r>
      <w:r w:rsidR="002D333B">
        <w:t>)</w:t>
      </w:r>
      <w:r w:rsidRPr="00237B4B">
        <w:t xml:space="preserve"> &amp; Bureau of Meteorology (2015) </w:t>
      </w:r>
      <w:r w:rsidRPr="00237B4B">
        <w:rPr>
          <w:i/>
        </w:rPr>
        <w:t>Climate change in Australia information for Australia’s natural resource management regions: technical report</w:t>
      </w:r>
      <w:r w:rsidRPr="00237B4B">
        <w:t>. CSIRO and Bureau of Meteorology, Australia.</w:t>
      </w:r>
    </w:p>
    <w:p w14:paraId="17ED6C24" w14:textId="62250B16" w:rsidR="00237B4B" w:rsidRPr="00237B4B" w:rsidRDefault="00237B4B" w:rsidP="00237B4B">
      <w:pPr>
        <w:pStyle w:val="EndNoteBibliography"/>
        <w:spacing w:after="240"/>
        <w:ind w:left="720" w:hanging="720"/>
      </w:pPr>
      <w:r w:rsidRPr="00237B4B">
        <w:t xml:space="preserve">D'Antonio CM &amp; Vitousek PM (1992) Biological invasions by exotic grasses, the grass/fire cycle, and global change. </w:t>
      </w:r>
      <w:r w:rsidRPr="00237B4B">
        <w:rPr>
          <w:i/>
        </w:rPr>
        <w:t xml:space="preserve">Annual </w:t>
      </w:r>
      <w:r w:rsidR="00751D8E">
        <w:rPr>
          <w:i/>
        </w:rPr>
        <w:t>R</w:t>
      </w:r>
      <w:r w:rsidRPr="00237B4B">
        <w:rPr>
          <w:i/>
        </w:rPr>
        <w:t xml:space="preserve">eview of </w:t>
      </w:r>
      <w:r w:rsidR="00751D8E">
        <w:rPr>
          <w:i/>
        </w:rPr>
        <w:t>E</w:t>
      </w:r>
      <w:r w:rsidRPr="00237B4B">
        <w:rPr>
          <w:i/>
        </w:rPr>
        <w:t>cology and</w:t>
      </w:r>
      <w:r w:rsidR="00751D8E">
        <w:rPr>
          <w:i/>
        </w:rPr>
        <w:t xml:space="preserve"> S</w:t>
      </w:r>
      <w:r w:rsidRPr="00237B4B">
        <w:rPr>
          <w:i/>
        </w:rPr>
        <w:t>ystematics</w:t>
      </w:r>
      <w:r w:rsidRPr="00237B4B">
        <w:t xml:space="preserve"> 23, 63-87.</w:t>
      </w:r>
    </w:p>
    <w:p w14:paraId="482B1496" w14:textId="635264EF" w:rsidR="00237B4B" w:rsidRPr="00237B4B" w:rsidRDefault="00237B4B" w:rsidP="00237B4B">
      <w:pPr>
        <w:pStyle w:val="EndNoteBibliography"/>
        <w:spacing w:after="240"/>
        <w:ind w:left="720" w:hanging="720"/>
      </w:pPr>
      <w:r w:rsidRPr="00237B4B">
        <w:t>DAWE</w:t>
      </w:r>
      <w:r w:rsidR="00C01FE6">
        <w:t xml:space="preserve"> (Department of Agriculture, Water and the Environment</w:t>
      </w:r>
      <w:r w:rsidR="00105F72">
        <w:t>)</w:t>
      </w:r>
      <w:r w:rsidRPr="00237B4B">
        <w:t xml:space="preserve"> (2020) National indicative aggregated fire extent datasets. Accessed: 12 October 2020 Available at: </w:t>
      </w:r>
      <w:hyperlink r:id="rId30" w:history="1">
        <w:r w:rsidR="00105F72" w:rsidRPr="004F42E2">
          <w:rPr>
            <w:rStyle w:val="Hyperlink"/>
          </w:rPr>
          <w:t>http://www.environment.gov.au/fed/catalog/search/resource/details.page?uuid=%7B9ACDCB09-0364-4FE8-9459-2A56C792C743%7D</w:t>
        </w:r>
      </w:hyperlink>
      <w:r w:rsidR="00105F72">
        <w:t xml:space="preserve"> </w:t>
      </w:r>
    </w:p>
    <w:p w14:paraId="57CAE007" w14:textId="77777777" w:rsidR="00A32B5C" w:rsidRDefault="00C01FE6" w:rsidP="00A32B5C">
      <w:pPr>
        <w:pStyle w:val="EndNoteBibliography"/>
        <w:spacing w:after="240"/>
        <w:ind w:left="720" w:hanging="720"/>
      </w:pPr>
      <w:r w:rsidRPr="001F1546">
        <w:t xml:space="preserve">DBCA </w:t>
      </w:r>
      <w:r>
        <w:t>(Department of Biodiversity, Conservation and Attractions)</w:t>
      </w:r>
      <w:r w:rsidRPr="00237B4B">
        <w:t xml:space="preserve"> </w:t>
      </w:r>
      <w:r w:rsidR="00237B4B" w:rsidRPr="00237B4B">
        <w:t xml:space="preserve">(2020) </w:t>
      </w:r>
      <w:r w:rsidR="00237B4B" w:rsidRPr="00237B4B">
        <w:rPr>
          <w:i/>
        </w:rPr>
        <w:t>Phytophthora</w:t>
      </w:r>
      <w:r w:rsidR="00237B4B" w:rsidRPr="00237B4B">
        <w:t xml:space="preserve"> dieback. Accessed: 8 October 2020 Available at: </w:t>
      </w:r>
      <w:hyperlink r:id="rId31" w:history="1">
        <w:r w:rsidR="006068EE" w:rsidRPr="004F42E2">
          <w:rPr>
            <w:rStyle w:val="Hyperlink"/>
          </w:rPr>
          <w:t>https://www.dpaw.wa.gov.au/management/pests-diseases/phytophthora-dieback</w:t>
        </w:r>
      </w:hyperlink>
      <w:r w:rsidR="006068EE">
        <w:t xml:space="preserve"> </w:t>
      </w:r>
    </w:p>
    <w:p w14:paraId="04D3684B" w14:textId="77777777" w:rsidR="00A32B5C" w:rsidRDefault="006068EE" w:rsidP="00A32B5C">
      <w:pPr>
        <w:pStyle w:val="EndNoteBibliography"/>
        <w:spacing w:after="240"/>
        <w:ind w:left="720" w:hanging="720"/>
      </w:pPr>
      <w:r w:rsidRPr="001F1546">
        <w:t xml:space="preserve">DBCA </w:t>
      </w:r>
      <w:r>
        <w:t xml:space="preserve">(Department of Biodiversity, Conservation and Attractions) (2021) </w:t>
      </w:r>
      <w:r>
        <w:rPr>
          <w:rFonts w:cs="Arial"/>
          <w:color w:val="222222"/>
          <w:shd w:val="clear" w:color="auto" w:fill="FFFFFF"/>
        </w:rPr>
        <w:t xml:space="preserve">Personal communication by email, 11 May 2021. </w:t>
      </w:r>
      <w:r>
        <w:t>Department of Biodiversity, Conservation and Attractions (WA).</w:t>
      </w:r>
    </w:p>
    <w:p w14:paraId="5C5229F5" w14:textId="77777777" w:rsidR="00A32B5C" w:rsidRDefault="006068EE" w:rsidP="00A32B5C">
      <w:pPr>
        <w:pStyle w:val="EndNoteBibliography"/>
        <w:spacing w:after="240"/>
        <w:ind w:left="720" w:hanging="720"/>
      </w:pPr>
      <w:r w:rsidRPr="001F1546">
        <w:t xml:space="preserve">DBCA </w:t>
      </w:r>
      <w:r>
        <w:t xml:space="preserve">(Department of Biodiversity, Conservation and Attractions) (2021) </w:t>
      </w:r>
      <w:r>
        <w:rPr>
          <w:rFonts w:cs="Arial"/>
          <w:color w:val="222222"/>
          <w:shd w:val="clear" w:color="auto" w:fill="FFFFFF"/>
        </w:rPr>
        <w:t xml:space="preserve">Personal communication by email, 3 September 2021. </w:t>
      </w:r>
      <w:r>
        <w:t>Department of Biodiversity, Conservation and Attractions (WA).</w:t>
      </w:r>
    </w:p>
    <w:p w14:paraId="17AEF79F" w14:textId="77777777" w:rsidR="00A32B5C" w:rsidRDefault="006068EE" w:rsidP="00A32B5C">
      <w:pPr>
        <w:pStyle w:val="EndNoteBibliography"/>
        <w:spacing w:after="240"/>
        <w:ind w:left="720" w:hanging="720"/>
      </w:pPr>
      <w:r w:rsidRPr="001F1546">
        <w:t xml:space="preserve">DBCA </w:t>
      </w:r>
      <w:r>
        <w:t xml:space="preserve">(Department of Biodiversity, Conservation and Attractions) (2021) </w:t>
      </w:r>
      <w:r>
        <w:rPr>
          <w:rFonts w:cs="Arial"/>
          <w:color w:val="222222"/>
          <w:shd w:val="clear" w:color="auto" w:fill="FFFFFF"/>
        </w:rPr>
        <w:t xml:space="preserve">Personal communication by email, 7 September 2021. </w:t>
      </w:r>
      <w:r>
        <w:t>Department of Biodiversity, Conservation and Attractions (WA).</w:t>
      </w:r>
    </w:p>
    <w:p w14:paraId="45F4A50D" w14:textId="045E4B64" w:rsidR="00284222" w:rsidRDefault="00284222" w:rsidP="00284222">
      <w:pPr>
        <w:pStyle w:val="EndNoteBibliography"/>
        <w:spacing w:after="240"/>
        <w:ind w:left="720" w:hanging="720"/>
      </w:pPr>
      <w:r w:rsidRPr="001F1546">
        <w:t xml:space="preserve">DBCA </w:t>
      </w:r>
      <w:r>
        <w:t xml:space="preserve">(Department of Biodiversity, Conservation and Attractions) (2021) </w:t>
      </w:r>
      <w:r>
        <w:rPr>
          <w:rFonts w:cs="Arial"/>
          <w:color w:val="222222"/>
          <w:shd w:val="clear" w:color="auto" w:fill="FFFFFF"/>
        </w:rPr>
        <w:t xml:space="preserve">Personal communication by email, 28 September 2021. </w:t>
      </w:r>
      <w:r>
        <w:t>Department of Biodiversity, Conservation and Attractions (WA).</w:t>
      </w:r>
    </w:p>
    <w:p w14:paraId="0F5B944D" w14:textId="50D1B238" w:rsidR="006068EE" w:rsidRPr="00A32B5C" w:rsidRDefault="006068EE" w:rsidP="00A32B5C">
      <w:pPr>
        <w:pStyle w:val="EndNoteBibliography"/>
        <w:spacing w:after="240"/>
        <w:ind w:left="720" w:hanging="720"/>
        <w:rPr>
          <w:rFonts w:cs="Arial"/>
          <w:color w:val="222222"/>
          <w:shd w:val="clear" w:color="auto" w:fill="FFFFFF"/>
        </w:rPr>
      </w:pPr>
      <w:r w:rsidRPr="001F1546">
        <w:t xml:space="preserve">DBCA </w:t>
      </w:r>
      <w:r>
        <w:t>(Department of Biodiversity, Conservation and Attractions) (2021) In posession of author. Department of Biodiversity, Conservation and Attractions (WA).</w:t>
      </w:r>
    </w:p>
    <w:p w14:paraId="54BB0872" w14:textId="0F663F71" w:rsidR="00237B4B" w:rsidRPr="00237B4B" w:rsidRDefault="00237B4B" w:rsidP="00237B4B">
      <w:pPr>
        <w:pStyle w:val="EndNoteBibliography"/>
        <w:spacing w:after="240"/>
        <w:ind w:left="720" w:hanging="720"/>
      </w:pPr>
      <w:r w:rsidRPr="00237B4B">
        <w:t xml:space="preserve">DOEE </w:t>
      </w:r>
      <w:r w:rsidR="00C01FE6">
        <w:t>(</w:t>
      </w:r>
      <w:r w:rsidR="00C01FE6" w:rsidRPr="00237B4B">
        <w:t>Department of the Environment and Energy</w:t>
      </w:r>
      <w:r w:rsidR="00C01FE6">
        <w:t xml:space="preserve">) </w:t>
      </w:r>
      <w:r w:rsidRPr="00237B4B">
        <w:t xml:space="preserve">(2016) </w:t>
      </w:r>
      <w:r w:rsidRPr="00237B4B">
        <w:rPr>
          <w:i/>
        </w:rPr>
        <w:t>Threat abatement plan for competition and land degradation by rabbits</w:t>
      </w:r>
      <w:r w:rsidRPr="00237B4B">
        <w:t>. Department of the Environment and Energy</w:t>
      </w:r>
      <w:r w:rsidR="00C01FE6">
        <w:t xml:space="preserve"> </w:t>
      </w:r>
      <w:r w:rsidR="00C01FE6" w:rsidRPr="00237B4B">
        <w:t>(Commonwealth)</w:t>
      </w:r>
      <w:r w:rsidRPr="00237B4B">
        <w:t>, Canberra.</w:t>
      </w:r>
    </w:p>
    <w:p w14:paraId="7E451B56" w14:textId="609C7F3B" w:rsidR="00237B4B" w:rsidRPr="00237B4B" w:rsidRDefault="00237B4B" w:rsidP="00237B4B">
      <w:pPr>
        <w:pStyle w:val="EndNoteBibliography"/>
        <w:spacing w:after="240"/>
        <w:ind w:left="720" w:hanging="720"/>
      </w:pPr>
      <w:r w:rsidRPr="00237B4B">
        <w:t>DOEE (</w:t>
      </w:r>
      <w:r w:rsidR="00C01FE6" w:rsidRPr="00237B4B">
        <w:t>Department of the Environment and Energy</w:t>
      </w:r>
      <w:r w:rsidR="00C01FE6">
        <w:t>) (</w:t>
      </w:r>
      <w:r w:rsidRPr="00237B4B">
        <w:t xml:space="preserve">2018) </w:t>
      </w:r>
      <w:r w:rsidRPr="00237B4B">
        <w:rPr>
          <w:i/>
        </w:rPr>
        <w:t xml:space="preserve">Threat abatement plan for disease in natural ecosystems caused by </w:t>
      </w:r>
      <w:r w:rsidRPr="000326E5">
        <w:rPr>
          <w:iCs/>
        </w:rPr>
        <w:t>Phytophthora cinnamomi</w:t>
      </w:r>
      <w:r w:rsidRPr="00237B4B">
        <w:t xml:space="preserve">. </w:t>
      </w:r>
      <w:r w:rsidR="00C01FE6" w:rsidRPr="00237B4B">
        <w:t>Department of the Environment and Energy</w:t>
      </w:r>
      <w:r w:rsidR="00C01FE6">
        <w:t xml:space="preserve"> </w:t>
      </w:r>
      <w:r w:rsidRPr="00237B4B">
        <w:t>(Commonwealth), Canberra.</w:t>
      </w:r>
    </w:p>
    <w:p w14:paraId="10BF94B6" w14:textId="4EC7FE47" w:rsidR="00237B4B" w:rsidRPr="00237B4B" w:rsidRDefault="00237B4B" w:rsidP="00237B4B">
      <w:pPr>
        <w:pStyle w:val="EndNoteBibliography"/>
        <w:spacing w:after="240"/>
        <w:ind w:left="720" w:hanging="720"/>
      </w:pPr>
      <w:r w:rsidRPr="00237B4B">
        <w:t>Dowdy AJ, Ye H, Pepler A, Thatcher M, Osbrough SL, Evans JP, Di Virgilio G &amp; McCarthy N (2019</w:t>
      </w:r>
      <w:r w:rsidR="00C01FE6">
        <w:t>)</w:t>
      </w:r>
      <w:r w:rsidRPr="00237B4B">
        <w:t xml:space="preserve"> Future changes in extreme weather and pyroconvection risk factors for Australian wildfires. </w:t>
      </w:r>
      <w:r w:rsidRPr="00237B4B">
        <w:rPr>
          <w:i/>
        </w:rPr>
        <w:t>Scientific Reports</w:t>
      </w:r>
      <w:r w:rsidRPr="00237B4B">
        <w:t xml:space="preserve"> 9, 10073.</w:t>
      </w:r>
    </w:p>
    <w:p w14:paraId="295417D3" w14:textId="3FCBAAA6" w:rsidR="00237B4B" w:rsidRPr="00237B4B" w:rsidRDefault="00237B4B" w:rsidP="00C73C35">
      <w:pPr>
        <w:pStyle w:val="EndNoteBibliography"/>
        <w:keepLines/>
        <w:spacing w:after="240"/>
        <w:ind w:left="720" w:hanging="720"/>
      </w:pPr>
      <w:r w:rsidRPr="00237B4B">
        <w:lastRenderedPageBreak/>
        <w:t>DPAW</w:t>
      </w:r>
      <w:r w:rsidR="00751D8E">
        <w:t xml:space="preserve"> (</w:t>
      </w:r>
      <w:r w:rsidR="00751D8E" w:rsidRPr="00237B4B">
        <w:t>Department of Parks and Wildlife</w:t>
      </w:r>
      <w:r w:rsidR="00751D8E">
        <w:t>)</w:t>
      </w:r>
      <w:r w:rsidRPr="00237B4B">
        <w:t xml:space="preserve"> (2016) </w:t>
      </w:r>
      <w:r w:rsidRPr="00237B4B">
        <w:rPr>
          <w:i/>
        </w:rPr>
        <w:t>Montane heath and thicket of the south west botanical province, above approximately 900 m above sea level (</w:t>
      </w:r>
      <w:r w:rsidR="00751D8E" w:rsidRPr="00237B4B">
        <w:rPr>
          <w:i/>
        </w:rPr>
        <w:t xml:space="preserve">Eastern Stirling </w:t>
      </w:r>
      <w:r w:rsidR="00751D8E">
        <w:rPr>
          <w:i/>
        </w:rPr>
        <w:t>R</w:t>
      </w:r>
      <w:r w:rsidR="00751D8E" w:rsidRPr="00237B4B">
        <w:rPr>
          <w:i/>
        </w:rPr>
        <w:t xml:space="preserve">ange </w:t>
      </w:r>
      <w:r w:rsidR="00751D8E">
        <w:rPr>
          <w:i/>
        </w:rPr>
        <w:t>M</w:t>
      </w:r>
      <w:r w:rsidR="00751D8E" w:rsidRPr="00237B4B">
        <w:rPr>
          <w:i/>
        </w:rPr>
        <w:t xml:space="preserve">ontane </w:t>
      </w:r>
      <w:r w:rsidR="00751D8E">
        <w:rPr>
          <w:i/>
        </w:rPr>
        <w:t>H</w:t>
      </w:r>
      <w:r w:rsidR="00751D8E" w:rsidRPr="00237B4B">
        <w:rPr>
          <w:i/>
        </w:rPr>
        <w:t xml:space="preserve">eath and </w:t>
      </w:r>
      <w:r w:rsidR="00751D8E">
        <w:rPr>
          <w:i/>
        </w:rPr>
        <w:t>T</w:t>
      </w:r>
      <w:r w:rsidR="00751D8E" w:rsidRPr="00237B4B">
        <w:rPr>
          <w:i/>
        </w:rPr>
        <w:t xml:space="preserve">hicket </w:t>
      </w:r>
      <w:r w:rsidR="00751D8E">
        <w:rPr>
          <w:i/>
        </w:rPr>
        <w:t>C</w:t>
      </w:r>
      <w:r w:rsidR="00751D8E" w:rsidRPr="00237B4B">
        <w:rPr>
          <w:i/>
        </w:rPr>
        <w:t>ommunity</w:t>
      </w:r>
      <w:r w:rsidRPr="00237B4B">
        <w:rPr>
          <w:i/>
        </w:rPr>
        <w:t>)</w:t>
      </w:r>
      <w:r w:rsidRPr="00237B4B">
        <w:t>. Interim recovery plan 2016-2021 for interim recovery plan no. 370, Department of Parks and Wildlife (WA), Perth.</w:t>
      </w:r>
    </w:p>
    <w:p w14:paraId="6FD2E69D" w14:textId="66460E83" w:rsidR="00237B4B" w:rsidRPr="00237B4B" w:rsidRDefault="00237B4B" w:rsidP="00237B4B">
      <w:pPr>
        <w:pStyle w:val="EndNoteBibliography"/>
        <w:spacing w:after="240"/>
        <w:ind w:left="720" w:hanging="720"/>
      </w:pPr>
      <w:r w:rsidRPr="00237B4B">
        <w:t xml:space="preserve">DPLH </w:t>
      </w:r>
      <w:r w:rsidR="00751D8E">
        <w:t>(</w:t>
      </w:r>
      <w:r w:rsidR="00751D8E" w:rsidRPr="00751D8E">
        <w:t>Department of Planning, Lands and Heritage</w:t>
      </w:r>
      <w:r w:rsidR="00751D8E">
        <w:t>)</w:t>
      </w:r>
      <w:r w:rsidR="00751D8E" w:rsidRPr="00751D8E">
        <w:t xml:space="preserve"> </w:t>
      </w:r>
      <w:r w:rsidRPr="00237B4B">
        <w:t>(2020)</w:t>
      </w:r>
      <w:r w:rsidR="00751D8E">
        <w:t xml:space="preserve"> </w:t>
      </w:r>
      <w:r w:rsidRPr="00237B4B">
        <w:t xml:space="preserve">Aboriginal heritage inquiry system. Accessed: 7 October 2020 Available at: </w:t>
      </w:r>
      <w:hyperlink r:id="rId32" w:history="1">
        <w:r w:rsidR="00751D8E" w:rsidRPr="004F42E2">
          <w:rPr>
            <w:rStyle w:val="Hyperlink"/>
          </w:rPr>
          <w:t>https://www.dplh.wa.gov.au/ahis</w:t>
        </w:r>
      </w:hyperlink>
      <w:r w:rsidR="00751D8E">
        <w:t xml:space="preserve"> </w:t>
      </w:r>
    </w:p>
    <w:p w14:paraId="088B82C9" w14:textId="60290BB2" w:rsidR="00237B4B" w:rsidRPr="00237B4B" w:rsidRDefault="00237B4B" w:rsidP="00237B4B">
      <w:pPr>
        <w:pStyle w:val="EndNoteBibliography"/>
        <w:spacing w:after="240"/>
        <w:ind w:left="720" w:hanging="720"/>
      </w:pPr>
      <w:r w:rsidRPr="00237B4B">
        <w:t xml:space="preserve">DSEWPC </w:t>
      </w:r>
      <w:r w:rsidR="00751D8E">
        <w:t>(</w:t>
      </w:r>
      <w:r w:rsidR="00751D8E" w:rsidRPr="00237B4B">
        <w:t>Department of Sustainability, Environment, Water, Population and Communities</w:t>
      </w:r>
      <w:r w:rsidR="00751D8E">
        <w:t xml:space="preserve">) </w:t>
      </w:r>
      <w:r w:rsidRPr="00237B4B">
        <w:t xml:space="preserve">(2013) </w:t>
      </w:r>
      <w:r w:rsidRPr="00237B4B">
        <w:rPr>
          <w:i/>
        </w:rPr>
        <w:t>Advice to the Minister for Sustainability, Environment, Water, Population and Communities from the Threatened Species Scientific Committee (the Committee) on Amendments to the List of Key Threatening Processes under the Environment Protection and Biodiversity Conservation Act 1999 (EPBC Act)</w:t>
      </w:r>
      <w:r w:rsidRPr="00237B4B">
        <w:t>. Department of Sustainability, Environment, Water, Population and Communities (Commonwealth)</w:t>
      </w:r>
      <w:r w:rsidR="00751D8E">
        <w:t>.</w:t>
      </w:r>
    </w:p>
    <w:p w14:paraId="4D00DE8E" w14:textId="0BBAB49F" w:rsidR="00237B4B" w:rsidRPr="00237B4B" w:rsidRDefault="00237B4B" w:rsidP="00237B4B">
      <w:pPr>
        <w:pStyle w:val="EndNoteBibliography"/>
        <w:spacing w:after="240"/>
        <w:ind w:left="720" w:hanging="720"/>
      </w:pPr>
      <w:r w:rsidRPr="00237B4B">
        <w:t xml:space="preserve">Enright NJ, Fontaine JB, Bowman DM, Bradstock RA &amp; Williams RJ (2015) Interval squeeze: altered fire regimes and demographic responses interact to threaten woody species persistence as climate changes. </w:t>
      </w:r>
      <w:r w:rsidRPr="00237B4B">
        <w:rPr>
          <w:i/>
        </w:rPr>
        <w:t xml:space="preserve">Frontiers in </w:t>
      </w:r>
      <w:r w:rsidR="00E87C43">
        <w:rPr>
          <w:i/>
        </w:rPr>
        <w:t>E</w:t>
      </w:r>
      <w:r w:rsidRPr="00237B4B">
        <w:rPr>
          <w:i/>
        </w:rPr>
        <w:t xml:space="preserve">cology and the </w:t>
      </w:r>
      <w:r w:rsidR="00E87C43">
        <w:rPr>
          <w:i/>
        </w:rPr>
        <w:t>E</w:t>
      </w:r>
      <w:r w:rsidRPr="00237B4B">
        <w:rPr>
          <w:i/>
        </w:rPr>
        <w:t>nvironment</w:t>
      </w:r>
      <w:r w:rsidRPr="00237B4B">
        <w:t xml:space="preserve"> 13, 265-272.</w:t>
      </w:r>
    </w:p>
    <w:p w14:paraId="494E5F20" w14:textId="7375DD61" w:rsidR="00237B4B" w:rsidRPr="00237B4B" w:rsidRDefault="00237B4B" w:rsidP="00237B4B">
      <w:pPr>
        <w:pStyle w:val="EndNoteBibliography"/>
        <w:spacing w:after="240"/>
        <w:ind w:left="720" w:hanging="720"/>
      </w:pPr>
      <w:r w:rsidRPr="00237B4B">
        <w:t xml:space="preserve">Enright NJ, Fontaine JB, Lamont BB, Miller BP &amp; Westcott VC (2014) Resistance and resilience to changing climate and fire regime depend on plant functional traits. </w:t>
      </w:r>
      <w:r w:rsidRPr="00237B4B">
        <w:rPr>
          <w:i/>
        </w:rPr>
        <w:t>Journal of Ecology</w:t>
      </w:r>
      <w:r w:rsidRPr="00237B4B">
        <w:t xml:space="preserve"> 102, 1572-1581.</w:t>
      </w:r>
    </w:p>
    <w:p w14:paraId="40AEAF9F" w14:textId="14AFFE46" w:rsidR="00237B4B" w:rsidRPr="00237B4B" w:rsidRDefault="00237B4B" w:rsidP="00237B4B">
      <w:pPr>
        <w:pStyle w:val="EndNoteBibliography"/>
        <w:spacing w:after="240"/>
        <w:ind w:left="720" w:hanging="720"/>
      </w:pPr>
      <w:r w:rsidRPr="00237B4B">
        <w:t>Gallagher RV (2020) National prioritisation of Australian plants affected by the 2019-2020 bushfire season. Report to Department of Agriculture, Water and Environment</w:t>
      </w:r>
      <w:r w:rsidR="003C41F8">
        <w:t xml:space="preserve"> (Commonwealth)</w:t>
      </w:r>
      <w:r w:rsidRPr="00237B4B">
        <w:t xml:space="preserve">, Canberra. Accessed: 7 January 2021 Available at: </w:t>
      </w:r>
      <w:hyperlink r:id="rId33" w:history="1">
        <w:r w:rsidR="003C41F8" w:rsidRPr="004F42E2">
          <w:rPr>
            <w:rStyle w:val="Hyperlink"/>
          </w:rPr>
          <w:t>http://www.environment.gov.au/biodiversity/bushfire-recovery/priority-plants</w:t>
        </w:r>
      </w:hyperlink>
      <w:r w:rsidR="003C41F8">
        <w:t xml:space="preserve"> </w:t>
      </w:r>
    </w:p>
    <w:p w14:paraId="75B4664E" w14:textId="3EBA73FC" w:rsidR="00237B4B" w:rsidRPr="00237B4B" w:rsidRDefault="00237B4B" w:rsidP="00237B4B">
      <w:pPr>
        <w:pStyle w:val="EndNoteBibliography"/>
        <w:spacing w:after="240"/>
        <w:ind w:left="720" w:hanging="720"/>
      </w:pPr>
      <w:r w:rsidRPr="00237B4B">
        <w:t xml:space="preserve">Gallagher RV, Allen S, Mackenzie BDE, Yates CJ, Gosper CR, Keith DA, Merow C, White MD, Wenk E, Maitner BS, He K, Adams VM &amp; Auld TD (2021) High fire frequency and the impact of the 2019–2020 megafires on Australian plant diversity. </w:t>
      </w:r>
      <w:r w:rsidRPr="00237B4B">
        <w:rPr>
          <w:i/>
        </w:rPr>
        <w:t>Diversity and Distributions</w:t>
      </w:r>
      <w:r w:rsidRPr="00237B4B">
        <w:t>, 1-14.</w:t>
      </w:r>
    </w:p>
    <w:p w14:paraId="62AD2C9F" w14:textId="12005900" w:rsidR="00237B4B" w:rsidRPr="00237B4B" w:rsidRDefault="00237B4B" w:rsidP="00237B4B">
      <w:pPr>
        <w:pStyle w:val="EndNoteBibliography"/>
        <w:spacing w:after="240"/>
        <w:ind w:left="720" w:hanging="720"/>
      </w:pPr>
      <w:r w:rsidRPr="00237B4B">
        <w:t xml:space="preserve">Gill AM (1981) Adaptive responses of Australian vascular plant species to fire. In: Gill AM, RH Groves, IR Noble (eds) </w:t>
      </w:r>
      <w:r w:rsidRPr="00237B4B">
        <w:rPr>
          <w:i/>
        </w:rPr>
        <w:t>Fire and the Australian biota</w:t>
      </w:r>
      <w:r w:rsidRPr="00237B4B">
        <w:t>. Australian Academy of Science, Canberra. pp 243-272.</w:t>
      </w:r>
    </w:p>
    <w:p w14:paraId="0A0E6D6C" w14:textId="6AE5EAB6" w:rsidR="00237B4B" w:rsidRPr="00237B4B" w:rsidRDefault="00237B4B" w:rsidP="00237B4B">
      <w:pPr>
        <w:pStyle w:val="EndNoteBibliography"/>
        <w:spacing w:after="240"/>
        <w:ind w:left="720" w:hanging="720"/>
      </w:pPr>
      <w:r w:rsidRPr="00237B4B">
        <w:t>Gill AM &amp; Nicholls AO (1989)</w:t>
      </w:r>
      <w:r w:rsidR="002B4060">
        <w:t xml:space="preserve"> </w:t>
      </w:r>
      <w:r w:rsidRPr="00237B4B">
        <w:t xml:space="preserve">Monitoring fire-prone flora in reserves for nature conservation. In: Burrows N, L McCaw, G Friend (eds) </w:t>
      </w:r>
      <w:r w:rsidRPr="00237B4B">
        <w:rPr>
          <w:i/>
        </w:rPr>
        <w:t>Fire management on nature conservation lands</w:t>
      </w:r>
      <w:r w:rsidRPr="00237B4B">
        <w:t>. Department of Conservation and Land Management (WA), Western Australia. pp 137-151.</w:t>
      </w:r>
    </w:p>
    <w:p w14:paraId="22AE3ED9" w14:textId="0E2D4B89" w:rsidR="00237B4B" w:rsidRPr="00237B4B" w:rsidRDefault="00237B4B" w:rsidP="00237B4B">
      <w:pPr>
        <w:pStyle w:val="EndNoteBibliography"/>
        <w:spacing w:after="240"/>
        <w:ind w:left="720" w:hanging="720"/>
      </w:pPr>
      <w:r w:rsidRPr="00237B4B">
        <w:t xml:space="preserve">Gillen K &amp; Watson JR (1993) Controlling </w:t>
      </w:r>
      <w:r w:rsidRPr="00237B4B">
        <w:rPr>
          <w:i/>
        </w:rPr>
        <w:t xml:space="preserve">Phytophthora cinnamomi </w:t>
      </w:r>
      <w:r w:rsidRPr="00237B4B">
        <w:t xml:space="preserve">in the mountains of south Western Australia. </w:t>
      </w:r>
      <w:r w:rsidRPr="00237B4B">
        <w:rPr>
          <w:i/>
        </w:rPr>
        <w:t>Australian Ranger</w:t>
      </w:r>
      <w:r w:rsidRPr="00237B4B">
        <w:t xml:space="preserve"> 27, 18-20.</w:t>
      </w:r>
    </w:p>
    <w:p w14:paraId="3D8BB940" w14:textId="7AB78F26" w:rsidR="00237B4B" w:rsidRPr="00237B4B" w:rsidRDefault="00237B4B" w:rsidP="00237B4B">
      <w:pPr>
        <w:pStyle w:val="EndNoteBibliography"/>
        <w:spacing w:after="240"/>
        <w:ind w:left="720" w:hanging="720"/>
      </w:pPr>
      <w:r w:rsidRPr="00237B4B">
        <w:t xml:space="preserve">Grant M &amp; Barrett S (2003) The distribution and impact of </w:t>
      </w:r>
      <w:r w:rsidRPr="00237B4B">
        <w:rPr>
          <w:i/>
        </w:rPr>
        <w:t>Phytophthora cinnamomi</w:t>
      </w:r>
      <w:r w:rsidRPr="00237B4B">
        <w:t xml:space="preserve"> Rands in the south coast region of Western Australia. In: McComb JA, GE Hardy, IC Tommerup (eds) </w:t>
      </w:r>
      <w:r w:rsidRPr="00237B4B">
        <w:rPr>
          <w:i/>
        </w:rPr>
        <w:t>Phytophthora in forests and natural ecosystems, 2nd international IUFRO working party 7.02.09 meeting, Albany, WA</w:t>
      </w:r>
      <w:r w:rsidRPr="00237B4B">
        <w:t>. Murdoch University Print, Perth. pp 34-40.</w:t>
      </w:r>
    </w:p>
    <w:p w14:paraId="21302D9B" w14:textId="615F1F59" w:rsidR="00237B4B" w:rsidRPr="00237B4B" w:rsidRDefault="00237B4B" w:rsidP="00237B4B">
      <w:pPr>
        <w:pStyle w:val="EndNoteBibliography"/>
        <w:spacing w:after="240"/>
        <w:ind w:left="720" w:hanging="720"/>
      </w:pPr>
      <w:r w:rsidRPr="00237B4B">
        <w:t>Grigulis K, Lavorel S, Davies ID, Dossantos A, Lloret F &amp; Vilà M (2005)</w:t>
      </w:r>
      <w:r w:rsidR="008A4B54">
        <w:t xml:space="preserve"> </w:t>
      </w:r>
      <w:r w:rsidRPr="00237B4B">
        <w:t xml:space="preserve">Landscape-scale positive feedbacks between fire and expansion of the large tussock grass, </w:t>
      </w:r>
      <w:r w:rsidRPr="00237B4B">
        <w:rPr>
          <w:i/>
        </w:rPr>
        <w:t>Ampelodesmos mauritanica</w:t>
      </w:r>
      <w:r w:rsidRPr="00237B4B">
        <w:t xml:space="preserve"> in Catalan shrublands. </w:t>
      </w:r>
      <w:r w:rsidRPr="00237B4B">
        <w:rPr>
          <w:i/>
        </w:rPr>
        <w:t>Global Change Biology</w:t>
      </w:r>
      <w:r w:rsidRPr="00237B4B">
        <w:t xml:space="preserve"> 11, 1042-1053.</w:t>
      </w:r>
    </w:p>
    <w:p w14:paraId="1FF96505" w14:textId="194276D8" w:rsidR="00237B4B" w:rsidRPr="00237B4B" w:rsidRDefault="00237B4B" w:rsidP="00237B4B">
      <w:pPr>
        <w:pStyle w:val="EndNoteBibliography"/>
        <w:spacing w:after="240"/>
        <w:ind w:left="720" w:hanging="720"/>
      </w:pPr>
      <w:r w:rsidRPr="00237B4B">
        <w:t xml:space="preserve">Hartley R &amp; Barrett S (2008) </w:t>
      </w:r>
      <w:r w:rsidRPr="00237B4B">
        <w:rPr>
          <w:i/>
        </w:rPr>
        <w:t>Yellow mountain bell Darwinia collina recovery plan</w:t>
      </w:r>
      <w:r w:rsidRPr="00237B4B">
        <w:t>. Department of Environment and Conservation (WA), Perth.</w:t>
      </w:r>
    </w:p>
    <w:p w14:paraId="0553ED11" w14:textId="60C18576" w:rsidR="00237B4B" w:rsidRPr="00237B4B" w:rsidRDefault="00237B4B" w:rsidP="00237B4B">
      <w:pPr>
        <w:pStyle w:val="EndNoteBibliography"/>
        <w:spacing w:after="240"/>
        <w:ind w:left="720" w:hanging="720"/>
      </w:pPr>
      <w:r w:rsidRPr="00237B4B">
        <w:lastRenderedPageBreak/>
        <w:t>Hayward MW (2005</w:t>
      </w:r>
      <w:r w:rsidR="00A35CFF">
        <w:t>)</w:t>
      </w:r>
      <w:r w:rsidRPr="00237B4B">
        <w:t xml:space="preserve"> Diet of the quokka (</w:t>
      </w:r>
      <w:r w:rsidRPr="00237B4B">
        <w:rPr>
          <w:i/>
        </w:rPr>
        <w:t>Setonix brachyurus</w:t>
      </w:r>
      <w:r w:rsidRPr="00237B4B">
        <w:t>) (</w:t>
      </w:r>
      <w:r w:rsidR="008A4B54">
        <w:t>M</w:t>
      </w:r>
      <w:r w:rsidRPr="00237B4B">
        <w:t xml:space="preserve">acropodidae: </w:t>
      </w:r>
      <w:r w:rsidR="008A4B54">
        <w:t>M</w:t>
      </w:r>
      <w:r w:rsidRPr="00237B4B">
        <w:t xml:space="preserve">arsupialia) in the </w:t>
      </w:r>
      <w:r w:rsidR="008A4B54">
        <w:t>N</w:t>
      </w:r>
      <w:r w:rsidRPr="00237B4B">
        <w:t xml:space="preserve">orthern </w:t>
      </w:r>
      <w:r w:rsidR="008A4B54">
        <w:t>J</w:t>
      </w:r>
      <w:r w:rsidRPr="00237B4B">
        <w:t xml:space="preserve">arrah </w:t>
      </w:r>
      <w:r w:rsidR="008A4B54">
        <w:t>F</w:t>
      </w:r>
      <w:r w:rsidRPr="00237B4B">
        <w:t xml:space="preserve">orest of Western Australia. </w:t>
      </w:r>
      <w:r w:rsidRPr="00237B4B">
        <w:rPr>
          <w:i/>
        </w:rPr>
        <w:t>Wildlife Research</w:t>
      </w:r>
      <w:r w:rsidRPr="00237B4B">
        <w:t xml:space="preserve"> 32, 15-22.</w:t>
      </w:r>
    </w:p>
    <w:p w14:paraId="3764AD80" w14:textId="5822D174" w:rsidR="00237B4B" w:rsidRPr="00237B4B" w:rsidRDefault="00237B4B" w:rsidP="00237B4B">
      <w:pPr>
        <w:pStyle w:val="EndNoteBibliography"/>
        <w:spacing w:after="240"/>
        <w:ind w:left="720" w:hanging="720"/>
      </w:pPr>
      <w:r w:rsidRPr="00237B4B">
        <w:t xml:space="preserve">Homet P, González M, Matías L, Godoy O, Pérez-Ramos IM, García LV &amp; Gómez-Aparicio L (2019) Exploring interactive effects of climate change and exotic pathogens on </w:t>
      </w:r>
      <w:r w:rsidRPr="00237B4B">
        <w:rPr>
          <w:i/>
        </w:rPr>
        <w:t xml:space="preserve">Quercus suber </w:t>
      </w:r>
      <w:r w:rsidRPr="00237B4B">
        <w:t xml:space="preserve">performance: Damage caused by </w:t>
      </w:r>
      <w:r w:rsidRPr="00237B4B">
        <w:rPr>
          <w:i/>
        </w:rPr>
        <w:t xml:space="preserve">Phytophthora cinnamomi </w:t>
      </w:r>
      <w:r w:rsidRPr="00237B4B">
        <w:t xml:space="preserve">varies across contrasting scenarios of soil moisture. </w:t>
      </w:r>
      <w:r w:rsidRPr="00237B4B">
        <w:rPr>
          <w:i/>
        </w:rPr>
        <w:t>Agricultural and Forest Meteorology</w:t>
      </w:r>
      <w:r w:rsidRPr="00237B4B">
        <w:t xml:space="preserve"> 276-277, 107605.</w:t>
      </w:r>
    </w:p>
    <w:p w14:paraId="17D4C4C5" w14:textId="44DC7289" w:rsidR="00237B4B" w:rsidRPr="00237B4B" w:rsidRDefault="00237B4B" w:rsidP="00237B4B">
      <w:pPr>
        <w:pStyle w:val="EndNoteBibliography"/>
        <w:spacing w:after="240"/>
        <w:ind w:left="720" w:hanging="720"/>
      </w:pPr>
      <w:r w:rsidRPr="00237B4B">
        <w:t xml:space="preserve">Hopkins A, Keighery G &amp; Marchant N (1983) Species-rich uplands of south-western Australia. </w:t>
      </w:r>
      <w:r w:rsidRPr="00237B4B">
        <w:rPr>
          <w:i/>
        </w:rPr>
        <w:t>Proceedings of the Ecological Society of Australia</w:t>
      </w:r>
      <w:r w:rsidRPr="00237B4B">
        <w:t xml:space="preserve"> 12, 15-26.</w:t>
      </w:r>
    </w:p>
    <w:p w14:paraId="6C54E0CA" w14:textId="5493CAEB" w:rsidR="00237B4B" w:rsidRPr="00237B4B" w:rsidRDefault="00237B4B" w:rsidP="00237B4B">
      <w:pPr>
        <w:pStyle w:val="EndNoteBibliography"/>
        <w:spacing w:after="240"/>
        <w:ind w:left="720" w:hanging="720"/>
      </w:pPr>
      <w:r w:rsidRPr="00237B4B">
        <w:t xml:space="preserve">Hopper SD, Lambers H, Silveira FAO &amp; Fiedler PL (2021) OCBIL theory examined: reassessing evolution, ecology and conservation in the world’s ancient, climatically buffered and infertile landscapes. </w:t>
      </w:r>
      <w:r w:rsidRPr="00237B4B">
        <w:rPr>
          <w:i/>
        </w:rPr>
        <w:t>Biological Journal of the Linnean Society</w:t>
      </w:r>
      <w:r w:rsidRPr="00237B4B">
        <w:t xml:space="preserve"> 133, 266-296.</w:t>
      </w:r>
    </w:p>
    <w:p w14:paraId="20E1E4BD" w14:textId="2739197E" w:rsidR="00237B4B" w:rsidRPr="00237B4B" w:rsidRDefault="00237B4B" w:rsidP="00237B4B">
      <w:pPr>
        <w:pStyle w:val="EndNoteBibliography"/>
        <w:spacing w:after="240"/>
        <w:ind w:left="720" w:hanging="720"/>
      </w:pPr>
      <w:r w:rsidRPr="00237B4B">
        <w:t xml:space="preserve">Hopper SD, van Leeuwen S, Brown AP &amp; Patrick SJ (1990) </w:t>
      </w:r>
      <w:r w:rsidRPr="00237B4B">
        <w:rPr>
          <w:i/>
        </w:rPr>
        <w:t>Western Australia's endangered flora and other plants under consideration for declaration</w:t>
      </w:r>
      <w:r w:rsidRPr="00237B4B">
        <w:t>. Department of Conservation and Land Management (WA), Perth.</w:t>
      </w:r>
    </w:p>
    <w:p w14:paraId="4572E105" w14:textId="01CD7682" w:rsidR="00237B4B" w:rsidRPr="00237B4B" w:rsidRDefault="00237B4B" w:rsidP="00237B4B">
      <w:pPr>
        <w:pStyle w:val="EndNoteBibliography"/>
        <w:spacing w:after="240"/>
        <w:ind w:left="720" w:hanging="720"/>
      </w:pPr>
      <w:r w:rsidRPr="00237B4B">
        <w:t xml:space="preserve">IPAC </w:t>
      </w:r>
      <w:r w:rsidR="001706C0">
        <w:t>(</w:t>
      </w:r>
      <w:r w:rsidR="00461F25">
        <w:t xml:space="preserve">Invasive Plants and Animals Committee) </w:t>
      </w:r>
      <w:r w:rsidRPr="00237B4B">
        <w:t xml:space="preserve">(2016) </w:t>
      </w:r>
      <w:r w:rsidRPr="00237B4B">
        <w:rPr>
          <w:i/>
        </w:rPr>
        <w:t>Australian weeds strategy 2017-2027</w:t>
      </w:r>
      <w:r w:rsidRPr="00237B4B">
        <w:t>. Department of Agriculture, Water and the Environment</w:t>
      </w:r>
      <w:r w:rsidR="00A35CFF">
        <w:t xml:space="preserve"> (Commonwealth)</w:t>
      </w:r>
      <w:r w:rsidRPr="00237B4B">
        <w:t>, Canberra.</w:t>
      </w:r>
    </w:p>
    <w:p w14:paraId="66D38779" w14:textId="42481911" w:rsidR="00237B4B" w:rsidRPr="00237B4B" w:rsidRDefault="00237B4B" w:rsidP="00237B4B">
      <w:pPr>
        <w:pStyle w:val="EndNoteBibliography"/>
        <w:spacing w:after="240"/>
        <w:ind w:left="720" w:hanging="720"/>
      </w:pPr>
      <w:r w:rsidRPr="00237B4B">
        <w:t xml:space="preserve">IUCN </w:t>
      </w:r>
      <w:r w:rsidR="001706C0">
        <w:t>(</w:t>
      </w:r>
      <w:r w:rsidR="001706C0" w:rsidRPr="001706C0">
        <w:t>International Union for Conservation of Nature</w:t>
      </w:r>
      <w:r w:rsidR="001706C0">
        <w:t xml:space="preserve">) </w:t>
      </w:r>
      <w:r w:rsidRPr="00237B4B">
        <w:t xml:space="preserve">(2019) </w:t>
      </w:r>
      <w:r w:rsidRPr="00237B4B">
        <w:rPr>
          <w:i/>
        </w:rPr>
        <w:t>Guidelines for using the IUCN red list categories and criteria. Version 14.</w:t>
      </w:r>
      <w:r w:rsidRPr="00237B4B">
        <w:t xml:space="preserve"> Prepared by the IUCN Standards and Petitions Committee.</w:t>
      </w:r>
    </w:p>
    <w:p w14:paraId="2ECD6D84" w14:textId="62F671B9" w:rsidR="00237B4B" w:rsidRPr="00237B4B" w:rsidRDefault="00237B4B" w:rsidP="00237B4B">
      <w:pPr>
        <w:pStyle w:val="EndNoteBibliography"/>
        <w:spacing w:after="240"/>
        <w:ind w:left="720" w:hanging="720"/>
      </w:pPr>
      <w:r w:rsidRPr="00237B4B">
        <w:t xml:space="preserve">Keighery G (1985) Rediscovering mountain bells. </w:t>
      </w:r>
      <w:r w:rsidRPr="00237B4B">
        <w:rPr>
          <w:i/>
        </w:rPr>
        <w:t>Landscope</w:t>
      </w:r>
      <w:r w:rsidRPr="00237B4B">
        <w:t xml:space="preserve"> 1, 3-10.</w:t>
      </w:r>
    </w:p>
    <w:p w14:paraId="6122B26B" w14:textId="0EDEE5F9" w:rsidR="00237B4B" w:rsidRPr="00237B4B" w:rsidRDefault="00237B4B" w:rsidP="00237B4B">
      <w:pPr>
        <w:pStyle w:val="EndNoteBibliography"/>
        <w:spacing w:after="240"/>
        <w:ind w:left="720" w:hanging="720"/>
      </w:pPr>
      <w:r w:rsidRPr="00237B4B">
        <w:t xml:space="preserve">Keighery G (2016) Dwellers in the mist: </w:t>
      </w:r>
      <w:r w:rsidR="00461F25">
        <w:t>m</w:t>
      </w:r>
      <w:r w:rsidRPr="00237B4B">
        <w:t xml:space="preserve">ountain bells of the Stirling Ranges. </w:t>
      </w:r>
      <w:r w:rsidRPr="00237B4B">
        <w:rPr>
          <w:i/>
        </w:rPr>
        <w:t>Australian Garden History</w:t>
      </w:r>
      <w:r w:rsidRPr="00237B4B">
        <w:t xml:space="preserve"> 28, 17-20.</w:t>
      </w:r>
    </w:p>
    <w:p w14:paraId="731B3743" w14:textId="55C7DEA7" w:rsidR="00237B4B" w:rsidRPr="00237B4B" w:rsidRDefault="00237B4B" w:rsidP="00237B4B">
      <w:pPr>
        <w:pStyle w:val="EndNoteBibliography"/>
        <w:spacing w:after="240"/>
        <w:ind w:left="720" w:hanging="720"/>
      </w:pPr>
      <w:r w:rsidRPr="00237B4B">
        <w:t>Keighery G &amp; Marchant N (1993)</w:t>
      </w:r>
      <w:r w:rsidR="00461F25">
        <w:t xml:space="preserve"> </w:t>
      </w:r>
      <w:r w:rsidRPr="00237B4B">
        <w:rPr>
          <w:i/>
        </w:rPr>
        <w:t>Mountains of mystery - a natural history of the Stirling Range</w:t>
      </w:r>
      <w:r w:rsidRPr="00237B4B">
        <w:t>. Department of Conservation and Land Management (WA), Perth.</w:t>
      </w:r>
    </w:p>
    <w:p w14:paraId="3AAFA866" w14:textId="20AE49A5" w:rsidR="00237B4B" w:rsidRPr="00237B4B" w:rsidRDefault="00237B4B" w:rsidP="00237B4B">
      <w:pPr>
        <w:pStyle w:val="EndNoteBibliography"/>
        <w:spacing w:after="240"/>
        <w:ind w:left="720" w:hanging="720"/>
      </w:pPr>
      <w:r w:rsidRPr="00237B4B">
        <w:t xml:space="preserve">Kirkpatrick JB &amp; Bridle KL (1999) Comparative effects of stock and wild vertebrate herbivore grazing on treeless subalpine vegetation, Eastern Central Plateau, Tasmania. </w:t>
      </w:r>
      <w:r w:rsidRPr="00237B4B">
        <w:rPr>
          <w:i/>
        </w:rPr>
        <w:t>Australian Journal of Botany</w:t>
      </w:r>
      <w:r w:rsidRPr="00237B4B">
        <w:t xml:space="preserve"> 47, 817-834.</w:t>
      </w:r>
    </w:p>
    <w:p w14:paraId="13EB5524" w14:textId="3C233955" w:rsidR="00237B4B" w:rsidRPr="00237B4B" w:rsidRDefault="00237B4B" w:rsidP="00237B4B">
      <w:pPr>
        <w:pStyle w:val="EndNoteBibliography"/>
        <w:spacing w:after="240"/>
        <w:ind w:left="720" w:hanging="720"/>
      </w:pPr>
      <w:r w:rsidRPr="00237B4B">
        <w:t xml:space="preserve">Kriticos DJ, Morin L, Leriche A, Anderson RC &amp; Caley P (2013) Combining a climatic niche model of an invasive fungus with its host species distributions to identify risks to natural assets: </w:t>
      </w:r>
      <w:r w:rsidRPr="00237B4B">
        <w:rPr>
          <w:i/>
        </w:rPr>
        <w:t>Puccinia psidii</w:t>
      </w:r>
      <w:r w:rsidRPr="00237B4B">
        <w:t xml:space="preserve"> </w:t>
      </w:r>
      <w:r w:rsidR="00461F25">
        <w:t>s</w:t>
      </w:r>
      <w:r w:rsidRPr="00237B4B">
        <w:t xml:space="preserve">ensu </w:t>
      </w:r>
      <w:r w:rsidR="00461F25">
        <w:t>l</w:t>
      </w:r>
      <w:r w:rsidRPr="00237B4B">
        <w:t xml:space="preserve">ato in Australia. </w:t>
      </w:r>
      <w:r w:rsidRPr="00237B4B">
        <w:rPr>
          <w:i/>
        </w:rPr>
        <w:t>PLOS ONE</w:t>
      </w:r>
      <w:r w:rsidRPr="00237B4B">
        <w:t xml:space="preserve"> 8, e64479.</w:t>
      </w:r>
    </w:p>
    <w:p w14:paraId="5A235489" w14:textId="2E5B52D6" w:rsidR="00237B4B" w:rsidRPr="00237B4B" w:rsidRDefault="00237B4B" w:rsidP="00237B4B">
      <w:pPr>
        <w:pStyle w:val="EndNoteBibliography"/>
        <w:spacing w:after="240"/>
        <w:ind w:left="720" w:hanging="720"/>
      </w:pPr>
      <w:r w:rsidRPr="00237B4B">
        <w:t xml:space="preserve">Lambers H, Ahmedi I, Berkowitz O, Dunne C, Finnegan PM, Hardy GESJ, Jost R, Laliberté E, Pearse SJ &amp; Teste FP (2013) Phosphorus nutrition of phosphorus-sensitive Australian native plants: threats to plant communities in a global biodiversity hotspot. </w:t>
      </w:r>
      <w:r w:rsidRPr="00237B4B">
        <w:rPr>
          <w:i/>
        </w:rPr>
        <w:t>Conservation Physiology</w:t>
      </w:r>
      <w:r w:rsidRPr="00237B4B">
        <w:t xml:space="preserve"> 1, cot010.</w:t>
      </w:r>
    </w:p>
    <w:p w14:paraId="121EB12F" w14:textId="7A94E4F9" w:rsidR="00237B4B" w:rsidRPr="00237B4B" w:rsidRDefault="00237B4B" w:rsidP="00237B4B">
      <w:pPr>
        <w:pStyle w:val="EndNoteBibliography"/>
        <w:spacing w:after="240"/>
        <w:ind w:left="720" w:hanging="720"/>
      </w:pPr>
      <w:r w:rsidRPr="00237B4B">
        <w:t>Leigh J, Wimbush D, Wood D, Holgate M, Slee A, Stanger M &amp; Forrester R (1987)</w:t>
      </w:r>
      <w:r w:rsidR="00461F25">
        <w:t xml:space="preserve"> </w:t>
      </w:r>
      <w:r w:rsidRPr="00237B4B">
        <w:t>Effects of rabbit grazing and fire on a sub-alpine environment</w:t>
      </w:r>
      <w:r w:rsidR="00461F25">
        <w:t>.</w:t>
      </w:r>
      <w:r w:rsidRPr="00237B4B">
        <w:t xml:space="preserve"> </w:t>
      </w:r>
      <w:r w:rsidR="00461F25">
        <w:t>I</w:t>
      </w:r>
      <w:r w:rsidRPr="00237B4B">
        <w:t xml:space="preserve">. </w:t>
      </w:r>
      <w:r w:rsidR="00461F25">
        <w:t>H</w:t>
      </w:r>
      <w:r w:rsidRPr="00237B4B">
        <w:t xml:space="preserve">erbaceous and shrubby vegetation. </w:t>
      </w:r>
      <w:r w:rsidRPr="00237B4B">
        <w:rPr>
          <w:i/>
        </w:rPr>
        <w:t>Australian Journal of Botany</w:t>
      </w:r>
      <w:r w:rsidRPr="00237B4B">
        <w:t xml:space="preserve"> 35, 433-464.</w:t>
      </w:r>
    </w:p>
    <w:p w14:paraId="7BA2E87B" w14:textId="7FF1C6C8" w:rsidR="00237B4B" w:rsidRPr="00237B4B" w:rsidRDefault="00237B4B" w:rsidP="00237B4B">
      <w:pPr>
        <w:pStyle w:val="EndNoteBibliography"/>
        <w:spacing w:after="240"/>
        <w:ind w:left="720" w:hanging="720"/>
      </w:pPr>
      <w:r w:rsidRPr="00237B4B">
        <w:t xml:space="preserve">Makinson R &amp; Olde P (2020) </w:t>
      </w:r>
      <w:r w:rsidRPr="00237B4B">
        <w:rPr>
          <w:i/>
        </w:rPr>
        <w:t>Grevillea banyabba</w:t>
      </w:r>
      <w:r w:rsidRPr="00237B4B">
        <w:t xml:space="preserve">. The IUCN Red List of Threatened Species 2020: e.T112646721A113309215. Accessed: 23 June 2021 Available at: </w:t>
      </w:r>
      <w:hyperlink r:id="rId34" w:history="1">
        <w:r w:rsidR="00461F25" w:rsidRPr="004F42E2">
          <w:rPr>
            <w:rStyle w:val="Hyperlink"/>
          </w:rPr>
          <w:t>https://dx.doi.org/10.2305/IUCN.UK.2020-2.RLTS.T112646721A113309215.en</w:t>
        </w:r>
      </w:hyperlink>
      <w:r w:rsidR="00461F25">
        <w:t xml:space="preserve"> </w:t>
      </w:r>
    </w:p>
    <w:p w14:paraId="0A1B1B53" w14:textId="51CBA6ED" w:rsidR="00237B4B" w:rsidRPr="00237B4B" w:rsidRDefault="00237B4B" w:rsidP="00237B4B">
      <w:pPr>
        <w:pStyle w:val="EndNoteBibliography"/>
        <w:spacing w:after="240"/>
        <w:ind w:left="720" w:hanging="720"/>
      </w:pPr>
      <w:r w:rsidRPr="00237B4B">
        <w:lastRenderedPageBreak/>
        <w:t xml:space="preserve">Makinson RO (2018) </w:t>
      </w:r>
      <w:r w:rsidRPr="00237B4B">
        <w:rPr>
          <w:i/>
        </w:rPr>
        <w:t xml:space="preserve">Myrtle Rust reviewed: The impacts of the invasive plant pathogen </w:t>
      </w:r>
      <w:r w:rsidRPr="00461F25">
        <w:rPr>
          <w:iCs/>
        </w:rPr>
        <w:t>Austropuccinia psidii</w:t>
      </w:r>
      <w:r w:rsidRPr="00237B4B">
        <w:rPr>
          <w:i/>
        </w:rPr>
        <w:t xml:space="preserve"> on the Australian environment</w:t>
      </w:r>
      <w:r w:rsidRPr="00237B4B">
        <w:t>. Plant Biosecurity Cooperative Research Centre, Canberra.</w:t>
      </w:r>
    </w:p>
    <w:p w14:paraId="2FC5C2B2" w14:textId="65E91F03" w:rsidR="00237B4B" w:rsidRPr="00237B4B" w:rsidRDefault="00237B4B" w:rsidP="00237B4B">
      <w:pPr>
        <w:pStyle w:val="EndNoteBibliography"/>
        <w:spacing w:after="240"/>
        <w:ind w:left="720" w:hanging="720"/>
      </w:pPr>
      <w:r w:rsidRPr="00237B4B">
        <w:t xml:space="preserve">Makinson RO, Pegg GS &amp; Carnegie AJ (2020) </w:t>
      </w:r>
      <w:r w:rsidRPr="00237B4B">
        <w:rPr>
          <w:i/>
        </w:rPr>
        <w:t>Myrtle Rust in Australia – a national action plan</w:t>
      </w:r>
      <w:r w:rsidRPr="00237B4B">
        <w:t>. Australian Plant Biosecurity Science Foundation, Canberra.</w:t>
      </w:r>
    </w:p>
    <w:p w14:paraId="06278424" w14:textId="56D6BB40" w:rsidR="00237B4B" w:rsidRPr="00237B4B" w:rsidRDefault="00237B4B" w:rsidP="00237B4B">
      <w:pPr>
        <w:pStyle w:val="EndNoteBibliography"/>
        <w:spacing w:after="240"/>
        <w:ind w:left="720" w:hanging="720"/>
      </w:pPr>
      <w:r w:rsidRPr="00237B4B">
        <w:t xml:space="preserve">Martyn Yenson AJ, Offord CA, Meagher PF, Auld T, Bush D, Coates DJ, Commander LE, Guja LK, Norton SL, Makinson RO, Stanley R, Walsh N, Wrigley D &amp; Broadhurst L (2021) </w:t>
      </w:r>
      <w:r w:rsidRPr="00237B4B">
        <w:rPr>
          <w:i/>
        </w:rPr>
        <w:t xml:space="preserve">Plant </w:t>
      </w:r>
      <w:r w:rsidR="001A0736">
        <w:rPr>
          <w:i/>
        </w:rPr>
        <w:t>g</w:t>
      </w:r>
      <w:r w:rsidRPr="00237B4B">
        <w:rPr>
          <w:i/>
        </w:rPr>
        <w:t xml:space="preserve">ermplasm </w:t>
      </w:r>
      <w:r w:rsidR="001A0736">
        <w:rPr>
          <w:i/>
        </w:rPr>
        <w:t>c</w:t>
      </w:r>
      <w:r w:rsidRPr="00237B4B">
        <w:rPr>
          <w:i/>
        </w:rPr>
        <w:t xml:space="preserve">onservation in Australia: </w:t>
      </w:r>
      <w:r w:rsidR="001A0736">
        <w:rPr>
          <w:i/>
        </w:rPr>
        <w:t>S</w:t>
      </w:r>
      <w:r w:rsidRPr="00237B4B">
        <w:rPr>
          <w:i/>
        </w:rPr>
        <w:t>trategies and guidelines for developing, managing and utilising ex situ collection</w:t>
      </w:r>
      <w:r w:rsidRPr="00237B4B">
        <w:t>. 3rd edn. Australian Network for Plant Conservation, Canberra.</w:t>
      </w:r>
    </w:p>
    <w:p w14:paraId="179E5A40" w14:textId="2E835239" w:rsidR="00237B4B" w:rsidRPr="00237B4B" w:rsidRDefault="00237B4B" w:rsidP="00237B4B">
      <w:pPr>
        <w:pStyle w:val="EndNoteBibliography"/>
        <w:spacing w:after="240"/>
        <w:ind w:left="720" w:hanging="720"/>
      </w:pPr>
      <w:r w:rsidRPr="00237B4B">
        <w:t xml:space="preserve">Miller RG, Tangney R, Enright NJ, Fontaine JB, Merritt DJ, Ooi MKJ, Ruthrof KX &amp; Miller BP (2019) Mechanisms of fire seasonality effects on plant populations. </w:t>
      </w:r>
      <w:r w:rsidRPr="00237B4B">
        <w:rPr>
          <w:i/>
        </w:rPr>
        <w:t>Trends in Ecology &amp; Evolution</w:t>
      </w:r>
      <w:r w:rsidRPr="00237B4B">
        <w:t xml:space="preserve"> 34, 1104-1117.</w:t>
      </w:r>
    </w:p>
    <w:p w14:paraId="4844F340" w14:textId="7EF6173D" w:rsidR="00237B4B" w:rsidRPr="00237B4B" w:rsidRDefault="00237B4B" w:rsidP="00237B4B">
      <w:pPr>
        <w:pStyle w:val="EndNoteBibliography"/>
        <w:spacing w:after="240"/>
        <w:ind w:left="720" w:hanging="720"/>
      </w:pPr>
      <w:r w:rsidRPr="00237B4B">
        <w:t xml:space="preserve">Moore N, Barrett S, Howard K, Craig MD, Bowen B, Shearer B &amp; Hardy G (2015) Time since fire and average fire interval are the best predictors of </w:t>
      </w:r>
      <w:r w:rsidRPr="00237B4B">
        <w:rPr>
          <w:i/>
        </w:rPr>
        <w:t xml:space="preserve">Phytophthora cinnamomi </w:t>
      </w:r>
      <w:r w:rsidRPr="00237B4B">
        <w:t xml:space="preserve">activity in heathlands of south-western Australia. </w:t>
      </w:r>
      <w:r w:rsidRPr="00237B4B">
        <w:rPr>
          <w:i/>
        </w:rPr>
        <w:t>Australian Journal of Botany</w:t>
      </w:r>
      <w:r w:rsidRPr="00237B4B">
        <w:t xml:space="preserve"> 62, 587-593.</w:t>
      </w:r>
    </w:p>
    <w:p w14:paraId="1AF2A488" w14:textId="15E18F6D" w:rsidR="00237B4B" w:rsidRPr="00237B4B" w:rsidRDefault="00237B4B" w:rsidP="00237B4B">
      <w:pPr>
        <w:pStyle w:val="EndNoteBibliography"/>
        <w:spacing w:after="240"/>
        <w:ind w:left="720" w:hanging="720"/>
      </w:pPr>
      <w:r w:rsidRPr="00237B4B">
        <w:t xml:space="preserve">OBRM </w:t>
      </w:r>
      <w:r w:rsidR="00665E94">
        <w:t>(</w:t>
      </w:r>
      <w:r w:rsidR="00665E94" w:rsidRPr="00237B4B">
        <w:t>Office of Bushfire Risk Management</w:t>
      </w:r>
      <w:r w:rsidR="00665E94">
        <w:t xml:space="preserve">) </w:t>
      </w:r>
      <w:r w:rsidRPr="00237B4B">
        <w:t xml:space="preserve">(2018) </w:t>
      </w:r>
      <w:r w:rsidRPr="00237B4B">
        <w:rPr>
          <w:i/>
        </w:rPr>
        <w:t>Report of the circumstances that led to the escapes of planned burns in the south west and great southern regions of Western Australia on 24 and 25 may 2018</w:t>
      </w:r>
      <w:r w:rsidRPr="00237B4B">
        <w:t>. Office of Bushfire Risk Management (WA), Perth.</w:t>
      </w:r>
    </w:p>
    <w:p w14:paraId="09D83436" w14:textId="3AE24799" w:rsidR="00237B4B" w:rsidRPr="00237B4B" w:rsidRDefault="00237B4B" w:rsidP="00237B4B">
      <w:pPr>
        <w:pStyle w:val="EndNoteBibliography"/>
        <w:spacing w:after="240"/>
        <w:ind w:left="720" w:hanging="720"/>
      </w:pPr>
      <w:r w:rsidRPr="00237B4B">
        <w:t xml:space="preserve">Palmer HD, Denham AJ &amp; Ooi MKJ (2018) Fire severity drives variation in post-fire recruitment and residual seed bank size of </w:t>
      </w:r>
      <w:r w:rsidRPr="00237B4B">
        <w:rPr>
          <w:i/>
        </w:rPr>
        <w:t xml:space="preserve">Acacia </w:t>
      </w:r>
      <w:r w:rsidRPr="00237B4B">
        <w:t xml:space="preserve">species. </w:t>
      </w:r>
      <w:r w:rsidRPr="00237B4B">
        <w:rPr>
          <w:i/>
        </w:rPr>
        <w:t>Plant Ecology</w:t>
      </w:r>
      <w:r w:rsidRPr="00237B4B">
        <w:t xml:space="preserve"> 219, 527-537.</w:t>
      </w:r>
    </w:p>
    <w:p w14:paraId="0CD677AF" w14:textId="6BA88424" w:rsidR="00237B4B" w:rsidRPr="00237B4B" w:rsidRDefault="00237B4B" w:rsidP="00237B4B">
      <w:pPr>
        <w:pStyle w:val="EndNoteBibliography"/>
        <w:spacing w:after="240"/>
        <w:ind w:left="720" w:hanging="720"/>
      </w:pPr>
      <w:r w:rsidRPr="00237B4B">
        <w:t xml:space="preserve">Petitpierre B, McDougall K, Seipel T, Broennimann O, Guisan A &amp; Kueffer C (2016) Will climate change increase the risk of plant invasions into mountains? </w:t>
      </w:r>
      <w:r w:rsidRPr="00237B4B">
        <w:rPr>
          <w:i/>
        </w:rPr>
        <w:t>Ecological Applications</w:t>
      </w:r>
      <w:r w:rsidRPr="00237B4B">
        <w:t xml:space="preserve"> 26, 530-544.</w:t>
      </w:r>
    </w:p>
    <w:p w14:paraId="3EE887CC" w14:textId="6272DD81" w:rsidR="00237B4B" w:rsidRPr="00237B4B" w:rsidRDefault="00237B4B" w:rsidP="00237B4B">
      <w:pPr>
        <w:pStyle w:val="EndNoteBibliography"/>
        <w:spacing w:after="240"/>
        <w:ind w:left="720" w:hanging="720"/>
      </w:pPr>
      <w:r w:rsidRPr="00237B4B">
        <w:t>Podger FD, James SH &amp; Mulcahly MJ (2001)</w:t>
      </w:r>
      <w:r w:rsidR="00A466A7">
        <w:t xml:space="preserve"> </w:t>
      </w:r>
      <w:r w:rsidRPr="00665E94">
        <w:rPr>
          <w:iCs/>
        </w:rPr>
        <w:t>Phytophthora cinnamomi</w:t>
      </w:r>
      <w:r w:rsidRPr="00237B4B">
        <w:rPr>
          <w:i/>
        </w:rPr>
        <w:t xml:space="preserve"> and disease caused by it - a protocol for identifying ‘protectable areas’ and their priority for management</w:t>
      </w:r>
      <w:r w:rsidRPr="00237B4B">
        <w:t>. Draft report prepared for Department of Parks and Wildlife (WA), Perth.</w:t>
      </w:r>
    </w:p>
    <w:p w14:paraId="27A41C43" w14:textId="2C9DB40C" w:rsidR="00237B4B" w:rsidRPr="00237B4B" w:rsidRDefault="00237B4B" w:rsidP="00237B4B">
      <w:pPr>
        <w:pStyle w:val="EndNoteBibliography"/>
        <w:spacing w:after="240"/>
        <w:ind w:left="720" w:hanging="720"/>
      </w:pPr>
      <w:r w:rsidRPr="00237B4B">
        <w:t xml:space="preserve">Rathbone DA &amp; Barrett S (2017) Vertebrate browsing impacts in a threatened montane plant community and implications for management. </w:t>
      </w:r>
      <w:r w:rsidRPr="00237B4B">
        <w:rPr>
          <w:i/>
        </w:rPr>
        <w:t>Ecological Management &amp; Restoration</w:t>
      </w:r>
      <w:r w:rsidRPr="00237B4B">
        <w:t xml:space="preserve"> 18, 164-171.</w:t>
      </w:r>
    </w:p>
    <w:p w14:paraId="61164AC9" w14:textId="09481015" w:rsidR="00237B4B" w:rsidRPr="00237B4B" w:rsidRDefault="00237B4B" w:rsidP="00237B4B">
      <w:pPr>
        <w:pStyle w:val="EndNoteBibliography"/>
        <w:spacing w:after="240"/>
        <w:ind w:left="720" w:hanging="720"/>
      </w:pPr>
      <w:r w:rsidRPr="00237B4B">
        <w:t xml:space="preserve">Rathbone DA &amp; Spencer M (2011) </w:t>
      </w:r>
      <w:r w:rsidRPr="00237B4B">
        <w:rPr>
          <w:i/>
        </w:rPr>
        <w:t>Management of Phytophthora and rabbit impacts on threatened ecological communities in the Stirling Range and Mt Lindesay</w:t>
      </w:r>
      <w:r w:rsidRPr="00237B4B">
        <w:t>. Report to the Department of Environment and Conservation (WA), Perth.</w:t>
      </w:r>
    </w:p>
    <w:p w14:paraId="40C46FB2" w14:textId="3910EF99" w:rsidR="00237B4B" w:rsidRPr="00237B4B" w:rsidRDefault="00237B4B" w:rsidP="00237B4B">
      <w:pPr>
        <w:pStyle w:val="EndNoteBibliography"/>
        <w:spacing w:after="240"/>
        <w:ind w:left="720" w:hanging="720"/>
      </w:pPr>
      <w:r w:rsidRPr="00237B4B">
        <w:t xml:space="preserve">Rhymer JM &amp; Simberloff D (1996) Extinction by hybridization and introgression. </w:t>
      </w:r>
      <w:r w:rsidRPr="00237B4B">
        <w:rPr>
          <w:i/>
        </w:rPr>
        <w:t>Annual Review of Ecology and Systematics</w:t>
      </w:r>
      <w:r w:rsidRPr="00237B4B">
        <w:t xml:space="preserve"> 27, 83-109.</w:t>
      </w:r>
    </w:p>
    <w:p w14:paraId="2FD1E642" w14:textId="59C4A61C" w:rsidR="00237B4B" w:rsidRPr="00237B4B" w:rsidRDefault="00237B4B" w:rsidP="00237B4B">
      <w:pPr>
        <w:pStyle w:val="EndNoteBibliography"/>
        <w:spacing w:after="240"/>
        <w:ind w:left="720" w:hanging="720"/>
      </w:pPr>
      <w:r w:rsidRPr="00237B4B">
        <w:t xml:space="preserve">Robinson CJ &amp; Coates DJ (1995) </w:t>
      </w:r>
      <w:r w:rsidRPr="00237B4B">
        <w:rPr>
          <w:i/>
        </w:rPr>
        <w:t>Declared rare &amp; poorly known flora in the Albany district. Western Australian wildlife management program no. 20</w:t>
      </w:r>
      <w:r w:rsidRPr="00237B4B">
        <w:t>. Australian Nature Conservation Agency, Department of Conservation and Land Management (WA), Como.</w:t>
      </w:r>
    </w:p>
    <w:p w14:paraId="12592A62" w14:textId="61230ACE" w:rsidR="00237B4B" w:rsidRPr="00237B4B" w:rsidRDefault="00237B4B" w:rsidP="00237B4B">
      <w:pPr>
        <w:pStyle w:val="EndNoteBibliography"/>
        <w:spacing w:after="240"/>
        <w:ind w:left="720" w:hanging="720"/>
      </w:pPr>
      <w:r w:rsidRPr="00237B4B">
        <w:t xml:space="preserve">Rye BL &amp; Hopper SD (1981) </w:t>
      </w:r>
      <w:r w:rsidRPr="00237B4B">
        <w:rPr>
          <w:i/>
        </w:rPr>
        <w:t>A guide to the gazetted rare flora of Western Australia.</w:t>
      </w:r>
      <w:r w:rsidR="00A466A7">
        <w:rPr>
          <w:i/>
        </w:rPr>
        <w:t xml:space="preserve"> R</w:t>
      </w:r>
      <w:r w:rsidRPr="00237B4B">
        <w:rPr>
          <w:i/>
        </w:rPr>
        <w:t>eport no. 42</w:t>
      </w:r>
      <w:r w:rsidRPr="00237B4B">
        <w:t>. Department of Fisheries &amp; Wildlife (WA), Perth.</w:t>
      </w:r>
    </w:p>
    <w:p w14:paraId="15B04DD7" w14:textId="317B126F" w:rsidR="00237B4B" w:rsidRPr="00237B4B" w:rsidRDefault="00237B4B" w:rsidP="00237B4B">
      <w:pPr>
        <w:pStyle w:val="EndNoteBibliography"/>
        <w:spacing w:after="240"/>
        <w:ind w:left="720" w:hanging="720"/>
      </w:pPr>
      <w:r w:rsidRPr="00237B4B">
        <w:lastRenderedPageBreak/>
        <w:t xml:space="preserve">Scott JK, Webber BL, Murphy H, Ota N, Kriticos DJ &amp; Loechel B (2014) </w:t>
      </w:r>
      <w:r w:rsidRPr="00237B4B">
        <w:rPr>
          <w:i/>
        </w:rPr>
        <w:t>AdaptNRM: weeds and climate change: supporting weed management adaptation</w:t>
      </w:r>
      <w:r w:rsidRPr="00237B4B">
        <w:t>. CSIRO and NCCARF Australia.</w:t>
      </w:r>
    </w:p>
    <w:p w14:paraId="38163260" w14:textId="63D304A5" w:rsidR="00237B4B" w:rsidRPr="00237B4B" w:rsidRDefault="00237B4B" w:rsidP="00237B4B">
      <w:pPr>
        <w:pStyle w:val="EndNoteBibliography"/>
        <w:spacing w:after="240"/>
        <w:ind w:left="720" w:hanging="720"/>
      </w:pPr>
      <w:r w:rsidRPr="00237B4B">
        <w:t xml:space="preserve">Shearer B &amp; Tippett J (1989) </w:t>
      </w:r>
      <w:r w:rsidRPr="00237B4B">
        <w:rPr>
          <w:i/>
        </w:rPr>
        <w:t xml:space="preserve">Jarrah dieback, the dynamics and management of </w:t>
      </w:r>
      <w:r w:rsidRPr="00A466A7">
        <w:rPr>
          <w:iCs/>
        </w:rPr>
        <w:t>Phytophthora cinnamomi</w:t>
      </w:r>
      <w:r w:rsidRPr="00237B4B">
        <w:rPr>
          <w:i/>
        </w:rPr>
        <w:t xml:space="preserve"> in the </w:t>
      </w:r>
      <w:r w:rsidR="00A466A7">
        <w:rPr>
          <w:i/>
        </w:rPr>
        <w:t>J</w:t>
      </w:r>
      <w:r w:rsidRPr="00237B4B">
        <w:rPr>
          <w:i/>
        </w:rPr>
        <w:t>arrah (</w:t>
      </w:r>
      <w:r w:rsidRPr="00A466A7">
        <w:rPr>
          <w:iCs/>
        </w:rPr>
        <w:t>Eucalyptus marginata</w:t>
      </w:r>
      <w:r w:rsidRPr="00237B4B">
        <w:rPr>
          <w:i/>
        </w:rPr>
        <w:t xml:space="preserve">) </w:t>
      </w:r>
      <w:r w:rsidR="00A466A7">
        <w:rPr>
          <w:i/>
        </w:rPr>
        <w:t>F</w:t>
      </w:r>
      <w:r w:rsidRPr="00237B4B">
        <w:rPr>
          <w:i/>
        </w:rPr>
        <w:t>orest of south-western Australia. Research bulletin no.</w:t>
      </w:r>
      <w:r w:rsidR="00A466A7">
        <w:rPr>
          <w:i/>
        </w:rPr>
        <w:t xml:space="preserve"> </w:t>
      </w:r>
      <w:r w:rsidRPr="00237B4B">
        <w:rPr>
          <w:i/>
        </w:rPr>
        <w:t>3</w:t>
      </w:r>
      <w:r w:rsidR="00A466A7">
        <w:rPr>
          <w:i/>
        </w:rPr>
        <w:t>.</w:t>
      </w:r>
      <w:r w:rsidRPr="00237B4B">
        <w:rPr>
          <w:i/>
        </w:rPr>
        <w:t xml:space="preserve"> </w:t>
      </w:r>
      <w:r w:rsidRPr="00237B4B">
        <w:t>Department of Conservation and Land Management (WA), Perth.</w:t>
      </w:r>
    </w:p>
    <w:p w14:paraId="1D860568" w14:textId="6535368D" w:rsidR="00237B4B" w:rsidRPr="00237B4B" w:rsidRDefault="00237B4B" w:rsidP="00237B4B">
      <w:pPr>
        <w:pStyle w:val="EndNoteBibliography"/>
        <w:spacing w:after="240"/>
        <w:ind w:left="720" w:hanging="720"/>
      </w:pPr>
      <w:r w:rsidRPr="00237B4B">
        <w:t xml:space="preserve">Shearer BL, Crane CE, Barrett S &amp; Cochrane A (2007) </w:t>
      </w:r>
      <w:r w:rsidRPr="00237B4B">
        <w:rPr>
          <w:i/>
        </w:rPr>
        <w:t xml:space="preserve">Phytophthora cinnamomi </w:t>
      </w:r>
      <w:r w:rsidRPr="00237B4B">
        <w:t xml:space="preserve">invasion, a major threatening process to conservation of flora diversity in the south-west botanical province of Western Australia. </w:t>
      </w:r>
      <w:r w:rsidRPr="00237B4B">
        <w:rPr>
          <w:i/>
        </w:rPr>
        <w:t>Australian Journal of Botany</w:t>
      </w:r>
      <w:r w:rsidRPr="00237B4B">
        <w:t xml:space="preserve"> 55, 225-238.</w:t>
      </w:r>
    </w:p>
    <w:p w14:paraId="6D845EDD" w14:textId="61E2C20E" w:rsidR="00237B4B" w:rsidRPr="00237B4B" w:rsidRDefault="00237B4B" w:rsidP="00237B4B">
      <w:pPr>
        <w:pStyle w:val="EndNoteBibliography"/>
        <w:spacing w:after="240"/>
        <w:ind w:left="720" w:hanging="720"/>
      </w:pPr>
      <w:r w:rsidRPr="00237B4B">
        <w:t xml:space="preserve">South West Aboriginal Land &amp; Sea Council (2020) About the Wagyl Kaip and Southern Noongar region. Accessed: Available at: </w:t>
      </w:r>
      <w:hyperlink r:id="rId35" w:history="1">
        <w:r w:rsidR="00A466A7" w:rsidRPr="004F42E2">
          <w:rPr>
            <w:rStyle w:val="Hyperlink"/>
          </w:rPr>
          <w:t>https://www.noongarculture.org.au/wagyl-kaip/</w:t>
        </w:r>
      </w:hyperlink>
      <w:r w:rsidR="00A466A7">
        <w:t xml:space="preserve"> </w:t>
      </w:r>
    </w:p>
    <w:p w14:paraId="11C85A22" w14:textId="72112C9B" w:rsidR="00237B4B" w:rsidRPr="00237B4B" w:rsidRDefault="00237B4B" w:rsidP="00237B4B">
      <w:pPr>
        <w:pStyle w:val="EndNoteBibliography"/>
        <w:spacing w:after="240"/>
        <w:ind w:left="720" w:hanging="720"/>
      </w:pPr>
      <w:r w:rsidRPr="00237B4B">
        <w:t xml:space="preserve">Specht RL (1963) Dark Island </w:t>
      </w:r>
      <w:r w:rsidR="00A466A7">
        <w:t>H</w:t>
      </w:r>
      <w:r w:rsidRPr="00237B4B">
        <w:t>eath (</w:t>
      </w:r>
      <w:r w:rsidR="00A466A7">
        <w:t>N</w:t>
      </w:r>
      <w:r w:rsidRPr="00237B4B">
        <w:t xml:space="preserve">inety-mile </w:t>
      </w:r>
      <w:r w:rsidR="00A466A7">
        <w:t>P</w:t>
      </w:r>
      <w:r w:rsidRPr="00237B4B">
        <w:t xml:space="preserve">lain, South Australia) </w:t>
      </w:r>
      <w:r w:rsidR="00A466A7">
        <w:t>V</w:t>
      </w:r>
      <w:r w:rsidRPr="00237B4B">
        <w:t xml:space="preserve">iii. </w:t>
      </w:r>
      <w:r w:rsidR="00A466A7">
        <w:t>T</w:t>
      </w:r>
      <w:r w:rsidRPr="00237B4B">
        <w:t xml:space="preserve">he effect of fertilisers on composition and growth, 1950-60. </w:t>
      </w:r>
      <w:r w:rsidRPr="00237B4B">
        <w:rPr>
          <w:i/>
        </w:rPr>
        <w:t>Australian Journal of Botany</w:t>
      </w:r>
      <w:r w:rsidRPr="00237B4B">
        <w:t xml:space="preserve"> 11, 67-94.</w:t>
      </w:r>
    </w:p>
    <w:p w14:paraId="0A94A924" w14:textId="1A3ACA62" w:rsidR="00237B4B" w:rsidRPr="00237B4B" w:rsidRDefault="00237B4B" w:rsidP="00237B4B">
      <w:pPr>
        <w:pStyle w:val="EndNoteBibliography"/>
        <w:spacing w:after="240"/>
        <w:ind w:left="720" w:hanging="720"/>
      </w:pPr>
      <w:r w:rsidRPr="00237B4B">
        <w:t xml:space="preserve">Thompson SE, Levin S &amp; Rodriguez-Iturbe I (2014) Rainfall and temperatures changes have confounding impacts on </w:t>
      </w:r>
      <w:r w:rsidRPr="00237B4B">
        <w:rPr>
          <w:i/>
        </w:rPr>
        <w:t>Phytophthora cinnamomi</w:t>
      </w:r>
      <w:r w:rsidRPr="00237B4B">
        <w:t xml:space="preserve"> occurrence risk in the southwestern USA under climate change scenarios. </w:t>
      </w:r>
      <w:r w:rsidRPr="00237B4B">
        <w:rPr>
          <w:i/>
        </w:rPr>
        <w:t>Global Change Biology</w:t>
      </w:r>
      <w:r w:rsidRPr="00237B4B">
        <w:t xml:space="preserve"> 20, 1299-1312.</w:t>
      </w:r>
    </w:p>
    <w:p w14:paraId="484C508A" w14:textId="5C72C454" w:rsidR="00237B4B" w:rsidRPr="00237B4B" w:rsidRDefault="00237B4B" w:rsidP="00237B4B">
      <w:pPr>
        <w:pStyle w:val="EndNoteBibliography"/>
        <w:spacing w:after="240"/>
        <w:ind w:left="720" w:hanging="720"/>
      </w:pPr>
      <w:r w:rsidRPr="00237B4B">
        <w:t xml:space="preserve">Todd S &amp; Maurer G (2020) </w:t>
      </w:r>
      <w:r w:rsidRPr="00237B4B">
        <w:rPr>
          <w:i/>
        </w:rPr>
        <w:t>Bushfire recovery where it matters most: impacts and actions in key biodiversity areas affected by the 2019/20 bushfire crisis</w:t>
      </w:r>
      <w:r w:rsidRPr="00237B4B">
        <w:t>. BirdLife Australia, Melbourne.</w:t>
      </w:r>
    </w:p>
    <w:p w14:paraId="0C8B332F" w14:textId="39E2A33B" w:rsidR="00237B4B" w:rsidRPr="00237B4B" w:rsidRDefault="00237B4B" w:rsidP="00237B4B">
      <w:pPr>
        <w:pStyle w:val="EndNoteBibliography"/>
        <w:spacing w:after="240"/>
        <w:ind w:left="720" w:hanging="720"/>
      </w:pPr>
      <w:r w:rsidRPr="00237B4B">
        <w:t xml:space="preserve">Todesco M, Pascual MA, Owens GL, Ostevik KL, Moyers BT, Hübner S, Heredia SM, Hahn MA, Caseys C, Bock DG &amp; Rieseberg LH (2016) Hybridization and extinction. </w:t>
      </w:r>
      <w:r w:rsidRPr="00237B4B">
        <w:rPr>
          <w:i/>
        </w:rPr>
        <w:t>Evolutionary applications</w:t>
      </w:r>
      <w:r w:rsidRPr="00237B4B">
        <w:t xml:space="preserve"> 9, 892-908.</w:t>
      </w:r>
    </w:p>
    <w:p w14:paraId="2F79D685" w14:textId="469CEAAC" w:rsidR="00237B4B" w:rsidRPr="00237B4B" w:rsidRDefault="00237B4B" w:rsidP="00237B4B">
      <w:pPr>
        <w:pStyle w:val="EndNoteBibliography"/>
        <w:spacing w:after="240"/>
        <w:ind w:left="720" w:hanging="720"/>
      </w:pPr>
      <w:r w:rsidRPr="00237B4B">
        <w:t xml:space="preserve">van Oldenborgh GJ, Krikken F, Lewis S, Leach NJ, Lehner F, Saunders KR, van Weele M, Haustein K, Li S &amp; Wallom D (2021) Attribution of the Australian bushfire risk to anthropogenic climate change. </w:t>
      </w:r>
      <w:r w:rsidRPr="00237B4B">
        <w:rPr>
          <w:i/>
        </w:rPr>
        <w:t>Natural Hazards and Earth System Sciences</w:t>
      </w:r>
      <w:r w:rsidRPr="00237B4B">
        <w:t xml:space="preserve"> 21, 941-960.</w:t>
      </w:r>
    </w:p>
    <w:p w14:paraId="7CA035FE" w14:textId="4EBA64AE" w:rsidR="00237B4B" w:rsidRPr="00237B4B" w:rsidRDefault="00237B4B" w:rsidP="00237B4B">
      <w:pPr>
        <w:pStyle w:val="EndNoteBibliography"/>
        <w:spacing w:after="240"/>
        <w:ind w:left="720" w:hanging="720"/>
      </w:pPr>
      <w:r w:rsidRPr="00237B4B">
        <w:t xml:space="preserve">Watson JR &amp; Passmore TP (1993) A Western Australian approach to path restoration. </w:t>
      </w:r>
      <w:r w:rsidRPr="00237B4B">
        <w:rPr>
          <w:i/>
        </w:rPr>
        <w:t>Australian Ranger</w:t>
      </w:r>
      <w:r w:rsidRPr="00237B4B">
        <w:t xml:space="preserve"> 27, 31-34.</w:t>
      </w:r>
    </w:p>
    <w:p w14:paraId="3B6CB8DC" w14:textId="5FB55188" w:rsidR="00237B4B" w:rsidRPr="00237B4B" w:rsidRDefault="00237B4B" w:rsidP="00237B4B">
      <w:pPr>
        <w:pStyle w:val="EndNoteBibliography"/>
        <w:spacing w:after="240"/>
        <w:ind w:left="720" w:hanging="720"/>
      </w:pPr>
      <w:r w:rsidRPr="00237B4B">
        <w:t xml:space="preserve">Weste G &amp; Marks GC (1987) The biology of </w:t>
      </w:r>
      <w:r w:rsidRPr="00237B4B">
        <w:rPr>
          <w:i/>
        </w:rPr>
        <w:t xml:space="preserve">Phytophthora cinnamomi </w:t>
      </w:r>
      <w:r w:rsidRPr="00237B4B">
        <w:t xml:space="preserve">in Australasian forests. </w:t>
      </w:r>
      <w:r w:rsidRPr="00237B4B">
        <w:rPr>
          <w:i/>
        </w:rPr>
        <w:t>Annual Review of Phytopathology</w:t>
      </w:r>
      <w:r w:rsidRPr="00237B4B">
        <w:t xml:space="preserve"> 25, 207-229.</w:t>
      </w:r>
    </w:p>
    <w:p w14:paraId="24A84828" w14:textId="22F09674" w:rsidR="00237B4B" w:rsidRPr="00237B4B" w:rsidRDefault="00237B4B" w:rsidP="00237B4B">
      <w:pPr>
        <w:pStyle w:val="EndNoteBibliography"/>
        <w:spacing w:after="240"/>
        <w:ind w:left="720" w:hanging="720"/>
      </w:pPr>
      <w:r w:rsidRPr="00237B4B">
        <w:t xml:space="preserve">Western Australian Herbarium (1998) Florabase - the Western Australian flora - </w:t>
      </w:r>
      <w:r w:rsidRPr="00237B4B">
        <w:rPr>
          <w:i/>
        </w:rPr>
        <w:t xml:space="preserve">Darwinia liostyla </w:t>
      </w:r>
      <w:r w:rsidRPr="00237B4B">
        <w:t xml:space="preserve">(Turcz.) Domin. Accessed: 13 October 2020 Available at: </w:t>
      </w:r>
      <w:hyperlink r:id="rId36" w:history="1">
        <w:r w:rsidR="008D6C7A" w:rsidRPr="004F42E2">
          <w:rPr>
            <w:rStyle w:val="Hyperlink"/>
          </w:rPr>
          <w:t>https://florabase.dpaw.wa.gov.au/browse/profile/19923</w:t>
        </w:r>
      </w:hyperlink>
      <w:r w:rsidR="008D6C7A">
        <w:t xml:space="preserve"> </w:t>
      </w:r>
    </w:p>
    <w:p w14:paraId="74C5CDCF" w14:textId="056D56C1" w:rsidR="00237B4B" w:rsidRPr="00237B4B" w:rsidRDefault="00237B4B" w:rsidP="00237B4B">
      <w:pPr>
        <w:pStyle w:val="EndNoteBibliography"/>
        <w:spacing w:after="240"/>
        <w:ind w:left="720" w:hanging="720"/>
      </w:pPr>
      <w:r w:rsidRPr="00237B4B">
        <w:t xml:space="preserve">Whiteley AR, Fitzpatrick SW, Funk WC &amp; Tallmon DA (2015) Genetic rescue to the rescue. </w:t>
      </w:r>
      <w:r w:rsidRPr="00237B4B">
        <w:rPr>
          <w:i/>
        </w:rPr>
        <w:t>Trends in Ecology &amp; Evolution</w:t>
      </w:r>
      <w:r w:rsidRPr="00237B4B">
        <w:t xml:space="preserve"> 30, 42-49.</w:t>
      </w:r>
    </w:p>
    <w:p w14:paraId="2AB4CB95" w14:textId="4EA5DA24" w:rsidR="00237B4B" w:rsidRPr="00237B4B" w:rsidRDefault="00237B4B" w:rsidP="00237B4B">
      <w:pPr>
        <w:pStyle w:val="EndNoteBibliography"/>
        <w:spacing w:after="240"/>
        <w:ind w:left="720" w:hanging="720"/>
      </w:pPr>
      <w:r w:rsidRPr="00237B4B">
        <w:t xml:space="preserve">Wills RT (1993) The ecological impact of </w:t>
      </w:r>
      <w:r w:rsidRPr="00237B4B">
        <w:rPr>
          <w:i/>
        </w:rPr>
        <w:t>Phytophthora cinnamomi</w:t>
      </w:r>
      <w:r w:rsidRPr="00237B4B">
        <w:t xml:space="preserve"> in the Stirling Range National Park, Western Australia. </w:t>
      </w:r>
      <w:r w:rsidRPr="00237B4B">
        <w:rPr>
          <w:i/>
        </w:rPr>
        <w:t>Australian Journal of Ecology</w:t>
      </w:r>
      <w:r w:rsidRPr="00237B4B">
        <w:t xml:space="preserve"> 18, 145-159.</w:t>
      </w:r>
    </w:p>
    <w:p w14:paraId="20D7078E" w14:textId="4BAE817A" w:rsidR="00237B4B" w:rsidRPr="00237B4B" w:rsidRDefault="00237B4B" w:rsidP="00237B4B">
      <w:pPr>
        <w:pStyle w:val="EndNoteBibliography"/>
        <w:spacing w:after="240"/>
        <w:ind w:left="720" w:hanging="720"/>
      </w:pPr>
      <w:r w:rsidRPr="00237B4B">
        <w:t xml:space="preserve">Wilson B, Newell G, Laidlaw W &amp; Friend G (1994) Impact of plant diseases on faunal communities. </w:t>
      </w:r>
      <w:r w:rsidRPr="00237B4B">
        <w:rPr>
          <w:i/>
        </w:rPr>
        <w:t>Journal of the Royal Society of Western Australia</w:t>
      </w:r>
      <w:r w:rsidRPr="00237B4B">
        <w:t xml:space="preserve"> 77, 139-144.</w:t>
      </w:r>
    </w:p>
    <w:p w14:paraId="43B18519" w14:textId="00A9FC77" w:rsidR="00237B4B" w:rsidRPr="00237B4B" w:rsidRDefault="00237B4B" w:rsidP="00237B4B">
      <w:pPr>
        <w:pStyle w:val="EndNoteBibliography"/>
        <w:ind w:left="720" w:hanging="720"/>
      </w:pPr>
      <w:r w:rsidRPr="00237B4B">
        <w:t xml:space="preserve">Wolf DE, Takebayashi N &amp; Rieseberg LH (2001) Predicting the risk of ethrough hybridization. </w:t>
      </w:r>
      <w:r w:rsidRPr="00237B4B">
        <w:rPr>
          <w:i/>
        </w:rPr>
        <w:t>Conservation Biology</w:t>
      </w:r>
      <w:r w:rsidRPr="00237B4B">
        <w:t xml:space="preserve"> 15, 1039-1053.</w:t>
      </w:r>
    </w:p>
    <w:p w14:paraId="6A18A376" w14:textId="5A28A766" w:rsidR="002319AB" w:rsidRDefault="002319AB" w:rsidP="00D72688">
      <w:pPr>
        <w:pStyle w:val="Instructiontext"/>
      </w:pPr>
    </w:p>
    <w:p w14:paraId="1CF25CD1" w14:textId="77777777" w:rsidR="0086619D" w:rsidRDefault="0086619D" w:rsidP="00601FF6">
      <w:pPr>
        <w:sectPr w:rsidR="0086619D" w:rsidSect="005208A6">
          <w:headerReference w:type="even" r:id="rId37"/>
          <w:headerReference w:type="default" r:id="rId38"/>
          <w:footerReference w:type="default" r:id="rId39"/>
          <w:headerReference w:type="first" r:id="rId40"/>
          <w:footerReference w:type="first" r:id="rId41"/>
          <w:pgSz w:w="11906" w:h="16838"/>
          <w:pgMar w:top="1418" w:right="1418" w:bottom="1418" w:left="1418" w:header="567" w:footer="284" w:gutter="0"/>
          <w:cols w:space="708"/>
          <w:titlePg/>
          <w:docGrid w:linePitch="360"/>
        </w:sectPr>
      </w:pPr>
    </w:p>
    <w:p w14:paraId="18DF8FFA" w14:textId="3C7F656F"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A001BD">
        <w:rPr>
          <w:i/>
          <w:iCs/>
        </w:rPr>
        <w:t>Darwinia</w:t>
      </w:r>
      <w:proofErr w:type="spellEnd"/>
      <w:r w:rsidR="00A001BD">
        <w:rPr>
          <w:i/>
          <w:iCs/>
        </w:rPr>
        <w:t xml:space="preserve"> </w:t>
      </w:r>
      <w:proofErr w:type="spellStart"/>
      <w:r w:rsidR="00A001BD">
        <w:rPr>
          <w:i/>
          <w:iCs/>
        </w:rPr>
        <w:t>collina</w:t>
      </w:r>
      <w:proofErr w:type="spellEnd"/>
    </w:p>
    <w:p w14:paraId="53A31953" w14:textId="77777777" w:rsidR="003A06CA" w:rsidRDefault="003A06CA" w:rsidP="00933A0D">
      <w:pPr>
        <w:pStyle w:val="Heading3"/>
        <w:ind w:left="964" w:hanging="964"/>
        <w:rPr>
          <w:lang w:eastAsia="ja-JP"/>
        </w:rPr>
      </w:pPr>
      <w:r>
        <w:rPr>
          <w:lang w:eastAsia="ja-JP"/>
        </w:rPr>
        <w:t>Reason for assessment</w:t>
      </w:r>
    </w:p>
    <w:p w14:paraId="70A7BD57" w14:textId="4B0DB556" w:rsidR="003A06CA" w:rsidRPr="00DF59CB" w:rsidRDefault="00933A0D" w:rsidP="003A06CA">
      <w:pPr>
        <w:rPr>
          <w:lang w:eastAsia="ja-JP"/>
        </w:rPr>
      </w:pPr>
      <w:r w:rsidRPr="00DF59CB">
        <w:rPr>
          <w:lang w:eastAsia="ja-JP"/>
        </w:rPr>
        <w:t xml:space="preserve">The </w:t>
      </w:r>
      <w:r w:rsidR="00A63D16">
        <w:rPr>
          <w:lang w:eastAsia="ja-JP"/>
        </w:rPr>
        <w:t>yellow mountain bell</w:t>
      </w:r>
      <w:r w:rsidR="003A06CA" w:rsidRPr="00DF59CB">
        <w:rPr>
          <w:lang w:eastAsia="ja-JP"/>
        </w:rPr>
        <w:t xml:space="preserve"> was listed as </w:t>
      </w:r>
      <w:sdt>
        <w:sdtPr>
          <w:id w:val="-986937263"/>
          <w:placeholder>
            <w:docPart w:val="42BDD08994C2413AB2D90CB4E2C6AEB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297EDB" w:rsidRPr="00DF59CB">
            <w:t>Endangered</w:t>
          </w:r>
        </w:sdtContent>
      </w:sdt>
      <w:r w:rsidRPr="00DF59CB" w:rsidDel="00933A0D">
        <w:rPr>
          <w:lang w:eastAsia="ja-JP"/>
        </w:rPr>
        <w:t xml:space="preserve"> </w:t>
      </w:r>
      <w:r w:rsidR="003A06CA" w:rsidRPr="00DF59CB">
        <w:rPr>
          <w:lang w:eastAsia="ja-JP"/>
        </w:rPr>
        <w:t xml:space="preserve">under the </w:t>
      </w:r>
      <w:r w:rsidR="003A06CA" w:rsidRPr="00DF59CB">
        <w:rPr>
          <w:rStyle w:val="Emphasis"/>
        </w:rPr>
        <w:t>Endangered Species Protection Act 1992</w:t>
      </w:r>
      <w:r w:rsidR="003A06CA" w:rsidRPr="00DF59CB">
        <w:rPr>
          <w:lang w:eastAsia="ja-JP"/>
        </w:rPr>
        <w:t xml:space="preserve"> and transferred to the </w:t>
      </w:r>
      <w:r w:rsidR="003A06CA" w:rsidRPr="00DF59CB">
        <w:rPr>
          <w:rStyle w:val="Emphasis"/>
        </w:rPr>
        <w:t>Environment Protection and Biodiversity Conservation Act 1999</w:t>
      </w:r>
      <w:r w:rsidR="003A06CA" w:rsidRPr="00DF59CB">
        <w:rPr>
          <w:lang w:eastAsia="ja-JP"/>
        </w:rPr>
        <w:t xml:space="preserve"> (EPBC Act) when it commenced in July 2000.</w:t>
      </w:r>
    </w:p>
    <w:p w14:paraId="1A08263F" w14:textId="4DBC1836" w:rsidR="004D61C9" w:rsidRPr="00DF59CB" w:rsidRDefault="003A06CA" w:rsidP="00B4649B">
      <w:pPr>
        <w:rPr>
          <w:lang w:eastAsia="ja-JP"/>
        </w:rPr>
      </w:pPr>
      <w:r w:rsidRPr="00DF59CB">
        <w:t>This assessment follows</w:t>
      </w:r>
      <w:r w:rsidRPr="00DF59CB">
        <w:rPr>
          <w:lang w:eastAsia="ja-JP"/>
        </w:rPr>
        <w:t xml:space="preserve"> prioritisation of a nomination from the TSSC</w:t>
      </w:r>
      <w:r w:rsidR="00297EDB" w:rsidRPr="00DF59CB">
        <w:rPr>
          <w:lang w:eastAsia="ja-JP"/>
        </w:rPr>
        <w:t>.</w:t>
      </w:r>
    </w:p>
    <w:p w14:paraId="12F8CA70" w14:textId="77777777" w:rsidR="003A06CA" w:rsidRPr="00DF59CB" w:rsidRDefault="003A06CA" w:rsidP="004D61C9">
      <w:pPr>
        <w:pStyle w:val="Heading3"/>
        <w:ind w:left="964" w:hanging="964"/>
        <w:rPr>
          <w:lang w:eastAsia="ja-JP"/>
        </w:rPr>
      </w:pPr>
      <w:r w:rsidRPr="00DF59CB">
        <w:rPr>
          <w:lang w:eastAsia="ja-JP"/>
        </w:rPr>
        <w:t>Assessment of eligibility for listing</w:t>
      </w:r>
    </w:p>
    <w:p w14:paraId="6D7AD492" w14:textId="75821108" w:rsidR="003A06CA" w:rsidRPr="00DF59CB" w:rsidRDefault="003A06CA" w:rsidP="003A06CA">
      <w:pPr>
        <w:rPr>
          <w:lang w:eastAsia="ja-JP"/>
        </w:rPr>
      </w:pPr>
      <w:r w:rsidRPr="00DF59CB">
        <w:rPr>
          <w:lang w:eastAsia="ja-JP"/>
        </w:rPr>
        <w:t xml:space="preserve">This assessment uses the criteria set out in the </w:t>
      </w:r>
      <w:hyperlink r:id="rId42" w:history="1">
        <w:r w:rsidRPr="00DF59CB">
          <w:rPr>
            <w:rStyle w:val="Hyperlink"/>
            <w:lang w:eastAsia="ja-JP"/>
          </w:rPr>
          <w:t>EPBC Regulations</w:t>
        </w:r>
      </w:hyperlink>
      <w:r w:rsidRPr="00DF59CB">
        <w:rPr>
          <w:lang w:eastAsia="ja-JP"/>
        </w:rPr>
        <w:t xml:space="preserve">. The thresholds used correspond with those in the </w:t>
      </w:r>
      <w:hyperlink r:id="rId43" w:history="1">
        <w:r w:rsidRPr="00DF59CB">
          <w:rPr>
            <w:rStyle w:val="Hyperlink"/>
            <w:lang w:eastAsia="ja-JP"/>
          </w:rPr>
          <w:t>IUCN Red List criteria</w:t>
        </w:r>
      </w:hyperlink>
      <w:r w:rsidRPr="00DF59CB">
        <w:rPr>
          <w:lang w:eastAsia="ja-JP"/>
        </w:rPr>
        <w:t xml:space="preserve"> except where noted in </w:t>
      </w:r>
      <w:r w:rsidR="008D6C7A">
        <w:rPr>
          <w:lang w:eastAsia="ja-JP"/>
        </w:rPr>
        <w:t>C</w:t>
      </w:r>
      <w:r w:rsidRPr="00DF59CB">
        <w:rPr>
          <w:lang w:eastAsia="ja-JP"/>
        </w:rPr>
        <w:t>riterion 4, sub-criterion D2. The IUCN criteria are used by Australian jurisdictions to achieve consistent listing assessments through the Common Assessment Method (CAM).</w:t>
      </w:r>
    </w:p>
    <w:p w14:paraId="1C39D37C" w14:textId="77777777" w:rsidR="0077351A" w:rsidRPr="00DF59CB" w:rsidRDefault="0077351A" w:rsidP="0077351A">
      <w:pPr>
        <w:pStyle w:val="Heading3"/>
        <w:rPr>
          <w:lang w:eastAsia="ja-JP"/>
        </w:rPr>
      </w:pPr>
      <w:r w:rsidRPr="00DF59CB">
        <w:rPr>
          <w:lang w:eastAsia="ja-JP"/>
        </w:rPr>
        <w:t>Key assessment parameters</w:t>
      </w:r>
    </w:p>
    <w:p w14:paraId="71730BFE" w14:textId="646C9B8F" w:rsidR="007019A7" w:rsidRDefault="0077351A" w:rsidP="0077351A">
      <w:pPr>
        <w:rPr>
          <w:lang w:eastAsia="ja-JP"/>
        </w:rPr>
      </w:pPr>
      <w:r w:rsidRPr="00DF59CB">
        <w:rPr>
          <w:lang w:eastAsia="ja-JP"/>
        </w:rPr>
        <w:t xml:space="preserve">Table </w:t>
      </w:r>
      <w:r w:rsidR="00DF59CB" w:rsidRPr="00DF59CB">
        <w:rPr>
          <w:lang w:eastAsia="ja-JP"/>
        </w:rPr>
        <w:t>4</w:t>
      </w:r>
      <w:r w:rsidRPr="00DF59CB">
        <w:rPr>
          <w:lang w:eastAsia="ja-JP"/>
        </w:rPr>
        <w:t xml:space="preserve"> includes the key assessment parameters used in the assessment of eligibility for listing</w:t>
      </w:r>
      <w:r w:rsidR="00E22344" w:rsidRPr="00DF59CB">
        <w:rPr>
          <w:lang w:eastAsia="ja-JP"/>
        </w:rPr>
        <w:t xml:space="preserve"> against the criteria</w:t>
      </w:r>
      <w:r w:rsidRPr="00DF59CB">
        <w:rPr>
          <w:lang w:eastAsia="ja-JP"/>
        </w:rPr>
        <w:t>.</w:t>
      </w:r>
    </w:p>
    <w:p w14:paraId="4767B9B0" w14:textId="4F38CE03" w:rsidR="0077351A" w:rsidRPr="009502E2" w:rsidRDefault="0077351A" w:rsidP="0077351A">
      <w:pPr>
        <w:pStyle w:val="Caption"/>
      </w:pPr>
      <w:r w:rsidRPr="009502E2">
        <w:t xml:space="preserve">Table </w:t>
      </w:r>
      <w:r w:rsidR="00DF59CB">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506"/>
        <w:gridCol w:w="1183"/>
        <w:gridCol w:w="1134"/>
        <w:gridCol w:w="1134"/>
        <w:gridCol w:w="4103"/>
      </w:tblGrid>
      <w:tr w:rsidR="00CD441B" w:rsidRPr="00D20C80" w14:paraId="7106DF2D" w14:textId="77777777" w:rsidTr="00947A36">
        <w:trPr>
          <w:cantSplit/>
          <w:tblHeader/>
        </w:trPr>
        <w:tc>
          <w:tcPr>
            <w:tcW w:w="1506" w:type="dxa"/>
          </w:tcPr>
          <w:p w14:paraId="714B6602" w14:textId="77777777" w:rsidR="00CD441B" w:rsidRPr="00D20C80" w:rsidRDefault="00CD441B" w:rsidP="00C5493E">
            <w:pPr>
              <w:pStyle w:val="TableHeading"/>
              <w:keepNext w:val="0"/>
            </w:pPr>
            <w:bookmarkStart w:id="26" w:name="_Hlk66963083"/>
            <w:r w:rsidRPr="00D20C80">
              <w:t>Metric</w:t>
            </w:r>
          </w:p>
        </w:tc>
        <w:tc>
          <w:tcPr>
            <w:tcW w:w="1183" w:type="dxa"/>
          </w:tcPr>
          <w:p w14:paraId="74954918" w14:textId="77777777" w:rsidR="00CD441B" w:rsidRPr="00D20C80" w:rsidRDefault="00CD441B" w:rsidP="00FD515C">
            <w:pPr>
              <w:pStyle w:val="TableHeading"/>
              <w:keepNext w:val="0"/>
            </w:pPr>
            <w:r w:rsidRPr="00D20C80">
              <w:t>Estimate</w:t>
            </w:r>
            <w:r w:rsidR="00E22344">
              <w:t xml:space="preserve"> used in the assessment</w:t>
            </w:r>
          </w:p>
        </w:tc>
        <w:tc>
          <w:tcPr>
            <w:tcW w:w="1134" w:type="dxa"/>
          </w:tcPr>
          <w:p w14:paraId="1E220CFD" w14:textId="77777777" w:rsidR="00CD441B" w:rsidRPr="00D20C80" w:rsidRDefault="00CD441B" w:rsidP="00FD515C">
            <w:pPr>
              <w:pStyle w:val="TableHeading"/>
              <w:keepNext w:val="0"/>
            </w:pPr>
            <w:r w:rsidRPr="00D20C80">
              <w:t>Minimum</w:t>
            </w:r>
            <w:r w:rsidR="00E22344">
              <w:t xml:space="preserve"> plausible value</w:t>
            </w:r>
          </w:p>
        </w:tc>
        <w:tc>
          <w:tcPr>
            <w:tcW w:w="1134" w:type="dxa"/>
          </w:tcPr>
          <w:p w14:paraId="1B5915B6" w14:textId="77777777" w:rsidR="00CD441B" w:rsidRPr="00D20C80" w:rsidRDefault="00CD441B" w:rsidP="00FD515C">
            <w:pPr>
              <w:pStyle w:val="TableHeading"/>
              <w:keepNext w:val="0"/>
            </w:pPr>
            <w:r w:rsidRPr="00D20C80">
              <w:t>Maximum</w:t>
            </w:r>
            <w:r w:rsidR="00E22344">
              <w:t xml:space="preserve"> plausible value</w:t>
            </w:r>
          </w:p>
        </w:tc>
        <w:tc>
          <w:tcPr>
            <w:tcW w:w="4103" w:type="dxa"/>
          </w:tcPr>
          <w:p w14:paraId="52A3CD46" w14:textId="67DE97F8" w:rsidR="00CD441B" w:rsidRPr="00D20C80" w:rsidRDefault="00CD441B" w:rsidP="00DF59CB">
            <w:pPr>
              <w:pStyle w:val="TableHeading"/>
              <w:keepNext w:val="0"/>
            </w:pPr>
            <w:r w:rsidRPr="00D20C80">
              <w:t>Justification</w:t>
            </w:r>
          </w:p>
        </w:tc>
      </w:tr>
      <w:tr w:rsidR="00D37773" w14:paraId="0ADA3CAC" w14:textId="77777777" w:rsidTr="00947A36">
        <w:trPr>
          <w:cantSplit/>
        </w:trPr>
        <w:tc>
          <w:tcPr>
            <w:tcW w:w="1506" w:type="dxa"/>
          </w:tcPr>
          <w:p w14:paraId="1128545F" w14:textId="4162D5C9" w:rsidR="00D37773" w:rsidRPr="00EF28B7" w:rsidRDefault="00D37773" w:rsidP="002C7467">
            <w:pPr>
              <w:pStyle w:val="TableHeading"/>
              <w:keepNext w:val="0"/>
              <w:rPr>
                <w:rStyle w:val="Strong"/>
                <w:b/>
                <w:bCs w:val="0"/>
              </w:rPr>
            </w:pPr>
            <w:r w:rsidRPr="00EF28B7">
              <w:rPr>
                <w:rStyle w:val="Strong"/>
                <w:b/>
                <w:bCs w:val="0"/>
              </w:rPr>
              <w:t>Number of mature individuals</w:t>
            </w:r>
          </w:p>
        </w:tc>
        <w:tc>
          <w:tcPr>
            <w:tcW w:w="1183" w:type="dxa"/>
            <w:shd w:val="clear" w:color="auto" w:fill="auto"/>
          </w:tcPr>
          <w:p w14:paraId="53396D2B" w14:textId="32E380EE" w:rsidR="00D37773" w:rsidRPr="00EF28B7" w:rsidRDefault="00EB55B8" w:rsidP="002E31FA">
            <w:pPr>
              <w:pStyle w:val="TableText"/>
            </w:pPr>
            <w:r w:rsidRPr="00EF28B7">
              <w:t>&lt;</w:t>
            </w:r>
            <w:r w:rsidR="00A0379E" w:rsidRPr="00EF28B7">
              <w:t>62</w:t>
            </w:r>
            <w:r w:rsidRPr="00EF28B7">
              <w:t>20</w:t>
            </w:r>
          </w:p>
        </w:tc>
        <w:tc>
          <w:tcPr>
            <w:tcW w:w="1134" w:type="dxa"/>
            <w:shd w:val="clear" w:color="auto" w:fill="auto"/>
          </w:tcPr>
          <w:p w14:paraId="5D1DEE59" w14:textId="60B925EC" w:rsidR="00D37773" w:rsidRPr="00EF28B7" w:rsidRDefault="00EB55B8" w:rsidP="002E31FA">
            <w:pPr>
              <w:pStyle w:val="TableText"/>
            </w:pPr>
            <w:r w:rsidRPr="00EF28B7">
              <w:t>315</w:t>
            </w:r>
          </w:p>
        </w:tc>
        <w:tc>
          <w:tcPr>
            <w:tcW w:w="1134" w:type="dxa"/>
            <w:shd w:val="clear" w:color="auto" w:fill="auto"/>
          </w:tcPr>
          <w:p w14:paraId="604DC377" w14:textId="29627372" w:rsidR="00D37773" w:rsidRPr="00EF28B7" w:rsidRDefault="00A0379E" w:rsidP="002E31FA">
            <w:pPr>
              <w:pStyle w:val="TableText"/>
            </w:pPr>
            <w:r w:rsidRPr="00EF28B7">
              <w:t>62</w:t>
            </w:r>
            <w:r w:rsidR="00100D95" w:rsidRPr="00EF28B7">
              <w:t>20</w:t>
            </w:r>
          </w:p>
        </w:tc>
        <w:tc>
          <w:tcPr>
            <w:tcW w:w="4103" w:type="dxa"/>
            <w:shd w:val="clear" w:color="auto" w:fill="auto"/>
          </w:tcPr>
          <w:p w14:paraId="41113A68" w14:textId="49F86D27" w:rsidR="004A4CDC" w:rsidRPr="00EF28B7" w:rsidRDefault="004A4CDC" w:rsidP="00DD6681">
            <w:pPr>
              <w:pStyle w:val="TableText"/>
            </w:pPr>
            <w:r w:rsidRPr="00EF28B7">
              <w:rPr>
                <w:bCs/>
              </w:rPr>
              <w:t xml:space="preserve">The </w:t>
            </w:r>
            <w:r w:rsidR="00A93AC9" w:rsidRPr="00EF28B7">
              <w:t xml:space="preserve">yellow mountain bell </w:t>
            </w:r>
            <w:r w:rsidRPr="00EF28B7">
              <w:rPr>
                <w:bCs/>
              </w:rPr>
              <w:t xml:space="preserve">undergoes </w:t>
            </w:r>
            <w:r w:rsidRPr="00EF28B7">
              <w:t xml:space="preserve">natural fluctuations in the number of mature individuals, as mature individuals are killed following fire and germination of dormant seeds is stimulated </w:t>
            </w:r>
            <w:r w:rsidRPr="00EF28B7">
              <w:rPr>
                <w:noProof/>
              </w:rPr>
              <w:t>(Hartley &amp; Barrett 2008; DBCA 2021)</w:t>
            </w:r>
            <w:r w:rsidRPr="00EF28B7">
              <w:t xml:space="preserve">. </w:t>
            </w:r>
          </w:p>
          <w:p w14:paraId="4E56E6AF" w14:textId="026D8827" w:rsidR="00DF68BA" w:rsidRPr="00EF28B7" w:rsidRDefault="00DF68BA" w:rsidP="00DD6681">
            <w:pPr>
              <w:pStyle w:val="TableText"/>
              <w:rPr>
                <w:bCs/>
              </w:rPr>
            </w:pPr>
            <w:r w:rsidRPr="00EF28B7">
              <w:rPr>
                <w:bCs/>
              </w:rPr>
              <w:t>The minimum estimate</w:t>
            </w:r>
            <w:r w:rsidR="00AA4439">
              <w:rPr>
                <w:bCs/>
              </w:rPr>
              <w:t xml:space="preserve"> of the number of mature individuals</w:t>
            </w:r>
            <w:r w:rsidRPr="00EF28B7">
              <w:rPr>
                <w:bCs/>
              </w:rPr>
              <w:t xml:space="preserve"> is the</w:t>
            </w:r>
            <w:r w:rsidR="00FA57A2">
              <w:rPr>
                <w:bCs/>
              </w:rPr>
              <w:t xml:space="preserve"> 2021</w:t>
            </w:r>
            <w:r w:rsidRPr="00EF28B7">
              <w:rPr>
                <w:bCs/>
              </w:rPr>
              <w:t xml:space="preserve"> post-fire estimate (DBCA 2021)</w:t>
            </w:r>
            <w:r w:rsidR="00FA57A2">
              <w:rPr>
                <w:bCs/>
              </w:rPr>
              <w:t>; t</w:t>
            </w:r>
            <w:r w:rsidR="005B40CA" w:rsidRPr="00EF28B7">
              <w:rPr>
                <w:bCs/>
              </w:rPr>
              <w:t xml:space="preserve">he maximum estimate is </w:t>
            </w:r>
            <w:r w:rsidR="00C857B3" w:rsidRPr="00EF28B7">
              <w:rPr>
                <w:bCs/>
              </w:rPr>
              <w:t>the</w:t>
            </w:r>
            <w:r w:rsidR="005B40CA" w:rsidRPr="00EF28B7">
              <w:rPr>
                <w:bCs/>
              </w:rPr>
              <w:t xml:space="preserve"> </w:t>
            </w:r>
            <w:r w:rsidR="00FA57A2">
              <w:rPr>
                <w:bCs/>
              </w:rPr>
              <w:t xml:space="preserve">2017 </w:t>
            </w:r>
            <w:r w:rsidR="005B40CA" w:rsidRPr="00EF28B7">
              <w:rPr>
                <w:bCs/>
              </w:rPr>
              <w:t xml:space="preserve">pre-fire estimate </w:t>
            </w:r>
            <w:r w:rsidR="00C857B3" w:rsidRPr="00EF28B7">
              <w:rPr>
                <w:bCs/>
              </w:rPr>
              <w:t>(DBCA 2021).</w:t>
            </w:r>
          </w:p>
          <w:p w14:paraId="2250A518" w14:textId="203D25C5" w:rsidR="00DD6681" w:rsidRPr="00EF28B7" w:rsidRDefault="00DF68BA" w:rsidP="004F02BF">
            <w:pPr>
              <w:pStyle w:val="TableText"/>
            </w:pPr>
            <w:r w:rsidRPr="00EF28B7">
              <w:rPr>
                <w:bCs/>
              </w:rPr>
              <w:t xml:space="preserve">The estimate used in this assessment is </w:t>
            </w:r>
            <w:r w:rsidRPr="00A44919">
              <w:rPr>
                <w:bCs/>
              </w:rPr>
              <w:t>&lt;</w:t>
            </w:r>
            <w:r w:rsidR="00A0379E" w:rsidRPr="00A44919">
              <w:rPr>
                <w:bCs/>
              </w:rPr>
              <w:t>6</w:t>
            </w:r>
            <w:r w:rsidR="0075488E" w:rsidRPr="00A44919">
              <w:rPr>
                <w:bCs/>
              </w:rPr>
              <w:t>2</w:t>
            </w:r>
            <w:r w:rsidRPr="00A44919">
              <w:rPr>
                <w:bCs/>
              </w:rPr>
              <w:t>20 mature individuals</w:t>
            </w:r>
            <w:r w:rsidR="00E5651E" w:rsidRPr="00A44919">
              <w:rPr>
                <w:bCs/>
              </w:rPr>
              <w:t xml:space="preserve"> </w:t>
            </w:r>
            <w:r w:rsidR="00E5651E" w:rsidRPr="00A44919">
              <w:t xml:space="preserve">(i.e., less than estimated number of mature individuals in 2017), </w:t>
            </w:r>
            <w:r w:rsidRPr="00A44919">
              <w:rPr>
                <w:bCs/>
              </w:rPr>
              <w:t xml:space="preserve">as </w:t>
            </w:r>
            <w:r w:rsidR="00DD6681" w:rsidRPr="00A44919">
              <w:t xml:space="preserve">a net loss of mature individuals </w:t>
            </w:r>
            <w:r w:rsidR="004F02BF" w:rsidRPr="00A44919">
              <w:t>is</w:t>
            </w:r>
            <w:r w:rsidR="00DD6681" w:rsidRPr="00A44919">
              <w:t xml:space="preserve"> projected, due to the ongoing impacts of inappropriate fire regimes, dieback caused by </w:t>
            </w:r>
            <w:r w:rsidR="00DD6681" w:rsidRPr="00A44919">
              <w:rPr>
                <w:i/>
                <w:iCs/>
              </w:rPr>
              <w:t>P</w:t>
            </w:r>
            <w:r w:rsidR="0075488E" w:rsidRPr="00A44919">
              <w:rPr>
                <w:i/>
                <w:iCs/>
              </w:rPr>
              <w:t>hytophthora</w:t>
            </w:r>
            <w:r w:rsidR="00DD6681" w:rsidRPr="00A44919">
              <w:rPr>
                <w:i/>
                <w:iCs/>
              </w:rPr>
              <w:t xml:space="preserve"> cinnamomi</w:t>
            </w:r>
            <w:r w:rsidR="00DD6681" w:rsidRPr="00EF28B7">
              <w:t xml:space="preserve">, altered rainfall </w:t>
            </w:r>
            <w:proofErr w:type="gramStart"/>
            <w:r w:rsidR="00DD6681" w:rsidRPr="00EF28B7">
              <w:t>patterns</w:t>
            </w:r>
            <w:proofErr w:type="gramEnd"/>
            <w:r w:rsidR="00DD6681" w:rsidRPr="00EF28B7">
              <w:t xml:space="preserve"> and browsing on seedling survival (see Criterion 2</w:t>
            </w:r>
            <w:r w:rsidR="000049FF" w:rsidRPr="00EF28B7">
              <w:t xml:space="preserve"> for further information</w:t>
            </w:r>
            <w:r w:rsidR="00DD6681" w:rsidRPr="00EF28B7">
              <w:t>) (DBCA 2021. pers comm 3 September).</w:t>
            </w:r>
          </w:p>
        </w:tc>
      </w:tr>
      <w:tr w:rsidR="00D37773" w14:paraId="5A1453BB" w14:textId="77777777" w:rsidTr="00947A36">
        <w:trPr>
          <w:cantSplit/>
        </w:trPr>
        <w:tc>
          <w:tcPr>
            <w:tcW w:w="1506" w:type="dxa"/>
          </w:tcPr>
          <w:p w14:paraId="715659BD" w14:textId="77777777" w:rsidR="00D37773" w:rsidRPr="00EF28B7" w:rsidRDefault="00D37773" w:rsidP="002E31FA">
            <w:pPr>
              <w:pStyle w:val="TableHeading"/>
              <w:keepNext w:val="0"/>
              <w:rPr>
                <w:rStyle w:val="Strong"/>
                <w:b/>
                <w:bCs w:val="0"/>
              </w:rPr>
            </w:pPr>
            <w:r w:rsidRPr="00EF28B7">
              <w:rPr>
                <w:rStyle w:val="Strong"/>
                <w:b/>
                <w:bCs w:val="0"/>
              </w:rPr>
              <w:t>Trend</w:t>
            </w:r>
          </w:p>
        </w:tc>
        <w:tc>
          <w:tcPr>
            <w:tcW w:w="3451" w:type="dxa"/>
            <w:gridSpan w:val="3"/>
            <w:shd w:val="clear" w:color="auto" w:fill="auto"/>
          </w:tcPr>
          <w:p w14:paraId="3D5F4C4F" w14:textId="500D377A" w:rsidR="00D37773" w:rsidRPr="00EF28B7" w:rsidRDefault="005E3CBC" w:rsidP="001376F1">
            <w:pPr>
              <w:pStyle w:val="TableText"/>
            </w:pPr>
            <w:r w:rsidRPr="00EF28B7">
              <w:t>D</w:t>
            </w:r>
            <w:r w:rsidR="006C0CBE" w:rsidRPr="00EF28B7">
              <w:t>eclining</w:t>
            </w:r>
          </w:p>
        </w:tc>
        <w:tc>
          <w:tcPr>
            <w:tcW w:w="4103" w:type="dxa"/>
            <w:shd w:val="clear" w:color="auto" w:fill="auto"/>
          </w:tcPr>
          <w:p w14:paraId="0BFF3EAE" w14:textId="3F0CE6E8" w:rsidR="00D37773" w:rsidRPr="00EF28B7" w:rsidRDefault="000049FF" w:rsidP="002E31FA">
            <w:pPr>
              <w:pStyle w:val="TableText"/>
            </w:pPr>
            <w:bookmarkStart w:id="27" w:name="_Hlk82589266"/>
            <w:r w:rsidRPr="00EF28B7">
              <w:t xml:space="preserve">A net loss of mature individuals is projected, due to the ongoing impacts of inappropriate fire regimes, dieback caused by </w:t>
            </w:r>
            <w:r w:rsidRPr="00EF28B7">
              <w:rPr>
                <w:i/>
                <w:iCs/>
              </w:rPr>
              <w:t>P. cinnamomi</w:t>
            </w:r>
            <w:r w:rsidRPr="00EF28B7">
              <w:t xml:space="preserve">, altered rainfall patterns </w:t>
            </w:r>
            <w:r w:rsidR="00FA57A2">
              <w:t xml:space="preserve">due to climate change </w:t>
            </w:r>
            <w:r w:rsidRPr="00EF28B7">
              <w:t>and browsing on seedling</w:t>
            </w:r>
            <w:r w:rsidR="00FA57A2">
              <w:t>s</w:t>
            </w:r>
            <w:r w:rsidRPr="00EF28B7">
              <w:t xml:space="preserve"> </w:t>
            </w:r>
            <w:r w:rsidR="00092775" w:rsidRPr="00EF28B7">
              <w:t xml:space="preserve">following fires in 2018 and 2019-20 </w:t>
            </w:r>
            <w:r w:rsidRPr="00EF28B7">
              <w:t>(see Criterion 2 for further information) (DBCA 2021. pers comm 3 September).</w:t>
            </w:r>
            <w:bookmarkEnd w:id="27"/>
          </w:p>
        </w:tc>
      </w:tr>
      <w:tr w:rsidR="00D37773" w14:paraId="3F2C13F4" w14:textId="77777777" w:rsidTr="00947A36">
        <w:trPr>
          <w:cantSplit/>
        </w:trPr>
        <w:tc>
          <w:tcPr>
            <w:tcW w:w="1506" w:type="dxa"/>
          </w:tcPr>
          <w:p w14:paraId="58DD0174" w14:textId="77777777" w:rsidR="00D37773" w:rsidRPr="00EF28B7" w:rsidRDefault="00D37773" w:rsidP="002E31FA">
            <w:pPr>
              <w:pStyle w:val="TableHeading"/>
              <w:keepNext w:val="0"/>
              <w:rPr>
                <w:rStyle w:val="Strong"/>
                <w:b/>
                <w:bCs w:val="0"/>
              </w:rPr>
            </w:pPr>
            <w:r w:rsidRPr="00EF28B7">
              <w:rPr>
                <w:rStyle w:val="Strong"/>
                <w:b/>
                <w:bCs w:val="0"/>
              </w:rPr>
              <w:t>Generation time (years)</w:t>
            </w:r>
          </w:p>
        </w:tc>
        <w:tc>
          <w:tcPr>
            <w:tcW w:w="1183" w:type="dxa"/>
            <w:shd w:val="clear" w:color="auto" w:fill="auto"/>
          </w:tcPr>
          <w:p w14:paraId="318D94C9" w14:textId="42A1000A" w:rsidR="00D37773" w:rsidRPr="00EF28B7" w:rsidRDefault="00B06BFA" w:rsidP="002E31FA">
            <w:pPr>
              <w:pStyle w:val="TableText"/>
            </w:pPr>
            <w:r w:rsidRPr="00EF28B7">
              <w:t>1</w:t>
            </w:r>
            <w:r w:rsidR="000F45AB" w:rsidRPr="00EF28B7">
              <w:t>3-13</w:t>
            </w:r>
            <w:r w:rsidRPr="00EF28B7">
              <w:t>.5</w:t>
            </w:r>
            <w:r w:rsidR="001C305F" w:rsidRPr="00EF28B7">
              <w:t xml:space="preserve"> years</w:t>
            </w:r>
          </w:p>
        </w:tc>
        <w:tc>
          <w:tcPr>
            <w:tcW w:w="1134" w:type="dxa"/>
            <w:shd w:val="clear" w:color="auto" w:fill="auto"/>
          </w:tcPr>
          <w:p w14:paraId="1F91AE1A" w14:textId="23EA897A" w:rsidR="00D37773" w:rsidRPr="00EF28B7" w:rsidRDefault="00B06BFA" w:rsidP="002E31FA">
            <w:pPr>
              <w:pStyle w:val="TableText"/>
            </w:pPr>
            <w:r w:rsidRPr="00EF28B7">
              <w:t>Unknown</w:t>
            </w:r>
          </w:p>
        </w:tc>
        <w:tc>
          <w:tcPr>
            <w:tcW w:w="1134" w:type="dxa"/>
            <w:shd w:val="clear" w:color="auto" w:fill="auto"/>
          </w:tcPr>
          <w:p w14:paraId="32D0CF12" w14:textId="55BA3ABF" w:rsidR="00D37773" w:rsidRPr="00EF28B7" w:rsidRDefault="009620EF" w:rsidP="002E31FA">
            <w:pPr>
              <w:pStyle w:val="TableText"/>
            </w:pPr>
            <w:r w:rsidRPr="00EF28B7">
              <w:t>Unknown</w:t>
            </w:r>
          </w:p>
        </w:tc>
        <w:tc>
          <w:tcPr>
            <w:tcW w:w="4103" w:type="dxa"/>
            <w:shd w:val="clear" w:color="auto" w:fill="auto"/>
          </w:tcPr>
          <w:p w14:paraId="0FA4C527" w14:textId="19422E1E" w:rsidR="00D37773" w:rsidRPr="00EF28B7" w:rsidRDefault="009620EF" w:rsidP="002E31FA">
            <w:pPr>
              <w:pStyle w:val="TableText"/>
            </w:pPr>
            <w:r w:rsidRPr="00EF28B7">
              <w:t xml:space="preserve">The species is likely to have a generation time of </w:t>
            </w:r>
            <w:r w:rsidR="00B06BFA" w:rsidRPr="00EF28B7">
              <w:t>approximately 1</w:t>
            </w:r>
            <w:r w:rsidR="000F45AB" w:rsidRPr="00EF28B7">
              <w:t>3-13</w:t>
            </w:r>
            <w:r w:rsidR="00B06BFA" w:rsidRPr="00EF28B7">
              <w:t>.5</w:t>
            </w:r>
            <w:r w:rsidRPr="00EF28B7">
              <w:t xml:space="preserve"> years (see Criterion 1).</w:t>
            </w:r>
          </w:p>
        </w:tc>
      </w:tr>
      <w:tr w:rsidR="00CD441B" w14:paraId="61CB16DC" w14:textId="77777777" w:rsidTr="00947A36">
        <w:trPr>
          <w:cantSplit/>
        </w:trPr>
        <w:tc>
          <w:tcPr>
            <w:tcW w:w="1506" w:type="dxa"/>
          </w:tcPr>
          <w:p w14:paraId="20CFE01C" w14:textId="1F9BF2CA" w:rsidR="00CD441B" w:rsidRPr="002C7467" w:rsidRDefault="00CD441B" w:rsidP="002C7467">
            <w:pPr>
              <w:pStyle w:val="TableHeading"/>
              <w:keepNext w:val="0"/>
              <w:rPr>
                <w:rStyle w:val="Strong"/>
                <w:b/>
                <w:sz w:val="22"/>
              </w:rPr>
            </w:pPr>
            <w:r w:rsidRPr="00D20C80">
              <w:rPr>
                <w:rStyle w:val="Strong"/>
                <w:b/>
                <w:bCs w:val="0"/>
              </w:rPr>
              <w:lastRenderedPageBreak/>
              <w:t xml:space="preserve">Extent of </w:t>
            </w:r>
            <w:r w:rsidR="00A415D2">
              <w:rPr>
                <w:rStyle w:val="Strong"/>
                <w:b/>
                <w:bCs w:val="0"/>
              </w:rPr>
              <w:t>O</w:t>
            </w:r>
            <w:r w:rsidRPr="00D20C80">
              <w:rPr>
                <w:rStyle w:val="Strong"/>
                <w:b/>
                <w:bCs w:val="0"/>
              </w:rPr>
              <w:t>ccurrence</w:t>
            </w:r>
            <w:r w:rsidR="00A415D2">
              <w:rPr>
                <w:rStyle w:val="Strong"/>
                <w:b/>
                <w:bCs w:val="0"/>
              </w:rPr>
              <w:t xml:space="preserve"> </w:t>
            </w:r>
            <w:r w:rsidR="00A415D2">
              <w:rPr>
                <w:rStyle w:val="Strong"/>
                <w:b/>
              </w:rPr>
              <w:t>(EOO)</w:t>
            </w:r>
          </w:p>
        </w:tc>
        <w:tc>
          <w:tcPr>
            <w:tcW w:w="1183" w:type="dxa"/>
            <w:shd w:val="clear" w:color="auto" w:fill="auto"/>
          </w:tcPr>
          <w:p w14:paraId="61D55B4D" w14:textId="113B09E6" w:rsidR="00CD441B" w:rsidRDefault="00866569" w:rsidP="00FD515C">
            <w:pPr>
              <w:pStyle w:val="TableText"/>
            </w:pPr>
            <w:r>
              <w:t>20 km</w:t>
            </w:r>
            <w:r>
              <w:rPr>
                <w:vertAlign w:val="superscript"/>
              </w:rPr>
              <w:t>2</w:t>
            </w:r>
          </w:p>
        </w:tc>
        <w:tc>
          <w:tcPr>
            <w:tcW w:w="1134" w:type="dxa"/>
            <w:shd w:val="clear" w:color="auto" w:fill="auto"/>
          </w:tcPr>
          <w:p w14:paraId="18CFC36C" w14:textId="77777777" w:rsidR="009A145E" w:rsidRDefault="009A145E" w:rsidP="009A145E">
            <w:pPr>
              <w:pStyle w:val="TableText"/>
            </w:pPr>
            <w:r>
              <w:t>=AOO</w:t>
            </w:r>
          </w:p>
          <w:p w14:paraId="46F83E7A" w14:textId="77777777" w:rsidR="009A145E" w:rsidRDefault="009A145E" w:rsidP="009A145E">
            <w:pPr>
              <w:pStyle w:val="TableText"/>
            </w:pPr>
            <w:r>
              <w:t>=20 km</w:t>
            </w:r>
            <w:r>
              <w:rPr>
                <w:vertAlign w:val="superscript"/>
              </w:rPr>
              <w:t>2</w:t>
            </w:r>
            <w:r>
              <w:t xml:space="preserve"> </w:t>
            </w:r>
          </w:p>
          <w:p w14:paraId="4FE3D754" w14:textId="0F3C404C" w:rsidR="009A145E" w:rsidRPr="009A145E" w:rsidRDefault="009A145E" w:rsidP="009A145E">
            <w:pPr>
              <w:pStyle w:val="TableText"/>
            </w:pPr>
            <w:r>
              <w:t>(originally 7 km</w:t>
            </w:r>
            <w:r>
              <w:rPr>
                <w:vertAlign w:val="superscript"/>
              </w:rPr>
              <w:t>2</w:t>
            </w:r>
            <w:r>
              <w:t>)</w:t>
            </w:r>
          </w:p>
          <w:p w14:paraId="511C7D9A" w14:textId="72C89398" w:rsidR="009A145E" w:rsidRDefault="009A145E" w:rsidP="00FD515C">
            <w:pPr>
              <w:pStyle w:val="TableText"/>
            </w:pPr>
          </w:p>
        </w:tc>
        <w:tc>
          <w:tcPr>
            <w:tcW w:w="1134" w:type="dxa"/>
            <w:shd w:val="clear" w:color="auto" w:fill="auto"/>
          </w:tcPr>
          <w:p w14:paraId="4D0B549C" w14:textId="48326D68" w:rsidR="00CD441B" w:rsidRDefault="00EB55B8" w:rsidP="00FD515C">
            <w:pPr>
              <w:pStyle w:val="TableText"/>
            </w:pPr>
            <w:r>
              <w:t>51</w:t>
            </w:r>
            <w:r w:rsidR="0050205E">
              <w:t xml:space="preserve"> km</w:t>
            </w:r>
            <w:r w:rsidR="0050205E">
              <w:rPr>
                <w:vertAlign w:val="superscript"/>
              </w:rPr>
              <w:t>2</w:t>
            </w:r>
          </w:p>
        </w:tc>
        <w:tc>
          <w:tcPr>
            <w:tcW w:w="4103" w:type="dxa"/>
            <w:shd w:val="clear" w:color="auto" w:fill="auto"/>
          </w:tcPr>
          <w:p w14:paraId="334F2361" w14:textId="6A41F5C8" w:rsidR="00BA5AE1" w:rsidRDefault="00FB3047" w:rsidP="00BA5AE1">
            <w:pPr>
              <w:pStyle w:val="TableText"/>
            </w:pPr>
            <w:r>
              <w:t>The minimum plausible value has be</w:t>
            </w:r>
            <w:r w:rsidR="00F94416">
              <w:t>en</w:t>
            </w:r>
            <w:r>
              <w:t xml:space="preserve"> calculated using record data from 1996</w:t>
            </w:r>
            <w:r w:rsidR="00D858B2">
              <w:t>-2019</w:t>
            </w:r>
            <w:r w:rsidR="00BA5AE1" w:rsidRPr="00520846">
              <w:t xml:space="preserve"> for </w:t>
            </w:r>
            <w:r w:rsidR="005A43D7">
              <w:t>extant</w:t>
            </w:r>
            <w:r w:rsidR="00BA5AE1" w:rsidRPr="00520846">
              <w:t xml:space="preserve"> subpopulations and applying the </w:t>
            </w:r>
            <w:r w:rsidR="00FA57A2">
              <w:t>smallest polygon</w:t>
            </w:r>
            <w:r w:rsidR="00BA5AE1" w:rsidRPr="00520846">
              <w:t xml:space="preserve"> boundary which can be drawn to encompass these records, as outlined in the Guidelines for Using the IUCN Red List Categories and Criteria </w:t>
            </w:r>
            <w:r w:rsidR="00BA5AE1" w:rsidRPr="00520846">
              <w:rPr>
                <w:noProof/>
              </w:rPr>
              <w:t>(IUCN 2019)</w:t>
            </w:r>
            <w:r w:rsidR="00BA5AE1" w:rsidRPr="00520846">
              <w:t>.</w:t>
            </w:r>
            <w:r w:rsidR="009A145E" w:rsidRPr="005A7BB8">
              <w:t xml:space="preserve"> As EOO was smaller than AOO, the AOO estimate was also used as the</w:t>
            </w:r>
            <w:r w:rsidR="009A145E">
              <w:t xml:space="preserve"> minimum</w:t>
            </w:r>
            <w:r w:rsidR="009A145E" w:rsidRPr="005A7BB8">
              <w:t xml:space="preserve"> EOO estimate </w:t>
            </w:r>
            <w:r w:rsidR="009A145E" w:rsidRPr="005A7BB8">
              <w:rPr>
                <w:noProof/>
              </w:rPr>
              <w:t>(IUCN 2019)</w:t>
            </w:r>
            <w:r w:rsidR="009A145E" w:rsidRPr="005A7BB8">
              <w:t>.</w:t>
            </w:r>
          </w:p>
          <w:p w14:paraId="679866E6" w14:textId="2D397004" w:rsidR="00A12762" w:rsidRDefault="00A12762" w:rsidP="00FD515C">
            <w:pPr>
              <w:pStyle w:val="TableText"/>
            </w:pPr>
            <w:r>
              <w:t xml:space="preserve">The maximum plausible value is </w:t>
            </w:r>
            <w:r w:rsidR="00FA57A2">
              <w:t xml:space="preserve">an </w:t>
            </w:r>
            <w:r>
              <w:t xml:space="preserve">estimate </w:t>
            </w:r>
            <w:r w:rsidR="00FA57A2">
              <w:t>based on a minimum convex polygon encompa</w:t>
            </w:r>
            <w:r w:rsidR="008577C7">
              <w:t>s</w:t>
            </w:r>
            <w:r w:rsidR="00FA57A2">
              <w:t xml:space="preserve">sing all cleaned occurrence data associated with herbarium specimens for the species from 1950-2020, as </w:t>
            </w:r>
            <w:r>
              <w:t xml:space="preserve">used in the </w:t>
            </w:r>
            <w:r w:rsidR="00C12FD1" w:rsidRPr="00520846">
              <w:rPr>
                <w:noProof/>
              </w:rPr>
              <w:t>Gallagher (2020)</w:t>
            </w:r>
            <w:r w:rsidR="00C12FD1">
              <w:t xml:space="preserve"> rapid assessment</w:t>
            </w:r>
            <w:r w:rsidR="00FA57A2">
              <w:t xml:space="preserve"> of the impacts of the 2019-20 fire season on the Australian flora</w:t>
            </w:r>
            <w:r w:rsidR="00C12FD1">
              <w:t>.</w:t>
            </w:r>
          </w:p>
          <w:p w14:paraId="0F400A5C" w14:textId="16BC13AF" w:rsidR="005A43D7" w:rsidRDefault="005A43D7" w:rsidP="005A43D7">
            <w:pPr>
              <w:pStyle w:val="TableText"/>
            </w:pPr>
            <w:r w:rsidRPr="005A7BB8">
              <w:t xml:space="preserve">The minimum plausible value was used in this assessment, as the </w:t>
            </w:r>
            <w:r w:rsidR="005A7BB8" w:rsidRPr="005A7BB8">
              <w:t>maximum plausible value include</w:t>
            </w:r>
            <w:r w:rsidR="00FA57A2">
              <w:t>s</w:t>
            </w:r>
            <w:r w:rsidR="005A7BB8" w:rsidRPr="005A7BB8">
              <w:t xml:space="preserve"> records</w:t>
            </w:r>
            <w:r w:rsidR="00FA57A2">
              <w:t xml:space="preserve"> of subpopulations that are now locally extinct</w:t>
            </w:r>
            <w:r w:rsidR="005A7BB8" w:rsidRPr="005A7BB8">
              <w:t xml:space="preserve">. </w:t>
            </w:r>
          </w:p>
          <w:p w14:paraId="46B9D271" w14:textId="113B25B5" w:rsidR="005F7D03" w:rsidRDefault="005F7D03" w:rsidP="00FD515C">
            <w:pPr>
              <w:pStyle w:val="TableText"/>
            </w:pPr>
            <w:r>
              <w:t>All values are within the range of the Critically Endangered category of Criterion 2.</w:t>
            </w:r>
          </w:p>
        </w:tc>
      </w:tr>
      <w:tr w:rsidR="00CD441B" w14:paraId="40629BFF" w14:textId="77777777" w:rsidTr="00947A36">
        <w:trPr>
          <w:cantSplit/>
        </w:trPr>
        <w:tc>
          <w:tcPr>
            <w:tcW w:w="1506" w:type="dxa"/>
          </w:tcPr>
          <w:p w14:paraId="4738DFA5"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51" w:type="dxa"/>
            <w:gridSpan w:val="3"/>
            <w:shd w:val="clear" w:color="auto" w:fill="auto"/>
          </w:tcPr>
          <w:p w14:paraId="569F54CD" w14:textId="2010A64B" w:rsidR="00CD441B" w:rsidRDefault="00100D95" w:rsidP="00FD515C">
            <w:pPr>
              <w:pStyle w:val="TableText"/>
            </w:pPr>
            <w:r>
              <w:t>Contracting</w:t>
            </w:r>
          </w:p>
        </w:tc>
        <w:tc>
          <w:tcPr>
            <w:tcW w:w="4103" w:type="dxa"/>
            <w:shd w:val="clear" w:color="auto" w:fill="auto"/>
          </w:tcPr>
          <w:p w14:paraId="6A01B276" w14:textId="395E066E" w:rsidR="00081887" w:rsidRDefault="004A4CDC" w:rsidP="0031312E">
            <w:pPr>
              <w:pStyle w:val="TableText"/>
              <w:rPr>
                <w:noProof/>
              </w:rPr>
            </w:pPr>
            <w:r>
              <w:t>Six</w:t>
            </w:r>
            <w:r w:rsidR="00E31B81">
              <w:t xml:space="preserve"> subpopulations (subpopulations 2, 4, 5, 6B, 7 and 8) </w:t>
            </w:r>
            <w:r>
              <w:t>are</w:t>
            </w:r>
            <w:r w:rsidR="0031312E" w:rsidRPr="009655EB">
              <w:t xml:space="preserve"> presumed </w:t>
            </w:r>
            <w:r w:rsidR="00FA57A2">
              <w:t>to be locally extinct</w:t>
            </w:r>
            <w:r w:rsidR="00FA57A2" w:rsidRPr="00276F05">
              <w:t xml:space="preserve"> </w:t>
            </w:r>
            <w:r w:rsidR="0031312E" w:rsidRPr="009655EB">
              <w:t xml:space="preserve">since the 1990s, due to the </w:t>
            </w:r>
            <w:r w:rsidR="0031312E" w:rsidRPr="009655EB">
              <w:rPr>
                <w:noProof/>
              </w:rPr>
              <w:t xml:space="preserve">combined impacts of </w:t>
            </w:r>
            <w:r w:rsidR="0031312E">
              <w:t>inappropriate fire regimes</w:t>
            </w:r>
            <w:r w:rsidR="0031312E" w:rsidRPr="009655EB">
              <w:rPr>
                <w:noProof/>
              </w:rPr>
              <w:t xml:space="preserve">, dieback caused </w:t>
            </w:r>
            <w:r w:rsidR="0031312E" w:rsidRPr="009655EB">
              <w:rPr>
                <w:i/>
                <w:iCs/>
                <w:noProof/>
              </w:rPr>
              <w:t>P. cinnamomi</w:t>
            </w:r>
            <w:r w:rsidR="0031312E" w:rsidRPr="009655EB">
              <w:t xml:space="preserve"> and</w:t>
            </w:r>
            <w:r w:rsidR="0031312E">
              <w:t xml:space="preserve"> </w:t>
            </w:r>
            <w:r w:rsidR="0031312E" w:rsidRPr="00DB5BEA">
              <w:t xml:space="preserve">high rainfall (exacerbating the impacts of </w:t>
            </w:r>
            <w:r w:rsidR="0031312E" w:rsidRPr="00DB5BEA">
              <w:rPr>
                <w:i/>
                <w:iCs/>
              </w:rPr>
              <w:t>P. cinnamomi</w:t>
            </w:r>
            <w:r w:rsidR="0031312E" w:rsidRPr="00DB5BEA">
              <w:t xml:space="preserve">) </w:t>
            </w:r>
            <w:r w:rsidR="0031312E" w:rsidRPr="00DB5BEA">
              <w:rPr>
                <w:noProof/>
              </w:rPr>
              <w:t>(Hartley &amp; Barrett 2008; DBCA 2021).</w:t>
            </w:r>
          </w:p>
          <w:p w14:paraId="26C232DE" w14:textId="3DC94B9F" w:rsidR="0031312E" w:rsidRDefault="0031312E" w:rsidP="0031312E">
            <w:pPr>
              <w:pStyle w:val="TableText"/>
            </w:pPr>
            <w:r>
              <w:t xml:space="preserve">The very low number of mature individuals in 2021 (&lt;100 in each subpopulation, DBCA 2021) is likely to increase each subpopulation’s </w:t>
            </w:r>
            <w:r w:rsidR="00FA57A2">
              <w:t xml:space="preserve">extinction </w:t>
            </w:r>
            <w:r>
              <w:t xml:space="preserve">risk, following further impacts from </w:t>
            </w:r>
            <w:r w:rsidR="00081887">
              <w:t xml:space="preserve">these </w:t>
            </w:r>
            <w:r>
              <w:t>threats</w:t>
            </w:r>
            <w:r w:rsidR="00081887">
              <w:t xml:space="preserve">. </w:t>
            </w:r>
            <w:proofErr w:type="gramStart"/>
            <w:r>
              <w:t>In particular, subpopulation</w:t>
            </w:r>
            <w:proofErr w:type="gramEnd"/>
            <w:r>
              <w:t xml:space="preserve"> 3 (Coyanarup Peak) appears to be at extreme risk of </w:t>
            </w:r>
            <w:r w:rsidR="00FA57A2">
              <w:t>extinction</w:t>
            </w:r>
            <w:r>
              <w:t xml:space="preserve">, as no mature individuals and only a small number of seedlings (&lt;300) </w:t>
            </w:r>
            <w:r w:rsidR="00F94416">
              <w:t>we</w:t>
            </w:r>
            <w:r>
              <w:t>re present in 2021 (DBCA 2021).</w:t>
            </w:r>
          </w:p>
          <w:p w14:paraId="39850D79" w14:textId="1290E7E9" w:rsidR="00877A1B" w:rsidRDefault="00877A1B" w:rsidP="00FD515C">
            <w:pPr>
              <w:pStyle w:val="TableText"/>
            </w:pPr>
            <w:r>
              <w:t xml:space="preserve">Accordingly, EOO </w:t>
            </w:r>
            <w:proofErr w:type="gramStart"/>
            <w:r>
              <w:t xml:space="preserve">is </w:t>
            </w:r>
            <w:r w:rsidR="00866A71">
              <w:t>considered to be</w:t>
            </w:r>
            <w:proofErr w:type="gramEnd"/>
            <w:r w:rsidR="00866A71">
              <w:t xml:space="preserve"> </w:t>
            </w:r>
            <w:r>
              <w:t>contracting and is likely to continue to decline.</w:t>
            </w:r>
          </w:p>
        </w:tc>
      </w:tr>
      <w:tr w:rsidR="00CD441B" w14:paraId="1C924077" w14:textId="77777777" w:rsidTr="00947A36">
        <w:trPr>
          <w:cantSplit/>
        </w:trPr>
        <w:tc>
          <w:tcPr>
            <w:tcW w:w="1506" w:type="dxa"/>
          </w:tcPr>
          <w:p w14:paraId="0DF8333D" w14:textId="7113CABB" w:rsidR="00CD441B" w:rsidRPr="002C7467" w:rsidRDefault="00CD441B" w:rsidP="002C7467">
            <w:pPr>
              <w:pStyle w:val="TableHeading"/>
              <w:keepNext w:val="0"/>
              <w:rPr>
                <w:rStyle w:val="Strong"/>
                <w:b/>
                <w:sz w:val="22"/>
              </w:rPr>
            </w:pPr>
            <w:r w:rsidRPr="00D20C80">
              <w:rPr>
                <w:rStyle w:val="Strong"/>
                <w:b/>
                <w:bCs w:val="0"/>
              </w:rPr>
              <w:t>Area of Occupancy</w:t>
            </w:r>
            <w:r w:rsidR="00A415D2">
              <w:rPr>
                <w:rStyle w:val="Strong"/>
                <w:b/>
                <w:bCs w:val="0"/>
              </w:rPr>
              <w:t xml:space="preserve"> </w:t>
            </w:r>
            <w:r w:rsidR="00A415D2">
              <w:rPr>
                <w:rStyle w:val="Strong"/>
                <w:b/>
              </w:rPr>
              <w:t>(AOO)</w:t>
            </w:r>
          </w:p>
        </w:tc>
        <w:tc>
          <w:tcPr>
            <w:tcW w:w="1183" w:type="dxa"/>
            <w:shd w:val="clear" w:color="auto" w:fill="auto"/>
          </w:tcPr>
          <w:p w14:paraId="05D27079" w14:textId="3C648BD2" w:rsidR="00CD441B" w:rsidRPr="00344280" w:rsidRDefault="00BF2860" w:rsidP="00FD515C">
            <w:pPr>
              <w:pStyle w:val="TableText"/>
            </w:pPr>
            <w:r>
              <w:t>20</w:t>
            </w:r>
            <w:r w:rsidR="00344280">
              <w:t xml:space="preserve"> km</w:t>
            </w:r>
            <w:r w:rsidR="00344280">
              <w:rPr>
                <w:vertAlign w:val="superscript"/>
              </w:rPr>
              <w:t>2</w:t>
            </w:r>
          </w:p>
        </w:tc>
        <w:tc>
          <w:tcPr>
            <w:tcW w:w="1134" w:type="dxa"/>
            <w:shd w:val="clear" w:color="auto" w:fill="auto"/>
          </w:tcPr>
          <w:p w14:paraId="7531861B" w14:textId="2347B07B" w:rsidR="00CD441B" w:rsidRDefault="00BF2860" w:rsidP="00FD515C">
            <w:pPr>
              <w:pStyle w:val="TableText"/>
            </w:pPr>
            <w:r>
              <w:t>12</w:t>
            </w:r>
            <w:r w:rsidR="00344280">
              <w:t xml:space="preserve"> km</w:t>
            </w:r>
            <w:r w:rsidR="00344280">
              <w:rPr>
                <w:vertAlign w:val="superscript"/>
              </w:rPr>
              <w:t>2</w:t>
            </w:r>
          </w:p>
        </w:tc>
        <w:tc>
          <w:tcPr>
            <w:tcW w:w="1134" w:type="dxa"/>
            <w:shd w:val="clear" w:color="auto" w:fill="auto"/>
          </w:tcPr>
          <w:p w14:paraId="07F2A3D6" w14:textId="38FE115A" w:rsidR="00CD441B" w:rsidRDefault="00866569" w:rsidP="00FD515C">
            <w:pPr>
              <w:pStyle w:val="TableText"/>
            </w:pPr>
            <w:r>
              <w:t>20 km</w:t>
            </w:r>
            <w:r>
              <w:rPr>
                <w:vertAlign w:val="superscript"/>
              </w:rPr>
              <w:t>2</w:t>
            </w:r>
          </w:p>
        </w:tc>
        <w:tc>
          <w:tcPr>
            <w:tcW w:w="4103" w:type="dxa"/>
            <w:shd w:val="clear" w:color="auto" w:fill="auto"/>
          </w:tcPr>
          <w:p w14:paraId="613E219C" w14:textId="6E66E0AF" w:rsidR="006E7E26" w:rsidRPr="00AB5718" w:rsidRDefault="002C32E9" w:rsidP="002C32E9">
            <w:pPr>
              <w:pStyle w:val="TableText"/>
            </w:pPr>
            <w:r w:rsidRPr="00AB5718">
              <w:t xml:space="preserve">The minimum plausible value </w:t>
            </w:r>
            <w:r w:rsidR="006E7E26" w:rsidRPr="00AB5718">
              <w:t xml:space="preserve">is </w:t>
            </w:r>
            <w:r w:rsidR="00FA57A2">
              <w:t>an</w:t>
            </w:r>
            <w:r w:rsidR="00FA57A2" w:rsidRPr="00AB5718">
              <w:t xml:space="preserve"> </w:t>
            </w:r>
            <w:r w:rsidR="006E7E26" w:rsidRPr="00AB5718">
              <w:t xml:space="preserve">estimate </w:t>
            </w:r>
            <w:r w:rsidR="00FA57A2">
              <w:t>based on applying 2 x 2 km grid cells, as outlined in the Guidelines for Using the IUCN Red List Categories and Criteria (IUCN 2019)</w:t>
            </w:r>
            <w:r w:rsidR="008577C7">
              <w:t>,</w:t>
            </w:r>
            <w:r w:rsidR="00FA57A2">
              <w:t xml:space="preserve"> to occurrence information accompanying herbarium </w:t>
            </w:r>
            <w:r w:rsidR="00BB747A">
              <w:t>specimens</w:t>
            </w:r>
            <w:r w:rsidR="00FA57A2">
              <w:t xml:space="preserve"> for the species </w:t>
            </w:r>
            <w:r w:rsidR="006E7E26" w:rsidRPr="00AB5718">
              <w:t xml:space="preserve">used in the </w:t>
            </w:r>
            <w:r w:rsidR="006E7E26" w:rsidRPr="00AB5718">
              <w:rPr>
                <w:noProof/>
              </w:rPr>
              <w:t>Gallagher (2020)</w:t>
            </w:r>
            <w:r w:rsidR="006E7E26" w:rsidRPr="00AB5718">
              <w:t xml:space="preserve"> rapid assessment.</w:t>
            </w:r>
          </w:p>
          <w:p w14:paraId="5E908726" w14:textId="05E081DF" w:rsidR="002C32E9" w:rsidRPr="00AB5718" w:rsidRDefault="006E7E26" w:rsidP="002C32E9">
            <w:pPr>
              <w:pStyle w:val="TableText"/>
            </w:pPr>
            <w:r w:rsidRPr="00AB5718">
              <w:t xml:space="preserve">The maximum plausible value </w:t>
            </w:r>
            <w:r w:rsidR="002C32E9" w:rsidRPr="00AB5718">
              <w:t xml:space="preserve">has been calculated using record data </w:t>
            </w:r>
            <w:r w:rsidR="00031B94">
              <w:t>from 1996-2019</w:t>
            </w:r>
            <w:r w:rsidR="00031B94" w:rsidRPr="00520846">
              <w:t xml:space="preserve"> </w:t>
            </w:r>
            <w:r w:rsidR="002C32E9" w:rsidRPr="00AB5718">
              <w:t xml:space="preserve">for </w:t>
            </w:r>
            <w:r w:rsidR="00AB5718">
              <w:t xml:space="preserve">extant </w:t>
            </w:r>
            <w:r w:rsidR="002C32E9" w:rsidRPr="00AB5718">
              <w:t>subpopulation</w:t>
            </w:r>
            <w:r w:rsidR="00AB5718">
              <w:t>s</w:t>
            </w:r>
            <w:r w:rsidR="002C32E9" w:rsidRPr="00AB5718">
              <w:t xml:space="preserve"> and applying 2 x 2 km grid cells, as outlined in the Guidelines for Using the IUCN Red List Categories and Criteria </w:t>
            </w:r>
            <w:r w:rsidR="002C32E9" w:rsidRPr="00AB5718">
              <w:rPr>
                <w:noProof/>
              </w:rPr>
              <w:t>(IUCN 2019)</w:t>
            </w:r>
            <w:r w:rsidR="002C32E9" w:rsidRPr="00AB5718">
              <w:t>.</w:t>
            </w:r>
          </w:p>
          <w:p w14:paraId="2D79DA4D" w14:textId="746738D4" w:rsidR="00AA651C" w:rsidRDefault="007713F6" w:rsidP="00352B6B">
            <w:pPr>
              <w:pStyle w:val="TableText"/>
            </w:pPr>
            <w:r w:rsidRPr="00AB5718">
              <w:t xml:space="preserve">The maximum plausible value has been used </w:t>
            </w:r>
            <w:r w:rsidR="0052784B" w:rsidRPr="00AB5718">
              <w:t>in this assessment</w:t>
            </w:r>
            <w:r w:rsidR="00295B69" w:rsidRPr="00AB5718">
              <w:t>, as it includes</w:t>
            </w:r>
            <w:r w:rsidR="00295B69">
              <w:t xml:space="preserve"> all extant records.</w:t>
            </w:r>
          </w:p>
          <w:p w14:paraId="0283FD1F" w14:textId="3B0BD52C" w:rsidR="00295B69" w:rsidRDefault="00295B69" w:rsidP="00352B6B">
            <w:pPr>
              <w:pStyle w:val="TableText"/>
            </w:pPr>
            <w:r>
              <w:t>All values are within the range of the Endangered category of Criterion 2.</w:t>
            </w:r>
          </w:p>
        </w:tc>
      </w:tr>
      <w:tr w:rsidR="00CD441B" w14:paraId="553A673A" w14:textId="77777777" w:rsidTr="00947A36">
        <w:trPr>
          <w:cantSplit/>
        </w:trPr>
        <w:tc>
          <w:tcPr>
            <w:tcW w:w="1506" w:type="dxa"/>
          </w:tcPr>
          <w:p w14:paraId="31BFE389" w14:textId="77777777" w:rsidR="00CD441B" w:rsidRPr="00D20C80" w:rsidRDefault="00CD441B" w:rsidP="00FD515C">
            <w:pPr>
              <w:pStyle w:val="TableHeading"/>
              <w:keepNext w:val="0"/>
              <w:rPr>
                <w:rStyle w:val="Strong"/>
                <w:b/>
                <w:sz w:val="22"/>
              </w:rPr>
            </w:pPr>
            <w:r w:rsidRPr="00D20C80">
              <w:rPr>
                <w:rStyle w:val="Strong"/>
                <w:b/>
                <w:bCs w:val="0"/>
              </w:rPr>
              <w:lastRenderedPageBreak/>
              <w:t>Trend</w:t>
            </w:r>
          </w:p>
        </w:tc>
        <w:tc>
          <w:tcPr>
            <w:tcW w:w="3451" w:type="dxa"/>
            <w:gridSpan w:val="3"/>
            <w:shd w:val="clear" w:color="auto" w:fill="auto"/>
          </w:tcPr>
          <w:p w14:paraId="6811B428" w14:textId="53E227EE" w:rsidR="00CD441B" w:rsidRDefault="00100D95" w:rsidP="00605A86">
            <w:pPr>
              <w:pStyle w:val="TableText"/>
            </w:pPr>
            <w:r>
              <w:t>Contracting</w:t>
            </w:r>
          </w:p>
        </w:tc>
        <w:tc>
          <w:tcPr>
            <w:tcW w:w="4103" w:type="dxa"/>
            <w:shd w:val="clear" w:color="auto" w:fill="auto"/>
          </w:tcPr>
          <w:p w14:paraId="0A3959E5" w14:textId="0A1C2BBA" w:rsidR="00CD441B" w:rsidRDefault="00651E7C" w:rsidP="00FD515C">
            <w:pPr>
              <w:pStyle w:val="TableText"/>
            </w:pPr>
            <w:r>
              <w:t xml:space="preserve">Using the same reasoning as EOO (above), AOO </w:t>
            </w:r>
            <w:proofErr w:type="gramStart"/>
            <w:r>
              <w:t>is considered to be</w:t>
            </w:r>
            <w:proofErr w:type="gramEnd"/>
            <w:r>
              <w:t xml:space="preserve"> contracting and is likely to continue to decline.</w:t>
            </w:r>
          </w:p>
        </w:tc>
      </w:tr>
      <w:tr w:rsidR="00CD441B" w14:paraId="23FD7063" w14:textId="77777777" w:rsidTr="00947A36">
        <w:trPr>
          <w:cantSplit/>
        </w:trPr>
        <w:tc>
          <w:tcPr>
            <w:tcW w:w="1506" w:type="dxa"/>
          </w:tcPr>
          <w:p w14:paraId="0A361159" w14:textId="1C48EB58" w:rsidR="00CD441B" w:rsidRPr="002C7467" w:rsidRDefault="00CD441B" w:rsidP="002C7467">
            <w:pPr>
              <w:pStyle w:val="TableHeading"/>
              <w:keepNext w:val="0"/>
              <w:rPr>
                <w:rStyle w:val="Strong"/>
                <w:b/>
                <w:sz w:val="22"/>
              </w:rPr>
            </w:pPr>
            <w:r w:rsidRPr="00D20C80">
              <w:rPr>
                <w:rStyle w:val="Strong"/>
                <w:b/>
                <w:bCs w:val="0"/>
              </w:rPr>
              <w:t>Number of subpopulations</w:t>
            </w:r>
          </w:p>
        </w:tc>
        <w:tc>
          <w:tcPr>
            <w:tcW w:w="1183" w:type="dxa"/>
            <w:shd w:val="clear" w:color="auto" w:fill="auto"/>
          </w:tcPr>
          <w:p w14:paraId="574448A4" w14:textId="03BFC9CE" w:rsidR="00CD441B" w:rsidRDefault="00100D95" w:rsidP="00FD515C">
            <w:pPr>
              <w:pStyle w:val="TableText"/>
            </w:pPr>
            <w:r>
              <w:t>4</w:t>
            </w:r>
          </w:p>
        </w:tc>
        <w:tc>
          <w:tcPr>
            <w:tcW w:w="1134" w:type="dxa"/>
            <w:shd w:val="clear" w:color="auto" w:fill="auto"/>
          </w:tcPr>
          <w:p w14:paraId="71A39617" w14:textId="6FAD9D74" w:rsidR="00CD441B" w:rsidRDefault="00100D95" w:rsidP="00FD515C">
            <w:pPr>
              <w:pStyle w:val="TableText"/>
            </w:pPr>
            <w:r>
              <w:t>4</w:t>
            </w:r>
          </w:p>
        </w:tc>
        <w:tc>
          <w:tcPr>
            <w:tcW w:w="1134" w:type="dxa"/>
            <w:shd w:val="clear" w:color="auto" w:fill="auto"/>
          </w:tcPr>
          <w:p w14:paraId="2BC1DA61" w14:textId="727E5F20" w:rsidR="00CD441B" w:rsidRDefault="00100D95" w:rsidP="00FD515C">
            <w:pPr>
              <w:pStyle w:val="TableText"/>
            </w:pPr>
            <w:r>
              <w:t>4</w:t>
            </w:r>
          </w:p>
        </w:tc>
        <w:tc>
          <w:tcPr>
            <w:tcW w:w="4103" w:type="dxa"/>
            <w:shd w:val="clear" w:color="auto" w:fill="auto"/>
          </w:tcPr>
          <w:p w14:paraId="1A8D194A" w14:textId="347960DE" w:rsidR="00A468C2" w:rsidRDefault="00A468C2" w:rsidP="00FD515C">
            <w:pPr>
              <w:pStyle w:val="TableText"/>
            </w:pPr>
            <w:r>
              <w:t xml:space="preserve">There are 4 extant subpopulations. A further </w:t>
            </w:r>
            <w:r w:rsidR="00BF2D3D">
              <w:t>6</w:t>
            </w:r>
            <w:r>
              <w:t xml:space="preserve"> subpopulations are presumed to be </w:t>
            </w:r>
            <w:r w:rsidR="00A62E13">
              <w:t>extirpated</w:t>
            </w:r>
            <w:r>
              <w:t>.</w:t>
            </w:r>
          </w:p>
          <w:p w14:paraId="46E395FA" w14:textId="2DD68A87" w:rsidR="00CD441B" w:rsidRDefault="00A468C2" w:rsidP="00FD515C">
            <w:pPr>
              <w:pStyle w:val="TableText"/>
            </w:pPr>
            <w:r>
              <w:t>For further information, see ‘</w:t>
            </w:r>
            <w:r w:rsidRPr="00A9077B">
              <w:t>Basis of assessment of subpopulation number</w:t>
            </w:r>
            <w:r>
              <w:t>’.</w:t>
            </w:r>
          </w:p>
        </w:tc>
      </w:tr>
      <w:tr w:rsidR="00CD441B" w14:paraId="298CB900" w14:textId="77777777" w:rsidTr="00947A36">
        <w:trPr>
          <w:cantSplit/>
        </w:trPr>
        <w:tc>
          <w:tcPr>
            <w:tcW w:w="1506" w:type="dxa"/>
          </w:tcPr>
          <w:p w14:paraId="4CCD5444"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51" w:type="dxa"/>
            <w:gridSpan w:val="3"/>
            <w:shd w:val="clear" w:color="auto" w:fill="auto"/>
          </w:tcPr>
          <w:p w14:paraId="6D262874" w14:textId="2DAEBEC5" w:rsidR="00CD441B" w:rsidRDefault="006C0CBE" w:rsidP="00FD515C">
            <w:pPr>
              <w:pStyle w:val="TableText"/>
            </w:pPr>
            <w:r>
              <w:t>Declining</w:t>
            </w:r>
          </w:p>
        </w:tc>
        <w:tc>
          <w:tcPr>
            <w:tcW w:w="4103" w:type="dxa"/>
            <w:shd w:val="clear" w:color="auto" w:fill="auto"/>
          </w:tcPr>
          <w:p w14:paraId="6BEACB78" w14:textId="09CC3235" w:rsidR="005C3ACC" w:rsidRPr="00A75CE3" w:rsidRDefault="00BF2D3D" w:rsidP="00BF2D3D">
            <w:pPr>
              <w:pStyle w:val="TableText"/>
            </w:pPr>
            <w:r>
              <w:t xml:space="preserve">Using the same reasoning as EOO (above), the number of subpopulations </w:t>
            </w:r>
            <w:proofErr w:type="gramStart"/>
            <w:r>
              <w:t>is considered to be</w:t>
            </w:r>
            <w:proofErr w:type="gramEnd"/>
            <w:r>
              <w:t xml:space="preserve"> declining.</w:t>
            </w:r>
          </w:p>
        </w:tc>
      </w:tr>
      <w:tr w:rsidR="00CD441B" w14:paraId="2D85457B" w14:textId="77777777" w:rsidTr="00947A36">
        <w:trPr>
          <w:cantSplit/>
        </w:trPr>
        <w:tc>
          <w:tcPr>
            <w:tcW w:w="1506" w:type="dxa"/>
          </w:tcPr>
          <w:p w14:paraId="5ED8C58A" w14:textId="6B561DEB" w:rsidR="00CD441B" w:rsidRPr="00A468C2" w:rsidRDefault="00CD441B" w:rsidP="00A468C2">
            <w:pPr>
              <w:pStyle w:val="TableHeading"/>
              <w:keepNext w:val="0"/>
              <w:rPr>
                <w:rStyle w:val="Strong"/>
                <w:b/>
                <w:sz w:val="22"/>
              </w:rPr>
            </w:pPr>
            <w:r w:rsidRPr="00D20C80">
              <w:rPr>
                <w:rStyle w:val="Strong"/>
                <w:b/>
                <w:bCs w:val="0"/>
              </w:rPr>
              <w:t>Basis of assessment of subpopulation number</w:t>
            </w:r>
          </w:p>
        </w:tc>
        <w:tc>
          <w:tcPr>
            <w:tcW w:w="7554" w:type="dxa"/>
            <w:gridSpan w:val="4"/>
            <w:shd w:val="clear" w:color="auto" w:fill="auto"/>
          </w:tcPr>
          <w:p w14:paraId="6F190297" w14:textId="3657DF0E" w:rsidR="00CD441B" w:rsidRDefault="00E04F47" w:rsidP="001376F1">
            <w:pPr>
              <w:pStyle w:val="TableText"/>
            </w:pPr>
            <w:r>
              <w:t xml:space="preserve">Each subpopulation occurs </w:t>
            </w:r>
            <w:r w:rsidR="002B3508">
              <w:t>on a different mountain summit in the eastern extent of the Stirling Range/</w:t>
            </w:r>
            <w:proofErr w:type="spellStart"/>
            <w:r w:rsidR="002B3508" w:rsidRPr="00B72C9A">
              <w:t>Koikyenunuruff</w:t>
            </w:r>
            <w:proofErr w:type="spellEnd"/>
            <w:r w:rsidR="002D4A0F" w:rsidRPr="00B72C9A">
              <w:t xml:space="preserve"> </w:t>
            </w:r>
            <w:r w:rsidR="002D4A0F" w:rsidRPr="00B72C9A">
              <w:rPr>
                <w:noProof/>
              </w:rPr>
              <w:t>(</w:t>
            </w:r>
            <w:r w:rsidR="00A9057C" w:rsidRPr="00B72C9A">
              <w:rPr>
                <w:noProof/>
              </w:rPr>
              <w:t>DPIE 2021</w:t>
            </w:r>
            <w:r w:rsidR="002D4A0F" w:rsidRPr="00B72C9A">
              <w:rPr>
                <w:noProof/>
              </w:rPr>
              <w:t>)</w:t>
            </w:r>
            <w:r w:rsidR="004749C4" w:rsidRPr="00B72C9A">
              <w:rPr>
                <w:noProof/>
              </w:rPr>
              <w:t xml:space="preserve"> </w:t>
            </w:r>
            <w:r w:rsidR="00F323DA" w:rsidRPr="00B72C9A">
              <w:rPr>
                <w:noProof/>
              </w:rPr>
              <w:t>and</w:t>
            </w:r>
            <w:r w:rsidR="00F323DA">
              <w:rPr>
                <w:noProof/>
              </w:rPr>
              <w:t xml:space="preserve"> gene flow is presumed to be limited</w:t>
            </w:r>
            <w:r w:rsidR="00A9057C">
              <w:rPr>
                <w:noProof/>
              </w:rPr>
              <w:t>.</w:t>
            </w:r>
          </w:p>
        </w:tc>
      </w:tr>
      <w:tr w:rsidR="00CD441B" w14:paraId="422E2BAD" w14:textId="77777777" w:rsidTr="00947A36">
        <w:trPr>
          <w:cantSplit/>
        </w:trPr>
        <w:tc>
          <w:tcPr>
            <w:tcW w:w="1506" w:type="dxa"/>
          </w:tcPr>
          <w:p w14:paraId="6CC74570" w14:textId="77777777" w:rsidR="00CD441B" w:rsidRDefault="00CD441B" w:rsidP="00FD515C">
            <w:pPr>
              <w:pStyle w:val="TableHeading"/>
              <w:keepNext w:val="0"/>
              <w:rPr>
                <w:rStyle w:val="Strong"/>
                <w:b/>
                <w:sz w:val="22"/>
              </w:rPr>
            </w:pPr>
            <w:r w:rsidRPr="00D20C80">
              <w:rPr>
                <w:rStyle w:val="Strong"/>
                <w:b/>
                <w:bCs w:val="0"/>
              </w:rPr>
              <w:t>No. locations</w:t>
            </w:r>
          </w:p>
          <w:p w14:paraId="33BFDE03" w14:textId="77777777" w:rsidR="00CD441B" w:rsidRPr="00DD47BD" w:rsidRDefault="00CD441B" w:rsidP="001376F1">
            <w:pPr>
              <w:pStyle w:val="TableText"/>
              <w:rPr>
                <w:rStyle w:val="Strong"/>
                <w:b w:val="0"/>
                <w:bCs w:val="0"/>
              </w:rPr>
            </w:pPr>
          </w:p>
        </w:tc>
        <w:tc>
          <w:tcPr>
            <w:tcW w:w="1183" w:type="dxa"/>
            <w:shd w:val="clear" w:color="auto" w:fill="auto"/>
          </w:tcPr>
          <w:p w14:paraId="62B4EA89" w14:textId="5675E336" w:rsidR="00CD441B" w:rsidRDefault="00100D95" w:rsidP="00FD515C">
            <w:pPr>
              <w:pStyle w:val="TableText"/>
            </w:pPr>
            <w:r>
              <w:t>1</w:t>
            </w:r>
          </w:p>
        </w:tc>
        <w:tc>
          <w:tcPr>
            <w:tcW w:w="1134" w:type="dxa"/>
            <w:shd w:val="clear" w:color="auto" w:fill="auto"/>
          </w:tcPr>
          <w:p w14:paraId="5196749E" w14:textId="3BDEC9E7" w:rsidR="00CD441B" w:rsidRDefault="00F904BF" w:rsidP="00FD515C">
            <w:pPr>
              <w:pStyle w:val="TableText"/>
            </w:pPr>
            <w:r>
              <w:t>1</w:t>
            </w:r>
          </w:p>
        </w:tc>
        <w:tc>
          <w:tcPr>
            <w:tcW w:w="1134" w:type="dxa"/>
            <w:shd w:val="clear" w:color="auto" w:fill="auto"/>
          </w:tcPr>
          <w:p w14:paraId="1404ABFD" w14:textId="685A27D9" w:rsidR="00CD441B" w:rsidRDefault="00027490" w:rsidP="00FD515C">
            <w:pPr>
              <w:pStyle w:val="TableText"/>
            </w:pPr>
            <w:r>
              <w:t>1</w:t>
            </w:r>
          </w:p>
        </w:tc>
        <w:tc>
          <w:tcPr>
            <w:tcW w:w="4103" w:type="dxa"/>
            <w:shd w:val="clear" w:color="auto" w:fill="auto"/>
          </w:tcPr>
          <w:p w14:paraId="37A93115" w14:textId="104AC867" w:rsidR="007F31E7" w:rsidRDefault="0099648C" w:rsidP="00B72C9A">
            <w:pPr>
              <w:pStyle w:val="TableText"/>
            </w:pPr>
            <w:r>
              <w:t>At</w:t>
            </w:r>
            <w:r w:rsidR="00B72C9A">
              <w:t xml:space="preserve"> the time of this assessment (in 2021), approximately 99</w:t>
            </w:r>
            <w:r w:rsidR="007A5CA8">
              <w:t xml:space="preserve">% </w:t>
            </w:r>
            <w:r w:rsidR="00B72C9A">
              <w:t xml:space="preserve">of individuals </w:t>
            </w:r>
            <w:r w:rsidR="0008666F">
              <w:t>were</w:t>
            </w:r>
            <w:r w:rsidR="00B72C9A">
              <w:t xml:space="preserve"> juveniles (DBCA 2021</w:t>
            </w:r>
            <w:r w:rsidR="00D14EE3">
              <w:t>),</w:t>
            </w:r>
            <w:r w:rsidR="00B72C9A">
              <w:t xml:space="preserve"> </w:t>
            </w:r>
            <w:r w:rsidR="007F31E7">
              <w:t>and the seedbank may be depleted, following two fires in short succession in 2018 and 2019-20</w:t>
            </w:r>
            <w:r w:rsidR="0080398D">
              <w:t xml:space="preserve"> within a restricted area of the Stirling Range/</w:t>
            </w:r>
            <w:proofErr w:type="spellStart"/>
            <w:r w:rsidR="0080398D" w:rsidRPr="00B72C9A">
              <w:t>Koikyenunuruff</w:t>
            </w:r>
            <w:proofErr w:type="spellEnd"/>
            <w:r w:rsidR="007F31E7">
              <w:t>.</w:t>
            </w:r>
          </w:p>
          <w:p w14:paraId="00442A1B" w14:textId="0C7C3F40" w:rsidR="00027490" w:rsidRDefault="00B72C9A" w:rsidP="00B72C9A">
            <w:pPr>
              <w:pStyle w:val="TableText"/>
            </w:pPr>
            <w:r w:rsidRPr="002A4CCD">
              <w:t xml:space="preserve">If another threatening event (e.g., fire) were to occur within the next </w:t>
            </w:r>
            <w:r w:rsidR="00DD636C">
              <w:t>20</w:t>
            </w:r>
            <w:r w:rsidRPr="002A4CCD">
              <w:t xml:space="preserve"> years </w:t>
            </w:r>
            <w:r w:rsidRPr="002A4CCD">
              <w:rPr>
                <w:noProof/>
              </w:rPr>
              <w:t>(i.e., the minim</w:t>
            </w:r>
            <w:r w:rsidR="00C813A2">
              <w:rPr>
                <w:noProof/>
              </w:rPr>
              <w:t>um</w:t>
            </w:r>
            <w:r w:rsidRPr="002A4CCD">
              <w:rPr>
                <w:noProof/>
              </w:rPr>
              <w:t xml:space="preserve"> fire-free interval required by the species)</w:t>
            </w:r>
            <w:r>
              <w:t>, almost all individuals would be at high risk of poor recovery and there may not be sufficient seed in the seedbank to replenish the population.</w:t>
            </w:r>
          </w:p>
          <w:p w14:paraId="2C11AC48" w14:textId="4C30F484" w:rsidR="00B72C9A" w:rsidRDefault="00B72C9A" w:rsidP="00B72C9A">
            <w:pPr>
              <w:pStyle w:val="TableText"/>
            </w:pPr>
            <w:r>
              <w:t xml:space="preserve">As all subpopulations were impacted by the 2018 </w:t>
            </w:r>
            <w:r w:rsidR="00FD5027">
              <w:t xml:space="preserve">escaped prescribed </w:t>
            </w:r>
            <w:r>
              <w:t xml:space="preserve">fire, it is feasible for a single fire to affect the species’ entire distribution. Accordingly, only a single threatening event (e.g., fire) would be required within the next </w:t>
            </w:r>
            <w:r w:rsidR="00DD636C">
              <w:t>20</w:t>
            </w:r>
            <w:r>
              <w:t xml:space="preserve"> years for all individuals to be rapidly affected.</w:t>
            </w:r>
          </w:p>
          <w:p w14:paraId="1246D38B" w14:textId="0BEA4B4F" w:rsidR="00B72C9A" w:rsidRDefault="00871FCD" w:rsidP="00B72C9A">
            <w:pPr>
              <w:pStyle w:val="TableText"/>
            </w:pPr>
            <w:r>
              <w:t>Accordingly, one location has been used in this assessment.</w:t>
            </w:r>
          </w:p>
        </w:tc>
      </w:tr>
      <w:tr w:rsidR="00CD441B" w14:paraId="436EB4CF" w14:textId="77777777" w:rsidTr="00947A36">
        <w:trPr>
          <w:cantSplit/>
        </w:trPr>
        <w:tc>
          <w:tcPr>
            <w:tcW w:w="1506" w:type="dxa"/>
          </w:tcPr>
          <w:p w14:paraId="004E5DD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51" w:type="dxa"/>
            <w:gridSpan w:val="3"/>
            <w:shd w:val="clear" w:color="auto" w:fill="auto"/>
          </w:tcPr>
          <w:p w14:paraId="07E3E58C" w14:textId="305B84F9" w:rsidR="00CD441B" w:rsidRDefault="00D14EE3" w:rsidP="00FD515C">
            <w:pPr>
              <w:pStyle w:val="TableText"/>
            </w:pPr>
            <w:r>
              <w:t>Stable</w:t>
            </w:r>
          </w:p>
        </w:tc>
        <w:tc>
          <w:tcPr>
            <w:tcW w:w="4103" w:type="dxa"/>
            <w:shd w:val="clear" w:color="auto" w:fill="auto"/>
          </w:tcPr>
          <w:p w14:paraId="4CE9E122" w14:textId="2F85EC95" w:rsidR="00CD441B" w:rsidRDefault="00525B47" w:rsidP="00010FF2">
            <w:pPr>
              <w:pStyle w:val="TableText"/>
            </w:pPr>
            <w:r>
              <w:t>One location has been used in this assessment</w:t>
            </w:r>
            <w:r w:rsidR="001E7381">
              <w:t>, so it is not possible for the number of locations to decline any further</w:t>
            </w:r>
            <w:r>
              <w:t>.</w:t>
            </w:r>
            <w:r w:rsidR="00010FF2">
              <w:t xml:space="preserve"> </w:t>
            </w:r>
            <w:r w:rsidR="001E7381">
              <w:t xml:space="preserve">However, </w:t>
            </w:r>
            <w:r w:rsidR="00010FF2">
              <w:t>the</w:t>
            </w:r>
            <w:r w:rsidR="00010FF2" w:rsidRPr="00807CEF">
              <w:t xml:space="preserve"> intensity, frequency and scale of catastrophic bushfires will likely increase due to climate change</w:t>
            </w:r>
            <w:r w:rsidR="00010FF2">
              <w:t>.</w:t>
            </w:r>
          </w:p>
        </w:tc>
      </w:tr>
      <w:tr w:rsidR="00CD441B" w14:paraId="3DED2574" w14:textId="77777777" w:rsidTr="00947A36">
        <w:trPr>
          <w:cantSplit/>
        </w:trPr>
        <w:tc>
          <w:tcPr>
            <w:tcW w:w="1506" w:type="dxa"/>
          </w:tcPr>
          <w:p w14:paraId="091B52C7" w14:textId="47B95990" w:rsidR="00CD441B" w:rsidRPr="00D20C80" w:rsidRDefault="00CD441B" w:rsidP="00FD515C">
            <w:pPr>
              <w:pStyle w:val="TableHeading"/>
              <w:keepNext w:val="0"/>
              <w:rPr>
                <w:rStyle w:val="Strong"/>
                <w:b/>
                <w:sz w:val="22"/>
              </w:rPr>
            </w:pPr>
            <w:bookmarkStart w:id="28" w:name="_Hlk51878889"/>
            <w:r w:rsidRPr="00D20C80">
              <w:rPr>
                <w:rStyle w:val="Strong"/>
                <w:b/>
                <w:bCs w:val="0"/>
              </w:rPr>
              <w:t>Basis of assessment of location number</w:t>
            </w:r>
            <w:bookmarkEnd w:id="28"/>
          </w:p>
        </w:tc>
        <w:tc>
          <w:tcPr>
            <w:tcW w:w="7554" w:type="dxa"/>
            <w:gridSpan w:val="4"/>
            <w:shd w:val="clear" w:color="auto" w:fill="auto"/>
          </w:tcPr>
          <w:p w14:paraId="48F36EC4" w14:textId="04CAC870" w:rsidR="00CD441B" w:rsidRDefault="00CC1C4E" w:rsidP="00FE0F63">
            <w:pPr>
              <w:pStyle w:val="TableText"/>
            </w:pPr>
            <w:r w:rsidRPr="00C93A6C">
              <w:t>See justification for number of locations.</w:t>
            </w:r>
          </w:p>
        </w:tc>
      </w:tr>
      <w:tr w:rsidR="00D37773" w14:paraId="71D5223C" w14:textId="77777777" w:rsidTr="00947A36">
        <w:trPr>
          <w:cantSplit/>
        </w:trPr>
        <w:tc>
          <w:tcPr>
            <w:tcW w:w="1506" w:type="dxa"/>
          </w:tcPr>
          <w:p w14:paraId="3DC9A982" w14:textId="615B4471" w:rsidR="00D37773" w:rsidRPr="00D20C80" w:rsidRDefault="00D37773" w:rsidP="00FB4A6E">
            <w:pPr>
              <w:pStyle w:val="TableHeading"/>
              <w:keepNext w:val="0"/>
              <w:rPr>
                <w:rStyle w:val="Strong"/>
                <w:b/>
                <w:bCs w:val="0"/>
              </w:rPr>
            </w:pPr>
            <w:r w:rsidRPr="00D20C80">
              <w:rPr>
                <w:rStyle w:val="Strong"/>
                <w:b/>
                <w:bCs w:val="0"/>
              </w:rPr>
              <w:t>Fragmentation</w:t>
            </w:r>
          </w:p>
        </w:tc>
        <w:tc>
          <w:tcPr>
            <w:tcW w:w="7554" w:type="dxa"/>
            <w:gridSpan w:val="4"/>
            <w:shd w:val="clear" w:color="auto" w:fill="auto"/>
          </w:tcPr>
          <w:p w14:paraId="3B597473" w14:textId="35F82DBD" w:rsidR="00D37773" w:rsidRDefault="000E783E" w:rsidP="001376F1">
            <w:pPr>
              <w:pStyle w:val="TableText"/>
            </w:pPr>
            <w:r>
              <w:t>The species is not considered to be severely fragmented. The species occurs within a very restricted distribution in the Stirling Range</w:t>
            </w:r>
            <w:r w:rsidR="00A93AC9">
              <w:t>/</w:t>
            </w:r>
            <w:proofErr w:type="spellStart"/>
            <w:r w:rsidR="00A93AC9" w:rsidRPr="007A0007">
              <w:t>Koikyenunuruff</w:t>
            </w:r>
            <w:proofErr w:type="spellEnd"/>
            <w:r>
              <w:t xml:space="preserve"> (see EOO/AOO and Map 1). Over 50% of the species’ AOO occurs in habitat patches that can support a viable population.</w:t>
            </w:r>
          </w:p>
        </w:tc>
      </w:tr>
      <w:tr w:rsidR="00CD441B" w14:paraId="676D69DF" w14:textId="77777777" w:rsidTr="00947A36">
        <w:trPr>
          <w:cantSplit/>
        </w:trPr>
        <w:tc>
          <w:tcPr>
            <w:tcW w:w="1506" w:type="dxa"/>
          </w:tcPr>
          <w:p w14:paraId="4ED96231" w14:textId="278705F9" w:rsidR="00CD441B" w:rsidRPr="00FB4A6E" w:rsidRDefault="00CD441B" w:rsidP="00FB4A6E">
            <w:pPr>
              <w:pStyle w:val="TableHeading"/>
              <w:keepNext w:val="0"/>
              <w:rPr>
                <w:rStyle w:val="Strong"/>
                <w:b/>
                <w:sz w:val="22"/>
              </w:rPr>
            </w:pPr>
            <w:r w:rsidRPr="00D20C80">
              <w:rPr>
                <w:rStyle w:val="Strong"/>
                <w:b/>
                <w:bCs w:val="0"/>
              </w:rPr>
              <w:t>Fluctuations</w:t>
            </w:r>
          </w:p>
        </w:tc>
        <w:tc>
          <w:tcPr>
            <w:tcW w:w="7554" w:type="dxa"/>
            <w:gridSpan w:val="4"/>
            <w:shd w:val="clear" w:color="auto" w:fill="auto"/>
          </w:tcPr>
          <w:p w14:paraId="5F220CA0" w14:textId="1E4B646D" w:rsidR="00BD7F28" w:rsidRDefault="00BD7F28" w:rsidP="008E4C40">
            <w:pPr>
              <w:pStyle w:val="TableText"/>
            </w:pPr>
            <w:r>
              <w:t>In each</w:t>
            </w:r>
            <w:r w:rsidRPr="001536F9">
              <w:t xml:space="preserve"> </w:t>
            </w:r>
            <w:r>
              <w:t>extant</w:t>
            </w:r>
            <w:r w:rsidRPr="001536F9">
              <w:t xml:space="preserve"> subpopulation</w:t>
            </w:r>
            <w:r>
              <w:t xml:space="preserve"> of the </w:t>
            </w:r>
            <w:r w:rsidR="009A0B3C">
              <w:t>y</w:t>
            </w:r>
            <w:r>
              <w:t xml:space="preserve">ellow </w:t>
            </w:r>
            <w:r w:rsidR="009A0B3C">
              <w:t>m</w:t>
            </w:r>
            <w:r>
              <w:t xml:space="preserve">ountain </w:t>
            </w:r>
            <w:r w:rsidR="009A0B3C">
              <w:t>b</w:t>
            </w:r>
            <w:r>
              <w:t>ell, the number of mature individuals has increased and decreased by at least one order of magnitude,</w:t>
            </w:r>
            <w:r w:rsidRPr="001536F9">
              <w:t xml:space="preserve"> </w:t>
            </w:r>
            <w:r w:rsidR="006A3675" w:rsidRPr="001536F9">
              <w:t>i.e.,</w:t>
            </w:r>
            <w:r w:rsidRPr="001536F9">
              <w:t xml:space="preserve"> </w:t>
            </w:r>
            <w:r>
              <w:t xml:space="preserve">undergone </w:t>
            </w:r>
            <w:r w:rsidRPr="001536F9">
              <w:t>extreme fluctuations</w:t>
            </w:r>
            <w:r w:rsidRPr="004C2C35">
              <w:t xml:space="preserve"> (Figure </w:t>
            </w:r>
            <w:r w:rsidR="00335A22">
              <w:t>2</w:t>
            </w:r>
            <w:r w:rsidRPr="004C2C35">
              <w:t xml:space="preserve">) </w:t>
            </w:r>
            <w:r w:rsidRPr="004C2C35">
              <w:rPr>
                <w:noProof/>
              </w:rPr>
              <w:t>(Hartley &amp; Barrett 2008; DBCA 2021)</w:t>
            </w:r>
            <w:r>
              <w:t xml:space="preserve">. </w:t>
            </w:r>
            <w:r w:rsidR="00CC4AAD" w:rsidRPr="00FD5027">
              <w:t xml:space="preserve">Such fluctuations represent change in the total population (rather than a flux of individuals between different life stages), because </w:t>
            </w:r>
            <w:r w:rsidR="00FD5027" w:rsidRPr="00FD5027">
              <w:t>all subpopulations were impacted by the same fire events</w:t>
            </w:r>
            <w:r w:rsidR="00FD5027">
              <w:t>, wh</w:t>
            </w:r>
            <w:r w:rsidR="00FD5027" w:rsidRPr="00FD5027">
              <w:t>ich occurred within a restricted area of the Stirling Range/</w:t>
            </w:r>
            <w:proofErr w:type="spellStart"/>
            <w:r w:rsidR="00FD5027" w:rsidRPr="00FD5027">
              <w:t>Koikyenunuruff</w:t>
            </w:r>
            <w:proofErr w:type="spellEnd"/>
            <w:r w:rsidR="00FD5027">
              <w:t xml:space="preserve"> (so there are no demographic differences in age-classes among subpopulations)</w:t>
            </w:r>
            <w:r w:rsidR="00FD5027" w:rsidRPr="00FD5027">
              <w:t xml:space="preserve">, and </w:t>
            </w:r>
            <w:r w:rsidR="00CC4AAD" w:rsidRPr="00FD5027">
              <w:t xml:space="preserve">dormant life stages (i.e., soil-stored seeds) </w:t>
            </w:r>
            <w:r w:rsidR="009B62F6">
              <w:t>may</w:t>
            </w:r>
            <w:r w:rsidR="00BB1D49" w:rsidRPr="00FD5027">
              <w:t xml:space="preserve"> have been depleted during fires.</w:t>
            </w:r>
          </w:p>
          <w:p w14:paraId="74DD4357" w14:textId="1C9C7980" w:rsidR="00CD441B" w:rsidRDefault="00203D70" w:rsidP="008E4C40">
            <w:pPr>
              <w:pStyle w:val="TableText"/>
            </w:pPr>
            <w:r w:rsidRPr="00A51A04">
              <w:t>There are no known extreme fluctuations in EOO, AOO, number of subpopulations or locations.</w:t>
            </w:r>
          </w:p>
        </w:tc>
      </w:tr>
    </w:tbl>
    <w:bookmarkEnd w:id="26"/>
    <w:p w14:paraId="6B838738" w14:textId="13596A05"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5CA0C054" w14:textId="77777777" w:rsidTr="0050535B">
        <w:trPr>
          <w:cantSplit/>
          <w:trHeight w:val="606"/>
        </w:trPr>
        <w:tc>
          <w:tcPr>
            <w:tcW w:w="9975" w:type="dxa"/>
            <w:gridSpan w:val="6"/>
            <w:shd w:val="clear" w:color="auto" w:fill="595959" w:themeFill="text1" w:themeFillTint="A6"/>
            <w:vAlign w:val="center"/>
          </w:tcPr>
          <w:p w14:paraId="2FE76F2C"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19CDB942"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FF2C16"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14B0C1A" w14:textId="77777777" w:rsidR="00DD3067" w:rsidRPr="00936152" w:rsidRDefault="00DD3067" w:rsidP="00476948">
            <w:pPr>
              <w:pStyle w:val="TableText"/>
              <w:keepNext/>
              <w:rPr>
                <w:rStyle w:val="Strong"/>
              </w:rPr>
            </w:pPr>
            <w:r w:rsidRPr="00936152">
              <w:rPr>
                <w:rStyle w:val="Strong"/>
              </w:rPr>
              <w:t>Critically Endangered</w:t>
            </w:r>
          </w:p>
          <w:p w14:paraId="171C1F8F"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CF369D2" w14:textId="77777777" w:rsidR="00DD3067" w:rsidRPr="00936152" w:rsidRDefault="00DD3067" w:rsidP="00476948">
            <w:pPr>
              <w:pStyle w:val="TableText"/>
              <w:keepNext/>
              <w:rPr>
                <w:rStyle w:val="Strong"/>
              </w:rPr>
            </w:pPr>
            <w:r w:rsidRPr="00936152">
              <w:rPr>
                <w:rStyle w:val="Strong"/>
              </w:rPr>
              <w:t>Endangered</w:t>
            </w:r>
          </w:p>
          <w:p w14:paraId="112F71F6"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433A795" w14:textId="77777777" w:rsidR="00DD3067" w:rsidRPr="00936152" w:rsidRDefault="00DD3067" w:rsidP="00476948">
            <w:pPr>
              <w:pStyle w:val="TableText"/>
              <w:keepNext/>
              <w:rPr>
                <w:rStyle w:val="Strong"/>
              </w:rPr>
            </w:pPr>
            <w:r w:rsidRPr="00936152">
              <w:rPr>
                <w:rStyle w:val="Strong"/>
              </w:rPr>
              <w:t>Vulnerable</w:t>
            </w:r>
          </w:p>
          <w:p w14:paraId="2CB0E854"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21D79835"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0448CB2F"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77A77202"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6DCDAFCF"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06DE866C" w14:textId="77777777" w:rsidR="00DD3067" w:rsidRPr="00556843" w:rsidRDefault="00DD3067" w:rsidP="00476948">
            <w:pPr>
              <w:pStyle w:val="TableText"/>
              <w:keepNext/>
            </w:pPr>
            <w:r w:rsidRPr="00556843">
              <w:t>≥ 50%</w:t>
            </w:r>
          </w:p>
        </w:tc>
      </w:tr>
      <w:tr w:rsidR="00DD3067" w:rsidRPr="00556843" w14:paraId="59D8B824"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6F6DADB"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736E6D7"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0429370"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151ECE30" w14:textId="77777777" w:rsidR="00DD3067" w:rsidRPr="00556843" w:rsidRDefault="00DD3067" w:rsidP="00476948">
            <w:pPr>
              <w:pStyle w:val="TableText"/>
              <w:keepNext/>
            </w:pPr>
            <w:r w:rsidRPr="00556843">
              <w:t>≥ 30%</w:t>
            </w:r>
          </w:p>
        </w:tc>
      </w:tr>
      <w:tr w:rsidR="00266DC5" w:rsidRPr="00556843" w14:paraId="6325F84A"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A1D27D4"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7B8DF1DD"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0F84A32C"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6E749A6F"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A55912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BB0BCDA" wp14:editId="0649BD2F">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565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0FAE76B0"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330BF888" w14:textId="77777777" w:rsidR="00266DC5" w:rsidRDefault="00266DC5" w:rsidP="000D55BC">
            <w:pPr>
              <w:pStyle w:val="TableText"/>
              <w:ind w:left="312" w:hanging="312"/>
            </w:pPr>
            <w:r w:rsidRPr="00556843">
              <w:t>(b)</w:t>
            </w:r>
            <w:r w:rsidRPr="00556843">
              <w:tab/>
              <w:t>an index of abundance appropriate to the taxon</w:t>
            </w:r>
          </w:p>
          <w:p w14:paraId="6D4A54E4"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57A7A6B6" w14:textId="77777777" w:rsidR="00266DC5" w:rsidRPr="00556843" w:rsidRDefault="00266DC5" w:rsidP="000D55BC">
            <w:pPr>
              <w:pStyle w:val="TableText"/>
              <w:ind w:left="312" w:hanging="312"/>
            </w:pPr>
            <w:r w:rsidRPr="00556843">
              <w:t>(d)</w:t>
            </w:r>
            <w:r w:rsidRPr="00556843">
              <w:tab/>
              <w:t>actual or potential levels of exploitation</w:t>
            </w:r>
          </w:p>
          <w:p w14:paraId="55B385EF"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2B32040" w14:textId="77777777" w:rsidR="000F3D21" w:rsidRDefault="00C2736A" w:rsidP="00B52E90">
      <w:pPr>
        <w:pStyle w:val="Heading3"/>
        <w:rPr>
          <w:lang w:eastAsia="ja-JP"/>
        </w:rPr>
      </w:pPr>
      <w:r>
        <w:rPr>
          <w:lang w:eastAsia="ja-JP"/>
        </w:rPr>
        <w:t>Criterion 1 e</w:t>
      </w:r>
      <w:r w:rsidR="000F3D21">
        <w:rPr>
          <w:lang w:eastAsia="ja-JP"/>
        </w:rPr>
        <w:t>vidence</w:t>
      </w:r>
    </w:p>
    <w:p w14:paraId="0E939919" w14:textId="7B64FB94" w:rsidR="00C53EB1" w:rsidRPr="00A41058" w:rsidRDefault="00C53EB1" w:rsidP="00C53EB1">
      <w:pPr>
        <w:rPr>
          <w:rStyle w:val="Strong"/>
        </w:rPr>
      </w:pPr>
      <w:r w:rsidRPr="00A31C80">
        <w:rPr>
          <w:rStyle w:val="Strong"/>
        </w:rPr>
        <w:t>Insufficient data to determine eligibility</w:t>
      </w:r>
    </w:p>
    <w:p w14:paraId="39951971" w14:textId="7E39060D" w:rsidR="00432CEA" w:rsidRDefault="00432CEA" w:rsidP="00432CEA">
      <w:pPr>
        <w:rPr>
          <w:i/>
          <w:iCs/>
          <w:lang w:eastAsia="ja-JP"/>
        </w:rPr>
      </w:pPr>
      <w:r w:rsidRPr="00103170">
        <w:rPr>
          <w:i/>
          <w:iCs/>
          <w:lang w:eastAsia="ja-JP"/>
        </w:rPr>
        <w:t xml:space="preserve">Generation </w:t>
      </w:r>
      <w:r>
        <w:rPr>
          <w:i/>
          <w:iCs/>
          <w:lang w:eastAsia="ja-JP"/>
        </w:rPr>
        <w:t>time</w:t>
      </w:r>
    </w:p>
    <w:p w14:paraId="73FBEFA6" w14:textId="67F27889" w:rsidR="007D51CD" w:rsidRPr="00EF28B7" w:rsidRDefault="000F45AB" w:rsidP="007D51CD">
      <w:r w:rsidRPr="000F45AB">
        <w:t>The juvenile period of the yellow mountain bell is thought to be approximately 6–7 years (</w:t>
      </w:r>
      <w:r>
        <w:t xml:space="preserve">based on 50 percent flowering) </w:t>
      </w:r>
      <w:r w:rsidR="007D51CD" w:rsidRPr="00D5218E">
        <w:rPr>
          <w:noProof/>
        </w:rPr>
        <w:t xml:space="preserve">(Barrett </w:t>
      </w:r>
      <w:r>
        <w:rPr>
          <w:noProof/>
        </w:rPr>
        <w:t>et al. 2009</w:t>
      </w:r>
      <w:r w:rsidR="007D51CD" w:rsidRPr="00D5218E">
        <w:rPr>
          <w:noProof/>
        </w:rPr>
        <w:t>)</w:t>
      </w:r>
      <w:r w:rsidR="007D51CD" w:rsidRPr="00D5218E">
        <w:t xml:space="preserve">. </w:t>
      </w:r>
      <w:r w:rsidR="007D51CD" w:rsidRPr="006B1622">
        <w:t xml:space="preserve">The health of </w:t>
      </w:r>
      <w:r w:rsidR="007D51CD">
        <w:t>m</w:t>
      </w:r>
      <w:r w:rsidR="007D51CD" w:rsidRPr="006B1622">
        <w:t xml:space="preserve">ountain </w:t>
      </w:r>
      <w:r w:rsidR="007D51CD">
        <w:t>b</w:t>
      </w:r>
      <w:r w:rsidR="007D51CD" w:rsidRPr="006B1622">
        <w:t xml:space="preserve">ells is thought to decline </w:t>
      </w:r>
      <w:r w:rsidR="007D51CD">
        <w:t>20</w:t>
      </w:r>
      <w:r w:rsidR="007D51CD" w:rsidRPr="006B1622">
        <w:t xml:space="preserve"> years after germination </w:t>
      </w:r>
      <w:r w:rsidR="007D51CD" w:rsidRPr="006B1622">
        <w:rPr>
          <w:noProof/>
        </w:rPr>
        <w:t>(Keighery &amp; Marchant 1993)</w:t>
      </w:r>
      <w:r w:rsidR="007D51CD" w:rsidRPr="006B1622">
        <w:t>.</w:t>
      </w:r>
      <w:r w:rsidR="007D51CD">
        <w:t xml:space="preserve"> Accordingly, </w:t>
      </w:r>
      <w:r w:rsidR="007D51CD" w:rsidRPr="00EF28B7">
        <w:t xml:space="preserve">generation time is likely to be: </w:t>
      </w:r>
    </w:p>
    <w:p w14:paraId="23259803" w14:textId="77777777" w:rsidR="007D51CD" w:rsidRPr="00EF28B7" w:rsidRDefault="007D51CD" w:rsidP="007D51CD">
      <w:pPr>
        <w:spacing w:after="0"/>
      </w:pPr>
      <w:bookmarkStart w:id="29" w:name="_Hlk85561235"/>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bookmarkEnd w:id="29"/>
    <w:p w14:paraId="7445635C" w14:textId="298343F8" w:rsidR="007D51CD" w:rsidRPr="00EF28B7" w:rsidRDefault="007D51CD" w:rsidP="009F4030">
      <w:pPr>
        <w:spacing w:after="120"/>
      </w:pPr>
      <m:oMath>
        <m:r>
          <m:rPr>
            <m:sty m:val="p"/>
          </m:rPr>
          <w:rPr>
            <w:rFonts w:ascii="Cambria Math" w:hAnsi="Cambria Math"/>
          </w:rPr>
          <m:t>Generation time</m:t>
        </m:r>
        <m:r>
          <w:rPr>
            <w:rFonts w:ascii="Cambria Math" w:hAnsi="Cambria Math"/>
          </w:rPr>
          <m:t>= 6</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20-6</m:t>
                </m:r>
              </m:e>
            </m:d>
          </m:e>
        </m:d>
        <m:r>
          <w:rPr>
            <w:rFonts w:ascii="Cambria Math" w:hAnsi="Cambria Math"/>
          </w:rPr>
          <m:t xml:space="preserve">=13 </m:t>
        </m:r>
        <m:r>
          <m:rPr>
            <m:sty m:val="p"/>
          </m:rPr>
          <w:rPr>
            <w:rFonts w:ascii="Cambria Math" w:hAnsi="Cambria Math"/>
          </w:rPr>
          <m:t>years</m:t>
        </m:r>
      </m:oMath>
      <w:r w:rsidRPr="00EF28B7">
        <w:tab/>
      </w:r>
    </w:p>
    <w:p w14:paraId="2BD340DC" w14:textId="64827393" w:rsidR="000F45AB" w:rsidRPr="00EF28B7" w:rsidRDefault="000F45AB" w:rsidP="009F4030">
      <w:pPr>
        <w:spacing w:after="120"/>
      </w:pPr>
      <w:r w:rsidRPr="00EF28B7">
        <w:t>OR</w:t>
      </w:r>
    </w:p>
    <w:p w14:paraId="316DD6AF" w14:textId="1C242C9D" w:rsidR="000F45AB" w:rsidRDefault="000F45AB" w:rsidP="000F45AB">
      <m:oMath>
        <m:r>
          <m:rPr>
            <m:sty m:val="p"/>
          </m:rPr>
          <w:rPr>
            <w:rFonts w:ascii="Cambria Math" w:hAnsi="Cambria Math"/>
          </w:rPr>
          <m:t>Generation time</m:t>
        </m:r>
        <m:r>
          <w:rPr>
            <w:rFonts w:ascii="Cambria Math" w:hAnsi="Cambria Math"/>
          </w:rPr>
          <m:t>= 7</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20-7</m:t>
                </m:r>
              </m:e>
            </m:d>
          </m:e>
        </m:d>
        <m:r>
          <w:rPr>
            <w:rFonts w:ascii="Cambria Math" w:hAnsi="Cambria Math"/>
          </w:rPr>
          <m:t xml:space="preserve">=13.5 </m:t>
        </m:r>
        <m:r>
          <m:rPr>
            <m:sty m:val="p"/>
          </m:rPr>
          <w:rPr>
            <w:rFonts w:ascii="Cambria Math" w:hAnsi="Cambria Math"/>
          </w:rPr>
          <m:t>years</m:t>
        </m:r>
      </m:oMath>
      <w:r>
        <w:tab/>
      </w:r>
    </w:p>
    <w:p w14:paraId="2501AA13" w14:textId="6678331E" w:rsidR="007D51CD" w:rsidRDefault="007D51CD" w:rsidP="007D51CD">
      <w:r>
        <w:t xml:space="preserve"> This gives an estimated three-generation period of approximately 3</w:t>
      </w:r>
      <w:r w:rsidR="000F45AB">
        <w:t>9</w:t>
      </w:r>
      <w:r w:rsidR="000F45AB" w:rsidRPr="000F45AB">
        <w:t>–</w:t>
      </w:r>
      <w:r w:rsidR="000F45AB">
        <w:t xml:space="preserve">40.5 </w:t>
      </w:r>
      <w:r>
        <w:t>years.</w:t>
      </w:r>
    </w:p>
    <w:p w14:paraId="148F2D5C" w14:textId="42E7BEE9" w:rsidR="00280297" w:rsidRPr="00280297" w:rsidRDefault="00280297" w:rsidP="000F45AB">
      <w:pPr>
        <w:keepNext/>
        <w:keepLines/>
        <w:rPr>
          <w:i/>
          <w:iCs/>
        </w:rPr>
      </w:pPr>
      <w:r w:rsidRPr="001573BF">
        <w:rPr>
          <w:i/>
          <w:iCs/>
        </w:rPr>
        <w:lastRenderedPageBreak/>
        <w:t>Past population reduction</w:t>
      </w:r>
    </w:p>
    <w:p w14:paraId="2728F138" w14:textId="77777777" w:rsidR="000F45AB" w:rsidRDefault="004D3573" w:rsidP="000F45AB">
      <w:pPr>
        <w:keepNext/>
        <w:keepLines/>
      </w:pPr>
      <w:r w:rsidRPr="00882FF5">
        <w:t xml:space="preserve">No monitoring data is available prior to </w:t>
      </w:r>
      <w:r>
        <w:t>the early 1990s</w:t>
      </w:r>
      <w:r w:rsidRPr="00882FF5">
        <w:t>, so population trends prior to this time are considered data deficient.</w:t>
      </w:r>
      <w:r w:rsidR="00B06BFA">
        <w:t xml:space="preserve"> </w:t>
      </w:r>
    </w:p>
    <w:p w14:paraId="38AE7CB7" w14:textId="41C83237" w:rsidR="00B06BFA" w:rsidRPr="00EF28B7" w:rsidRDefault="004D3573" w:rsidP="000F45AB">
      <w:pPr>
        <w:keepNext/>
        <w:keepLines/>
      </w:pPr>
      <w:r>
        <w:rPr>
          <w:lang w:eastAsia="ja-JP"/>
        </w:rPr>
        <w:t xml:space="preserve">Since the early 1990s (approximately 30 years ago), </w:t>
      </w:r>
      <w:r w:rsidR="00B06BFA">
        <w:t xml:space="preserve">six subpopulations are presumed to have </w:t>
      </w:r>
      <w:r w:rsidR="009A0B3C">
        <w:t>gone extinct</w:t>
      </w:r>
      <w:r w:rsidR="00FF57B3">
        <w:t xml:space="preserve"> </w:t>
      </w:r>
      <w:r w:rsidR="00FF57B3" w:rsidRPr="00C511D1">
        <w:rPr>
          <w:noProof/>
        </w:rPr>
        <w:t>(Hartley &amp; Barrett 2008; DBCA 2021)</w:t>
      </w:r>
      <w:r w:rsidR="00B06BFA">
        <w:t xml:space="preserve">, suggesting population </w:t>
      </w:r>
      <w:r w:rsidR="00B06BFA" w:rsidRPr="00284FBF">
        <w:t>reduction</w:t>
      </w:r>
      <w:r w:rsidR="00FF57B3" w:rsidRPr="00284FBF">
        <w:t xml:space="preserve"> over this time</w:t>
      </w:r>
      <w:r w:rsidR="00B06BFA" w:rsidRPr="00197D6F">
        <w:t xml:space="preserve">. However, </w:t>
      </w:r>
      <w:r w:rsidR="00FF57B3" w:rsidRPr="00197D6F">
        <w:t>given that the</w:t>
      </w:r>
      <w:r w:rsidR="00FF57B3" w:rsidRPr="00795A96">
        <w:rPr>
          <w:bCs/>
        </w:rPr>
        <w:t xml:space="preserve"> </w:t>
      </w:r>
      <w:r w:rsidR="00FF57B3" w:rsidRPr="00795A96">
        <w:t>y</w:t>
      </w:r>
      <w:r w:rsidR="00FF57B3" w:rsidRPr="00FD5027">
        <w:t xml:space="preserve">ellow mountain bell </w:t>
      </w:r>
      <w:r w:rsidR="00FF57B3" w:rsidRPr="00FD5027">
        <w:rPr>
          <w:bCs/>
        </w:rPr>
        <w:t xml:space="preserve">undergoes </w:t>
      </w:r>
      <w:r w:rsidR="00FF57B3" w:rsidRPr="00FD5027">
        <w:t xml:space="preserve">natural </w:t>
      </w:r>
      <w:r w:rsidR="00FF57B3" w:rsidRPr="00284FBF">
        <w:t xml:space="preserve">fluctuations in the number of mature individuals </w:t>
      </w:r>
      <w:r w:rsidR="00FF57B3" w:rsidRPr="00284FBF">
        <w:rPr>
          <w:noProof/>
        </w:rPr>
        <w:t>(Hartley &amp; Barrett 2008; DBCA 2021)</w:t>
      </w:r>
      <w:r w:rsidR="00FF57B3" w:rsidRPr="00284FBF">
        <w:t xml:space="preserve">, </w:t>
      </w:r>
      <w:r w:rsidR="00284FBF" w:rsidRPr="00284FBF">
        <w:t xml:space="preserve">the data available for these six subpopulations are not adequate for assessing </w:t>
      </w:r>
      <w:r w:rsidR="00FF57B3" w:rsidRPr="00284FBF">
        <w:t>population</w:t>
      </w:r>
      <w:r w:rsidR="00B06BFA" w:rsidRPr="00284FBF">
        <w:t xml:space="preserve"> reduction </w:t>
      </w:r>
      <w:r w:rsidR="00FF57B3" w:rsidRPr="00795A96">
        <w:t>(resulting from these extirpations)</w:t>
      </w:r>
      <w:r w:rsidR="00FF57B3" w:rsidRPr="00284FBF">
        <w:t xml:space="preserve">. Although some monitoring data </w:t>
      </w:r>
      <w:r w:rsidR="00C9646A" w:rsidRPr="00284FBF">
        <w:t>are</w:t>
      </w:r>
      <w:r w:rsidR="00C9646A" w:rsidRPr="00EF28B7">
        <w:t xml:space="preserve"> </w:t>
      </w:r>
      <w:r w:rsidR="00FF57B3" w:rsidRPr="00EF28B7">
        <w:t xml:space="preserve">available for these subpopulations (Table 1), there </w:t>
      </w:r>
      <w:r w:rsidR="00C9646A" w:rsidRPr="00EF28B7">
        <w:t xml:space="preserve">are </w:t>
      </w:r>
      <w:r w:rsidR="00FF57B3" w:rsidRPr="00EF28B7">
        <w:t>not sufficient data to compare population minima/maxima with subsequent population minima/maxima.</w:t>
      </w:r>
    </w:p>
    <w:p w14:paraId="543D29F6" w14:textId="05AE26D8" w:rsidR="0089036A" w:rsidRDefault="00FF57B3" w:rsidP="001825DE">
      <w:pPr>
        <w:keepNext/>
        <w:keepLines/>
      </w:pPr>
      <w:r w:rsidRPr="00EF28B7">
        <w:rPr>
          <w:lang w:eastAsia="ja-JP"/>
        </w:rPr>
        <w:t xml:space="preserve">There </w:t>
      </w:r>
      <w:r w:rsidR="00C9646A" w:rsidRPr="00EF28B7">
        <w:rPr>
          <w:lang w:eastAsia="ja-JP"/>
        </w:rPr>
        <w:t xml:space="preserve">are </w:t>
      </w:r>
      <w:r w:rsidRPr="00197D6F">
        <w:rPr>
          <w:lang w:eastAsia="ja-JP"/>
        </w:rPr>
        <w:t>sufficient monitoring data</w:t>
      </w:r>
      <w:r w:rsidRPr="00EF28B7">
        <w:rPr>
          <w:lang w:eastAsia="ja-JP"/>
        </w:rPr>
        <w:t xml:space="preserve"> available for all four extant subpopulations (Table 1) </w:t>
      </w:r>
      <w:r w:rsidR="00197D6F">
        <w:rPr>
          <w:lang w:eastAsia="ja-JP"/>
        </w:rPr>
        <w:t xml:space="preserve">to allow comparison between </w:t>
      </w:r>
      <w:r w:rsidR="00197D6F" w:rsidRPr="00EF28B7">
        <w:t>population minima/maxima</w:t>
      </w:r>
      <w:r w:rsidR="00197D6F">
        <w:rPr>
          <w:lang w:eastAsia="ja-JP"/>
        </w:rPr>
        <w:t xml:space="preserve"> </w:t>
      </w:r>
      <w:r w:rsidRPr="00EF28B7">
        <w:rPr>
          <w:lang w:eastAsia="ja-JP"/>
        </w:rPr>
        <w:t xml:space="preserve">(Figure 1A-D) </w:t>
      </w:r>
      <w:r w:rsidRPr="00EF28B7">
        <w:rPr>
          <w:noProof/>
        </w:rPr>
        <w:t>(Hartley &amp; Barrett 2008; DBCA 2021)</w:t>
      </w:r>
      <w:r w:rsidRPr="00EF28B7">
        <w:t xml:space="preserve">. </w:t>
      </w:r>
      <w:r w:rsidR="001573BF" w:rsidRPr="00EF28B7">
        <w:t xml:space="preserve">However, </w:t>
      </w:r>
      <w:r w:rsidR="00304904" w:rsidRPr="00EF28B7">
        <w:t>older</w:t>
      </w:r>
      <w:r w:rsidR="001573BF" w:rsidRPr="00EF28B7">
        <w:t xml:space="preserve"> estimates </w:t>
      </w:r>
      <w:r w:rsidR="00710550">
        <w:t xml:space="preserve">are less reliable and </w:t>
      </w:r>
      <w:r w:rsidR="001573BF" w:rsidRPr="00EF28B7">
        <w:t xml:space="preserve">may underestimate population size, particularly as several subpopulations occur in remote areas. </w:t>
      </w:r>
      <w:r w:rsidR="007643B4" w:rsidRPr="00EF28B7">
        <w:t>Despite this, t</w:t>
      </w:r>
      <w:r w:rsidR="00DB15A2" w:rsidRPr="00EF28B7">
        <w:rPr>
          <w:lang w:eastAsia="ja-JP"/>
        </w:rPr>
        <w:t xml:space="preserve">he number of mature individuals </w:t>
      </w:r>
      <w:r w:rsidR="00B21B9F" w:rsidRPr="00EF28B7">
        <w:rPr>
          <w:lang w:eastAsia="ja-JP"/>
        </w:rPr>
        <w:t>has</w:t>
      </w:r>
      <w:r w:rsidR="00DB15A2" w:rsidRPr="00EF28B7">
        <w:rPr>
          <w:lang w:eastAsia="ja-JP"/>
        </w:rPr>
        <w:t xml:space="preserve"> </w:t>
      </w:r>
      <w:r w:rsidR="00463EA9" w:rsidRPr="00EF28B7">
        <w:rPr>
          <w:lang w:eastAsia="ja-JP"/>
        </w:rPr>
        <w:t xml:space="preserve">clearly </w:t>
      </w:r>
      <w:r w:rsidR="00DB15A2" w:rsidRPr="00EF28B7">
        <w:rPr>
          <w:lang w:eastAsia="ja-JP"/>
        </w:rPr>
        <w:t xml:space="preserve">undergone </w:t>
      </w:r>
      <w:r w:rsidR="00C511D1" w:rsidRPr="00EF28B7">
        <w:rPr>
          <w:lang w:eastAsia="ja-JP"/>
        </w:rPr>
        <w:t>large</w:t>
      </w:r>
      <w:r w:rsidR="00E34B32" w:rsidRPr="00EF28B7">
        <w:rPr>
          <w:lang w:eastAsia="ja-JP"/>
        </w:rPr>
        <w:t xml:space="preserve"> fluctuations </w:t>
      </w:r>
      <w:r w:rsidR="00764BCD" w:rsidRPr="00EF28B7">
        <w:rPr>
          <w:lang w:eastAsia="ja-JP"/>
        </w:rPr>
        <w:t xml:space="preserve">(i.e., increased and decreased) </w:t>
      </w:r>
      <w:r w:rsidR="00B21B9F" w:rsidRPr="00EF28B7">
        <w:rPr>
          <w:lang w:eastAsia="ja-JP"/>
        </w:rPr>
        <w:t xml:space="preserve">in all extant subpopulations </w:t>
      </w:r>
      <w:r w:rsidR="00E34B32" w:rsidRPr="00EF28B7">
        <w:rPr>
          <w:lang w:eastAsia="ja-JP"/>
        </w:rPr>
        <w:t>(Figure 1</w:t>
      </w:r>
      <w:r w:rsidR="00B21B9F" w:rsidRPr="00EF28B7">
        <w:rPr>
          <w:lang w:eastAsia="ja-JP"/>
        </w:rPr>
        <w:t>A-D</w:t>
      </w:r>
      <w:r w:rsidR="00E34B32" w:rsidRPr="00EF28B7">
        <w:rPr>
          <w:lang w:eastAsia="ja-JP"/>
        </w:rPr>
        <w:t xml:space="preserve">) </w:t>
      </w:r>
      <w:r w:rsidR="00C511D1" w:rsidRPr="00EF28B7">
        <w:rPr>
          <w:noProof/>
        </w:rPr>
        <w:t>(Hartley &amp; Barrett 2008; DBCA 2021)</w:t>
      </w:r>
      <w:r w:rsidR="00C511D1" w:rsidRPr="00EF28B7">
        <w:t>.</w:t>
      </w:r>
      <w:r w:rsidR="00403E11" w:rsidRPr="00EF28B7">
        <w:t xml:space="preserve"> </w:t>
      </w:r>
      <w:r w:rsidR="001825DE" w:rsidRPr="00EF28B7">
        <w:t>When c</w:t>
      </w:r>
      <w:r w:rsidR="00CE066F" w:rsidRPr="00EF28B7">
        <w:t>ompar</w:t>
      </w:r>
      <w:r w:rsidRPr="00EF28B7">
        <w:t>ing</w:t>
      </w:r>
      <w:r w:rsidR="00CE066F" w:rsidRPr="00EF28B7">
        <w:t xml:space="preserve"> the last population minima to the current population minima</w:t>
      </w:r>
      <w:r w:rsidR="006D374C" w:rsidRPr="00EF28B7">
        <w:t>, there appears to be</w:t>
      </w:r>
      <w:r w:rsidR="00CE066F" w:rsidRPr="00EF28B7">
        <w:t xml:space="preserve"> </w:t>
      </w:r>
      <w:r w:rsidR="00974882" w:rsidRPr="00EF28B7">
        <w:t>no</w:t>
      </w:r>
      <w:r w:rsidR="00E976D0" w:rsidRPr="00EF28B7">
        <w:t xml:space="preserve"> substantial</w:t>
      </w:r>
      <w:r w:rsidR="0089036A" w:rsidRPr="00EF28B7">
        <w:t xml:space="preserve"> population reduction </w:t>
      </w:r>
      <w:r w:rsidR="00974882" w:rsidRPr="00EF28B7">
        <w:t>i</w:t>
      </w:r>
      <w:r w:rsidR="0089036A" w:rsidRPr="00EF28B7">
        <w:t xml:space="preserve">n any </w:t>
      </w:r>
      <w:r w:rsidRPr="00EF28B7">
        <w:t xml:space="preserve">extant </w:t>
      </w:r>
      <w:r w:rsidR="0089036A" w:rsidRPr="00EF28B7">
        <w:t>subpopulations</w:t>
      </w:r>
      <w:r w:rsidR="003A044A" w:rsidRPr="00EF28B7">
        <w:t>, except subpopulation 3</w:t>
      </w:r>
      <w:r w:rsidR="0089036A" w:rsidRPr="00EF28B7">
        <w:t xml:space="preserve"> (Figure 1A-D) (Table 4)</w:t>
      </w:r>
      <w:r w:rsidR="001330E8" w:rsidRPr="00EF28B7">
        <w:t>, noting that some older estimates may be underestimates</w:t>
      </w:r>
      <w:r w:rsidR="0089036A" w:rsidRPr="00EF28B7">
        <w:t>.</w:t>
      </w:r>
      <w:r w:rsidR="001573BF" w:rsidRPr="00EF28B7">
        <w:t xml:space="preserve"> </w:t>
      </w:r>
      <w:r w:rsidR="001330E8" w:rsidRPr="00EF28B7">
        <w:t>The</w:t>
      </w:r>
      <w:r w:rsidR="006D374C" w:rsidRPr="00EF28B7">
        <w:t xml:space="preserve"> reduction </w:t>
      </w:r>
      <w:r w:rsidR="003A044A" w:rsidRPr="00EF28B7">
        <w:t xml:space="preserve">in subpopulation 3 </w:t>
      </w:r>
      <w:r w:rsidR="009637C7" w:rsidRPr="00EF28B7">
        <w:t>(</w:t>
      </w:r>
      <w:r w:rsidR="006D374C" w:rsidRPr="00EF28B7">
        <w:t xml:space="preserve">from 1 </w:t>
      </w:r>
      <w:r w:rsidR="009637C7" w:rsidRPr="00EF28B7">
        <w:t xml:space="preserve">to 0 </w:t>
      </w:r>
      <w:r w:rsidR="006D374C" w:rsidRPr="00EF28B7">
        <w:t>mature individual</w:t>
      </w:r>
      <w:r w:rsidR="009637C7" w:rsidRPr="00EF28B7">
        <w:t xml:space="preserve">s) </w:t>
      </w:r>
      <w:r w:rsidR="003A044A" w:rsidRPr="00EF28B7">
        <w:t>is</w:t>
      </w:r>
      <w:r w:rsidR="006D374C" w:rsidRPr="00EF28B7">
        <w:t xml:space="preserve"> overinflated </w:t>
      </w:r>
      <w:r w:rsidR="009637C7" w:rsidRPr="00EF28B7">
        <w:t xml:space="preserve">due to the very small size of this </w:t>
      </w:r>
      <w:r w:rsidR="003A044A" w:rsidRPr="00EF28B7">
        <w:t>sub</w:t>
      </w:r>
      <w:r w:rsidR="00FE3B0A" w:rsidRPr="00EF28B7">
        <w:t xml:space="preserve">population and does not substantially reduce the total population size </w:t>
      </w:r>
      <w:r w:rsidR="006D374C" w:rsidRPr="00EF28B7">
        <w:t xml:space="preserve">(Table </w:t>
      </w:r>
      <w:r w:rsidR="00FE3B0A" w:rsidRPr="00EF28B7">
        <w:t>2</w:t>
      </w:r>
      <w:r w:rsidR="006D374C" w:rsidRPr="00EF28B7">
        <w:t>).</w:t>
      </w:r>
      <w:r w:rsidR="001330E8" w:rsidRPr="00EF28B7">
        <w:t xml:space="preserve"> Given the evidence presented above, t</w:t>
      </w:r>
      <w:r w:rsidR="0089036A" w:rsidRPr="00EF28B7">
        <w:t xml:space="preserve">he species </w:t>
      </w:r>
      <w:r w:rsidR="00223D2D" w:rsidRPr="00EF28B7">
        <w:t>appears</w:t>
      </w:r>
      <w:r w:rsidR="0089036A" w:rsidRPr="00EF28B7">
        <w:t xml:space="preserve"> to be ineligible for listing under A1 or A2 (past reduction).</w:t>
      </w:r>
    </w:p>
    <w:p w14:paraId="37BF4A90" w14:textId="77777777" w:rsidR="001573BF" w:rsidRDefault="001573BF">
      <w:pPr>
        <w:spacing w:after="0" w:line="240" w:lineRule="auto"/>
        <w:rPr>
          <w:rFonts w:ascii="Calibri" w:hAnsi="Calibri"/>
          <w:b/>
          <w:bCs/>
          <w:sz w:val="24"/>
          <w:szCs w:val="18"/>
        </w:rPr>
      </w:pPr>
      <w:bookmarkStart w:id="30" w:name="_Hlk81924806"/>
      <w:r>
        <w:br w:type="page"/>
      </w:r>
    </w:p>
    <w:p w14:paraId="62133C74" w14:textId="40DB4A54" w:rsidR="009B1D11" w:rsidRDefault="009B1D11" w:rsidP="009B1D11">
      <w:pPr>
        <w:pStyle w:val="Caption"/>
      </w:pPr>
      <w:r>
        <w:lastRenderedPageBreak/>
        <w:t xml:space="preserve">Figure 1 Number of mature individuals by year (1990–2021) in extant subpopulations of the </w:t>
      </w:r>
      <w:r w:rsidR="0070710D">
        <w:t>y</w:t>
      </w:r>
      <w:r w:rsidR="0070710D" w:rsidRPr="00184886">
        <w:t xml:space="preserve">ellow </w:t>
      </w:r>
      <w:r w:rsidR="0070710D">
        <w:t>m</w:t>
      </w:r>
      <w:r w:rsidR="0070710D" w:rsidRPr="00184886">
        <w:t xml:space="preserve">ountain </w:t>
      </w:r>
      <w:r w:rsidR="0070710D">
        <w:t>b</w:t>
      </w:r>
      <w:r w:rsidR="0070710D" w:rsidRPr="00184886">
        <w:t>ell</w:t>
      </w:r>
    </w:p>
    <w:p w14:paraId="17031818" w14:textId="074ACFA2" w:rsidR="009B1D11" w:rsidRDefault="00924340" w:rsidP="006B1CA1">
      <w:pPr>
        <w:pStyle w:val="FigureTableNoteSource"/>
      </w:pPr>
      <w:r>
        <w:rPr>
          <w:noProof/>
        </w:rPr>
        <w:drawing>
          <wp:inline distT="0" distB="0" distL="0" distR="0" wp14:anchorId="238DF7E5" wp14:editId="4BAD3630">
            <wp:extent cx="5772150" cy="412708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4">
                      <a:extLst>
                        <a:ext uri="{28A0092B-C50C-407E-A947-70E740481C1C}">
                          <a14:useLocalDpi xmlns:a14="http://schemas.microsoft.com/office/drawing/2010/main" val="0"/>
                        </a:ext>
                      </a:extLst>
                    </a:blip>
                    <a:srcRect l="662"/>
                    <a:stretch/>
                  </pic:blipFill>
                  <pic:spPr bwMode="auto">
                    <a:xfrm>
                      <a:off x="0" y="0"/>
                      <a:ext cx="5773017" cy="4127707"/>
                    </a:xfrm>
                    <a:prstGeom prst="rect">
                      <a:avLst/>
                    </a:prstGeom>
                    <a:noFill/>
                    <a:ln>
                      <a:noFill/>
                    </a:ln>
                    <a:extLst>
                      <a:ext uri="{53640926-AAD7-44D8-BBD7-CCE9431645EC}">
                        <a14:shadowObscured xmlns:a14="http://schemas.microsoft.com/office/drawing/2010/main"/>
                      </a:ext>
                    </a:extLst>
                  </pic:spPr>
                </pic:pic>
              </a:graphicData>
            </a:graphic>
          </wp:inline>
        </w:drawing>
      </w:r>
    </w:p>
    <w:p w14:paraId="039400CD" w14:textId="77777777" w:rsidR="00223D2D" w:rsidRDefault="009B1D11" w:rsidP="00223D2D">
      <w:pPr>
        <w:pStyle w:val="FigureTableNoteSource"/>
      </w:pPr>
      <w:r w:rsidRPr="00C478F6">
        <w:t>Note:</w:t>
      </w:r>
      <w:r>
        <w:t xml:space="preserve"> The number of mature individuals</w:t>
      </w:r>
      <w:r w:rsidRPr="00C478F6">
        <w:t xml:space="preserve"> is </w:t>
      </w:r>
      <w:r>
        <w:t>sourced</w:t>
      </w:r>
      <w:r w:rsidRPr="00C478F6">
        <w:t xml:space="preserve"> from</w:t>
      </w:r>
      <w:r w:rsidRPr="00C478F6">
        <w:rPr>
          <w:noProof/>
        </w:rPr>
        <w:t xml:space="preserve"> Hartley &amp; Barrett (2008) and </w:t>
      </w:r>
      <w:r w:rsidRPr="003B2C20">
        <w:rPr>
          <w:noProof/>
        </w:rPr>
        <w:t>DBCA (2021</w:t>
      </w:r>
      <w:r w:rsidR="00C959CA" w:rsidRPr="003B2C20">
        <w:t>)</w:t>
      </w:r>
      <w:r w:rsidR="00C959CA">
        <w:t>; and</w:t>
      </w:r>
      <w:r>
        <w:t xml:space="preserve"> is presented in Table 1</w:t>
      </w:r>
      <w:r w:rsidRPr="003B2C20">
        <w:t>.</w:t>
      </w:r>
      <w:r w:rsidRPr="00C478F6">
        <w:t xml:space="preserve"> </w:t>
      </w:r>
      <w:r>
        <w:t>Where ‘&gt;’ or ‘~’ is included in the estimate in Table 1, the minimum</w:t>
      </w:r>
      <w:r w:rsidRPr="00E37755">
        <w:t xml:space="preserve"> value has been graphed</w:t>
      </w:r>
      <w:r>
        <w:t>. The minimum assessment period for this species (for A1 &amp; A2) is 2006-2021.</w:t>
      </w:r>
      <w:bookmarkEnd w:id="30"/>
      <w:r w:rsidR="00B03C1E">
        <w:t xml:space="preserve"> * denotes the</w:t>
      </w:r>
      <w:r w:rsidR="005F7ADD">
        <w:t xml:space="preserve"> population minima.</w:t>
      </w:r>
      <w:r w:rsidR="00CF0999">
        <w:t xml:space="preserve"> </w:t>
      </w:r>
      <w:r w:rsidR="001573BF">
        <w:t>Population estimates vary in their accuracy in particular older estimates.</w:t>
      </w:r>
    </w:p>
    <w:p w14:paraId="36A40D85" w14:textId="214F8AFE" w:rsidR="009B1D11" w:rsidRDefault="00070A93" w:rsidP="00223D2D">
      <w:pPr>
        <w:pStyle w:val="Caption"/>
        <w:keepNext w:val="0"/>
        <w:keepLines/>
      </w:pPr>
      <w:r w:rsidRPr="00022479">
        <w:t xml:space="preserve">Table </w:t>
      </w:r>
      <w:r w:rsidR="0004423C" w:rsidRPr="00022479">
        <w:t>5</w:t>
      </w:r>
      <w:r w:rsidR="009B1D11" w:rsidRPr="00022479">
        <w:t xml:space="preserve"> </w:t>
      </w:r>
      <w:r w:rsidR="0089036A" w:rsidRPr="00022479">
        <w:t xml:space="preserve">Population change </w:t>
      </w:r>
      <w:r w:rsidR="00974882" w:rsidRPr="00022479">
        <w:t xml:space="preserve">in extant subpopulations of the </w:t>
      </w:r>
      <w:r w:rsidR="0070710D">
        <w:t>y</w:t>
      </w:r>
      <w:r w:rsidR="0070710D" w:rsidRPr="00184886">
        <w:t xml:space="preserve">ellow </w:t>
      </w:r>
      <w:r w:rsidR="0070710D">
        <w:t>m</w:t>
      </w:r>
      <w:r w:rsidR="0070710D" w:rsidRPr="00184886">
        <w:t xml:space="preserve">ountain </w:t>
      </w:r>
      <w:r w:rsidR="0070710D">
        <w:t>b</w:t>
      </w:r>
      <w:r w:rsidR="0070710D" w:rsidRPr="00184886">
        <w:t>ell</w:t>
      </w:r>
      <w:r w:rsidR="0070710D" w:rsidRPr="00022479">
        <w:t xml:space="preserve"> </w:t>
      </w:r>
      <w:r w:rsidR="00544C89" w:rsidRPr="00022479">
        <w:t>between the last and current population minima</w:t>
      </w:r>
    </w:p>
    <w:tbl>
      <w:tblPr>
        <w:tblStyle w:val="TableGrid"/>
        <w:tblW w:w="0" w:type="auto"/>
        <w:tblLook w:val="04A0" w:firstRow="1" w:lastRow="0" w:firstColumn="1" w:lastColumn="0" w:noHBand="0" w:noVBand="1"/>
      </w:tblPr>
      <w:tblGrid>
        <w:gridCol w:w="2689"/>
        <w:gridCol w:w="2268"/>
        <w:gridCol w:w="2693"/>
        <w:gridCol w:w="1410"/>
      </w:tblGrid>
      <w:tr w:rsidR="004731B9" w14:paraId="0FBF93EC" w14:textId="37EF90E8" w:rsidTr="00974882">
        <w:tc>
          <w:tcPr>
            <w:tcW w:w="2689" w:type="dxa"/>
            <w:vAlign w:val="center"/>
          </w:tcPr>
          <w:p w14:paraId="13235F32" w14:textId="3EC173F7" w:rsidR="004731B9" w:rsidRDefault="004731B9" w:rsidP="00223D2D">
            <w:pPr>
              <w:pStyle w:val="TableHeading"/>
              <w:keepNext w:val="0"/>
              <w:keepLines/>
              <w:jc w:val="center"/>
            </w:pPr>
            <w:r>
              <w:t>Subpopulation</w:t>
            </w:r>
          </w:p>
        </w:tc>
        <w:tc>
          <w:tcPr>
            <w:tcW w:w="2268" w:type="dxa"/>
            <w:vAlign w:val="center"/>
          </w:tcPr>
          <w:p w14:paraId="4F07AD99" w14:textId="5C9826EB" w:rsidR="004731B9" w:rsidRDefault="004731B9" w:rsidP="00223D2D">
            <w:pPr>
              <w:pStyle w:val="TableHeading"/>
              <w:keepNext w:val="0"/>
              <w:keepLines/>
              <w:jc w:val="center"/>
            </w:pPr>
            <w:r>
              <w:t>Last population minima</w:t>
            </w:r>
            <w:r w:rsidR="005934E8">
              <w:t xml:space="preserve"> (# mature individuals)</w:t>
            </w:r>
          </w:p>
        </w:tc>
        <w:tc>
          <w:tcPr>
            <w:tcW w:w="2693" w:type="dxa"/>
            <w:vAlign w:val="center"/>
          </w:tcPr>
          <w:p w14:paraId="749B9567" w14:textId="59715869" w:rsidR="004731B9" w:rsidRDefault="004731B9" w:rsidP="00223D2D">
            <w:pPr>
              <w:pStyle w:val="TableHeading"/>
              <w:keepNext w:val="0"/>
              <w:keepLines/>
              <w:jc w:val="center"/>
            </w:pPr>
            <w:r>
              <w:t>Current population minima</w:t>
            </w:r>
            <w:r w:rsidR="005934E8">
              <w:t xml:space="preserve"> (# mature individuals)</w:t>
            </w:r>
          </w:p>
        </w:tc>
        <w:tc>
          <w:tcPr>
            <w:tcW w:w="1410" w:type="dxa"/>
            <w:vAlign w:val="center"/>
          </w:tcPr>
          <w:p w14:paraId="7C96F53C" w14:textId="32D5F833" w:rsidR="004731B9" w:rsidRPr="005934E8" w:rsidRDefault="005934E8" w:rsidP="00223D2D">
            <w:pPr>
              <w:pStyle w:val="TableHeading"/>
              <w:keepNext w:val="0"/>
              <w:keepLines/>
              <w:jc w:val="center"/>
            </w:pPr>
            <w:r w:rsidRPr="005934E8">
              <w:t>Population change (%)</w:t>
            </w:r>
          </w:p>
        </w:tc>
      </w:tr>
      <w:tr w:rsidR="004731B9" w14:paraId="013AADF3" w14:textId="2009BD57" w:rsidTr="00974882">
        <w:tc>
          <w:tcPr>
            <w:tcW w:w="2689" w:type="dxa"/>
            <w:vAlign w:val="center"/>
          </w:tcPr>
          <w:p w14:paraId="4E51A691" w14:textId="77777777" w:rsidR="00974882" w:rsidRDefault="004731B9" w:rsidP="00223D2D">
            <w:pPr>
              <w:pStyle w:val="TableText"/>
              <w:keepLines/>
              <w:jc w:val="center"/>
            </w:pPr>
            <w:r>
              <w:t>Subpopulation 1</w:t>
            </w:r>
          </w:p>
          <w:p w14:paraId="439A6FD1" w14:textId="2D6FED62" w:rsidR="004731B9" w:rsidRDefault="004731B9" w:rsidP="00223D2D">
            <w:pPr>
              <w:pStyle w:val="TableText"/>
              <w:keepLines/>
              <w:jc w:val="center"/>
            </w:pPr>
            <w:r>
              <w:t>(Bluff Knoll/Bula Meela)</w:t>
            </w:r>
          </w:p>
        </w:tc>
        <w:tc>
          <w:tcPr>
            <w:tcW w:w="2268" w:type="dxa"/>
            <w:vAlign w:val="center"/>
          </w:tcPr>
          <w:p w14:paraId="16C08FC7" w14:textId="44D0B7C6" w:rsidR="004731B9" w:rsidRDefault="004731B9" w:rsidP="00223D2D">
            <w:pPr>
              <w:pStyle w:val="TableText"/>
              <w:keepLines/>
              <w:jc w:val="center"/>
            </w:pPr>
            <w:r>
              <w:t>&gt;50 (1997)</w:t>
            </w:r>
          </w:p>
        </w:tc>
        <w:tc>
          <w:tcPr>
            <w:tcW w:w="2693" w:type="dxa"/>
            <w:vAlign w:val="center"/>
          </w:tcPr>
          <w:p w14:paraId="74587984" w14:textId="52B90E76" w:rsidR="004731B9" w:rsidRDefault="004731B9" w:rsidP="00223D2D">
            <w:pPr>
              <w:pStyle w:val="TableText"/>
              <w:keepLines/>
              <w:jc w:val="center"/>
            </w:pPr>
            <w:r>
              <w:t>110 (2021)</w:t>
            </w:r>
          </w:p>
        </w:tc>
        <w:tc>
          <w:tcPr>
            <w:tcW w:w="1410" w:type="dxa"/>
            <w:vAlign w:val="center"/>
          </w:tcPr>
          <w:p w14:paraId="30B184F4" w14:textId="619BA182" w:rsidR="004731B9" w:rsidRDefault="005B17F4" w:rsidP="00223D2D">
            <w:pPr>
              <w:pStyle w:val="TableText"/>
              <w:keepLines/>
              <w:tabs>
                <w:tab w:val="left" w:pos="255"/>
                <w:tab w:val="center" w:pos="526"/>
              </w:tabs>
              <w:jc w:val="center"/>
            </w:pPr>
            <w:r>
              <w:t>+120</w:t>
            </w:r>
          </w:p>
        </w:tc>
      </w:tr>
      <w:tr w:rsidR="004731B9" w14:paraId="7C90D8A8" w14:textId="4F84B58D" w:rsidTr="00974882">
        <w:tc>
          <w:tcPr>
            <w:tcW w:w="2689" w:type="dxa"/>
            <w:vAlign w:val="center"/>
          </w:tcPr>
          <w:p w14:paraId="3B9E11F0" w14:textId="77777777" w:rsidR="00974882" w:rsidRDefault="004731B9" w:rsidP="00223D2D">
            <w:pPr>
              <w:pStyle w:val="TableText"/>
              <w:keepLines/>
              <w:jc w:val="center"/>
            </w:pPr>
            <w:r>
              <w:t xml:space="preserve">Subpopulation 3 </w:t>
            </w:r>
          </w:p>
          <w:p w14:paraId="432FF375" w14:textId="379DCBBE" w:rsidR="004731B9" w:rsidRDefault="004731B9" w:rsidP="00223D2D">
            <w:pPr>
              <w:pStyle w:val="TableText"/>
              <w:keepLines/>
              <w:jc w:val="center"/>
            </w:pPr>
            <w:r>
              <w:t>(Coyanarup Peak)</w:t>
            </w:r>
          </w:p>
        </w:tc>
        <w:tc>
          <w:tcPr>
            <w:tcW w:w="2268" w:type="dxa"/>
            <w:vAlign w:val="center"/>
          </w:tcPr>
          <w:p w14:paraId="219BA17B" w14:textId="76CF9620" w:rsidR="004731B9" w:rsidRDefault="004731B9" w:rsidP="00223D2D">
            <w:pPr>
              <w:pStyle w:val="TableText"/>
              <w:keepLines/>
              <w:jc w:val="center"/>
            </w:pPr>
            <w:r>
              <w:t>1 (2005)</w:t>
            </w:r>
          </w:p>
        </w:tc>
        <w:tc>
          <w:tcPr>
            <w:tcW w:w="2693" w:type="dxa"/>
            <w:vAlign w:val="center"/>
          </w:tcPr>
          <w:p w14:paraId="6A8E9FAE" w14:textId="04D20A47" w:rsidR="004731B9" w:rsidRDefault="004731B9" w:rsidP="00223D2D">
            <w:pPr>
              <w:pStyle w:val="TableText"/>
              <w:keepLines/>
              <w:jc w:val="center"/>
            </w:pPr>
            <w:r>
              <w:t>0 (2021)</w:t>
            </w:r>
          </w:p>
        </w:tc>
        <w:tc>
          <w:tcPr>
            <w:tcW w:w="1410" w:type="dxa"/>
            <w:vAlign w:val="center"/>
          </w:tcPr>
          <w:p w14:paraId="3135B4DF" w14:textId="2EFA6923" w:rsidR="004731B9" w:rsidRDefault="00286E01" w:rsidP="00223D2D">
            <w:pPr>
              <w:pStyle w:val="TableText"/>
              <w:keepLines/>
              <w:jc w:val="center"/>
            </w:pPr>
            <w:r>
              <w:t>-100</w:t>
            </w:r>
          </w:p>
        </w:tc>
      </w:tr>
      <w:tr w:rsidR="004731B9" w14:paraId="51F13E4E" w14:textId="4BB85486" w:rsidTr="00974882">
        <w:tc>
          <w:tcPr>
            <w:tcW w:w="2689" w:type="dxa"/>
            <w:vAlign w:val="center"/>
          </w:tcPr>
          <w:p w14:paraId="6B4A2648" w14:textId="77777777" w:rsidR="00974882" w:rsidRDefault="004731B9" w:rsidP="00223D2D">
            <w:pPr>
              <w:pStyle w:val="TableText"/>
              <w:keepLines/>
              <w:jc w:val="center"/>
            </w:pPr>
            <w:r>
              <w:t xml:space="preserve">Subpopulation 6A </w:t>
            </w:r>
          </w:p>
          <w:p w14:paraId="5BD4AE4C" w14:textId="3A22FCD4" w:rsidR="004731B9" w:rsidRDefault="004731B9" w:rsidP="00223D2D">
            <w:pPr>
              <w:pStyle w:val="TableText"/>
              <w:keepLines/>
              <w:jc w:val="center"/>
            </w:pPr>
            <w:r>
              <w:t>(Bakers Knob A)</w:t>
            </w:r>
          </w:p>
        </w:tc>
        <w:tc>
          <w:tcPr>
            <w:tcW w:w="2268" w:type="dxa"/>
            <w:vAlign w:val="center"/>
          </w:tcPr>
          <w:p w14:paraId="092F90D3" w14:textId="4382D06E" w:rsidR="004731B9" w:rsidRDefault="004731B9" w:rsidP="00223D2D">
            <w:pPr>
              <w:pStyle w:val="TableText"/>
              <w:keepLines/>
              <w:jc w:val="center"/>
            </w:pPr>
            <w:r>
              <w:t>&gt;10 (2004)</w:t>
            </w:r>
          </w:p>
        </w:tc>
        <w:tc>
          <w:tcPr>
            <w:tcW w:w="2693" w:type="dxa"/>
            <w:vAlign w:val="center"/>
          </w:tcPr>
          <w:p w14:paraId="00D3A1C2" w14:textId="46D7D70D" w:rsidR="004731B9" w:rsidRDefault="004731B9" w:rsidP="00223D2D">
            <w:pPr>
              <w:pStyle w:val="TableText"/>
              <w:keepLines/>
              <w:jc w:val="center"/>
            </w:pPr>
            <w:r>
              <w:t>160 (2021)</w:t>
            </w:r>
          </w:p>
        </w:tc>
        <w:tc>
          <w:tcPr>
            <w:tcW w:w="1410" w:type="dxa"/>
            <w:vAlign w:val="center"/>
          </w:tcPr>
          <w:p w14:paraId="798F6434" w14:textId="2CDE21D1" w:rsidR="004731B9" w:rsidRDefault="00BD6390" w:rsidP="00223D2D">
            <w:pPr>
              <w:pStyle w:val="TableText"/>
              <w:keepLines/>
              <w:jc w:val="center"/>
            </w:pPr>
            <w:r>
              <w:t>+1500</w:t>
            </w:r>
          </w:p>
        </w:tc>
      </w:tr>
      <w:tr w:rsidR="004731B9" w14:paraId="1DDD444C" w14:textId="71246956" w:rsidTr="00974882">
        <w:tc>
          <w:tcPr>
            <w:tcW w:w="2689" w:type="dxa"/>
            <w:vAlign w:val="center"/>
          </w:tcPr>
          <w:p w14:paraId="2746D4AA" w14:textId="77777777" w:rsidR="00974882" w:rsidRDefault="004731B9" w:rsidP="00223D2D">
            <w:pPr>
              <w:pStyle w:val="TableText"/>
              <w:keepLines/>
              <w:jc w:val="center"/>
            </w:pPr>
            <w:r>
              <w:t xml:space="preserve">Subpopulation 9 </w:t>
            </w:r>
          </w:p>
          <w:p w14:paraId="2EF02455" w14:textId="39F280E0" w:rsidR="004731B9" w:rsidRDefault="004731B9" w:rsidP="00223D2D">
            <w:pPr>
              <w:pStyle w:val="TableText"/>
              <w:keepLines/>
              <w:jc w:val="center"/>
            </w:pPr>
            <w:r>
              <w:t>(East Bluff)</w:t>
            </w:r>
          </w:p>
        </w:tc>
        <w:tc>
          <w:tcPr>
            <w:tcW w:w="2268" w:type="dxa"/>
            <w:vAlign w:val="center"/>
          </w:tcPr>
          <w:p w14:paraId="4DAEA8B2" w14:textId="5CD3FC73" w:rsidR="004731B9" w:rsidRDefault="004731B9" w:rsidP="00223D2D">
            <w:pPr>
              <w:pStyle w:val="TableText"/>
              <w:keepLines/>
              <w:jc w:val="center"/>
            </w:pPr>
            <w:r>
              <w:t>50 (2007)</w:t>
            </w:r>
          </w:p>
        </w:tc>
        <w:tc>
          <w:tcPr>
            <w:tcW w:w="2693" w:type="dxa"/>
            <w:vAlign w:val="center"/>
          </w:tcPr>
          <w:p w14:paraId="408A8A02" w14:textId="3A9717C4" w:rsidR="004731B9" w:rsidRDefault="004731B9" w:rsidP="00223D2D">
            <w:pPr>
              <w:pStyle w:val="TableText"/>
              <w:keepLines/>
              <w:jc w:val="center"/>
            </w:pPr>
            <w:r>
              <w:t>45 (2021)</w:t>
            </w:r>
          </w:p>
        </w:tc>
        <w:tc>
          <w:tcPr>
            <w:tcW w:w="1410" w:type="dxa"/>
            <w:vAlign w:val="center"/>
          </w:tcPr>
          <w:p w14:paraId="1CEA0AD8" w14:textId="562B1F5C" w:rsidR="004731B9" w:rsidRDefault="004B4E58" w:rsidP="00223D2D">
            <w:pPr>
              <w:pStyle w:val="TableText"/>
              <w:keepLines/>
              <w:jc w:val="center"/>
            </w:pPr>
            <w:r>
              <w:t>-1</w:t>
            </w:r>
            <w:r w:rsidR="00297549">
              <w:t>0</w:t>
            </w:r>
          </w:p>
        </w:tc>
      </w:tr>
      <w:tr w:rsidR="00297549" w14:paraId="36461A5A" w14:textId="77777777" w:rsidTr="001731C7">
        <w:tc>
          <w:tcPr>
            <w:tcW w:w="2689" w:type="dxa"/>
            <w:vAlign w:val="center"/>
          </w:tcPr>
          <w:p w14:paraId="497C565C" w14:textId="303CD4CE" w:rsidR="00297549" w:rsidRPr="00297549" w:rsidRDefault="00297549" w:rsidP="00223D2D">
            <w:pPr>
              <w:pStyle w:val="TableText"/>
              <w:keepLines/>
              <w:jc w:val="center"/>
              <w:rPr>
                <w:b/>
                <w:bCs/>
              </w:rPr>
            </w:pPr>
            <w:r w:rsidRPr="00297549">
              <w:rPr>
                <w:b/>
                <w:bCs/>
              </w:rPr>
              <w:t>Total</w:t>
            </w:r>
          </w:p>
        </w:tc>
        <w:tc>
          <w:tcPr>
            <w:tcW w:w="2268" w:type="dxa"/>
            <w:shd w:val="clear" w:color="auto" w:fill="auto"/>
            <w:vAlign w:val="center"/>
          </w:tcPr>
          <w:p w14:paraId="4209ED40" w14:textId="2681DBBF" w:rsidR="00297549" w:rsidRDefault="0089518D" w:rsidP="00223D2D">
            <w:pPr>
              <w:pStyle w:val="TableText"/>
              <w:keepLines/>
              <w:jc w:val="center"/>
            </w:pPr>
            <w:r>
              <w:t>111</w:t>
            </w:r>
          </w:p>
        </w:tc>
        <w:tc>
          <w:tcPr>
            <w:tcW w:w="2693" w:type="dxa"/>
            <w:shd w:val="clear" w:color="auto" w:fill="auto"/>
            <w:vAlign w:val="center"/>
          </w:tcPr>
          <w:p w14:paraId="11DF8453" w14:textId="347B96B4" w:rsidR="00297549" w:rsidRDefault="0089518D" w:rsidP="00223D2D">
            <w:pPr>
              <w:pStyle w:val="TableText"/>
              <w:keepLines/>
              <w:jc w:val="center"/>
            </w:pPr>
            <w:r>
              <w:t>315</w:t>
            </w:r>
          </w:p>
        </w:tc>
        <w:tc>
          <w:tcPr>
            <w:tcW w:w="1410" w:type="dxa"/>
            <w:vAlign w:val="center"/>
          </w:tcPr>
          <w:p w14:paraId="46E40FFC" w14:textId="6374A667" w:rsidR="00297549" w:rsidRDefault="005F4B35" w:rsidP="00223D2D">
            <w:pPr>
              <w:pStyle w:val="TableText"/>
              <w:keepLines/>
              <w:tabs>
                <w:tab w:val="center" w:pos="526"/>
              </w:tabs>
              <w:jc w:val="center"/>
            </w:pPr>
            <w:r>
              <w:t>+184</w:t>
            </w:r>
          </w:p>
        </w:tc>
      </w:tr>
    </w:tbl>
    <w:p w14:paraId="0D05A273" w14:textId="347B8B09" w:rsidR="00691C08" w:rsidRDefault="00691C08" w:rsidP="00223D2D">
      <w:pPr>
        <w:pStyle w:val="FigureTableNoteSource"/>
        <w:keepLines/>
      </w:pPr>
      <w:r w:rsidRPr="00C478F6">
        <w:t>Note:</w:t>
      </w:r>
      <w:r>
        <w:t xml:space="preserve"> The number of mature individuals</w:t>
      </w:r>
      <w:r w:rsidRPr="00C478F6">
        <w:t xml:space="preserve"> is </w:t>
      </w:r>
      <w:r>
        <w:t>sourced</w:t>
      </w:r>
      <w:r w:rsidRPr="00C478F6">
        <w:t xml:space="preserve"> from</w:t>
      </w:r>
      <w:r w:rsidRPr="00C478F6">
        <w:rPr>
          <w:noProof/>
        </w:rPr>
        <w:t xml:space="preserve"> Hartley &amp; Barrett (2008) and </w:t>
      </w:r>
      <w:r w:rsidRPr="003B2C20">
        <w:rPr>
          <w:noProof/>
        </w:rPr>
        <w:t>DBCA (2021</w:t>
      </w:r>
      <w:r>
        <w:t>)</w:t>
      </w:r>
      <w:r w:rsidR="0089036A">
        <w:t>.</w:t>
      </w:r>
      <w:r w:rsidR="00304904" w:rsidRPr="00304904">
        <w:t xml:space="preserve"> </w:t>
      </w:r>
      <w:r w:rsidR="00304904">
        <w:t>Population estimates vary in their accuracy in particular older estimates.</w:t>
      </w:r>
    </w:p>
    <w:p w14:paraId="5E73F496" w14:textId="4CC2FFB2" w:rsidR="00280297" w:rsidRPr="006D6B84" w:rsidRDefault="006D6B84" w:rsidP="00B313D8">
      <w:pPr>
        <w:keepNext/>
        <w:keepLines/>
        <w:rPr>
          <w:i/>
          <w:iCs/>
          <w:lang w:eastAsia="ja-JP"/>
        </w:rPr>
      </w:pPr>
      <w:r w:rsidRPr="006D6B84">
        <w:rPr>
          <w:i/>
          <w:iCs/>
          <w:lang w:eastAsia="ja-JP"/>
        </w:rPr>
        <w:lastRenderedPageBreak/>
        <w:t>Future population reduction</w:t>
      </w:r>
    </w:p>
    <w:p w14:paraId="73624987" w14:textId="383B4C9C" w:rsidR="001E1AF7" w:rsidRDefault="00B313D8" w:rsidP="001E1AF7">
      <w:pPr>
        <w:keepNext/>
        <w:keepLines/>
      </w:pPr>
      <w:r w:rsidRPr="004C7CD7">
        <w:t xml:space="preserve">In 2018, </w:t>
      </w:r>
      <w:r>
        <w:t xml:space="preserve">an escaped prescribed burn burnt </w:t>
      </w:r>
      <w:r w:rsidRPr="004C7CD7">
        <w:t>17</w:t>
      </w:r>
      <w:r w:rsidR="003B4658">
        <w:t>,</w:t>
      </w:r>
      <w:r w:rsidRPr="004C7CD7">
        <w:t xml:space="preserve">000 hectares </w:t>
      </w:r>
      <w:r>
        <w:t xml:space="preserve">in </w:t>
      </w:r>
      <w:r w:rsidRPr="004C7CD7">
        <w:t xml:space="preserve">the eastern extent of Stirling Range National Park </w:t>
      </w:r>
      <w:r w:rsidRPr="00BB215E">
        <w:rPr>
          <w:noProof/>
        </w:rPr>
        <w:t>(OBRM 2018)</w:t>
      </w:r>
      <w:r>
        <w:t xml:space="preserve">, including </w:t>
      </w:r>
      <w:r w:rsidR="00223D2D">
        <w:t xml:space="preserve">parts of </w:t>
      </w:r>
      <w:r w:rsidR="00442FB8">
        <w:t xml:space="preserve">all extant subpopulations of the </w:t>
      </w:r>
      <w:r w:rsidR="003B4658">
        <w:t>y</w:t>
      </w:r>
      <w:r w:rsidR="003B4658" w:rsidRPr="00184886">
        <w:t xml:space="preserve">ellow </w:t>
      </w:r>
      <w:r w:rsidR="003B4658">
        <w:t>m</w:t>
      </w:r>
      <w:r w:rsidR="003B4658" w:rsidRPr="00184886">
        <w:t xml:space="preserve">ountain </w:t>
      </w:r>
      <w:r w:rsidR="003B4658">
        <w:t>b</w:t>
      </w:r>
      <w:r w:rsidR="003B4658" w:rsidRPr="00184886">
        <w:t>ell</w:t>
      </w:r>
      <w:r>
        <w:t xml:space="preserve"> (DBCA</w:t>
      </w:r>
      <w:r w:rsidRPr="0080114D">
        <w:rPr>
          <w:noProof/>
        </w:rPr>
        <w:t xml:space="preserve"> </w:t>
      </w:r>
      <w:r w:rsidRPr="008C0626">
        <w:rPr>
          <w:noProof/>
        </w:rPr>
        <w:t xml:space="preserve">2021. pers comm </w:t>
      </w:r>
      <w:r>
        <w:rPr>
          <w:noProof/>
        </w:rPr>
        <w:t>3 September</w:t>
      </w:r>
      <w:r>
        <w:t>).</w:t>
      </w:r>
      <w:r w:rsidRPr="00BB215E">
        <w:t xml:space="preserve"> In 2019-20, a bushfire burnt 4</w:t>
      </w:r>
      <w:r w:rsidR="003B4658">
        <w:t>0,</w:t>
      </w:r>
      <w:r w:rsidRPr="00BB215E">
        <w:t xml:space="preserve">000 hectares of the eastern extent of Stirling Range National </w:t>
      </w:r>
      <w:r w:rsidRPr="0080114D">
        <w:t xml:space="preserve">Park </w:t>
      </w:r>
      <w:r w:rsidRPr="0080114D">
        <w:rPr>
          <w:noProof/>
        </w:rPr>
        <w:t>(DAWE 2020; Todd &amp; Maurer 2020)</w:t>
      </w:r>
      <w:r w:rsidRPr="0080114D">
        <w:t xml:space="preserve">, including </w:t>
      </w:r>
      <w:r w:rsidR="00223D2D">
        <w:t xml:space="preserve">additional parts of </w:t>
      </w:r>
      <w:r w:rsidR="000B5E94" w:rsidRPr="0080114D">
        <w:t>subpopulation 1, 6A and 9</w:t>
      </w:r>
      <w:r w:rsidR="000B5E94">
        <w:t xml:space="preserve"> (</w:t>
      </w:r>
      <w:r w:rsidRPr="0080114D">
        <w:t>Bluff Knoll/Bula Meela, Bakers Knob and East Bluff) (DBCA</w:t>
      </w:r>
      <w:r w:rsidRPr="0080114D">
        <w:rPr>
          <w:noProof/>
        </w:rPr>
        <w:t xml:space="preserve"> 2021. pers comm 3 September</w:t>
      </w:r>
      <w:r w:rsidRPr="0080114D">
        <w:t xml:space="preserve">). </w:t>
      </w:r>
      <w:bookmarkStart w:id="31" w:name="_Hlk82589562"/>
      <w:r w:rsidR="009A0B3C">
        <w:t>Therefore, a</w:t>
      </w:r>
      <w:r w:rsidRPr="0080114D">
        <w:t>ll subpopulations were burnt by</w:t>
      </w:r>
      <w:r w:rsidR="00022479">
        <w:t xml:space="preserve"> fires in</w:t>
      </w:r>
      <w:r w:rsidRPr="0080114D">
        <w:t xml:space="preserve"> either </w:t>
      </w:r>
      <w:r w:rsidR="00022479">
        <w:t>2</w:t>
      </w:r>
      <w:r w:rsidRPr="0080114D">
        <w:t>018 or 2019-20</w:t>
      </w:r>
      <w:r w:rsidR="009F6C4E">
        <w:t xml:space="preserve"> (approximately </w:t>
      </w:r>
      <w:r w:rsidR="007E312F">
        <w:t>95</w:t>
      </w:r>
      <w:r w:rsidR="009F6C4E">
        <w:t xml:space="preserve"> percent of mature individuals)</w:t>
      </w:r>
      <w:r w:rsidRPr="0080114D">
        <w:t xml:space="preserve">, with small </w:t>
      </w:r>
      <w:r w:rsidR="00E851EF">
        <w:t xml:space="preserve">parts of </w:t>
      </w:r>
      <w:r w:rsidR="00E851EF" w:rsidRPr="0080114D">
        <w:t>subpopulation 1, 6A and 9</w:t>
      </w:r>
      <w:r w:rsidR="00E851EF">
        <w:t xml:space="preserve"> (</w:t>
      </w:r>
      <w:r w:rsidRPr="0080114D">
        <w:t>Bluff Knoll/Bula Meela, Bakers Knob and East Bluff) burnt by both fires (DBCA</w:t>
      </w:r>
      <w:r w:rsidRPr="0080114D">
        <w:rPr>
          <w:noProof/>
        </w:rPr>
        <w:t xml:space="preserve"> 2021. pers comm 3 September</w:t>
      </w:r>
      <w:r w:rsidRPr="0080114D">
        <w:t>).</w:t>
      </w:r>
    </w:p>
    <w:bookmarkEnd w:id="31"/>
    <w:p w14:paraId="1CABA3A0" w14:textId="6F2B9E88" w:rsidR="001E1AF7" w:rsidRDefault="00B47C3B" w:rsidP="00223D2D">
      <w:pPr>
        <w:keepNext/>
        <w:keepLines/>
      </w:pPr>
      <w:r>
        <w:rPr>
          <w:bCs/>
        </w:rPr>
        <w:t>T</w:t>
      </w:r>
      <w:r w:rsidR="00126DE2">
        <w:rPr>
          <w:bCs/>
        </w:rPr>
        <w:t xml:space="preserve">he </w:t>
      </w:r>
      <w:r w:rsidR="003B4658">
        <w:t>y</w:t>
      </w:r>
      <w:r w:rsidR="003B4658" w:rsidRPr="00184886">
        <w:t xml:space="preserve">ellow </w:t>
      </w:r>
      <w:r w:rsidR="003B4658">
        <w:t>m</w:t>
      </w:r>
      <w:r w:rsidR="003B4658" w:rsidRPr="00184886">
        <w:t xml:space="preserve">ountain </w:t>
      </w:r>
      <w:r w:rsidR="003B4658">
        <w:t>b</w:t>
      </w:r>
      <w:r w:rsidR="003B4658" w:rsidRPr="00184886">
        <w:t>ell</w:t>
      </w:r>
      <w:r w:rsidR="003B4658">
        <w:rPr>
          <w:bCs/>
        </w:rPr>
        <w:t xml:space="preserve"> </w:t>
      </w:r>
      <w:r w:rsidR="00126DE2">
        <w:rPr>
          <w:bCs/>
        </w:rPr>
        <w:t xml:space="preserve">undergoes </w:t>
      </w:r>
      <w:r w:rsidR="00126DE2" w:rsidRPr="00A94B92">
        <w:t>natural fluctuations in the number of mature individuals</w:t>
      </w:r>
      <w:r w:rsidR="00126DE2">
        <w:t xml:space="preserve">, </w:t>
      </w:r>
      <w:r w:rsidR="00222283">
        <w:t>characterised by the death of</w:t>
      </w:r>
      <w:r w:rsidR="00126DE2">
        <w:t xml:space="preserve"> mature individuals </w:t>
      </w:r>
      <w:r w:rsidR="00222283">
        <w:t>and recruitment of seedlings</w:t>
      </w:r>
      <w:r w:rsidR="00126DE2">
        <w:t xml:space="preserve"> </w:t>
      </w:r>
      <w:r w:rsidR="00126DE2">
        <w:rPr>
          <w:noProof/>
        </w:rPr>
        <w:t>(Hartley &amp; Barrett 2008; DBCA 2021)</w:t>
      </w:r>
      <w:r w:rsidR="00126DE2">
        <w:t>.</w:t>
      </w:r>
      <w:r w:rsidR="00222283">
        <w:t xml:space="preserve"> However, </w:t>
      </w:r>
      <w:bookmarkStart w:id="32" w:name="_Hlk82589600"/>
      <w:r w:rsidR="00222283">
        <w:t>d</w:t>
      </w:r>
      <w:r w:rsidR="001E1AF7">
        <w:t>uring the</w:t>
      </w:r>
      <w:r w:rsidR="001E1AF7" w:rsidRPr="007F5628">
        <w:t xml:space="preserve"> 2019-20 fire</w:t>
      </w:r>
      <w:r w:rsidR="001E1AF7">
        <w:t xml:space="preserve">, </w:t>
      </w:r>
      <w:r w:rsidR="00223D2D">
        <w:t xml:space="preserve">some areas of </w:t>
      </w:r>
      <w:r w:rsidR="001E1AF7" w:rsidRPr="007F5628">
        <w:t xml:space="preserve">seedlings that </w:t>
      </w:r>
      <w:r w:rsidR="002C21F5">
        <w:t xml:space="preserve">had </w:t>
      </w:r>
      <w:r w:rsidR="001E1AF7" w:rsidRPr="007F5628">
        <w:t xml:space="preserve">emerged following the 2018 fire </w:t>
      </w:r>
      <w:r w:rsidR="004F3A87">
        <w:t xml:space="preserve">in </w:t>
      </w:r>
      <w:r w:rsidR="001E1AF7" w:rsidRPr="007F5628">
        <w:t>subpopulations 6A and 9</w:t>
      </w:r>
      <w:r w:rsidR="004F3A87">
        <w:t xml:space="preserve"> (</w:t>
      </w:r>
      <w:r w:rsidR="004F3A87" w:rsidRPr="007F5628">
        <w:t>Bakers Knob and East Bluff</w:t>
      </w:r>
      <w:r w:rsidR="001E1AF7" w:rsidRPr="007F5628">
        <w:t>) were killed (DBCA 2021. pers comm 3 September).</w:t>
      </w:r>
      <w:r w:rsidR="001E1AF7">
        <w:t xml:space="preserve"> </w:t>
      </w:r>
      <w:r w:rsidR="001E1AF7" w:rsidRPr="007F5628">
        <w:t>Following the 2019-20 bushfires, germination has been patchy, with no recruitment</w:t>
      </w:r>
      <w:r w:rsidR="001E1AF7">
        <w:t xml:space="preserve"> </w:t>
      </w:r>
      <w:r w:rsidR="001E1AF7" w:rsidRPr="00AB20A5">
        <w:t xml:space="preserve">in some </w:t>
      </w:r>
      <w:r w:rsidR="004F3A87">
        <w:t>parts of subpopulation 9 (</w:t>
      </w:r>
      <w:r w:rsidR="001E1AF7" w:rsidRPr="00AB20A5">
        <w:t xml:space="preserve">East Bluff) </w:t>
      </w:r>
      <w:r w:rsidR="00223D2D" w:rsidRPr="00AB20A5">
        <w:t>(DBCA 2021. pers comm 3 September).</w:t>
      </w:r>
      <w:r w:rsidR="00223D2D">
        <w:t xml:space="preserve"> Varying levels of </w:t>
      </w:r>
      <w:r w:rsidR="00223D2D" w:rsidRPr="00AB20A5">
        <w:t xml:space="preserve">seedling </w:t>
      </w:r>
      <w:r w:rsidR="00223D2D">
        <w:t>mortality</w:t>
      </w:r>
      <w:r w:rsidR="00223D2D" w:rsidRPr="00AB20A5">
        <w:t xml:space="preserve"> </w:t>
      </w:r>
      <w:r w:rsidR="00223D2D">
        <w:t xml:space="preserve">have been observed </w:t>
      </w:r>
      <w:r w:rsidR="00223D2D" w:rsidRPr="00AB20A5">
        <w:t xml:space="preserve">in all subpopulations, </w:t>
      </w:r>
      <w:r w:rsidR="00223D2D">
        <w:t xml:space="preserve">particularly in the summer 2019/20 </w:t>
      </w:r>
      <w:r w:rsidR="00223D2D" w:rsidRPr="00AB20A5">
        <w:t>due to the</w:t>
      </w:r>
      <w:r w:rsidR="00223D2D">
        <w:t xml:space="preserve"> interacting</w:t>
      </w:r>
      <w:r w:rsidR="001E1AF7" w:rsidRPr="00AB20A5">
        <w:t xml:space="preserve"> impacts of drought, competition, herbivory and/or disease (DBCA 2021. pers comm 3 September). Further seedling deaths are expected during the spring/summer of 2021-22, as high rainfall in the winter of 2021 is likely to exacerbate the impacts of </w:t>
      </w:r>
      <w:r w:rsidR="001E1AF7" w:rsidRPr="00AB20A5">
        <w:rPr>
          <w:i/>
          <w:iCs/>
        </w:rPr>
        <w:t>P. cinnamomi</w:t>
      </w:r>
      <w:r w:rsidR="001E1AF7" w:rsidRPr="00AB20A5">
        <w:t xml:space="preserve"> (DBCA 2021. pers comm 3 September).</w:t>
      </w:r>
    </w:p>
    <w:bookmarkEnd w:id="32"/>
    <w:p w14:paraId="2B2BFA40" w14:textId="10562E15" w:rsidR="000B3B92" w:rsidRDefault="001E1AF7" w:rsidP="00022479">
      <w:pPr>
        <w:keepLines/>
      </w:pPr>
      <w:r>
        <w:t>The</w:t>
      </w:r>
      <w:r w:rsidRPr="00AB20A5">
        <w:t xml:space="preserve"> loss of seedlings, following </w:t>
      </w:r>
      <w:r>
        <w:t>fires in</w:t>
      </w:r>
      <w:r w:rsidRPr="00AB20A5">
        <w:t xml:space="preserve"> 2018 and 2019-20, will result in a net </w:t>
      </w:r>
      <w:r w:rsidR="007855EC">
        <w:t>reduction</w:t>
      </w:r>
      <w:r w:rsidRPr="00AB20A5">
        <w:t xml:space="preserve"> of mature individuals.</w:t>
      </w:r>
      <w:r>
        <w:t xml:space="preserve"> The </w:t>
      </w:r>
      <w:r w:rsidR="000B3B92">
        <w:t xml:space="preserve">net </w:t>
      </w:r>
      <w:r w:rsidR="007855EC">
        <w:t>reduction</w:t>
      </w:r>
      <w:r>
        <w:t xml:space="preserve"> of mature individuals is projected to </w:t>
      </w:r>
      <w:r w:rsidR="000B3B92">
        <w:t xml:space="preserve">increase </w:t>
      </w:r>
      <w:r w:rsidR="00DC409E">
        <w:t>over the next decade</w:t>
      </w:r>
      <w:r>
        <w:t xml:space="preserve">, due to ongoing impacts of inappropriate fire regimes, dieback caused </w:t>
      </w:r>
      <w:r>
        <w:rPr>
          <w:i/>
          <w:iCs/>
        </w:rPr>
        <w:t>P. cinnamomi</w:t>
      </w:r>
      <w:r>
        <w:t xml:space="preserve">, altered rainfall patterns (causing both increased time in drought &amp; high rainfall exacerbating the impacts of </w:t>
      </w:r>
      <w:r>
        <w:rPr>
          <w:i/>
          <w:iCs/>
        </w:rPr>
        <w:t>P. cinnamomi</w:t>
      </w:r>
      <w:r>
        <w:t xml:space="preserve">) and browsing by </w:t>
      </w:r>
      <w:r w:rsidR="00A93AC9">
        <w:t>quokka</w:t>
      </w:r>
      <w:r>
        <w:t>.</w:t>
      </w:r>
      <w:r w:rsidR="00DC409E">
        <w:t xml:space="preserve"> </w:t>
      </w:r>
      <w:r w:rsidR="007C60C0">
        <w:t xml:space="preserve">However, the rate of this decline </w:t>
      </w:r>
      <w:r w:rsidR="000B3B92">
        <w:t>is unknown</w:t>
      </w:r>
      <w:r w:rsidR="00DC409E">
        <w:t xml:space="preserve">. </w:t>
      </w:r>
      <w:r w:rsidR="000B3B92">
        <w:t>As such, there appears to be is insufficient evidence to consider the species under A3 or A4 (future reduction).</w:t>
      </w:r>
    </w:p>
    <w:p w14:paraId="3EEC5BA3" w14:textId="3AA6454F" w:rsidR="00342206" w:rsidRDefault="00554AE9" w:rsidP="001825DE">
      <w:pPr>
        <w:keepNext/>
        <w:keepLines/>
        <w:rPr>
          <w:i/>
          <w:iCs/>
          <w:lang w:eastAsia="ja-JP"/>
        </w:rPr>
      </w:pPr>
      <w:r>
        <w:rPr>
          <w:i/>
          <w:iCs/>
          <w:lang w:eastAsia="ja-JP"/>
        </w:rPr>
        <w:t>Conclusion</w:t>
      </w:r>
    </w:p>
    <w:p w14:paraId="6B1801F8" w14:textId="542986EA" w:rsidR="00554AE9" w:rsidRPr="00554AE9" w:rsidRDefault="0060065D" w:rsidP="001825DE">
      <w:pPr>
        <w:keepNext/>
        <w:keepLines/>
        <w:rPr>
          <w:lang w:eastAsia="ja-JP"/>
        </w:rPr>
      </w:pPr>
      <w:r w:rsidRPr="000A5525">
        <w:rPr>
          <w:bCs/>
        </w:rPr>
        <w:t>There are insufficient data to demonstrate if the species is eligible for listing under this criterion. However, the</w:t>
      </w:r>
      <w:r w:rsidRPr="00374C7B">
        <w:rPr>
          <w:bCs/>
        </w:rPr>
        <w:t xml:space="preserve"> purpose of this consultation document is to elicit additional information to better understand the species’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p>
    <w:p w14:paraId="4E46F519" w14:textId="77777777" w:rsidR="0060065D" w:rsidRDefault="0060065D">
      <w:pPr>
        <w:spacing w:after="0" w:line="240" w:lineRule="auto"/>
        <w:rPr>
          <w:rFonts w:ascii="Calibri" w:hAnsi="Calibri"/>
          <w:b/>
          <w:bCs/>
          <w:sz w:val="24"/>
          <w:szCs w:val="18"/>
          <w:lang w:eastAsia="ja-JP"/>
        </w:rPr>
      </w:pPr>
      <w:r>
        <w:rPr>
          <w:lang w:eastAsia="ja-JP"/>
        </w:rPr>
        <w:br w:type="page"/>
      </w:r>
    </w:p>
    <w:p w14:paraId="6194719C" w14:textId="58299506"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5FD03F41" w14:textId="77777777" w:rsidTr="00B6264B">
        <w:trPr>
          <w:trHeight w:val="350"/>
        </w:trPr>
        <w:tc>
          <w:tcPr>
            <w:tcW w:w="10738" w:type="dxa"/>
            <w:gridSpan w:val="4"/>
            <w:tcBorders>
              <w:bottom w:val="nil"/>
            </w:tcBorders>
            <w:shd w:val="clear" w:color="auto" w:fill="595959" w:themeFill="text1" w:themeFillTint="A6"/>
            <w:vAlign w:val="center"/>
          </w:tcPr>
          <w:p w14:paraId="16D761D1"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7AE90BE4" w14:textId="77777777" w:rsidTr="00B6264B">
        <w:tc>
          <w:tcPr>
            <w:tcW w:w="4111" w:type="dxa"/>
            <w:tcBorders>
              <w:top w:val="nil"/>
              <w:bottom w:val="nil"/>
              <w:right w:val="nil"/>
            </w:tcBorders>
          </w:tcPr>
          <w:p w14:paraId="53178085"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47AA5B56" w14:textId="77777777" w:rsidR="00B6264B" w:rsidRPr="00795F43" w:rsidRDefault="00B6264B" w:rsidP="000E630E">
            <w:pPr>
              <w:pStyle w:val="TableText"/>
              <w:keepNext/>
              <w:rPr>
                <w:rStyle w:val="Strong"/>
              </w:rPr>
            </w:pPr>
            <w:r w:rsidRPr="00795F43">
              <w:rPr>
                <w:rStyle w:val="Strong"/>
              </w:rPr>
              <w:t>Critically Endangered</w:t>
            </w:r>
          </w:p>
          <w:p w14:paraId="6D7ED718"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60EA04A" w14:textId="77777777" w:rsidR="00B6264B" w:rsidRPr="00556843" w:rsidRDefault="00B6264B" w:rsidP="000E630E">
            <w:pPr>
              <w:pStyle w:val="TableText"/>
              <w:keepNext/>
              <w:rPr>
                <w:b/>
              </w:rPr>
            </w:pPr>
            <w:r w:rsidRPr="00556843">
              <w:rPr>
                <w:b/>
              </w:rPr>
              <w:t>Endangered</w:t>
            </w:r>
          </w:p>
          <w:p w14:paraId="6A28185D"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1F3B8DB1" w14:textId="77777777" w:rsidR="00B6264B" w:rsidRPr="00556843" w:rsidRDefault="00B6264B" w:rsidP="000E630E">
            <w:pPr>
              <w:pStyle w:val="TableText"/>
              <w:keepNext/>
              <w:rPr>
                <w:b/>
              </w:rPr>
            </w:pPr>
            <w:r w:rsidRPr="00556843">
              <w:rPr>
                <w:b/>
              </w:rPr>
              <w:t>Vulnerable</w:t>
            </w:r>
          </w:p>
          <w:p w14:paraId="4AB773FA" w14:textId="77777777" w:rsidR="00B6264B" w:rsidRPr="00556843" w:rsidRDefault="00B6264B" w:rsidP="000E630E">
            <w:pPr>
              <w:pStyle w:val="TableText"/>
              <w:keepNext/>
              <w:rPr>
                <w:b/>
              </w:rPr>
            </w:pPr>
            <w:r w:rsidRPr="00556843">
              <w:rPr>
                <w:b/>
              </w:rPr>
              <w:t>Limited</w:t>
            </w:r>
          </w:p>
        </w:tc>
      </w:tr>
      <w:tr w:rsidR="00B6264B" w:rsidRPr="00556843" w14:paraId="6EFA405A"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597A345F"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037F4CE"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DB769F0"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067F3A1"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74372130"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183A6DF"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02A57B54"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178EF7A"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787EA5F"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03ABECA4" w14:textId="77777777" w:rsidTr="00B6264B">
        <w:tc>
          <w:tcPr>
            <w:tcW w:w="10738" w:type="dxa"/>
            <w:gridSpan w:val="4"/>
            <w:tcBorders>
              <w:top w:val="nil"/>
              <w:bottom w:val="nil"/>
            </w:tcBorders>
          </w:tcPr>
          <w:p w14:paraId="0201371C"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6A7FB80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5A1FD49"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27EC2B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4008BB9"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13FCF640" w14:textId="77777777" w:rsidR="00B6264B" w:rsidRPr="00556843" w:rsidRDefault="00B6264B" w:rsidP="000E630E">
            <w:pPr>
              <w:pStyle w:val="TableText"/>
              <w:keepNext/>
              <w:rPr>
                <w:b/>
              </w:rPr>
            </w:pPr>
            <w:r w:rsidRPr="00556843">
              <w:rPr>
                <w:b/>
              </w:rPr>
              <w:t>≤ 10</w:t>
            </w:r>
          </w:p>
        </w:tc>
      </w:tr>
      <w:tr w:rsidR="00B6264B" w:rsidRPr="00556843" w14:paraId="1883BA9C"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0C31EDC"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1BDB83D4" w14:textId="77777777" w:rsidTr="00B6264B">
        <w:tc>
          <w:tcPr>
            <w:tcW w:w="10738" w:type="dxa"/>
            <w:gridSpan w:val="4"/>
            <w:tcBorders>
              <w:top w:val="single" w:sz="4" w:space="0" w:color="FFFFFF" w:themeColor="background1"/>
            </w:tcBorders>
            <w:shd w:val="clear" w:color="auto" w:fill="BFBFBF" w:themeFill="background1" w:themeFillShade="BF"/>
          </w:tcPr>
          <w:p w14:paraId="109AC09A"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4F5D121D"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408CC1EB" w14:textId="1335ABD5" w:rsidR="00F52A16" w:rsidRDefault="00B6264B" w:rsidP="00B6264B">
      <w:pPr>
        <w:rPr>
          <w:b/>
          <w:bCs/>
          <w:lang w:eastAsia="ja-JP"/>
        </w:rPr>
      </w:pPr>
      <w:r w:rsidRPr="006157FE">
        <w:rPr>
          <w:rStyle w:val="Strong"/>
        </w:rPr>
        <w:t>Eligible</w:t>
      </w:r>
      <w:r w:rsidRPr="00AE31DA">
        <w:rPr>
          <w:rStyle w:val="Strong"/>
        </w:rPr>
        <w:t xml:space="preserve"> </w:t>
      </w:r>
      <w:r w:rsidRPr="001D70DC">
        <w:rPr>
          <w:rStyle w:val="Strong"/>
        </w:rPr>
        <w:t>under Criterion 2</w:t>
      </w:r>
      <w:r w:rsidRPr="001D70DC">
        <w:rPr>
          <w:bCs/>
          <w:lang w:eastAsia="ja-JP"/>
        </w:rPr>
        <w:t xml:space="preserve"> </w:t>
      </w:r>
      <w:r w:rsidR="00A85421" w:rsidRPr="001D70DC">
        <w:rPr>
          <w:b/>
          <w:lang w:eastAsia="ja-JP"/>
        </w:rPr>
        <w:t>B1ab(</w:t>
      </w:r>
      <w:proofErr w:type="spellStart"/>
      <w:proofErr w:type="gramStart"/>
      <w:r w:rsidR="00A85421" w:rsidRPr="001D70DC">
        <w:rPr>
          <w:b/>
          <w:lang w:eastAsia="ja-JP"/>
        </w:rPr>
        <w:t>i,ii</w:t>
      </w:r>
      <w:proofErr w:type="gramEnd"/>
      <w:r w:rsidR="00A85421" w:rsidRPr="001D70DC">
        <w:rPr>
          <w:b/>
          <w:lang w:eastAsia="ja-JP"/>
        </w:rPr>
        <w:t>,iii,iv</w:t>
      </w:r>
      <w:r w:rsidR="00803788" w:rsidRPr="001D70DC">
        <w:rPr>
          <w:b/>
          <w:lang w:eastAsia="ja-JP"/>
        </w:rPr>
        <w:t>,v</w:t>
      </w:r>
      <w:proofErr w:type="spellEnd"/>
      <w:r w:rsidR="00A85421" w:rsidRPr="001D70DC">
        <w:rPr>
          <w:b/>
          <w:lang w:eastAsia="ja-JP"/>
        </w:rPr>
        <w:t>)</w:t>
      </w:r>
      <w:r w:rsidR="00FC4332" w:rsidRPr="001D70DC">
        <w:rPr>
          <w:b/>
          <w:lang w:eastAsia="ja-JP"/>
        </w:rPr>
        <w:t>c(iv)</w:t>
      </w:r>
      <w:r w:rsidR="00A85421" w:rsidRPr="001D70DC">
        <w:rPr>
          <w:bCs/>
          <w:lang w:eastAsia="ja-JP"/>
        </w:rPr>
        <w:t xml:space="preserve"> </w:t>
      </w:r>
      <w:r w:rsidRPr="001D70DC">
        <w:rPr>
          <w:rStyle w:val="Strong"/>
        </w:rPr>
        <w:t xml:space="preserve">for listing </w:t>
      </w:r>
      <w:r w:rsidRPr="00786818">
        <w:rPr>
          <w:rStyle w:val="Strong"/>
        </w:rPr>
        <w:t>as</w:t>
      </w:r>
      <w:r w:rsidRPr="00786818">
        <w:rPr>
          <w:b/>
          <w:bCs/>
          <w:lang w:eastAsia="ja-JP"/>
        </w:rPr>
        <w:t xml:space="preserve"> </w:t>
      </w:r>
      <w:sdt>
        <w:sdtPr>
          <w:rPr>
            <w:b/>
            <w:bCs/>
          </w:rPr>
          <w:id w:val="1779288282"/>
          <w:placeholder>
            <w:docPart w:val="D75E05FA1B594371A48C20E491D591E3"/>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F318B2" w:rsidRPr="00786818">
            <w:rPr>
              <w:b/>
              <w:bCs/>
            </w:rPr>
            <w:t>Critically Endangered</w:t>
          </w:r>
        </w:sdtContent>
      </w:sdt>
    </w:p>
    <w:p w14:paraId="2649A36C" w14:textId="6AB2BAB5" w:rsidR="0017387F" w:rsidRPr="0014559E" w:rsidRDefault="0017387F" w:rsidP="0017387F">
      <w:pPr>
        <w:rPr>
          <w:i/>
          <w:iCs/>
          <w:lang w:eastAsia="ja-JP"/>
        </w:rPr>
      </w:pPr>
      <w:r w:rsidRPr="0014559E">
        <w:rPr>
          <w:i/>
          <w:iCs/>
          <w:lang w:eastAsia="ja-JP"/>
        </w:rPr>
        <w:t>E</w:t>
      </w:r>
      <w:r>
        <w:rPr>
          <w:i/>
          <w:iCs/>
          <w:lang w:eastAsia="ja-JP"/>
        </w:rPr>
        <w:t xml:space="preserve">xtent of occurrence </w:t>
      </w:r>
      <w:r w:rsidR="00420EAA">
        <w:rPr>
          <w:i/>
          <w:iCs/>
          <w:lang w:eastAsia="ja-JP"/>
        </w:rPr>
        <w:t xml:space="preserve">(EOO) </w:t>
      </w:r>
      <w:r>
        <w:rPr>
          <w:i/>
          <w:iCs/>
          <w:lang w:eastAsia="ja-JP"/>
        </w:rPr>
        <w:t>and area of occupancy</w:t>
      </w:r>
      <w:r w:rsidR="00420EAA">
        <w:rPr>
          <w:i/>
          <w:iCs/>
          <w:lang w:eastAsia="ja-JP"/>
        </w:rPr>
        <w:t xml:space="preserve"> (AOO)</w:t>
      </w:r>
    </w:p>
    <w:p w14:paraId="6988AAC3" w14:textId="4CE1AC6E" w:rsidR="00A9611E" w:rsidRDefault="00067886" w:rsidP="00067886">
      <w:r w:rsidRPr="00A85BCB">
        <w:rPr>
          <w:bCs/>
          <w:lang w:eastAsia="ja-JP"/>
        </w:rPr>
        <w:t xml:space="preserve">The </w:t>
      </w:r>
      <w:r w:rsidRPr="00476E26">
        <w:rPr>
          <w:bCs/>
          <w:lang w:eastAsia="ja-JP"/>
        </w:rPr>
        <w:t xml:space="preserve">EOO </w:t>
      </w:r>
      <w:r w:rsidR="00420EAA">
        <w:rPr>
          <w:bCs/>
          <w:lang w:eastAsia="ja-JP"/>
        </w:rPr>
        <w:t>and</w:t>
      </w:r>
      <w:r w:rsidRPr="00476E26">
        <w:rPr>
          <w:bCs/>
          <w:lang w:eastAsia="ja-JP"/>
        </w:rPr>
        <w:t xml:space="preserve"> AOO</w:t>
      </w:r>
      <w:r w:rsidRPr="00BA671F">
        <w:rPr>
          <w:bCs/>
          <w:lang w:eastAsia="ja-JP"/>
        </w:rPr>
        <w:t xml:space="preserve"> </w:t>
      </w:r>
      <w:r w:rsidR="00420EAA">
        <w:rPr>
          <w:bCs/>
          <w:lang w:eastAsia="ja-JP"/>
        </w:rPr>
        <w:t>are</w:t>
      </w:r>
      <w:r w:rsidRPr="00BA671F">
        <w:rPr>
          <w:bCs/>
          <w:lang w:eastAsia="ja-JP"/>
        </w:rPr>
        <w:t xml:space="preserve"> estimated at </w:t>
      </w:r>
      <w:r w:rsidR="00F318B2" w:rsidRPr="00420EAA">
        <w:rPr>
          <w:bCs/>
          <w:lang w:eastAsia="ja-JP"/>
        </w:rPr>
        <w:t>2</w:t>
      </w:r>
      <w:r w:rsidR="005A7BB8" w:rsidRPr="00420EAA">
        <w:rPr>
          <w:bCs/>
          <w:lang w:eastAsia="ja-JP"/>
        </w:rPr>
        <w:t>0</w:t>
      </w:r>
      <w:r w:rsidRPr="00420EAA">
        <w:rPr>
          <w:bCs/>
          <w:lang w:eastAsia="ja-JP"/>
        </w:rPr>
        <w:t xml:space="preserve"> km</w:t>
      </w:r>
      <w:r w:rsidRPr="00420EAA">
        <w:rPr>
          <w:bCs/>
          <w:vertAlign w:val="superscript"/>
          <w:lang w:eastAsia="ja-JP"/>
        </w:rPr>
        <w:t>2</w:t>
      </w:r>
      <w:r w:rsidRPr="00BA671F">
        <w:rPr>
          <w:bCs/>
          <w:lang w:eastAsia="ja-JP"/>
        </w:rPr>
        <w:t>. These figures are based on the mapping of point records from 199</w:t>
      </w:r>
      <w:r>
        <w:rPr>
          <w:bCs/>
          <w:lang w:eastAsia="ja-JP"/>
        </w:rPr>
        <w:t>6</w:t>
      </w:r>
      <w:r w:rsidR="00420EAA">
        <w:rPr>
          <w:bCs/>
          <w:lang w:eastAsia="ja-JP"/>
        </w:rPr>
        <w:t>–</w:t>
      </w:r>
      <w:r w:rsidRPr="00BA671F">
        <w:rPr>
          <w:bCs/>
          <w:lang w:eastAsia="ja-JP"/>
        </w:rPr>
        <w:t>2019, obtained</w:t>
      </w:r>
      <w:r w:rsidRPr="00A85BCB">
        <w:rPr>
          <w:bCs/>
          <w:lang w:eastAsia="ja-JP"/>
        </w:rPr>
        <w:t xml:space="preserve"> from state governments, </w:t>
      </w:r>
      <w:proofErr w:type="gramStart"/>
      <w:r w:rsidRPr="00A85BCB">
        <w:rPr>
          <w:bCs/>
          <w:lang w:eastAsia="ja-JP"/>
        </w:rPr>
        <w:t>museums</w:t>
      </w:r>
      <w:proofErr w:type="gramEnd"/>
      <w:r w:rsidRPr="00A85BCB">
        <w:rPr>
          <w:bCs/>
          <w:lang w:eastAsia="ja-JP"/>
        </w:rPr>
        <w:t xml:space="preserve"> and CSIRO. The AOO </w:t>
      </w:r>
      <w:r w:rsidR="00BB7C4F">
        <w:rPr>
          <w:bCs/>
          <w:lang w:eastAsia="ja-JP"/>
        </w:rPr>
        <w:t xml:space="preserve">was </w:t>
      </w:r>
      <w:r w:rsidRPr="00A85BCB">
        <w:rPr>
          <w:bCs/>
          <w:lang w:eastAsia="ja-JP"/>
        </w:rPr>
        <w:t>calculated using a 2</w:t>
      </w:r>
      <w:r>
        <w:rPr>
          <w:bCs/>
          <w:lang w:eastAsia="ja-JP"/>
        </w:rPr>
        <w:t xml:space="preserve"> </w:t>
      </w:r>
      <w:r w:rsidRPr="00A85BCB">
        <w:rPr>
          <w:bCs/>
          <w:lang w:eastAsia="ja-JP"/>
        </w:rPr>
        <w:t>x</w:t>
      </w:r>
      <w:r>
        <w:rPr>
          <w:bCs/>
          <w:lang w:eastAsia="ja-JP"/>
        </w:rPr>
        <w:t xml:space="preserve"> </w:t>
      </w:r>
      <w:r w:rsidRPr="00A85BCB">
        <w:rPr>
          <w:bCs/>
          <w:lang w:eastAsia="ja-JP"/>
        </w:rPr>
        <w:t>2 km grid cell method</w:t>
      </w:r>
      <w:r w:rsidR="005F35D7">
        <w:rPr>
          <w:lang w:eastAsia="ja-JP"/>
        </w:rPr>
        <w:t xml:space="preserve"> </w:t>
      </w:r>
      <w:r>
        <w:rPr>
          <w:noProof/>
        </w:rPr>
        <w:t>(IUCN 2019)</w:t>
      </w:r>
      <w:r>
        <w:t>.</w:t>
      </w:r>
      <w:r w:rsidR="005F35D7">
        <w:t xml:space="preserve"> </w:t>
      </w:r>
      <w:r w:rsidR="00F94F2C" w:rsidRPr="00F94F2C">
        <w:t>As EOO was smaller than AOO, the AOO estimate was also used as the EOO estimate in this assessment</w:t>
      </w:r>
      <w:r w:rsidR="00852406">
        <w:t xml:space="preserve"> (see Table 4)</w:t>
      </w:r>
      <w:r w:rsidR="00F94F2C" w:rsidRPr="00F94F2C">
        <w:t xml:space="preserve"> (IUCN 2019).</w:t>
      </w:r>
    </w:p>
    <w:p w14:paraId="61BD0337" w14:textId="3A24C2D4" w:rsidR="00067886" w:rsidRDefault="00067886" w:rsidP="00067886">
      <w:r>
        <w:t>T</w:t>
      </w:r>
      <w:r w:rsidRPr="009A6E8A">
        <w:t xml:space="preserve">he species’ EOO </w:t>
      </w:r>
      <w:r>
        <w:t>appear</w:t>
      </w:r>
      <w:r w:rsidR="00DE232B">
        <w:t>s</w:t>
      </w:r>
      <w:r w:rsidRPr="009A6E8A">
        <w:t xml:space="preserve"> </w:t>
      </w:r>
      <w:r>
        <w:t xml:space="preserve">to </w:t>
      </w:r>
      <w:r w:rsidRPr="009A6E8A">
        <w:t xml:space="preserve">meet the requirements for listing as </w:t>
      </w:r>
      <w:r w:rsidR="00F318B2">
        <w:t>Critically</w:t>
      </w:r>
      <w:r w:rsidRPr="009A6E8A">
        <w:t xml:space="preserve"> </w:t>
      </w:r>
      <w:r w:rsidR="001B7FAE">
        <w:t xml:space="preserve">Endangered </w:t>
      </w:r>
      <w:r w:rsidRPr="009A6E8A">
        <w:t>under B1 (&lt;</w:t>
      </w:r>
      <w:r w:rsidR="00F318B2">
        <w:t>100</w:t>
      </w:r>
      <w:r w:rsidRPr="009A6E8A">
        <w:t xml:space="preserve"> km</w:t>
      </w:r>
      <w:r w:rsidRPr="009A6E8A">
        <w:rPr>
          <w:vertAlign w:val="superscript"/>
        </w:rPr>
        <w:t>2</w:t>
      </w:r>
      <w:r w:rsidRPr="009A6E8A">
        <w:t>)</w:t>
      </w:r>
      <w:r w:rsidR="00DE232B">
        <w:t xml:space="preserve">. The species’ AOO appears to meet the requirements for listing as Endangered under B2 </w:t>
      </w:r>
      <w:r w:rsidR="00DE232B" w:rsidRPr="009A6E8A">
        <w:t>(&lt;</w:t>
      </w:r>
      <w:r w:rsidR="00DE232B">
        <w:t>500 </w:t>
      </w:r>
      <w:r w:rsidR="00DE232B" w:rsidRPr="009A6E8A">
        <w:t>km</w:t>
      </w:r>
      <w:r w:rsidR="00DE232B" w:rsidRPr="009A6E8A">
        <w:rPr>
          <w:vertAlign w:val="superscript"/>
        </w:rPr>
        <w:t>2</w:t>
      </w:r>
      <w:r w:rsidR="00DE232B" w:rsidRPr="009A6E8A">
        <w:t>)</w:t>
      </w:r>
      <w:r w:rsidR="00DE232B">
        <w:t>.</w:t>
      </w:r>
    </w:p>
    <w:p w14:paraId="2F530C91" w14:textId="63402D92" w:rsidR="00EE255E" w:rsidRPr="000F685A" w:rsidRDefault="00EE255E" w:rsidP="0040290D">
      <w:pPr>
        <w:keepNext/>
        <w:keepLines/>
        <w:rPr>
          <w:i/>
          <w:iCs/>
          <w:lang w:eastAsia="ja-JP"/>
        </w:rPr>
      </w:pPr>
      <w:bookmarkStart w:id="33" w:name="_Hlk85561551"/>
      <w:r>
        <w:rPr>
          <w:i/>
          <w:iCs/>
          <w:lang w:eastAsia="ja-JP"/>
        </w:rPr>
        <w:lastRenderedPageBreak/>
        <w:t>Number of locations</w:t>
      </w:r>
    </w:p>
    <w:bookmarkEnd w:id="33"/>
    <w:p w14:paraId="001B3CC1" w14:textId="2DC4B1E7" w:rsidR="007D14AD" w:rsidRPr="002A4CCD" w:rsidRDefault="00CE405A" w:rsidP="001075D6">
      <w:pPr>
        <w:keepNext/>
        <w:keepLines/>
      </w:pPr>
      <w:r>
        <w:t>As described in Criterion 1, a</w:t>
      </w:r>
      <w:r w:rsidR="00F8047C" w:rsidRPr="0080114D">
        <w:t xml:space="preserve">ll subpopulations were </w:t>
      </w:r>
      <w:r w:rsidR="00533E9E">
        <w:t>impacted</w:t>
      </w:r>
      <w:r w:rsidR="00F8047C" w:rsidRPr="0080114D">
        <w:t xml:space="preserve"> by</w:t>
      </w:r>
      <w:r w:rsidR="00E851EF">
        <w:t xml:space="preserve"> fires in</w:t>
      </w:r>
      <w:r w:rsidR="00F8047C" w:rsidRPr="0080114D">
        <w:t xml:space="preserve"> either 2018 or 2019-20, </w:t>
      </w:r>
      <w:r w:rsidR="00E851EF" w:rsidRPr="0080114D">
        <w:t xml:space="preserve">with small </w:t>
      </w:r>
      <w:r w:rsidR="00E851EF">
        <w:t xml:space="preserve">parts of </w:t>
      </w:r>
      <w:r w:rsidR="00E851EF" w:rsidRPr="0080114D">
        <w:t>subpopulation</w:t>
      </w:r>
      <w:r w:rsidR="002C21F5">
        <w:t>s</w:t>
      </w:r>
      <w:r w:rsidR="00E851EF" w:rsidRPr="0080114D">
        <w:t xml:space="preserve"> 1, 6A and 9</w:t>
      </w:r>
      <w:r w:rsidR="00E851EF">
        <w:t xml:space="preserve"> (</w:t>
      </w:r>
      <w:r w:rsidR="00E851EF" w:rsidRPr="0080114D">
        <w:t>Bluff Knoll/Bula Meela, Bakers Knob and East Bluff) burnt by both fires (DBCA</w:t>
      </w:r>
      <w:r w:rsidR="00E851EF" w:rsidRPr="0080114D">
        <w:rPr>
          <w:noProof/>
        </w:rPr>
        <w:t xml:space="preserve"> 2021. pers comm 3 September</w:t>
      </w:r>
      <w:r w:rsidR="00E851EF" w:rsidRPr="0080114D">
        <w:t>).</w:t>
      </w:r>
      <w:r w:rsidR="00570A53">
        <w:t xml:space="preserve"> </w:t>
      </w:r>
      <w:r w:rsidR="007D14AD">
        <w:t>A</w:t>
      </w:r>
      <w:r w:rsidR="00A60E21">
        <w:t>ccordingly, a</w:t>
      </w:r>
      <w:r w:rsidR="007D14AD">
        <w:t xml:space="preserve">t the time of this assessment (in 2021), </w:t>
      </w:r>
      <w:r w:rsidR="007A015B">
        <w:t xml:space="preserve">approximately 99 percent of individuals </w:t>
      </w:r>
      <w:r w:rsidR="00533E9E">
        <w:t>were</w:t>
      </w:r>
      <w:r w:rsidR="007A015B">
        <w:t xml:space="preserve"> juveniles </w:t>
      </w:r>
      <w:r w:rsidR="00362D4A">
        <w:t>(approximately 33</w:t>
      </w:r>
      <w:r w:rsidR="00F620DF">
        <w:t>,</w:t>
      </w:r>
      <w:r w:rsidR="006E4AF9">
        <w:t>200 individuals)</w:t>
      </w:r>
      <w:r w:rsidR="001258CE">
        <w:t xml:space="preserve"> (DBCA 2021), which are incapable of replenishing the seedbank</w:t>
      </w:r>
      <w:r w:rsidR="002C21F5">
        <w:t xml:space="preserve"> </w:t>
      </w:r>
      <w:r w:rsidR="009A0B3C">
        <w:t>until mature (6–7 years post-germination)</w:t>
      </w:r>
      <w:r w:rsidR="001258CE" w:rsidRPr="00FE1BF4">
        <w:t xml:space="preserve">. </w:t>
      </w:r>
      <w:r w:rsidR="00A208DE" w:rsidRPr="00FE1BF4">
        <w:t xml:space="preserve">Additionally, the </w:t>
      </w:r>
      <w:r w:rsidR="00302689" w:rsidRPr="00FE1BF4">
        <w:t>species</w:t>
      </w:r>
      <w:r w:rsidR="00A208DE" w:rsidRPr="00FE1BF4">
        <w:t xml:space="preserve"> may have a depleted seedbank </w:t>
      </w:r>
      <w:r w:rsidR="00302689" w:rsidRPr="00FE1BF4">
        <w:t xml:space="preserve">due to the </w:t>
      </w:r>
      <w:r w:rsidR="00533E9E" w:rsidRPr="00FE1BF4">
        <w:t>scale of the 2018 and 2019-20 fires</w:t>
      </w:r>
      <w:r w:rsidR="001258CE" w:rsidRPr="00FE1BF4">
        <w:t>.</w:t>
      </w:r>
      <w:r w:rsidR="00D00BBE" w:rsidRPr="00FE1BF4">
        <w:t xml:space="preserve"> </w:t>
      </w:r>
      <w:r w:rsidR="00FE1BF4" w:rsidRPr="00FE1BF4">
        <w:t>In species with soil-stored seedbanks, t</w:t>
      </w:r>
      <w:r w:rsidR="002C21F5" w:rsidRPr="00FE1BF4">
        <w:t>here may be</w:t>
      </w:r>
      <w:r w:rsidR="00AA7D58" w:rsidRPr="00FE1BF4">
        <w:t xml:space="preserve"> little to no residual soil-stored seedbank following fire </w:t>
      </w:r>
      <w:r w:rsidR="00AA7D58" w:rsidRPr="00FE1BF4">
        <w:rPr>
          <w:noProof/>
        </w:rPr>
        <w:t>(Auld &amp; Denham 2006)</w:t>
      </w:r>
      <w:r w:rsidR="00AA7D58" w:rsidRPr="00FE1BF4">
        <w:t xml:space="preserve"> and the size of the residual soil-stored seedbank declines with increasing fire severity </w:t>
      </w:r>
      <w:r w:rsidR="00AA7D58" w:rsidRPr="00FE1BF4">
        <w:rPr>
          <w:noProof/>
        </w:rPr>
        <w:t>(Palmer et al. 2018)</w:t>
      </w:r>
      <w:r w:rsidR="00AA7D58" w:rsidRPr="00FE1BF4">
        <w:t>.</w:t>
      </w:r>
    </w:p>
    <w:p w14:paraId="588172E4" w14:textId="03F3664E" w:rsidR="002709BA" w:rsidRDefault="001B72D3" w:rsidP="009D0B77">
      <w:pPr>
        <w:keepNext/>
        <w:keepLines/>
      </w:pPr>
      <w:r w:rsidRPr="002A4CCD">
        <w:t xml:space="preserve">If </w:t>
      </w:r>
      <w:r w:rsidR="00A1067E" w:rsidRPr="002A4CCD">
        <w:t xml:space="preserve">another threatening event (e.g., fire) were to occur within </w:t>
      </w:r>
      <w:r w:rsidR="00A1067E" w:rsidRPr="009A0B3C">
        <w:t xml:space="preserve">the next </w:t>
      </w:r>
      <w:r w:rsidR="009A0B3C" w:rsidRPr="009A0B3C">
        <w:t>20</w:t>
      </w:r>
      <w:r w:rsidR="00A1067E" w:rsidRPr="009A0B3C">
        <w:t xml:space="preserve"> years</w:t>
      </w:r>
      <w:r w:rsidR="00A1067E" w:rsidRPr="002A4CCD">
        <w:t xml:space="preserve"> </w:t>
      </w:r>
      <w:r w:rsidR="00677AD0" w:rsidRPr="002A4CCD">
        <w:rPr>
          <w:noProof/>
        </w:rPr>
        <w:t>(i.e., the minim</w:t>
      </w:r>
      <w:r w:rsidR="00854BE8">
        <w:rPr>
          <w:noProof/>
        </w:rPr>
        <w:t>um</w:t>
      </w:r>
      <w:r w:rsidR="00677AD0" w:rsidRPr="002A4CCD">
        <w:rPr>
          <w:noProof/>
        </w:rPr>
        <w:t xml:space="preserve"> fire-free interval required by the species</w:t>
      </w:r>
      <w:r w:rsidR="00854BE8">
        <w:rPr>
          <w:noProof/>
        </w:rPr>
        <w:t>)</w:t>
      </w:r>
      <w:r w:rsidR="009A0B3C">
        <w:rPr>
          <w:noProof/>
        </w:rPr>
        <w:t xml:space="preserve"> across all subpopulations</w:t>
      </w:r>
      <w:r w:rsidR="00854BE8">
        <w:rPr>
          <w:noProof/>
        </w:rPr>
        <w:t xml:space="preserve">, </w:t>
      </w:r>
      <w:r w:rsidR="00677AD0">
        <w:t xml:space="preserve">almost all individuals would be at high risk of </w:t>
      </w:r>
      <w:r w:rsidR="009A0B3C">
        <w:t xml:space="preserve">death or </w:t>
      </w:r>
      <w:r w:rsidR="00677AD0">
        <w:t xml:space="preserve">poor recovery and there may not be sufficient seed in the seedbank to replenish the population. </w:t>
      </w:r>
      <w:r w:rsidR="00990660">
        <w:t xml:space="preserve">As all subpopulations were </w:t>
      </w:r>
      <w:r w:rsidR="00BF2922">
        <w:t xml:space="preserve">impacted </w:t>
      </w:r>
      <w:r w:rsidR="00067CB2">
        <w:t xml:space="preserve">by the 2018 </w:t>
      </w:r>
      <w:r w:rsidR="00FD5027">
        <w:t xml:space="preserve">escaped prescribed </w:t>
      </w:r>
      <w:r w:rsidR="00067CB2">
        <w:t>fire</w:t>
      </w:r>
      <w:r w:rsidR="00E31711">
        <w:t xml:space="preserve">, it is feasible for a single fire to affect the species’ entire distribution. Accordingly, only a single threatening event (e.g., fire) would be required </w:t>
      </w:r>
      <w:r w:rsidR="005F336C">
        <w:t xml:space="preserve">within the next </w:t>
      </w:r>
      <w:r w:rsidR="00DD636C">
        <w:t>20</w:t>
      </w:r>
      <w:r w:rsidR="00C7031A" w:rsidRPr="002A4CCD">
        <w:t xml:space="preserve"> </w:t>
      </w:r>
      <w:r w:rsidR="005F336C">
        <w:t>years for all individuals to be rapidly affected.</w:t>
      </w:r>
    </w:p>
    <w:p w14:paraId="5BAAC0FE" w14:textId="0810C2D1" w:rsidR="008B7629" w:rsidRPr="00137CB0" w:rsidRDefault="008B7629" w:rsidP="008B7629">
      <w:pPr>
        <w:keepNext/>
        <w:keepLines/>
      </w:pPr>
      <w:r>
        <w:t xml:space="preserve">The number of locations used in this assessment is one. </w:t>
      </w:r>
      <w:r w:rsidRPr="009A6E8A">
        <w:t xml:space="preserve">The species’ number of locations appears to meet the requirement for listing as </w:t>
      </w:r>
      <w:r>
        <w:t xml:space="preserve">Critically </w:t>
      </w:r>
      <w:r w:rsidRPr="009A6E8A">
        <w:t>Endangered under this criterion.</w:t>
      </w:r>
    </w:p>
    <w:p w14:paraId="07DCBB43" w14:textId="3DD0C714" w:rsidR="00415EB9" w:rsidRDefault="00415EB9" w:rsidP="00415EB9">
      <w:pPr>
        <w:keepNext/>
        <w:keepLines/>
        <w:rPr>
          <w:i/>
          <w:iCs/>
          <w:lang w:eastAsia="ja-JP"/>
        </w:rPr>
      </w:pPr>
      <w:r>
        <w:rPr>
          <w:i/>
          <w:iCs/>
          <w:lang w:eastAsia="ja-JP"/>
        </w:rPr>
        <w:t>Severe fragmentation</w:t>
      </w:r>
    </w:p>
    <w:p w14:paraId="59A733F8" w14:textId="37296BBF" w:rsidR="00745E2B" w:rsidRDefault="009F47EB" w:rsidP="009F47EB">
      <w:r>
        <w:t xml:space="preserve">The </w:t>
      </w:r>
      <w:r w:rsidR="003B4658">
        <w:t>y</w:t>
      </w:r>
      <w:r w:rsidR="003B4658" w:rsidRPr="00184886">
        <w:t xml:space="preserve">ellow </w:t>
      </w:r>
      <w:r w:rsidR="003B4658">
        <w:t>m</w:t>
      </w:r>
      <w:r w:rsidR="003B4658" w:rsidRPr="00184886">
        <w:t xml:space="preserve">ountain </w:t>
      </w:r>
      <w:r w:rsidR="003B4658">
        <w:t>b</w:t>
      </w:r>
      <w:r w:rsidR="003B4658" w:rsidRPr="00184886">
        <w:t>ell</w:t>
      </w:r>
      <w:r w:rsidR="003B4658" w:rsidRPr="00953519">
        <w:t xml:space="preserve"> </w:t>
      </w:r>
      <w:r w:rsidRPr="00953519">
        <w:t xml:space="preserve">is not considered to be severely fragmented. </w:t>
      </w:r>
      <w:r>
        <w:t xml:space="preserve">Although subpopulations occur on </w:t>
      </w:r>
      <w:r w:rsidR="001D6D65">
        <w:t xml:space="preserve">different </w:t>
      </w:r>
      <w:r w:rsidR="00F00F11">
        <w:t xml:space="preserve">mountain </w:t>
      </w:r>
      <w:r w:rsidR="001D6D65">
        <w:t xml:space="preserve">summits, </w:t>
      </w:r>
      <w:r w:rsidR="00745E2B">
        <w:t>more than 5</w:t>
      </w:r>
      <w:r w:rsidR="00745E2B" w:rsidRPr="00F00F11">
        <w:t xml:space="preserve">0 percent of its total </w:t>
      </w:r>
      <w:r w:rsidR="00745E2B">
        <w:t>AOO</w:t>
      </w:r>
      <w:r w:rsidR="00745E2B" w:rsidRPr="00F00F11">
        <w:t xml:space="preserve"> is in habitat patches that are (1) </w:t>
      </w:r>
      <w:r w:rsidR="00745E2B">
        <w:t>larger</w:t>
      </w:r>
      <w:r w:rsidR="00745E2B" w:rsidRPr="00F00F11">
        <w:t xml:space="preserve"> than would be required to support a viable population, and (2) separated from other habitat patches by a </w:t>
      </w:r>
      <w:r w:rsidR="00745E2B">
        <w:t>small</w:t>
      </w:r>
      <w:r w:rsidR="00745E2B" w:rsidRPr="00F00F11">
        <w:t xml:space="preserve"> distance, relative to its dispersive potential</w:t>
      </w:r>
      <w:r w:rsidR="0060065D">
        <w:t>.</w:t>
      </w:r>
    </w:p>
    <w:p w14:paraId="6E160F53" w14:textId="77777777" w:rsidR="004A6A03" w:rsidRDefault="00745E2B" w:rsidP="004A6A03">
      <w:r>
        <w:t>Th</w:t>
      </w:r>
      <w:r w:rsidR="009F47EB" w:rsidRPr="00750DB4">
        <w:t>e species</w:t>
      </w:r>
      <w:r w:rsidR="009F47EB">
        <w:t xml:space="preserve"> does not</w:t>
      </w:r>
      <w:r w:rsidR="009F47EB" w:rsidRPr="00750DB4">
        <w:t xml:space="preserve"> appear to meet the </w:t>
      </w:r>
      <w:r w:rsidR="009F47EB">
        <w:t>severe fragmentation</w:t>
      </w:r>
      <w:r w:rsidR="009F47EB" w:rsidRPr="00750DB4">
        <w:t xml:space="preserve"> requirement for listing under this criterion.</w:t>
      </w:r>
    </w:p>
    <w:p w14:paraId="15054D31" w14:textId="22B65A96" w:rsidR="0082163A" w:rsidRPr="0082163A" w:rsidRDefault="0082163A" w:rsidP="00A96523">
      <w:pPr>
        <w:rPr>
          <w:i/>
          <w:iCs/>
        </w:rPr>
      </w:pPr>
      <w:r>
        <w:rPr>
          <w:i/>
          <w:iCs/>
        </w:rPr>
        <w:t xml:space="preserve">Continuing decline </w:t>
      </w:r>
      <w:r w:rsidRPr="00002241">
        <w:rPr>
          <w:i/>
          <w:iCs/>
        </w:rPr>
        <w:t>(</w:t>
      </w:r>
      <w:r w:rsidRPr="00002241">
        <w:rPr>
          <w:i/>
          <w:iCs/>
          <w:noProof/>
        </w:rPr>
        <w:t>EOO, AOO and number of subpopulations)</w:t>
      </w:r>
    </w:p>
    <w:p w14:paraId="6DF9D54B" w14:textId="1AD44757" w:rsidR="00533E9E" w:rsidRDefault="00097136" w:rsidP="00533E9E">
      <w:pPr>
        <w:rPr>
          <w:noProof/>
        </w:rPr>
      </w:pPr>
      <w:r>
        <w:t>Six</w:t>
      </w:r>
      <w:r w:rsidR="00A96523">
        <w:t xml:space="preserve"> subpopulations</w:t>
      </w:r>
      <w:r w:rsidR="007A6151">
        <w:t xml:space="preserve"> of the </w:t>
      </w:r>
      <w:r w:rsidR="003B4658">
        <w:t>y</w:t>
      </w:r>
      <w:r w:rsidR="003B4658" w:rsidRPr="00184886">
        <w:t xml:space="preserve">ellow </w:t>
      </w:r>
      <w:r w:rsidR="003B4658">
        <w:t>m</w:t>
      </w:r>
      <w:r w:rsidR="003B4658" w:rsidRPr="00184886">
        <w:t xml:space="preserve">ountain </w:t>
      </w:r>
      <w:r w:rsidR="003B4658">
        <w:t>b</w:t>
      </w:r>
      <w:r w:rsidR="003B4658" w:rsidRPr="00184886">
        <w:t>ell</w:t>
      </w:r>
      <w:r w:rsidR="003B4658" w:rsidRPr="00953519">
        <w:t xml:space="preserve"> </w:t>
      </w:r>
      <w:r w:rsidR="00A96523">
        <w:t xml:space="preserve">(subpopulations 2, 4, 5, 6B, 7 and 8) </w:t>
      </w:r>
      <w:r w:rsidR="00533E9E">
        <w:t>are</w:t>
      </w:r>
      <w:r w:rsidR="00A96523" w:rsidRPr="009655EB">
        <w:t xml:space="preserve"> presumed </w:t>
      </w:r>
      <w:r w:rsidR="00A62E13">
        <w:t>to be</w:t>
      </w:r>
      <w:r w:rsidR="00A62E13" w:rsidRPr="00A62E13">
        <w:t xml:space="preserve"> </w:t>
      </w:r>
      <w:r w:rsidR="009A0B3C">
        <w:t>locally extinct</w:t>
      </w:r>
      <w:r w:rsidR="009A0B3C" w:rsidRPr="009655EB">
        <w:t xml:space="preserve"> </w:t>
      </w:r>
      <w:r w:rsidR="00A96523" w:rsidRPr="009655EB">
        <w:t xml:space="preserve">since the 1990s, due to the </w:t>
      </w:r>
      <w:r w:rsidR="00A96523" w:rsidRPr="009655EB">
        <w:rPr>
          <w:noProof/>
        </w:rPr>
        <w:t xml:space="preserve">combined impacts of </w:t>
      </w:r>
      <w:r w:rsidR="00A96523">
        <w:t>inappropriate fire regimes</w:t>
      </w:r>
      <w:r w:rsidR="00A96523" w:rsidRPr="009655EB">
        <w:rPr>
          <w:noProof/>
        </w:rPr>
        <w:t xml:space="preserve">, dieback caused </w:t>
      </w:r>
      <w:r w:rsidR="00A96523" w:rsidRPr="009655EB">
        <w:rPr>
          <w:i/>
          <w:iCs/>
          <w:noProof/>
        </w:rPr>
        <w:t>P. cinnamomi</w:t>
      </w:r>
      <w:r w:rsidR="00A96523" w:rsidRPr="009655EB">
        <w:t xml:space="preserve"> and</w:t>
      </w:r>
      <w:r w:rsidR="00A96523">
        <w:t xml:space="preserve"> </w:t>
      </w:r>
      <w:r w:rsidR="00A96523" w:rsidRPr="00DB5BEA">
        <w:t xml:space="preserve">high rainfall (exacerbating the impacts of </w:t>
      </w:r>
      <w:r w:rsidR="00A96523" w:rsidRPr="00DB5BEA">
        <w:rPr>
          <w:i/>
          <w:iCs/>
        </w:rPr>
        <w:t>P. cinnamomi</w:t>
      </w:r>
      <w:r w:rsidR="00A96523" w:rsidRPr="00DB5BEA">
        <w:t xml:space="preserve">) </w:t>
      </w:r>
      <w:r w:rsidR="00A96523" w:rsidRPr="00DB5BEA">
        <w:rPr>
          <w:noProof/>
        </w:rPr>
        <w:t xml:space="preserve">(Hartley &amp; Barrett 2008; DBCA 2021). Accordingly, </w:t>
      </w:r>
      <w:r w:rsidR="007A6151">
        <w:rPr>
          <w:noProof/>
        </w:rPr>
        <w:t xml:space="preserve">the </w:t>
      </w:r>
      <w:r w:rsidR="00A96523" w:rsidRPr="00DB5BEA">
        <w:rPr>
          <w:noProof/>
        </w:rPr>
        <w:t>EOO, AOO</w:t>
      </w:r>
      <w:r w:rsidR="007A6151">
        <w:rPr>
          <w:noProof/>
        </w:rPr>
        <w:t xml:space="preserve"> and</w:t>
      </w:r>
      <w:r w:rsidR="00A96523" w:rsidRPr="00DB5BEA">
        <w:rPr>
          <w:noProof/>
        </w:rPr>
        <w:t xml:space="preserve"> number of subpopulations of the </w:t>
      </w:r>
      <w:r w:rsidR="009A0B3C">
        <w:rPr>
          <w:noProof/>
        </w:rPr>
        <w:t>y</w:t>
      </w:r>
      <w:r w:rsidR="00A96523" w:rsidRPr="00DB5BEA">
        <w:rPr>
          <w:noProof/>
        </w:rPr>
        <w:t xml:space="preserve">ellow </w:t>
      </w:r>
      <w:r w:rsidR="009A0B3C">
        <w:rPr>
          <w:noProof/>
        </w:rPr>
        <w:t>m</w:t>
      </w:r>
      <w:r w:rsidR="00A96523" w:rsidRPr="00DB5BEA">
        <w:rPr>
          <w:noProof/>
        </w:rPr>
        <w:t>ou</w:t>
      </w:r>
      <w:r w:rsidR="00F620DF">
        <w:rPr>
          <w:noProof/>
        </w:rPr>
        <w:t>n</w:t>
      </w:r>
      <w:r w:rsidR="00A96523" w:rsidRPr="00DB5BEA">
        <w:rPr>
          <w:noProof/>
        </w:rPr>
        <w:t xml:space="preserve">tain </w:t>
      </w:r>
      <w:r w:rsidR="009A0B3C">
        <w:rPr>
          <w:noProof/>
        </w:rPr>
        <w:t>b</w:t>
      </w:r>
      <w:r w:rsidR="00A96523" w:rsidRPr="00DB5BEA">
        <w:rPr>
          <w:noProof/>
        </w:rPr>
        <w:t xml:space="preserve">ell </w:t>
      </w:r>
      <w:r w:rsidR="00533E9E">
        <w:rPr>
          <w:noProof/>
        </w:rPr>
        <w:t>have</w:t>
      </w:r>
      <w:r w:rsidR="00A96523" w:rsidRPr="00DB5BEA">
        <w:rPr>
          <w:noProof/>
        </w:rPr>
        <w:t xml:space="preserve"> declined since 1990.</w:t>
      </w:r>
    </w:p>
    <w:p w14:paraId="100E1354" w14:textId="4E2796E8" w:rsidR="006E5F7E" w:rsidRDefault="007A6151" w:rsidP="006E5F7E">
      <w:r>
        <w:t>T</w:t>
      </w:r>
      <w:r w:rsidR="00D67C0A">
        <w:t xml:space="preserve">he very </w:t>
      </w:r>
      <w:r w:rsidR="009A18C2">
        <w:t xml:space="preserve">low number of </w:t>
      </w:r>
      <w:r w:rsidR="00B501A3">
        <w:t xml:space="preserve">mature individuals </w:t>
      </w:r>
      <w:r w:rsidR="00615568">
        <w:t xml:space="preserve">in 2021 </w:t>
      </w:r>
      <w:r w:rsidR="00B501A3">
        <w:t>(</w:t>
      </w:r>
      <w:r w:rsidR="00E80859">
        <w:t>&lt;100 in each subpopulation</w:t>
      </w:r>
      <w:r w:rsidR="00EC4F5E">
        <w:t>, DBCA 2021</w:t>
      </w:r>
      <w:r w:rsidR="00B501A3">
        <w:t>)</w:t>
      </w:r>
      <w:r w:rsidR="00E80859">
        <w:t xml:space="preserve"> </w:t>
      </w:r>
      <w:r w:rsidR="00B501A3">
        <w:t xml:space="preserve">is likely to increase </w:t>
      </w:r>
      <w:r w:rsidR="00FC36C5">
        <w:t xml:space="preserve">each subpopulation’s </w:t>
      </w:r>
      <w:r w:rsidR="009A0B3C">
        <w:t xml:space="preserve">extinction </w:t>
      </w:r>
      <w:r w:rsidR="00B501A3">
        <w:t>risk</w:t>
      </w:r>
      <w:r w:rsidR="00FC36C5">
        <w:t xml:space="preserve">, following further </w:t>
      </w:r>
      <w:r w:rsidR="00816C67">
        <w:t>impacts from threats</w:t>
      </w:r>
      <w:r w:rsidR="00E80859">
        <w:t xml:space="preserve">, such as inappropriate fire regimes and dieback caused </w:t>
      </w:r>
      <w:r w:rsidR="00E80859">
        <w:rPr>
          <w:i/>
          <w:iCs/>
        </w:rPr>
        <w:t>P. cinnamomi</w:t>
      </w:r>
      <w:r w:rsidR="00816C67">
        <w:t xml:space="preserve">. </w:t>
      </w:r>
      <w:proofErr w:type="gramStart"/>
      <w:r w:rsidR="00816C67">
        <w:t>In particular,</w:t>
      </w:r>
      <w:r w:rsidR="00984431">
        <w:t xml:space="preserve"> </w:t>
      </w:r>
      <w:r w:rsidR="00615568">
        <w:t>subpopulation</w:t>
      </w:r>
      <w:proofErr w:type="gramEnd"/>
      <w:r w:rsidR="00615568">
        <w:t xml:space="preserve"> 3 (Coyanarup Peak) </w:t>
      </w:r>
      <w:r w:rsidR="00456B7C">
        <w:t>appears to be at</w:t>
      </w:r>
      <w:r w:rsidR="00615568">
        <w:t xml:space="preserve"> </w:t>
      </w:r>
      <w:r w:rsidR="005270D1">
        <w:t xml:space="preserve">extreme risk </w:t>
      </w:r>
      <w:r w:rsidR="00456B7C">
        <w:t>of extirpation</w:t>
      </w:r>
      <w:r w:rsidR="006F55AA">
        <w:t xml:space="preserve">, </w:t>
      </w:r>
      <w:r w:rsidR="005270D1">
        <w:t xml:space="preserve">as </w:t>
      </w:r>
      <w:r w:rsidR="00984431">
        <w:t xml:space="preserve">no mature individuals </w:t>
      </w:r>
      <w:r w:rsidR="006F55AA">
        <w:t xml:space="preserve">and only a small number of seedlings (&lt;300) </w:t>
      </w:r>
      <w:r w:rsidR="003612A1">
        <w:t>we</w:t>
      </w:r>
      <w:r w:rsidR="006F55AA">
        <w:t xml:space="preserve">re present in </w:t>
      </w:r>
      <w:r w:rsidR="00984431">
        <w:t xml:space="preserve">2021 (DBCA 2021). </w:t>
      </w:r>
      <w:r w:rsidR="0076185A">
        <w:t xml:space="preserve">This suggests that </w:t>
      </w:r>
      <w:r w:rsidR="009F19E8">
        <w:t>EOO, AOO and</w:t>
      </w:r>
      <w:r w:rsidR="000452E5">
        <w:t xml:space="preserve"> number of subpopulations</w:t>
      </w:r>
      <w:r w:rsidR="006F55AA">
        <w:t xml:space="preserve"> </w:t>
      </w:r>
      <w:r w:rsidR="00533E9E">
        <w:t>will</w:t>
      </w:r>
      <w:r w:rsidR="00043740">
        <w:t xml:space="preserve"> continue</w:t>
      </w:r>
      <w:r w:rsidR="006F55AA">
        <w:t xml:space="preserve"> to decline</w:t>
      </w:r>
      <w:r w:rsidR="000452E5">
        <w:t>.</w:t>
      </w:r>
    </w:p>
    <w:p w14:paraId="0E884B13" w14:textId="1879B47E" w:rsidR="005B7410" w:rsidRDefault="005B7410" w:rsidP="006E5F7E">
      <w:r w:rsidRPr="009A6E8A">
        <w:lastRenderedPageBreak/>
        <w:t xml:space="preserve">The </w:t>
      </w:r>
      <w:r w:rsidR="00D00C7E" w:rsidRPr="009A6E8A">
        <w:t>species</w:t>
      </w:r>
      <w:r w:rsidRPr="009A6E8A">
        <w:t xml:space="preserve"> </w:t>
      </w:r>
      <w:r>
        <w:t xml:space="preserve">appears to be undergoing continuing decline in </w:t>
      </w:r>
      <w:r>
        <w:rPr>
          <w:lang w:eastAsia="ja-JP"/>
        </w:rPr>
        <w:t>EOO, AOO</w:t>
      </w:r>
      <w:r w:rsidR="00DA3454">
        <w:rPr>
          <w:lang w:eastAsia="ja-JP"/>
        </w:rPr>
        <w:t xml:space="preserve"> and </w:t>
      </w:r>
      <w:r w:rsidRPr="007D4A85">
        <w:rPr>
          <w:lang w:eastAsia="ja-JP"/>
        </w:rPr>
        <w:t>number of subpopulations</w:t>
      </w:r>
      <w:r>
        <w:rPr>
          <w:lang w:eastAsia="ja-JP"/>
        </w:rPr>
        <w:t>. Accordingly, the species</w:t>
      </w:r>
      <w:r w:rsidRPr="009A6E8A">
        <w:t xml:space="preserve"> appears to meet the </w:t>
      </w:r>
      <w:r>
        <w:t xml:space="preserve">continuing decline </w:t>
      </w:r>
      <w:r w:rsidRPr="009A6E8A">
        <w:t xml:space="preserve">requirement for </w:t>
      </w:r>
      <w:r>
        <w:t>listing under this criterion</w:t>
      </w:r>
      <w:r w:rsidRPr="009A6E8A">
        <w:t>.</w:t>
      </w:r>
    </w:p>
    <w:p w14:paraId="0F636866" w14:textId="77777777" w:rsidR="001C55F5" w:rsidRDefault="001C55F5" w:rsidP="001C55F5">
      <w:pPr>
        <w:keepNext/>
        <w:keepLines/>
        <w:rPr>
          <w:i/>
          <w:iCs/>
          <w:lang w:eastAsia="ja-JP"/>
        </w:rPr>
      </w:pPr>
      <w:r w:rsidRPr="007E312F">
        <w:rPr>
          <w:i/>
          <w:iCs/>
          <w:lang w:eastAsia="ja-JP"/>
        </w:rPr>
        <w:t>Continuing decline (number of mature individuals)</w:t>
      </w:r>
    </w:p>
    <w:p w14:paraId="73A8C20E" w14:textId="406C3444" w:rsidR="001C55F5" w:rsidRDefault="00A14000" w:rsidP="001C55F5">
      <w:pPr>
        <w:keepNext/>
        <w:keepLines/>
      </w:pPr>
      <w:r>
        <w:t>As described in Criterion 1, a</w:t>
      </w:r>
      <w:r w:rsidRPr="0080114D">
        <w:t xml:space="preserve">ll subpopulations were </w:t>
      </w:r>
      <w:r>
        <w:t>impacted</w:t>
      </w:r>
      <w:r w:rsidRPr="0080114D">
        <w:t xml:space="preserve"> by</w:t>
      </w:r>
      <w:r>
        <w:t xml:space="preserve"> fires in</w:t>
      </w:r>
      <w:r w:rsidRPr="0080114D">
        <w:t xml:space="preserve"> either 2018 or 2019-20, with small </w:t>
      </w:r>
      <w:r>
        <w:t xml:space="preserve">parts of </w:t>
      </w:r>
      <w:r w:rsidRPr="0080114D">
        <w:t>subpopulation 1, 6A and 9</w:t>
      </w:r>
      <w:r>
        <w:t xml:space="preserve"> (</w:t>
      </w:r>
      <w:r w:rsidRPr="0080114D">
        <w:t>Bluff Knoll/Bula Meela, Bakers Knob and East Bluff) burnt by both fires (DBCA</w:t>
      </w:r>
      <w:r w:rsidRPr="0080114D">
        <w:rPr>
          <w:noProof/>
        </w:rPr>
        <w:t xml:space="preserve"> 2021. pers comm 3 September</w:t>
      </w:r>
      <w:r w:rsidRPr="0080114D">
        <w:t>).</w:t>
      </w:r>
      <w:r w:rsidR="001C55F5" w:rsidRPr="00524025">
        <w:t xml:space="preserve"> </w:t>
      </w:r>
      <w:bookmarkStart w:id="34" w:name="_Hlk82589658"/>
      <w:r w:rsidR="003612A1">
        <w:t>A</w:t>
      </w:r>
      <w:r w:rsidR="001C55F5" w:rsidRPr="00524025">
        <w:t xml:space="preserve">pproximately </w:t>
      </w:r>
      <w:r w:rsidR="007E312F">
        <w:t>9</w:t>
      </w:r>
      <w:r w:rsidR="001C55F5" w:rsidRPr="00524025">
        <w:t xml:space="preserve">5 </w:t>
      </w:r>
      <w:r w:rsidR="001C55F5" w:rsidRPr="007F5628">
        <w:t xml:space="preserve">percent of mature individuals were burnt across the four extant subpopulations by either </w:t>
      </w:r>
      <w:r w:rsidR="003612A1">
        <w:t xml:space="preserve">the </w:t>
      </w:r>
      <w:r w:rsidR="001C55F5" w:rsidRPr="007F5628">
        <w:t>2018 or 2019-20 fires (DBCA 2021. pers comm 3 September).</w:t>
      </w:r>
    </w:p>
    <w:bookmarkEnd w:id="34"/>
    <w:p w14:paraId="3C75010C" w14:textId="15A48D9F" w:rsidR="004F3A87" w:rsidRDefault="004F3A87" w:rsidP="004F3A87">
      <w:pPr>
        <w:keepNext/>
        <w:keepLines/>
      </w:pPr>
      <w:r>
        <w:rPr>
          <w:bCs/>
        </w:rPr>
        <w:t xml:space="preserve">The </w:t>
      </w:r>
      <w:r w:rsidR="003B4658">
        <w:t>y</w:t>
      </w:r>
      <w:r w:rsidR="003B4658" w:rsidRPr="00184886">
        <w:t xml:space="preserve">ellow </w:t>
      </w:r>
      <w:r w:rsidR="003B4658">
        <w:t>m</w:t>
      </w:r>
      <w:r w:rsidR="003B4658" w:rsidRPr="00184886">
        <w:t xml:space="preserve">ountain </w:t>
      </w:r>
      <w:r w:rsidR="003B4658">
        <w:t>b</w:t>
      </w:r>
      <w:r w:rsidR="003B4658" w:rsidRPr="00184886">
        <w:t>ell</w:t>
      </w:r>
      <w:r w:rsidR="003B4658" w:rsidRPr="00953519">
        <w:t xml:space="preserve"> </w:t>
      </w:r>
      <w:r>
        <w:rPr>
          <w:bCs/>
        </w:rPr>
        <w:t xml:space="preserve">undergoes </w:t>
      </w:r>
      <w:r w:rsidRPr="00A94B92">
        <w:t>natural fluctuations in the number of mature individuals</w:t>
      </w:r>
      <w:r>
        <w:t xml:space="preserve">, characterised by the death of mature individuals and recruitment of seedlings </w:t>
      </w:r>
      <w:r>
        <w:rPr>
          <w:noProof/>
        </w:rPr>
        <w:t>(Hartley &amp; Barrett 2008; DBCA 2021)</w:t>
      </w:r>
      <w:r>
        <w:t xml:space="preserve">. </w:t>
      </w:r>
      <w:r w:rsidR="007E312F">
        <w:t>D</w:t>
      </w:r>
      <w:r>
        <w:t>uring the</w:t>
      </w:r>
      <w:r w:rsidRPr="007F5628">
        <w:t xml:space="preserve"> 2019-20 fire</w:t>
      </w:r>
      <w:r>
        <w:t xml:space="preserve">, </w:t>
      </w:r>
      <w:r w:rsidRPr="007F5628">
        <w:t>s</w:t>
      </w:r>
      <w:r w:rsidR="007E312F">
        <w:t>ome areas of s</w:t>
      </w:r>
      <w:r w:rsidRPr="007F5628">
        <w:t xml:space="preserve">eedlings that </w:t>
      </w:r>
      <w:r w:rsidR="003612A1">
        <w:t xml:space="preserve">had </w:t>
      </w:r>
      <w:r w:rsidRPr="007F5628">
        <w:t xml:space="preserve">emerged following the 2018 fire </w:t>
      </w:r>
      <w:r>
        <w:t xml:space="preserve">in </w:t>
      </w:r>
      <w:r w:rsidRPr="007F5628">
        <w:t>subpopulations 6A and 9</w:t>
      </w:r>
      <w:r>
        <w:t xml:space="preserve"> (</w:t>
      </w:r>
      <w:r w:rsidRPr="007F5628">
        <w:t>Bakers Knob and East Bluff) were killed (DBCA 2021. pers comm 3 September).</w:t>
      </w:r>
      <w:r>
        <w:t xml:space="preserve"> </w:t>
      </w:r>
      <w:r w:rsidRPr="007F5628">
        <w:t>Following the 2019-20 bushfires, germination has been patchy, with no recruitment</w:t>
      </w:r>
      <w:r>
        <w:t xml:space="preserve"> </w:t>
      </w:r>
      <w:r w:rsidRPr="00AB20A5">
        <w:t xml:space="preserve">in some </w:t>
      </w:r>
      <w:r>
        <w:t>parts of subpopulation 9 (</w:t>
      </w:r>
      <w:r w:rsidRPr="00AB20A5">
        <w:t xml:space="preserve">East Bluff) and </w:t>
      </w:r>
      <w:r w:rsidR="007E312F">
        <w:t xml:space="preserve">varying levels of </w:t>
      </w:r>
      <w:r w:rsidRPr="00AB20A5">
        <w:t xml:space="preserve">seedling </w:t>
      </w:r>
      <w:r w:rsidR="007E312F">
        <w:t>mortality</w:t>
      </w:r>
      <w:r w:rsidRPr="00AB20A5">
        <w:t xml:space="preserve"> in all subpopulations, </w:t>
      </w:r>
      <w:bookmarkStart w:id="35" w:name="_Hlk82519834"/>
      <w:r w:rsidRPr="00AB20A5">
        <w:t xml:space="preserve">due to the </w:t>
      </w:r>
      <w:r w:rsidR="007E312F">
        <w:t xml:space="preserve">interacting </w:t>
      </w:r>
      <w:r w:rsidRPr="00AB20A5">
        <w:t xml:space="preserve">impacts of drought, competition, herbivory and/or disease </w:t>
      </w:r>
      <w:bookmarkEnd w:id="35"/>
      <w:r w:rsidRPr="00AB20A5">
        <w:t xml:space="preserve">(DBCA 2021. pers comm 3 September). </w:t>
      </w:r>
      <w:bookmarkStart w:id="36" w:name="_Hlk82519902"/>
      <w:r w:rsidRPr="00AB20A5">
        <w:t xml:space="preserve">Further seedling deaths are expected during the spring/summer of 2021-22, as high rainfall in the winter of 2021 is likely to exacerbate the impacts of </w:t>
      </w:r>
      <w:r w:rsidRPr="00AB20A5">
        <w:rPr>
          <w:i/>
          <w:iCs/>
        </w:rPr>
        <w:t>P. cinnamomi</w:t>
      </w:r>
      <w:r w:rsidRPr="00AB20A5">
        <w:t xml:space="preserve"> </w:t>
      </w:r>
      <w:bookmarkEnd w:id="36"/>
      <w:r w:rsidRPr="00AB20A5">
        <w:t>(DBCA 2021. pers comm 3 September).</w:t>
      </w:r>
    </w:p>
    <w:p w14:paraId="50D39D56" w14:textId="108EC623" w:rsidR="001C55F5" w:rsidRDefault="001C55F5" w:rsidP="001C55F5">
      <w:pPr>
        <w:keepNext/>
        <w:keepLines/>
      </w:pPr>
      <w:r>
        <w:t>The</w:t>
      </w:r>
      <w:r w:rsidRPr="00AB20A5">
        <w:t xml:space="preserve"> loss of seedlings, following </w:t>
      </w:r>
      <w:r>
        <w:t>fires in</w:t>
      </w:r>
      <w:r w:rsidRPr="00AB20A5">
        <w:t xml:space="preserve"> 2018 and 2019-20, will result in a net loss of mature individuals.</w:t>
      </w:r>
      <w:r>
        <w:t xml:space="preserve"> The loss of mature individuals is projected to continue, due to ongoing impacts of inappropriate fire regimes, dieback caused </w:t>
      </w:r>
      <w:r>
        <w:rPr>
          <w:i/>
          <w:iCs/>
        </w:rPr>
        <w:t>P. cinnamomi</w:t>
      </w:r>
      <w:r>
        <w:t xml:space="preserve">, altered rainfall patterns (causing both increased time in drought &amp; high rainfall exacerbating the impacts of </w:t>
      </w:r>
      <w:r>
        <w:rPr>
          <w:i/>
          <w:iCs/>
        </w:rPr>
        <w:t>P. cinnamomi</w:t>
      </w:r>
      <w:r>
        <w:t xml:space="preserve">) and </w:t>
      </w:r>
      <w:r w:rsidR="00F310BB">
        <w:t>browsing</w:t>
      </w:r>
      <w:r w:rsidR="00827D2C">
        <w:t xml:space="preserve"> by </w:t>
      </w:r>
      <w:r w:rsidR="00A93AC9">
        <w:t>quokka</w:t>
      </w:r>
      <w:r>
        <w:t>.</w:t>
      </w:r>
    </w:p>
    <w:p w14:paraId="6147DB6F" w14:textId="4ECB8945" w:rsidR="001C55F5" w:rsidRDefault="001C55F5" w:rsidP="001C55F5">
      <w:r w:rsidRPr="009A6E8A">
        <w:t xml:space="preserve">The species </w:t>
      </w:r>
      <w:r>
        <w:t xml:space="preserve">appears to be undergoing continuing decline in </w:t>
      </w:r>
      <w:r>
        <w:rPr>
          <w:lang w:eastAsia="ja-JP"/>
        </w:rPr>
        <w:t>the number of</w:t>
      </w:r>
      <w:r w:rsidRPr="007D4A85">
        <w:rPr>
          <w:lang w:eastAsia="ja-JP"/>
        </w:rPr>
        <w:t xml:space="preserve"> mature individuals</w:t>
      </w:r>
      <w:r>
        <w:rPr>
          <w:lang w:eastAsia="ja-JP"/>
        </w:rPr>
        <w:t>. Accordingly, the species</w:t>
      </w:r>
      <w:r w:rsidRPr="009A6E8A">
        <w:t xml:space="preserve"> appears to meet the </w:t>
      </w:r>
      <w:r>
        <w:t xml:space="preserve">continuing decline </w:t>
      </w:r>
      <w:r w:rsidRPr="009A6E8A">
        <w:t xml:space="preserve">requirement for </w:t>
      </w:r>
      <w:r>
        <w:t>listing under this criterion</w:t>
      </w:r>
      <w:r w:rsidRPr="009A6E8A">
        <w:t>.</w:t>
      </w:r>
    </w:p>
    <w:p w14:paraId="17A1D7D6" w14:textId="77777777" w:rsidR="00827D2C" w:rsidRPr="0082163A" w:rsidRDefault="00827D2C" w:rsidP="00827D2C">
      <w:pPr>
        <w:rPr>
          <w:i/>
          <w:iCs/>
        </w:rPr>
      </w:pPr>
      <w:r>
        <w:rPr>
          <w:i/>
          <w:iCs/>
        </w:rPr>
        <w:t xml:space="preserve">Continuing decline </w:t>
      </w:r>
      <w:r w:rsidRPr="00002241">
        <w:rPr>
          <w:i/>
          <w:iCs/>
        </w:rPr>
        <w:t>(</w:t>
      </w:r>
      <w:r w:rsidRPr="00DA3454">
        <w:rPr>
          <w:i/>
          <w:iCs/>
          <w:lang w:eastAsia="ja-JP"/>
        </w:rPr>
        <w:t>area, extent and/or quality of habitat</w:t>
      </w:r>
      <w:r w:rsidRPr="00002241">
        <w:rPr>
          <w:i/>
          <w:iCs/>
          <w:noProof/>
        </w:rPr>
        <w:t>)</w:t>
      </w:r>
    </w:p>
    <w:p w14:paraId="36E1E311" w14:textId="5CC19C63" w:rsidR="00827D2C" w:rsidRPr="00FB7817" w:rsidRDefault="00827D2C" w:rsidP="00827D2C">
      <w:r w:rsidRPr="00FB7817">
        <w:t xml:space="preserve">The species’ habitat is impacted by ongoing threats, including inappropriate fire regimes and </w:t>
      </w:r>
      <w:r w:rsidRPr="00FB7817">
        <w:rPr>
          <w:i/>
          <w:iCs/>
        </w:rPr>
        <w:t>P. cinnamomi,</w:t>
      </w:r>
      <w:r w:rsidRPr="00FB7817">
        <w:t xml:space="preserve"> </w:t>
      </w:r>
      <w:r w:rsidR="00DD6EBA">
        <w:t>increased temperatures and changes to precipitation</w:t>
      </w:r>
      <w:r w:rsidRPr="00FB7817">
        <w:t xml:space="preserve"> patterns (causing both increased time in drought &amp; high rainfall exacerbating the impacts of </w:t>
      </w:r>
      <w:r w:rsidRPr="00FB7817">
        <w:rPr>
          <w:i/>
          <w:iCs/>
        </w:rPr>
        <w:t>P. cinnamomi</w:t>
      </w:r>
      <w:r w:rsidRPr="00FB7817">
        <w:t xml:space="preserve">) and </w:t>
      </w:r>
      <w:r w:rsidR="005E6CB5" w:rsidRPr="00284FBF">
        <w:t>browsing</w:t>
      </w:r>
      <w:r w:rsidRPr="00284FBF">
        <w:t xml:space="preserve"> by </w:t>
      </w:r>
      <w:r w:rsidR="00A93AC9" w:rsidRPr="00284FBF">
        <w:t>quokka</w:t>
      </w:r>
      <w:r w:rsidR="00284FBF">
        <w:t xml:space="preserve"> (reducing</w:t>
      </w:r>
      <w:r w:rsidR="00284FBF" w:rsidRPr="0021454D">
        <w:t xml:space="preserve"> vegetation cover</w:t>
      </w:r>
      <w:r w:rsidR="00284FBF">
        <w:t xml:space="preserve"> and resulting in conditions more conducive to</w:t>
      </w:r>
      <w:r w:rsidR="00284FBF" w:rsidRPr="0021454D">
        <w:t xml:space="preserve"> </w:t>
      </w:r>
      <w:r w:rsidR="00284FBF" w:rsidRPr="0021454D">
        <w:rPr>
          <w:i/>
          <w:iCs/>
        </w:rPr>
        <w:t>P. cinnamomi</w:t>
      </w:r>
      <w:r w:rsidR="00284FBF">
        <w:t>)</w:t>
      </w:r>
      <w:r w:rsidR="00A93AC9" w:rsidRPr="00FB7817">
        <w:t xml:space="preserve"> </w:t>
      </w:r>
      <w:r w:rsidR="006A595D" w:rsidRPr="00FB7817">
        <w:t>(see Table 2</w:t>
      </w:r>
      <w:r w:rsidR="00DD6EBA">
        <w:t xml:space="preserve"> for impact of threats on habitat</w:t>
      </w:r>
      <w:r w:rsidR="006A595D" w:rsidRPr="00FB7817">
        <w:t>)</w:t>
      </w:r>
      <w:r w:rsidRPr="00FB7817">
        <w:t xml:space="preserve">, which are likely to cause continuing decline in the </w:t>
      </w:r>
      <w:r w:rsidR="001C33E6">
        <w:rPr>
          <w:lang w:eastAsia="ja-JP"/>
        </w:rPr>
        <w:t>a</w:t>
      </w:r>
      <w:r w:rsidR="001C33E6" w:rsidRPr="007D4A85">
        <w:rPr>
          <w:lang w:eastAsia="ja-JP"/>
        </w:rPr>
        <w:t xml:space="preserve">rea, extent and/or </w:t>
      </w:r>
      <w:r w:rsidRPr="00FB7817">
        <w:t>quality of the species’ habitat.</w:t>
      </w:r>
    </w:p>
    <w:p w14:paraId="035E31EC" w14:textId="77777777" w:rsidR="00804EAC" w:rsidRDefault="00827D2C" w:rsidP="00804EAC">
      <w:r w:rsidRPr="009A6E8A">
        <w:t xml:space="preserve">The </w:t>
      </w:r>
      <w:r w:rsidR="00D00C7E" w:rsidRPr="009A6E8A">
        <w:t>species</w:t>
      </w:r>
      <w:r w:rsidRPr="009A6E8A">
        <w:t xml:space="preserve"> </w:t>
      </w:r>
      <w:r>
        <w:t xml:space="preserve">appears to be undergoing continuing decline in </w:t>
      </w:r>
      <w:r>
        <w:rPr>
          <w:lang w:eastAsia="ja-JP"/>
        </w:rPr>
        <w:t>the a</w:t>
      </w:r>
      <w:r w:rsidRPr="007D4A85">
        <w:rPr>
          <w:lang w:eastAsia="ja-JP"/>
        </w:rPr>
        <w:t>rea, extent and/or quality of habitat</w:t>
      </w:r>
      <w:r>
        <w:rPr>
          <w:lang w:eastAsia="ja-JP"/>
        </w:rPr>
        <w:t>. Accordingly, the species</w:t>
      </w:r>
      <w:r w:rsidRPr="009A6E8A">
        <w:t xml:space="preserve"> appears to meet the </w:t>
      </w:r>
      <w:r>
        <w:t xml:space="preserve">continuing decline </w:t>
      </w:r>
      <w:r w:rsidRPr="009A6E8A">
        <w:t xml:space="preserve">requirement for </w:t>
      </w:r>
      <w:r>
        <w:t>listing under this criterion</w:t>
      </w:r>
      <w:r w:rsidRPr="009A6E8A">
        <w:t>.</w:t>
      </w:r>
    </w:p>
    <w:p w14:paraId="761D6F88" w14:textId="77777777" w:rsidR="00804EAC" w:rsidRDefault="00415EB9" w:rsidP="009A0B3C">
      <w:pPr>
        <w:keepNext/>
        <w:keepLines/>
        <w:rPr>
          <w:i/>
          <w:iCs/>
          <w:lang w:eastAsia="ja-JP"/>
        </w:rPr>
      </w:pPr>
      <w:r>
        <w:rPr>
          <w:i/>
          <w:iCs/>
          <w:lang w:eastAsia="ja-JP"/>
        </w:rPr>
        <w:lastRenderedPageBreak/>
        <w:t>Extreme fluctuations</w:t>
      </w:r>
    </w:p>
    <w:p w14:paraId="2EE7404F" w14:textId="16AFECD5" w:rsidR="00CB1559" w:rsidRDefault="00CB1559" w:rsidP="009A0B3C">
      <w:pPr>
        <w:keepNext/>
        <w:keepLines/>
      </w:pPr>
      <w:r w:rsidRPr="009B62F6">
        <w:t>Extreme fluctuation</w:t>
      </w:r>
      <w:r w:rsidR="002A3DDB" w:rsidRPr="009B62F6">
        <w:t>s</w:t>
      </w:r>
      <w:r w:rsidRPr="009B62F6">
        <w:t xml:space="preserve"> </w:t>
      </w:r>
      <w:r w:rsidR="002A3DDB" w:rsidRPr="009B62F6">
        <w:t>represent change</w:t>
      </w:r>
      <w:r w:rsidR="00DA3C9A" w:rsidRPr="009B62F6">
        <w:t>s</w:t>
      </w:r>
      <w:r w:rsidR="002A3DDB" w:rsidRPr="009B62F6">
        <w:t xml:space="preserve"> in the total population (</w:t>
      </w:r>
      <w:r w:rsidR="002A3DDB">
        <w:t xml:space="preserve">rather than a flux of individuals between different life stages), </w:t>
      </w:r>
      <w:r w:rsidRPr="00C5746B">
        <w:t xml:space="preserve">which exceed one order of magnitude </w:t>
      </w:r>
      <w:r w:rsidRPr="00C5746B">
        <w:rPr>
          <w:noProof/>
        </w:rPr>
        <w:t>(IUCN 2019)</w:t>
      </w:r>
      <w:r w:rsidRPr="00C5746B">
        <w:t xml:space="preserve">. </w:t>
      </w:r>
      <w:r>
        <w:t>Extreme fluctuations can be diagnosed by interpreting population trajectories which show a recurring pattern of increases and decreases; or by using life history cha</w:t>
      </w:r>
      <w:r w:rsidR="0055372C">
        <w:t>ra</w:t>
      </w:r>
      <w:r>
        <w:t xml:space="preserve">cteristics </w:t>
      </w:r>
      <w:r w:rsidRPr="00C5746B">
        <w:rPr>
          <w:noProof/>
        </w:rPr>
        <w:t>(IUCN 2019)</w:t>
      </w:r>
      <w:r w:rsidRPr="00C5746B">
        <w:t>.</w:t>
      </w:r>
    </w:p>
    <w:p w14:paraId="51DF5486" w14:textId="25176110" w:rsidR="00585B6D" w:rsidRPr="00300814" w:rsidRDefault="00D555B9" w:rsidP="00585B6D">
      <w:pPr>
        <w:keepLines/>
      </w:pPr>
      <w:r>
        <w:t xml:space="preserve">In </w:t>
      </w:r>
      <w:r w:rsidR="002601DE">
        <w:t>each</w:t>
      </w:r>
      <w:r w:rsidRPr="001536F9">
        <w:t xml:space="preserve"> </w:t>
      </w:r>
      <w:r>
        <w:t>extant</w:t>
      </w:r>
      <w:r w:rsidRPr="001536F9">
        <w:t xml:space="preserve"> subpopulation</w:t>
      </w:r>
      <w:r w:rsidR="001C4597">
        <w:t xml:space="preserve"> of the </w:t>
      </w:r>
      <w:r w:rsidR="003B4658">
        <w:t>y</w:t>
      </w:r>
      <w:r w:rsidR="003B4658" w:rsidRPr="00184886">
        <w:t xml:space="preserve">ellow </w:t>
      </w:r>
      <w:r w:rsidR="003B4658">
        <w:t>m</w:t>
      </w:r>
      <w:r w:rsidR="003B4658" w:rsidRPr="00184886">
        <w:t xml:space="preserve">ountain </w:t>
      </w:r>
      <w:r w:rsidR="003B4658">
        <w:t>b</w:t>
      </w:r>
      <w:r w:rsidR="003B4658" w:rsidRPr="00184886">
        <w:t>ell</w:t>
      </w:r>
      <w:r>
        <w:t>, the</w:t>
      </w:r>
      <w:r w:rsidR="009A1748">
        <w:t xml:space="preserve"> number of mature individuals </w:t>
      </w:r>
      <w:r w:rsidR="009375AC">
        <w:t xml:space="preserve">has increased </w:t>
      </w:r>
      <w:r w:rsidR="009375AC" w:rsidRPr="00EF28B7">
        <w:t xml:space="preserve">and decreased </w:t>
      </w:r>
      <w:r w:rsidRPr="00EF28B7">
        <w:t xml:space="preserve">by at least one order </w:t>
      </w:r>
      <w:r w:rsidR="00ED36FA" w:rsidRPr="00EF28B7">
        <w:t xml:space="preserve">of magnitude, </w:t>
      </w:r>
      <w:r w:rsidR="007E312F" w:rsidRPr="00EF28B7">
        <w:t>i.e.,</w:t>
      </w:r>
      <w:r w:rsidR="00ED36FA" w:rsidRPr="00EF28B7">
        <w:t xml:space="preserve"> under</w:t>
      </w:r>
      <w:r w:rsidR="002601DE" w:rsidRPr="00EF28B7">
        <w:t>go</w:t>
      </w:r>
      <w:r w:rsidR="009375AC" w:rsidRPr="00EF28B7">
        <w:t>ne</w:t>
      </w:r>
      <w:r w:rsidR="002601DE" w:rsidRPr="00EF28B7">
        <w:t xml:space="preserve"> </w:t>
      </w:r>
      <w:r w:rsidR="00ED36FA" w:rsidRPr="00EF28B7">
        <w:t>extreme fluctuations, since regular monitoring commen</w:t>
      </w:r>
      <w:r w:rsidR="00B53451" w:rsidRPr="00EF28B7">
        <w:t>c</w:t>
      </w:r>
      <w:r w:rsidR="00ED36FA" w:rsidRPr="00EF28B7">
        <w:t>ed in 1990</w:t>
      </w:r>
      <w:r w:rsidR="00585B6D" w:rsidRPr="00EF28B7">
        <w:t xml:space="preserve"> </w:t>
      </w:r>
      <w:r w:rsidR="00CC076B" w:rsidRPr="00EF28B7">
        <w:t>(</w:t>
      </w:r>
      <w:r w:rsidR="009739C8" w:rsidRPr="00EF28B7">
        <w:t xml:space="preserve">Table 1, </w:t>
      </w:r>
      <w:r w:rsidR="00CC076B" w:rsidRPr="00EF28B7">
        <w:t xml:space="preserve">Figure </w:t>
      </w:r>
      <w:r w:rsidR="00335A22" w:rsidRPr="00EF28B7">
        <w:t>2</w:t>
      </w:r>
      <w:r w:rsidR="00CC076B" w:rsidRPr="00EF28B7">
        <w:t xml:space="preserve">) </w:t>
      </w:r>
      <w:r w:rsidR="00CC076B" w:rsidRPr="00EF28B7">
        <w:rPr>
          <w:noProof/>
        </w:rPr>
        <w:t>(Hartley &amp; Barrett 2008; DBCA 2021)</w:t>
      </w:r>
      <w:r w:rsidR="00CC076B" w:rsidRPr="00EF28B7">
        <w:t xml:space="preserve">. </w:t>
      </w:r>
      <w:r w:rsidR="00585B6D" w:rsidRPr="00EF28B7">
        <w:t xml:space="preserve">Although older estimates are less reliable and may underestimate population size, extreme fluctuations were observed (i.e., the number of mature individuals </w:t>
      </w:r>
      <w:r w:rsidR="00585B6D" w:rsidRPr="00EF28B7">
        <w:rPr>
          <w:bCs/>
        </w:rPr>
        <w:t>decreased by at least one order of magnitude) in all subpopulations following the 2018 and/or 2019-20 fires (</w:t>
      </w:r>
      <w:r w:rsidR="00585B6D" w:rsidRPr="00EF28B7">
        <w:t xml:space="preserve">Table 1, </w:t>
      </w:r>
      <w:r w:rsidR="00585B6D" w:rsidRPr="00EF28B7">
        <w:rPr>
          <w:bCs/>
        </w:rPr>
        <w:t xml:space="preserve">Figure 2). This suggests that </w:t>
      </w:r>
      <w:r w:rsidR="00793A30" w:rsidRPr="00EF28B7">
        <w:rPr>
          <w:bCs/>
        </w:rPr>
        <w:t xml:space="preserve">extreme fluctuations are linked to the species’ life history </w:t>
      </w:r>
      <w:r w:rsidR="005603B7" w:rsidRPr="00EF28B7">
        <w:rPr>
          <w:noProof/>
        </w:rPr>
        <w:t>(i.e. mature individuals are killed and germination of dormant seeds is stimulated following fire; Hartley &amp; Barrett 2008; DBCA 2021)</w:t>
      </w:r>
      <w:r w:rsidR="005603B7" w:rsidRPr="00EF28B7">
        <w:t>.</w:t>
      </w:r>
      <w:r w:rsidR="00585B6D" w:rsidRPr="00EF28B7">
        <w:t xml:space="preserve"> Although extreme fluctuations were not obvious following fires in 1991 and 2000 (Table 1, Figure</w:t>
      </w:r>
      <w:r w:rsidR="00585B6D">
        <w:t xml:space="preserve"> 2), </w:t>
      </w:r>
      <w:r w:rsidR="00585B6D" w:rsidRPr="00300814">
        <w:t>monitoring was not conducted consistently until ~2011 (DBCA 2021), so there are large data gaps obscuring population trends.</w:t>
      </w:r>
    </w:p>
    <w:p w14:paraId="5D3B6CC4" w14:textId="27FC05EE" w:rsidR="00EE0895" w:rsidRDefault="008942C0" w:rsidP="004A6A03">
      <w:pPr>
        <w:keepLines/>
      </w:pPr>
      <w:r>
        <w:t xml:space="preserve">Such fluctuations represent change in the total population (rather than a flux of individuals between different life stages), because </w:t>
      </w:r>
      <w:r w:rsidR="009B62F6" w:rsidRPr="00FD5027">
        <w:t>all subpopulations were impacted by the same fire events</w:t>
      </w:r>
      <w:r w:rsidR="009B62F6">
        <w:t>, wh</w:t>
      </w:r>
      <w:r w:rsidR="009B62F6" w:rsidRPr="00FD5027">
        <w:t>ich occurred within a restricted area of the Stirling Range/</w:t>
      </w:r>
      <w:proofErr w:type="spellStart"/>
      <w:r w:rsidR="009B62F6" w:rsidRPr="00FD5027">
        <w:t>Koikyenunuruff</w:t>
      </w:r>
      <w:proofErr w:type="spellEnd"/>
      <w:r w:rsidR="009B62F6">
        <w:t xml:space="preserve"> (so there are no demographic differences in age-classes among subpopulations)</w:t>
      </w:r>
      <w:r w:rsidR="009B62F6" w:rsidRPr="00FD5027">
        <w:t xml:space="preserve">, and </w:t>
      </w:r>
      <w:r>
        <w:t>dormant life stages (</w:t>
      </w:r>
      <w:r w:rsidR="007E312F">
        <w:t>i.e.,</w:t>
      </w:r>
      <w:r>
        <w:t xml:space="preserve"> </w:t>
      </w:r>
      <w:r w:rsidR="001C1D91">
        <w:t xml:space="preserve">soil-stored </w:t>
      </w:r>
      <w:r>
        <w:t>seeds)</w:t>
      </w:r>
      <w:r w:rsidR="00454D9B">
        <w:t xml:space="preserve"> </w:t>
      </w:r>
      <w:r w:rsidR="00115207">
        <w:t>may</w:t>
      </w:r>
      <w:r w:rsidR="00454D9B">
        <w:t xml:space="preserve"> have been depleted</w:t>
      </w:r>
      <w:r w:rsidR="001C1D91">
        <w:t xml:space="preserve">. </w:t>
      </w:r>
      <w:r w:rsidR="002D01DC">
        <w:t>In</w:t>
      </w:r>
      <w:r w:rsidR="00FE1BF4" w:rsidRPr="00FE1BF4">
        <w:t xml:space="preserve"> species with soil-stored seedbanks, </w:t>
      </w:r>
      <w:r w:rsidR="001C1D91" w:rsidRPr="00FE1BF4">
        <w:t xml:space="preserve">there </w:t>
      </w:r>
      <w:r w:rsidR="00FE1BF4" w:rsidRPr="00FE1BF4">
        <w:t xml:space="preserve">may </w:t>
      </w:r>
      <w:r w:rsidR="001C1D91" w:rsidRPr="00FE1BF4">
        <w:t xml:space="preserve">be little to no residual soil-stored seedbank following a single fire </w:t>
      </w:r>
      <w:r w:rsidR="001C1D91" w:rsidRPr="00FE1BF4">
        <w:rPr>
          <w:noProof/>
        </w:rPr>
        <w:t>(Auld &amp; Denham 2006)</w:t>
      </w:r>
      <w:r w:rsidR="001C1D91" w:rsidRPr="00FE1BF4">
        <w:t xml:space="preserve"> and the size of the residual soil-stored seedbank declines with increasing fire severity </w:t>
      </w:r>
      <w:r w:rsidR="001C1D91" w:rsidRPr="00FE1BF4">
        <w:rPr>
          <w:noProof/>
        </w:rPr>
        <w:t>(Palmer et al. 2018)</w:t>
      </w:r>
      <w:r w:rsidR="001C1D91" w:rsidRPr="00FE1BF4">
        <w:t>.</w:t>
      </w:r>
    </w:p>
    <w:p w14:paraId="40D20D28" w14:textId="3B32038C" w:rsidR="00A645A8" w:rsidRPr="009739C8" w:rsidRDefault="00517BC3" w:rsidP="009A0B3C">
      <w:pPr>
        <w:pStyle w:val="Caption"/>
        <w:keepLines/>
      </w:pPr>
      <w:r w:rsidRPr="009739C8">
        <w:lastRenderedPageBreak/>
        <w:t xml:space="preserve">Figure </w:t>
      </w:r>
      <w:r w:rsidR="00335A22" w:rsidRPr="009739C8">
        <w:t>2</w:t>
      </w:r>
      <w:r w:rsidRPr="009739C8">
        <w:t xml:space="preserve"> Number of mature individuals </w:t>
      </w:r>
      <w:r w:rsidR="00AA4A93" w:rsidRPr="009739C8">
        <w:t xml:space="preserve">(log scale) by year </w:t>
      </w:r>
      <w:r w:rsidR="00375198" w:rsidRPr="009739C8">
        <w:t xml:space="preserve">(1990–2021) </w:t>
      </w:r>
      <w:r w:rsidR="00AA4A93" w:rsidRPr="009739C8">
        <w:t xml:space="preserve">in extant subpopulations of the </w:t>
      </w:r>
      <w:r w:rsidR="003B4658" w:rsidRPr="009739C8">
        <w:t>yellow mountain b</w:t>
      </w:r>
      <w:r w:rsidR="00AA4A93" w:rsidRPr="009739C8">
        <w:t>ell</w:t>
      </w:r>
    </w:p>
    <w:p w14:paraId="1F1D7F43" w14:textId="1C57FA25" w:rsidR="003D7949" w:rsidRDefault="00D22908" w:rsidP="009A0B3C">
      <w:pPr>
        <w:pStyle w:val="Caption"/>
      </w:pPr>
      <w:r>
        <w:rPr>
          <w:noProof/>
        </w:rPr>
        <w:drawing>
          <wp:inline distT="0" distB="0" distL="0" distR="0" wp14:anchorId="7D70F001" wp14:editId="20B7E1CE">
            <wp:extent cx="5591175" cy="3058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1175" cy="3058973"/>
                    </a:xfrm>
                    <a:prstGeom prst="rect">
                      <a:avLst/>
                    </a:prstGeom>
                    <a:noFill/>
                    <a:ln>
                      <a:noFill/>
                    </a:ln>
                  </pic:spPr>
                </pic:pic>
              </a:graphicData>
            </a:graphic>
          </wp:inline>
        </w:drawing>
      </w:r>
    </w:p>
    <w:p w14:paraId="49A7F951" w14:textId="111EE2E8" w:rsidR="003D7949" w:rsidRPr="008064B3" w:rsidRDefault="003D7949" w:rsidP="00804EAC">
      <w:pPr>
        <w:pStyle w:val="FigureTableNoteSource"/>
      </w:pPr>
      <w:r w:rsidRPr="00C478F6">
        <w:t xml:space="preserve">Note: </w:t>
      </w:r>
      <w:r w:rsidR="00E37755">
        <w:t>The number of mature individuals</w:t>
      </w:r>
      <w:r w:rsidRPr="00C478F6">
        <w:t xml:space="preserve"> is </w:t>
      </w:r>
      <w:r w:rsidR="00056DFA">
        <w:t>sourced</w:t>
      </w:r>
      <w:r w:rsidRPr="00C478F6">
        <w:t xml:space="preserve"> from</w:t>
      </w:r>
      <w:r w:rsidRPr="00C478F6">
        <w:rPr>
          <w:noProof/>
        </w:rPr>
        <w:t xml:space="preserve"> Hartley &amp; Barrett (2008) and </w:t>
      </w:r>
      <w:r w:rsidRPr="003B2C20">
        <w:rPr>
          <w:noProof/>
        </w:rPr>
        <w:t>DBCA (2021</w:t>
      </w:r>
      <w:r w:rsidRPr="003B2C20">
        <w:t>)</w:t>
      </w:r>
      <w:r w:rsidR="00C959CA">
        <w:t>;</w:t>
      </w:r>
      <w:r w:rsidR="00E37755">
        <w:t xml:space="preserve"> and is presented in Table 1</w:t>
      </w:r>
      <w:r w:rsidRPr="003B2C20">
        <w:t>.</w:t>
      </w:r>
      <w:r w:rsidRPr="00C478F6">
        <w:t xml:space="preserve"> </w:t>
      </w:r>
      <w:r w:rsidR="00F05A77">
        <w:t xml:space="preserve">Where </w:t>
      </w:r>
      <w:r w:rsidR="00EA61E9">
        <w:t>‘</w:t>
      </w:r>
      <w:r w:rsidR="00F05A77">
        <w:t>&gt;</w:t>
      </w:r>
      <w:r w:rsidR="00EA61E9">
        <w:t xml:space="preserve">’ </w:t>
      </w:r>
      <w:r w:rsidR="00566ACC">
        <w:t xml:space="preserve">or ‘~’ </w:t>
      </w:r>
      <w:r w:rsidR="00EA61E9">
        <w:t xml:space="preserve">is </w:t>
      </w:r>
      <w:r w:rsidR="00566ACC">
        <w:t>included in the estimate</w:t>
      </w:r>
      <w:r w:rsidR="00EA61E9">
        <w:t xml:space="preserve"> in Table 1, the </w:t>
      </w:r>
      <w:r w:rsidR="00AA4A93">
        <w:t>minimum</w:t>
      </w:r>
      <w:r w:rsidR="00E37755" w:rsidRPr="00E37755">
        <w:t xml:space="preserve"> value has been graphed</w:t>
      </w:r>
      <w:r w:rsidR="00EA61E9">
        <w:t>.</w:t>
      </w:r>
      <w:r w:rsidR="000A1D49">
        <w:t xml:space="preserve"> Population estimates vary in their accuracy in particular older estimates.</w:t>
      </w:r>
    </w:p>
    <w:p w14:paraId="3E07FA35" w14:textId="39BBA44A" w:rsidR="00B5185B" w:rsidRDefault="00B5185B" w:rsidP="00415EB9">
      <w:r w:rsidRPr="00A51A04">
        <w:t>There are no known extreme fluctuations in EOO, AOO, number of subpopulations or locations.</w:t>
      </w:r>
    </w:p>
    <w:p w14:paraId="397D9760" w14:textId="4158B881" w:rsidR="00C4532C" w:rsidRDefault="00C4532C" w:rsidP="00C4532C">
      <w:r w:rsidRPr="009A6E8A">
        <w:t xml:space="preserve">The species </w:t>
      </w:r>
      <w:r>
        <w:t xml:space="preserve">appears to show extreme fluctuations in the number of </w:t>
      </w:r>
      <w:r w:rsidRPr="007D4A85">
        <w:rPr>
          <w:lang w:eastAsia="ja-JP"/>
        </w:rPr>
        <w:t>mature individuals</w:t>
      </w:r>
      <w:r>
        <w:rPr>
          <w:lang w:eastAsia="ja-JP"/>
        </w:rPr>
        <w:t xml:space="preserve">. </w:t>
      </w:r>
      <w:r w:rsidR="00751A62">
        <w:rPr>
          <w:lang w:eastAsia="ja-JP"/>
        </w:rPr>
        <w:t>Accordingly, the species</w:t>
      </w:r>
      <w:r w:rsidR="00751A62" w:rsidRPr="009A6E8A">
        <w:t xml:space="preserve"> appears to meet the </w:t>
      </w:r>
      <w:r w:rsidR="00751A62">
        <w:t xml:space="preserve">extreme fluctuations </w:t>
      </w:r>
      <w:r w:rsidR="00751A62" w:rsidRPr="009A6E8A">
        <w:t xml:space="preserve">requirement for </w:t>
      </w:r>
      <w:r w:rsidR="00751A62">
        <w:t>listing under this criterion</w:t>
      </w:r>
      <w:r w:rsidR="00751A62" w:rsidRPr="009A6E8A">
        <w:t>.</w:t>
      </w:r>
    </w:p>
    <w:p w14:paraId="7911B433" w14:textId="77777777" w:rsidR="009421AF" w:rsidRPr="00FE4C63" w:rsidRDefault="009421AF" w:rsidP="00AD4D96">
      <w:pPr>
        <w:keepNext/>
        <w:keepLines/>
        <w:rPr>
          <w:bCs/>
          <w:i/>
          <w:iCs/>
        </w:rPr>
      </w:pPr>
      <w:r>
        <w:rPr>
          <w:bCs/>
          <w:i/>
          <w:iCs/>
        </w:rPr>
        <w:t>Conclusion</w:t>
      </w:r>
    </w:p>
    <w:p w14:paraId="42B2E944" w14:textId="5B2F8607" w:rsidR="006A3C25" w:rsidRDefault="004E6D51" w:rsidP="00AD4D96">
      <w:pPr>
        <w:keepNext/>
        <w:keepLines/>
        <w:rPr>
          <w:lang w:eastAsia="ja-JP"/>
        </w:rPr>
      </w:pPr>
      <w:r w:rsidRPr="004E6D51">
        <w:rPr>
          <w:lang w:eastAsia="ja-JP"/>
        </w:rPr>
        <w:t>The species’ EOO</w:t>
      </w:r>
      <w:r w:rsidR="007D6BD8">
        <w:rPr>
          <w:lang w:eastAsia="ja-JP"/>
        </w:rPr>
        <w:t xml:space="preserve"> </w:t>
      </w:r>
      <w:r w:rsidRPr="004E6D51">
        <w:rPr>
          <w:lang w:eastAsia="ja-JP"/>
        </w:rPr>
        <w:t xml:space="preserve">and number of locations </w:t>
      </w:r>
      <w:r w:rsidR="00663D5A">
        <w:rPr>
          <w:lang w:eastAsia="ja-JP"/>
        </w:rPr>
        <w:t>appear to be</w:t>
      </w:r>
      <w:r w:rsidRPr="004E6D51">
        <w:rPr>
          <w:lang w:eastAsia="ja-JP"/>
        </w:rPr>
        <w:t xml:space="preserve"> </w:t>
      </w:r>
      <w:r w:rsidR="000E1F02">
        <w:rPr>
          <w:lang w:eastAsia="ja-JP"/>
        </w:rPr>
        <w:t xml:space="preserve">very </w:t>
      </w:r>
      <w:r w:rsidRPr="004E6D51">
        <w:rPr>
          <w:lang w:eastAsia="ja-JP"/>
        </w:rPr>
        <w:t>restricted</w:t>
      </w:r>
      <w:r w:rsidR="007D4A85">
        <w:rPr>
          <w:lang w:eastAsia="ja-JP"/>
        </w:rPr>
        <w:t>; EOO, AOO, a</w:t>
      </w:r>
      <w:r w:rsidR="007D4A85" w:rsidRPr="007D4A85">
        <w:rPr>
          <w:lang w:eastAsia="ja-JP"/>
        </w:rPr>
        <w:t>rea, extent and/or quality of habitat</w:t>
      </w:r>
      <w:r w:rsidR="007D4A85">
        <w:rPr>
          <w:lang w:eastAsia="ja-JP"/>
        </w:rPr>
        <w:t>,</w:t>
      </w:r>
      <w:r w:rsidR="007D4A85" w:rsidRPr="007D4A85">
        <w:rPr>
          <w:lang w:eastAsia="ja-JP"/>
        </w:rPr>
        <w:t xml:space="preserve"> number of subpopulations</w:t>
      </w:r>
      <w:r w:rsidR="007D4A85">
        <w:rPr>
          <w:lang w:eastAsia="ja-JP"/>
        </w:rPr>
        <w:t xml:space="preserve"> and</w:t>
      </w:r>
      <w:r w:rsidR="007D4A85" w:rsidRPr="007D4A85">
        <w:rPr>
          <w:lang w:eastAsia="ja-JP"/>
        </w:rPr>
        <w:t xml:space="preserve"> mature individuals</w:t>
      </w:r>
      <w:r w:rsidR="00663D5A">
        <w:rPr>
          <w:lang w:eastAsia="ja-JP"/>
        </w:rPr>
        <w:t xml:space="preserve"> appear to be undergoing continuing decline</w:t>
      </w:r>
      <w:r w:rsidR="007D4A85">
        <w:rPr>
          <w:lang w:eastAsia="ja-JP"/>
        </w:rPr>
        <w:t>; and</w:t>
      </w:r>
      <w:r w:rsidR="006A3C25">
        <w:rPr>
          <w:lang w:eastAsia="ja-JP"/>
        </w:rPr>
        <w:t xml:space="preserve"> the number of mature individuals </w:t>
      </w:r>
      <w:r w:rsidR="00663D5A">
        <w:rPr>
          <w:lang w:eastAsia="ja-JP"/>
        </w:rPr>
        <w:t>appears to be undergoing</w:t>
      </w:r>
      <w:r w:rsidR="007D4A85">
        <w:rPr>
          <w:lang w:eastAsia="ja-JP"/>
        </w:rPr>
        <w:t xml:space="preserve"> extreme fluctuations</w:t>
      </w:r>
      <w:r w:rsidRPr="004E6D51">
        <w:rPr>
          <w:lang w:eastAsia="ja-JP"/>
        </w:rPr>
        <w:t>.</w:t>
      </w:r>
    </w:p>
    <w:p w14:paraId="2D6AA495" w14:textId="57CD95B6" w:rsidR="009421AF" w:rsidRDefault="004E6D51" w:rsidP="006A3C25">
      <w:pPr>
        <w:rPr>
          <w:rFonts w:ascii="Calibri" w:hAnsi="Calibri"/>
          <w:b/>
          <w:sz w:val="24"/>
          <w:szCs w:val="18"/>
          <w:lang w:eastAsia="ja-JP"/>
        </w:rPr>
      </w:pPr>
      <w:r w:rsidRPr="004E6D51">
        <w:rPr>
          <w:lang w:eastAsia="ja-JP"/>
        </w:rPr>
        <w:t xml:space="preserve">The data presented above appear to demonstrate that the species is eligible for listing as </w:t>
      </w:r>
      <w:r w:rsidR="006A3C25" w:rsidRPr="00093770">
        <w:rPr>
          <w:b/>
          <w:bCs/>
          <w:lang w:eastAsia="ja-JP"/>
        </w:rPr>
        <w:t xml:space="preserve">Critically </w:t>
      </w:r>
      <w:r w:rsidRPr="00093770">
        <w:rPr>
          <w:b/>
          <w:bCs/>
          <w:lang w:eastAsia="ja-JP"/>
        </w:rPr>
        <w:t>Endangered</w:t>
      </w:r>
      <w:r w:rsidRPr="004E6D51">
        <w:rPr>
          <w:lang w:eastAsia="ja-JP"/>
        </w:rPr>
        <w:t xml:space="preserve"> under this criterion. However, the purpose of this consultation document is to elicit additional information to better understand the species’ status. This conclusion should therefore </w:t>
      </w:r>
      <w:proofErr w:type="gramStart"/>
      <w:r w:rsidRPr="004E6D51">
        <w:rPr>
          <w:lang w:eastAsia="ja-JP"/>
        </w:rPr>
        <w:t>be considered to be</w:t>
      </w:r>
      <w:proofErr w:type="gramEnd"/>
      <w:r w:rsidRPr="004E6D51">
        <w:rPr>
          <w:lang w:eastAsia="ja-JP"/>
        </w:rPr>
        <w:t xml:space="preserve"> tentative at this stage, as it may be changed as a result of responses to this consultation process.</w:t>
      </w:r>
      <w:r w:rsidR="009421AF">
        <w:rPr>
          <w:lang w:eastAsia="ja-JP"/>
        </w:rPr>
        <w:br w:type="page"/>
      </w:r>
    </w:p>
    <w:p w14:paraId="42A5DD07" w14:textId="3D8EE16B"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2AEBF18F"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01D30F4"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14E1A6F" w14:textId="77777777" w:rsidTr="002B134C">
        <w:tc>
          <w:tcPr>
            <w:tcW w:w="3395" w:type="dxa"/>
            <w:gridSpan w:val="2"/>
            <w:tcBorders>
              <w:top w:val="nil"/>
              <w:left w:val="single" w:sz="4" w:space="0" w:color="auto"/>
              <w:bottom w:val="nil"/>
              <w:right w:val="nil"/>
            </w:tcBorders>
          </w:tcPr>
          <w:p w14:paraId="389ECA99"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ECF2CA5" w14:textId="77777777" w:rsidR="002B134C" w:rsidRPr="00556843" w:rsidRDefault="002B134C" w:rsidP="00F658E8">
            <w:pPr>
              <w:pStyle w:val="TableText"/>
              <w:keepNext/>
              <w:rPr>
                <w:b/>
              </w:rPr>
            </w:pPr>
            <w:r w:rsidRPr="00556843">
              <w:rPr>
                <w:b/>
              </w:rPr>
              <w:t>Critically Endangered</w:t>
            </w:r>
          </w:p>
          <w:p w14:paraId="2CF0805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17897F9" w14:textId="77777777" w:rsidR="002B134C" w:rsidRPr="00556843" w:rsidRDefault="002B134C" w:rsidP="00F658E8">
            <w:pPr>
              <w:pStyle w:val="TableText"/>
              <w:keepNext/>
              <w:rPr>
                <w:b/>
              </w:rPr>
            </w:pPr>
            <w:r w:rsidRPr="00556843">
              <w:rPr>
                <w:b/>
              </w:rPr>
              <w:t>Endangered</w:t>
            </w:r>
          </w:p>
          <w:p w14:paraId="2A6AE36E"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61A3C0BC" w14:textId="77777777" w:rsidR="002B134C" w:rsidRPr="00556843" w:rsidRDefault="002B134C" w:rsidP="00F658E8">
            <w:pPr>
              <w:pStyle w:val="TableText"/>
              <w:keepNext/>
              <w:rPr>
                <w:b/>
              </w:rPr>
            </w:pPr>
            <w:r w:rsidRPr="00556843">
              <w:rPr>
                <w:b/>
              </w:rPr>
              <w:t>Vulnerable</w:t>
            </w:r>
          </w:p>
          <w:p w14:paraId="6225DAF7" w14:textId="77777777" w:rsidR="002B134C" w:rsidRPr="00556843" w:rsidRDefault="002B134C" w:rsidP="00F658E8">
            <w:pPr>
              <w:pStyle w:val="TableText"/>
              <w:keepNext/>
              <w:rPr>
                <w:b/>
              </w:rPr>
            </w:pPr>
            <w:r w:rsidRPr="00556843">
              <w:rPr>
                <w:b/>
              </w:rPr>
              <w:t>Limited</w:t>
            </w:r>
          </w:p>
        </w:tc>
      </w:tr>
      <w:tr w:rsidR="002B134C" w:rsidRPr="00556843" w14:paraId="6F377C9A"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0C58F2F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4B6D8AA7"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46D06DA" w14:textId="1FF6CC9F"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5ACBF66" w14:textId="77777777" w:rsidR="002B134C" w:rsidRPr="00556843" w:rsidRDefault="002B134C" w:rsidP="00F658E8">
            <w:pPr>
              <w:pStyle w:val="TableText"/>
              <w:keepNext/>
            </w:pPr>
            <w:r w:rsidRPr="00556843">
              <w:rPr>
                <w:b/>
              </w:rPr>
              <w:t xml:space="preserve">&lt; 10,000 </w:t>
            </w:r>
          </w:p>
        </w:tc>
      </w:tr>
      <w:tr w:rsidR="002B134C" w:rsidRPr="00556843" w14:paraId="35CD4E04"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3EB403E6"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1B067463"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61ABA7AB"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14C43AF" w14:textId="77777777" w:rsidR="002B134C" w:rsidRPr="00556843" w:rsidRDefault="002B134C" w:rsidP="00F658E8">
            <w:pPr>
              <w:pStyle w:val="TableText"/>
              <w:keepNext/>
              <w:rPr>
                <w:b/>
              </w:rPr>
            </w:pPr>
          </w:p>
        </w:tc>
      </w:tr>
      <w:tr w:rsidR="002B134C" w:rsidRPr="00556843" w14:paraId="3727FC5A"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036C732"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0849789" w14:textId="77777777" w:rsidR="002B134C" w:rsidRPr="00556843" w:rsidRDefault="002B134C" w:rsidP="00F658E8">
            <w:pPr>
              <w:pStyle w:val="TableText"/>
              <w:keepNext/>
              <w:rPr>
                <w:b/>
              </w:rPr>
            </w:pPr>
            <w:r w:rsidRPr="00556843">
              <w:rPr>
                <w:b/>
              </w:rPr>
              <w:t>Very high rate</w:t>
            </w:r>
          </w:p>
          <w:p w14:paraId="29B662D3" w14:textId="77777777" w:rsidR="002B134C" w:rsidRPr="00556843" w:rsidRDefault="002B134C" w:rsidP="00F658E8">
            <w:pPr>
              <w:pStyle w:val="TableText"/>
              <w:keepNext/>
              <w:rPr>
                <w:b/>
              </w:rPr>
            </w:pPr>
            <w:r w:rsidRPr="00556843">
              <w:rPr>
                <w:b/>
              </w:rPr>
              <w:t>25% in 3 years or 1 generation</w:t>
            </w:r>
          </w:p>
          <w:p w14:paraId="54F9FC76"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5572378" w14:textId="77777777" w:rsidR="002B134C" w:rsidRPr="00556843" w:rsidRDefault="002B134C" w:rsidP="00F658E8">
            <w:pPr>
              <w:pStyle w:val="TableText"/>
              <w:keepNext/>
              <w:rPr>
                <w:b/>
              </w:rPr>
            </w:pPr>
            <w:r w:rsidRPr="00556843">
              <w:rPr>
                <w:b/>
              </w:rPr>
              <w:t>High rate</w:t>
            </w:r>
          </w:p>
          <w:p w14:paraId="4AF87BF3" w14:textId="77777777" w:rsidR="002B134C" w:rsidRPr="00556843" w:rsidRDefault="002B134C" w:rsidP="00F658E8">
            <w:pPr>
              <w:pStyle w:val="TableText"/>
              <w:keepNext/>
              <w:rPr>
                <w:b/>
              </w:rPr>
            </w:pPr>
            <w:r w:rsidRPr="00556843">
              <w:rPr>
                <w:b/>
              </w:rPr>
              <w:t>20% in 5 years or 2 generation</w:t>
            </w:r>
          </w:p>
          <w:p w14:paraId="39B7EC73"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5FF6C314" w14:textId="77777777" w:rsidR="002B134C" w:rsidRPr="00556843" w:rsidRDefault="002B134C" w:rsidP="00F658E8">
            <w:pPr>
              <w:pStyle w:val="TableText"/>
              <w:keepNext/>
              <w:rPr>
                <w:b/>
              </w:rPr>
            </w:pPr>
            <w:r w:rsidRPr="00556843">
              <w:rPr>
                <w:b/>
              </w:rPr>
              <w:t>Substantial rate</w:t>
            </w:r>
          </w:p>
          <w:p w14:paraId="18A6C52A" w14:textId="77777777" w:rsidR="002B134C" w:rsidRPr="00556843" w:rsidRDefault="002B134C" w:rsidP="00F658E8">
            <w:pPr>
              <w:pStyle w:val="TableText"/>
              <w:keepNext/>
              <w:rPr>
                <w:b/>
              </w:rPr>
            </w:pPr>
            <w:r w:rsidRPr="00556843">
              <w:rPr>
                <w:b/>
              </w:rPr>
              <w:t>10% in 10 years or 3 generations</w:t>
            </w:r>
          </w:p>
          <w:p w14:paraId="50E68924" w14:textId="77777777" w:rsidR="002B134C" w:rsidRPr="00556843" w:rsidRDefault="002B134C" w:rsidP="00F658E8">
            <w:pPr>
              <w:pStyle w:val="TableText"/>
              <w:keepNext/>
              <w:rPr>
                <w:b/>
              </w:rPr>
            </w:pPr>
            <w:r w:rsidRPr="00556843">
              <w:rPr>
                <w:b/>
              </w:rPr>
              <w:t>(whichever is longer)</w:t>
            </w:r>
          </w:p>
        </w:tc>
      </w:tr>
      <w:tr w:rsidR="002B134C" w:rsidRPr="00556843" w14:paraId="14A9C404"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408CD1C"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30B1586E" w14:textId="77777777" w:rsidR="002B134C" w:rsidRPr="00556843" w:rsidRDefault="002B134C" w:rsidP="00F658E8">
            <w:pPr>
              <w:pStyle w:val="TableText"/>
              <w:keepNext/>
            </w:pPr>
          </w:p>
        </w:tc>
        <w:tc>
          <w:tcPr>
            <w:tcW w:w="1833" w:type="dxa"/>
            <w:tcBorders>
              <w:top w:val="nil"/>
              <w:left w:val="nil"/>
              <w:bottom w:val="nil"/>
              <w:right w:val="nil"/>
            </w:tcBorders>
          </w:tcPr>
          <w:p w14:paraId="1E9A42B7"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1EFE1649" w14:textId="77777777" w:rsidR="002B134C" w:rsidRPr="00556843" w:rsidRDefault="002B134C" w:rsidP="00F658E8">
            <w:pPr>
              <w:pStyle w:val="TableText"/>
              <w:keepNext/>
            </w:pPr>
          </w:p>
        </w:tc>
      </w:tr>
      <w:tr w:rsidR="002B134C" w:rsidRPr="00556843" w14:paraId="284AD046"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4FD18A98"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4BECB73"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68FD9A4"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79D1A68"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10AD99A" w14:textId="5A14A1E3" w:rsidR="002B134C" w:rsidRPr="00556843" w:rsidRDefault="002B134C" w:rsidP="00F658E8">
            <w:pPr>
              <w:pStyle w:val="TableText"/>
              <w:keepNext/>
              <w:rPr>
                <w:b/>
              </w:rPr>
            </w:pPr>
            <w:r w:rsidRPr="00556843">
              <w:rPr>
                <w:b/>
              </w:rPr>
              <w:t>≤ 1000</w:t>
            </w:r>
          </w:p>
        </w:tc>
      </w:tr>
      <w:tr w:rsidR="002B134C" w:rsidRPr="00556843" w14:paraId="426779AD"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5924D369"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4CF5602"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1237606"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873A237"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722F03E" w14:textId="77777777" w:rsidR="002B134C" w:rsidRPr="00556843" w:rsidRDefault="002B134C" w:rsidP="00F658E8">
            <w:pPr>
              <w:pStyle w:val="TableText"/>
              <w:keepNext/>
              <w:rPr>
                <w:b/>
              </w:rPr>
            </w:pPr>
            <w:r w:rsidRPr="00556843">
              <w:rPr>
                <w:b/>
              </w:rPr>
              <w:t>100%</w:t>
            </w:r>
          </w:p>
        </w:tc>
      </w:tr>
      <w:tr w:rsidR="002B134C" w:rsidRPr="00556843" w14:paraId="041D8284"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6B3C50E"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099B7072"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2B358E65"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40A48F62" w14:textId="77777777" w:rsidR="002B134C" w:rsidRPr="00556843" w:rsidRDefault="002B134C" w:rsidP="00F658E8">
            <w:pPr>
              <w:pStyle w:val="TableText"/>
              <w:keepNext/>
            </w:pPr>
          </w:p>
        </w:tc>
      </w:tr>
    </w:tbl>
    <w:p w14:paraId="7B24A23E" w14:textId="77777777" w:rsidR="002B69E4" w:rsidRPr="002B69E4" w:rsidRDefault="00C2736A" w:rsidP="00CD30FC">
      <w:pPr>
        <w:pStyle w:val="Heading3"/>
        <w:spacing w:before="240"/>
        <w:ind w:left="964" w:hanging="964"/>
      </w:pPr>
      <w:r>
        <w:t>Criterion 3 e</w:t>
      </w:r>
      <w:r w:rsidR="002B69E4" w:rsidRPr="002B69E4">
        <w:t>vidence</w:t>
      </w:r>
    </w:p>
    <w:p w14:paraId="47712FBD" w14:textId="437E0214" w:rsidR="00A45C2B" w:rsidRDefault="002B69E4" w:rsidP="002B69E4">
      <w:pPr>
        <w:rPr>
          <w:b/>
          <w:bCs/>
        </w:rPr>
      </w:pPr>
      <w:r w:rsidRPr="00CD30FC">
        <w:rPr>
          <w:rStyle w:val="Strong"/>
        </w:rPr>
        <w:t xml:space="preserve">Eligible under </w:t>
      </w:r>
      <w:r w:rsidRPr="0031196B">
        <w:rPr>
          <w:rStyle w:val="Strong"/>
        </w:rPr>
        <w:t>Criterion 3</w:t>
      </w:r>
      <w:r w:rsidRPr="0031196B">
        <w:rPr>
          <w:bCs/>
        </w:rPr>
        <w:t xml:space="preserve"> </w:t>
      </w:r>
      <w:r w:rsidRPr="0031196B">
        <w:rPr>
          <w:b/>
          <w:bCs/>
        </w:rPr>
        <w:t>C2b</w:t>
      </w:r>
      <w:r w:rsidRPr="0031196B">
        <w:rPr>
          <w:bCs/>
        </w:rPr>
        <w:t xml:space="preserve"> </w:t>
      </w:r>
      <w:r w:rsidRPr="0031196B">
        <w:rPr>
          <w:rStyle w:val="Strong"/>
        </w:rPr>
        <w:t>for listing as</w:t>
      </w:r>
      <w:r w:rsidRPr="000D0334">
        <w:rPr>
          <w:b/>
          <w:bCs/>
        </w:rPr>
        <w:t xml:space="preserve"> </w:t>
      </w:r>
      <w:sdt>
        <w:sdtPr>
          <w:rPr>
            <w:b/>
            <w:bCs/>
          </w:rPr>
          <w:id w:val="702371327"/>
          <w:placeholder>
            <w:docPart w:val="E205E06DA92D4FD78D9787D783DFBBC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8E0164" w:rsidRPr="000D0334">
            <w:rPr>
              <w:b/>
              <w:bCs/>
            </w:rPr>
            <w:t>Vulnerable</w:t>
          </w:r>
        </w:sdtContent>
      </w:sdt>
    </w:p>
    <w:p w14:paraId="064315BB" w14:textId="77777777" w:rsidR="003961E8" w:rsidRDefault="001958E6" w:rsidP="003961E8">
      <w:pPr>
        <w:rPr>
          <w:bCs/>
          <w:i/>
          <w:iCs/>
        </w:rPr>
      </w:pPr>
      <w:r>
        <w:rPr>
          <w:bCs/>
          <w:i/>
          <w:iCs/>
        </w:rPr>
        <w:t>Number of mature individuals</w:t>
      </w:r>
    </w:p>
    <w:p w14:paraId="22ABFB84" w14:textId="0DC34823" w:rsidR="008C30C3" w:rsidRPr="00EF28B7" w:rsidRDefault="002F52B2" w:rsidP="00A9073D">
      <w:r>
        <w:rPr>
          <w:bCs/>
        </w:rPr>
        <w:t xml:space="preserve">The </w:t>
      </w:r>
      <w:r w:rsidR="003B4658">
        <w:t>y</w:t>
      </w:r>
      <w:r w:rsidR="003B4658" w:rsidRPr="00184886">
        <w:t xml:space="preserve">ellow </w:t>
      </w:r>
      <w:r w:rsidR="003B4658">
        <w:t>m</w:t>
      </w:r>
      <w:r w:rsidR="003B4658" w:rsidRPr="00184886">
        <w:t xml:space="preserve">ountain </w:t>
      </w:r>
      <w:r w:rsidR="003B4658">
        <w:t>b</w:t>
      </w:r>
      <w:r w:rsidR="003B4658" w:rsidRPr="00184886">
        <w:t>ell</w:t>
      </w:r>
      <w:r w:rsidR="003B4658" w:rsidRPr="00953519">
        <w:t xml:space="preserve"> </w:t>
      </w:r>
      <w:r>
        <w:rPr>
          <w:bCs/>
        </w:rPr>
        <w:t xml:space="preserve">undergoes </w:t>
      </w:r>
      <w:r w:rsidRPr="00A94B92">
        <w:t>natural fluctuations in the number of mature individuals</w:t>
      </w:r>
      <w:r>
        <w:t xml:space="preserve">, characterised by the death of mature individuals and recruitment of seedlings </w:t>
      </w:r>
      <w:r>
        <w:rPr>
          <w:noProof/>
        </w:rPr>
        <w:t>(Hartley &amp; Barrett 2008; DBCA 2021)</w:t>
      </w:r>
      <w:r>
        <w:t>.</w:t>
      </w:r>
      <w:r w:rsidR="008C30C3">
        <w:t xml:space="preserve"> </w:t>
      </w:r>
      <w:r w:rsidR="0072165A">
        <w:t xml:space="preserve">For taxa that </w:t>
      </w:r>
      <w:r w:rsidR="0072165A" w:rsidRPr="00DE2914">
        <w:rPr>
          <w:bCs/>
        </w:rPr>
        <w:t>naturally lose all or a subset of mature individuals</w:t>
      </w:r>
      <w:r w:rsidR="0072165A" w:rsidRPr="005905F1">
        <w:rPr>
          <w:bCs/>
        </w:rPr>
        <w:t xml:space="preserve"> </w:t>
      </w:r>
      <w:r w:rsidR="0072165A" w:rsidRPr="00DE2914">
        <w:rPr>
          <w:bCs/>
        </w:rPr>
        <w:t xml:space="preserve">at some point in their life cycle, </w:t>
      </w:r>
      <w:r w:rsidR="0072165A" w:rsidRPr="002B2CA2">
        <w:rPr>
          <w:bCs/>
          <w:u w:val="single"/>
        </w:rPr>
        <w:t xml:space="preserve">the number of mature individuals should be estimated at the appropriate </w:t>
      </w:r>
      <w:r w:rsidR="0072165A" w:rsidRPr="0071711A">
        <w:rPr>
          <w:bCs/>
          <w:u w:val="single"/>
        </w:rPr>
        <w:t>time, when mature individuals are available for reproduction</w:t>
      </w:r>
      <w:r w:rsidR="0072165A">
        <w:rPr>
          <w:bCs/>
        </w:rPr>
        <w:t xml:space="preserve"> (</w:t>
      </w:r>
      <w:r w:rsidR="000A1D49">
        <w:rPr>
          <w:bCs/>
        </w:rPr>
        <w:t>i.e.,</w:t>
      </w:r>
      <w:r w:rsidR="0072165A">
        <w:rPr>
          <w:bCs/>
        </w:rPr>
        <w:t xml:space="preserve"> </w:t>
      </w:r>
      <w:r w:rsidR="008C30C3">
        <w:rPr>
          <w:bCs/>
        </w:rPr>
        <w:t>before fires occur when mature individuals are present</w:t>
      </w:r>
      <w:r w:rsidR="0071711A">
        <w:rPr>
          <w:bCs/>
        </w:rPr>
        <w:t>;</w:t>
      </w:r>
      <w:r w:rsidR="008C30C3">
        <w:rPr>
          <w:bCs/>
        </w:rPr>
        <w:t xml:space="preserve"> or enough time after fires when mature individuals to have recruited back from seed) </w:t>
      </w:r>
      <w:r w:rsidR="0072165A">
        <w:rPr>
          <w:bCs/>
          <w:noProof/>
        </w:rPr>
        <w:t>(</w:t>
      </w:r>
      <w:r w:rsidR="0072165A" w:rsidRPr="00EF28B7">
        <w:rPr>
          <w:bCs/>
          <w:noProof/>
        </w:rPr>
        <w:t>IUCN 2019)</w:t>
      </w:r>
      <w:r w:rsidR="0072165A" w:rsidRPr="00EF28B7">
        <w:rPr>
          <w:bCs/>
        </w:rPr>
        <w:t>.</w:t>
      </w:r>
    </w:p>
    <w:p w14:paraId="6DFDA384" w14:textId="7E78A078" w:rsidR="00A9073D" w:rsidRPr="00EF28B7" w:rsidRDefault="00B12A8C" w:rsidP="003961E8">
      <w:r w:rsidRPr="00EF28B7">
        <w:rPr>
          <w:bCs/>
        </w:rPr>
        <w:t>In 2017</w:t>
      </w:r>
      <w:r w:rsidR="008C30C3" w:rsidRPr="00EF28B7">
        <w:rPr>
          <w:bCs/>
        </w:rPr>
        <w:t xml:space="preserve"> (</w:t>
      </w:r>
      <w:r w:rsidR="00231D7B" w:rsidRPr="00EF28B7">
        <w:rPr>
          <w:bCs/>
        </w:rPr>
        <w:t>before 2018 and 2019-20 fires</w:t>
      </w:r>
      <w:r w:rsidR="008C30C3" w:rsidRPr="00EF28B7">
        <w:rPr>
          <w:bCs/>
        </w:rPr>
        <w:t>)</w:t>
      </w:r>
      <w:r w:rsidRPr="00EF28B7">
        <w:rPr>
          <w:bCs/>
        </w:rPr>
        <w:t xml:space="preserve">, there </w:t>
      </w:r>
      <w:r w:rsidR="00456323" w:rsidRPr="00EF28B7">
        <w:rPr>
          <w:bCs/>
        </w:rPr>
        <w:t>was a total of</w:t>
      </w:r>
      <w:r w:rsidRPr="00EF28B7">
        <w:rPr>
          <w:bCs/>
        </w:rPr>
        <w:t xml:space="preserve"> approximately </w:t>
      </w:r>
      <w:r w:rsidR="00A0379E" w:rsidRPr="00EF28B7">
        <w:rPr>
          <w:bCs/>
        </w:rPr>
        <w:t>62</w:t>
      </w:r>
      <w:r w:rsidRPr="00EF28B7">
        <w:rPr>
          <w:bCs/>
        </w:rPr>
        <w:t xml:space="preserve">20 mature individuals </w:t>
      </w:r>
      <w:r w:rsidR="008C30C3" w:rsidRPr="00EF28B7">
        <w:rPr>
          <w:bCs/>
        </w:rPr>
        <w:t xml:space="preserve">(Table 1) </w:t>
      </w:r>
      <w:r w:rsidRPr="00EF28B7">
        <w:rPr>
          <w:bCs/>
        </w:rPr>
        <w:t>(DBCA 2021). However, in 2021</w:t>
      </w:r>
      <w:r w:rsidR="008C30C3" w:rsidRPr="00EF28B7">
        <w:rPr>
          <w:bCs/>
        </w:rPr>
        <w:t xml:space="preserve"> (</w:t>
      </w:r>
      <w:r w:rsidR="00F66841" w:rsidRPr="00EF28B7">
        <w:rPr>
          <w:bCs/>
        </w:rPr>
        <w:t xml:space="preserve">following 2018 and 2019-20 </w:t>
      </w:r>
      <w:r w:rsidRPr="00EF28B7">
        <w:rPr>
          <w:bCs/>
        </w:rPr>
        <w:t>fire</w:t>
      </w:r>
      <w:r w:rsidR="00F66841" w:rsidRPr="00EF28B7">
        <w:rPr>
          <w:bCs/>
        </w:rPr>
        <w:t>s</w:t>
      </w:r>
      <w:r w:rsidR="008C30C3" w:rsidRPr="00EF28B7">
        <w:t>)</w:t>
      </w:r>
      <w:r w:rsidRPr="00EF28B7">
        <w:t>, the</w:t>
      </w:r>
      <w:r w:rsidR="008532DE" w:rsidRPr="00EF28B7">
        <w:t xml:space="preserve"> total</w:t>
      </w:r>
      <w:r w:rsidRPr="00EF28B7">
        <w:t xml:space="preserve"> number of mature individuals </w:t>
      </w:r>
      <w:r w:rsidR="008532DE" w:rsidRPr="00EF28B7">
        <w:t>had decreased</w:t>
      </w:r>
      <w:r w:rsidRPr="00EF28B7">
        <w:t xml:space="preserve"> to </w:t>
      </w:r>
      <w:r w:rsidRPr="00EF28B7">
        <w:rPr>
          <w:bCs/>
        </w:rPr>
        <w:t xml:space="preserve">approximately 315 mature individuals </w:t>
      </w:r>
      <w:r w:rsidR="008C30C3" w:rsidRPr="00EF28B7">
        <w:rPr>
          <w:bCs/>
        </w:rPr>
        <w:t>(Table 1)</w:t>
      </w:r>
      <w:r w:rsidRPr="00EF28B7">
        <w:rPr>
          <w:bCs/>
        </w:rPr>
        <w:t xml:space="preserve"> (DBCA 2021). </w:t>
      </w:r>
      <w:r w:rsidRPr="00EF28B7">
        <w:t xml:space="preserve">The </w:t>
      </w:r>
      <w:r w:rsidR="008532DE" w:rsidRPr="00EF28B7">
        <w:t xml:space="preserve">total </w:t>
      </w:r>
      <w:r w:rsidRPr="00EF28B7">
        <w:t xml:space="preserve">number of mature individuals is </w:t>
      </w:r>
      <w:r w:rsidR="00D65B91" w:rsidRPr="00EF28B7">
        <w:t>projected</w:t>
      </w:r>
      <w:r w:rsidRPr="00EF28B7">
        <w:t xml:space="preserve"> to increase over the next 5</w:t>
      </w:r>
      <w:r w:rsidR="00B61F41" w:rsidRPr="00EF28B7">
        <w:t>–</w:t>
      </w:r>
      <w:r w:rsidRPr="00EF28B7">
        <w:t xml:space="preserve">10 years as seedlings </w:t>
      </w:r>
      <w:r w:rsidR="00034514" w:rsidRPr="00EF28B7">
        <w:t xml:space="preserve">become </w:t>
      </w:r>
      <w:r w:rsidRPr="00EF28B7">
        <w:t>mature.</w:t>
      </w:r>
      <w:r w:rsidR="008532DE" w:rsidRPr="00EF28B7">
        <w:t xml:space="preserve"> </w:t>
      </w:r>
      <w:r w:rsidRPr="00EF28B7">
        <w:t xml:space="preserve">However, </w:t>
      </w:r>
      <w:r w:rsidR="00663719" w:rsidRPr="00EF28B7">
        <w:t xml:space="preserve">a net loss of mature individuals </w:t>
      </w:r>
      <w:r w:rsidR="0072165A" w:rsidRPr="00EF28B7">
        <w:t>(relative to</w:t>
      </w:r>
      <w:r w:rsidR="00A35327" w:rsidRPr="00EF28B7">
        <w:t xml:space="preserve"> 2017 </w:t>
      </w:r>
      <w:r w:rsidR="0072165A" w:rsidRPr="00EF28B7">
        <w:t xml:space="preserve">estimate) </w:t>
      </w:r>
      <w:r w:rsidR="00663719" w:rsidRPr="00EF28B7">
        <w:t xml:space="preserve">is </w:t>
      </w:r>
      <w:r w:rsidR="00A35327" w:rsidRPr="00EF28B7">
        <w:t xml:space="preserve">also </w:t>
      </w:r>
      <w:r w:rsidR="00663719" w:rsidRPr="00EF28B7">
        <w:t>projected</w:t>
      </w:r>
      <w:r w:rsidR="0072165A" w:rsidRPr="00EF28B7">
        <w:t>,</w:t>
      </w:r>
      <w:r w:rsidR="00663719" w:rsidRPr="00EF28B7">
        <w:t xml:space="preserve"> due to the ongoing impacts of inappropriate fire regimes, dieback caused by </w:t>
      </w:r>
      <w:r w:rsidR="00663719" w:rsidRPr="00EF28B7">
        <w:rPr>
          <w:i/>
          <w:iCs/>
        </w:rPr>
        <w:t>P. cinnamomi</w:t>
      </w:r>
      <w:r w:rsidR="00663719" w:rsidRPr="00EF28B7">
        <w:t xml:space="preserve">, altered rainfall </w:t>
      </w:r>
      <w:proofErr w:type="gramStart"/>
      <w:r w:rsidR="00663719" w:rsidRPr="00EF28B7">
        <w:t>patterns</w:t>
      </w:r>
      <w:proofErr w:type="gramEnd"/>
      <w:r w:rsidR="00663719" w:rsidRPr="00EF28B7">
        <w:t xml:space="preserve"> and </w:t>
      </w:r>
      <w:r w:rsidR="00F310BB" w:rsidRPr="00EF28B7">
        <w:t>browsing</w:t>
      </w:r>
      <w:r w:rsidR="00663719" w:rsidRPr="00EF28B7">
        <w:t xml:space="preserve"> </w:t>
      </w:r>
      <w:r w:rsidR="00456323" w:rsidRPr="00EF28B7">
        <w:t xml:space="preserve">on seedling survival </w:t>
      </w:r>
      <w:r w:rsidR="008E0C6C" w:rsidRPr="00EF28B7">
        <w:t xml:space="preserve">(see Criterion 2) </w:t>
      </w:r>
      <w:r w:rsidR="00663719" w:rsidRPr="00EF28B7">
        <w:t>(DBCA</w:t>
      </w:r>
      <w:r w:rsidR="00456323" w:rsidRPr="00EF28B7">
        <w:t xml:space="preserve"> 2021. pers comm 3 September).</w:t>
      </w:r>
    </w:p>
    <w:p w14:paraId="4A4ED758" w14:textId="54F792FC" w:rsidR="005B471B" w:rsidRPr="00EF28B7" w:rsidRDefault="005B471B" w:rsidP="003961E8">
      <w:r w:rsidRPr="00EF28B7">
        <w:lastRenderedPageBreak/>
        <w:t xml:space="preserve">Accordingly, </w:t>
      </w:r>
      <w:bookmarkStart w:id="37" w:name="_Hlk82518482"/>
      <w:r w:rsidR="00F010DC" w:rsidRPr="00EF28B7">
        <w:t xml:space="preserve">the number of mature individuals </w:t>
      </w:r>
      <w:proofErr w:type="gramStart"/>
      <w:r w:rsidR="00F010DC" w:rsidRPr="00EF28B7">
        <w:t>is considered to be</w:t>
      </w:r>
      <w:proofErr w:type="gramEnd"/>
      <w:r w:rsidR="00F010DC" w:rsidRPr="00EF28B7">
        <w:t xml:space="preserve"> </w:t>
      </w:r>
      <w:r w:rsidR="00A0379E" w:rsidRPr="00EF28B7">
        <w:t>fewer</w:t>
      </w:r>
      <w:r w:rsidR="002E4D66" w:rsidRPr="00EF28B7">
        <w:t xml:space="preserve"> than</w:t>
      </w:r>
      <w:r w:rsidR="00D33872" w:rsidRPr="00EF28B7">
        <w:t xml:space="preserve"> </w:t>
      </w:r>
      <w:r w:rsidR="00A0379E" w:rsidRPr="00EF28B7">
        <w:t>62</w:t>
      </w:r>
      <w:r w:rsidR="00F010DC" w:rsidRPr="00EF28B7">
        <w:t>20</w:t>
      </w:r>
      <w:r w:rsidR="004B332E" w:rsidRPr="00EF28B7">
        <w:t xml:space="preserve"> (</w:t>
      </w:r>
      <w:r w:rsidR="003875CA" w:rsidRPr="00EF28B7">
        <w:t>i.e.,</w:t>
      </w:r>
      <w:r w:rsidR="004B332E" w:rsidRPr="00EF28B7">
        <w:t xml:space="preserve"> less than estimated number of mature individuals in 2017)</w:t>
      </w:r>
      <w:r w:rsidR="002B2CA2" w:rsidRPr="00EF28B7">
        <w:t>, due to the projected net loss of mature individuals</w:t>
      </w:r>
      <w:r w:rsidR="004735C9" w:rsidRPr="00EF28B7">
        <w:t xml:space="preserve"> following the 2018 and 2019-20 fires</w:t>
      </w:r>
      <w:r w:rsidR="00F010DC" w:rsidRPr="00EF28B7">
        <w:t>.</w:t>
      </w:r>
      <w:bookmarkEnd w:id="37"/>
      <w:r w:rsidR="00F010DC" w:rsidRPr="00EF28B7">
        <w:t xml:space="preserve"> </w:t>
      </w:r>
      <w:r w:rsidR="00F845E2" w:rsidRPr="00EF28B7">
        <w:t>The number of mature individuals appear</w:t>
      </w:r>
      <w:r w:rsidR="00E16CB7" w:rsidRPr="00EF28B7">
        <w:t>s</w:t>
      </w:r>
      <w:r w:rsidR="00F845E2" w:rsidRPr="00EF28B7">
        <w:t xml:space="preserve"> to meet the requirements for listing as Vulnerable (&lt;</w:t>
      </w:r>
      <w:r w:rsidR="00AE524C" w:rsidRPr="00EF28B7">
        <w:t>10</w:t>
      </w:r>
      <w:r w:rsidR="003B4658" w:rsidRPr="00EF28B7">
        <w:t>,</w:t>
      </w:r>
      <w:r w:rsidR="00AE524C" w:rsidRPr="00EF28B7">
        <w:t>000</w:t>
      </w:r>
      <w:r w:rsidR="00F845E2" w:rsidRPr="00EF28B7">
        <w:t>).</w:t>
      </w:r>
    </w:p>
    <w:p w14:paraId="6FFA1136" w14:textId="669B28B5" w:rsidR="00250760" w:rsidRPr="00EF28B7" w:rsidRDefault="00250760" w:rsidP="00250760">
      <w:pPr>
        <w:keepNext/>
        <w:rPr>
          <w:i/>
          <w:iCs/>
          <w:lang w:eastAsia="ja-JP"/>
        </w:rPr>
      </w:pPr>
      <w:r w:rsidRPr="00EF28B7">
        <w:rPr>
          <w:i/>
          <w:iCs/>
          <w:lang w:eastAsia="ja-JP"/>
        </w:rPr>
        <w:t>Continuing decline</w:t>
      </w:r>
    </w:p>
    <w:p w14:paraId="3F1C1E80" w14:textId="2387AB3F" w:rsidR="002E06E6" w:rsidRPr="00EF28B7" w:rsidRDefault="005030DD" w:rsidP="00BC73D0">
      <w:pPr>
        <w:keepNext/>
      </w:pPr>
      <w:r w:rsidRPr="00EF28B7">
        <w:rPr>
          <w:lang w:eastAsia="ja-JP"/>
        </w:rPr>
        <w:t>A</w:t>
      </w:r>
      <w:r w:rsidR="00BC73D0" w:rsidRPr="00EF28B7">
        <w:rPr>
          <w:lang w:eastAsia="ja-JP"/>
        </w:rPr>
        <w:t>s</w:t>
      </w:r>
      <w:r w:rsidR="002E06E6" w:rsidRPr="00EF28B7">
        <w:t xml:space="preserve"> discussed in Criterion 2 (see above), </w:t>
      </w:r>
      <w:bookmarkStart w:id="38" w:name="_Hlk82518554"/>
      <w:r w:rsidR="002E06E6" w:rsidRPr="00EF28B7">
        <w:t xml:space="preserve">the species appears to be undergoing continuing decline in </w:t>
      </w:r>
      <w:r w:rsidR="002E06E6" w:rsidRPr="00EF28B7">
        <w:rPr>
          <w:lang w:eastAsia="ja-JP"/>
        </w:rPr>
        <w:t>the number of mature individuals.</w:t>
      </w:r>
      <w:r w:rsidR="002E06E6" w:rsidRPr="00EF28B7">
        <w:t xml:space="preserve"> </w:t>
      </w:r>
      <w:bookmarkEnd w:id="38"/>
      <w:r w:rsidRPr="00EF28B7">
        <w:rPr>
          <w:lang w:eastAsia="ja-JP"/>
        </w:rPr>
        <w:t xml:space="preserve">However, the rate of decline for the </w:t>
      </w:r>
      <w:r w:rsidR="003B4658" w:rsidRPr="00EF28B7">
        <w:t xml:space="preserve">yellow mountain bell </w:t>
      </w:r>
      <w:r w:rsidRPr="00EF28B7">
        <w:rPr>
          <w:lang w:eastAsia="ja-JP"/>
        </w:rPr>
        <w:t xml:space="preserve">is unknown. </w:t>
      </w:r>
      <w:r w:rsidR="002E06E6" w:rsidRPr="00EF28B7">
        <w:rPr>
          <w:lang w:eastAsia="ja-JP"/>
        </w:rPr>
        <w:t>Accordingly, the species</w:t>
      </w:r>
      <w:r w:rsidR="002E06E6" w:rsidRPr="00EF28B7">
        <w:t xml:space="preserve"> appears to</w:t>
      </w:r>
      <w:r w:rsidR="00AB3E0C" w:rsidRPr="00EF28B7">
        <w:t xml:space="preserve"> only</w:t>
      </w:r>
      <w:r w:rsidR="002E06E6" w:rsidRPr="00EF28B7">
        <w:t xml:space="preserve"> meet the </w:t>
      </w:r>
      <w:r w:rsidR="001B2810" w:rsidRPr="00EF28B7">
        <w:t xml:space="preserve">C2 </w:t>
      </w:r>
      <w:r w:rsidR="00EE5108" w:rsidRPr="00EF28B7">
        <w:t>continuing decline</w:t>
      </w:r>
      <w:r w:rsidR="001B2810" w:rsidRPr="00EF28B7">
        <w:t xml:space="preserve"> </w:t>
      </w:r>
      <w:r w:rsidR="002E06E6" w:rsidRPr="00EF28B7">
        <w:t xml:space="preserve">requirement for </w:t>
      </w:r>
      <w:r w:rsidR="00EE5108" w:rsidRPr="00EF28B7">
        <w:t xml:space="preserve">listing under this </w:t>
      </w:r>
      <w:r w:rsidR="002E06E6" w:rsidRPr="00EF28B7">
        <w:t>criterion</w:t>
      </w:r>
      <w:r w:rsidR="00AB3E0C" w:rsidRPr="00EF28B7">
        <w:t xml:space="preserve"> and not the </w:t>
      </w:r>
      <w:r w:rsidR="001B2810" w:rsidRPr="00EF28B7">
        <w:t xml:space="preserve">C1 </w:t>
      </w:r>
      <w:r w:rsidR="00AB3E0C" w:rsidRPr="00EF28B7">
        <w:t>continuing decline requirement</w:t>
      </w:r>
      <w:r w:rsidR="002E06E6" w:rsidRPr="00EF28B7">
        <w:t>.</w:t>
      </w:r>
    </w:p>
    <w:p w14:paraId="34C9989F" w14:textId="315537A6" w:rsidR="001958E6" w:rsidRPr="00EF28B7" w:rsidRDefault="001958E6" w:rsidP="00950176">
      <w:pPr>
        <w:keepNext/>
        <w:keepLines/>
        <w:rPr>
          <w:bCs/>
          <w:i/>
          <w:iCs/>
        </w:rPr>
      </w:pPr>
      <w:r w:rsidRPr="00EF28B7">
        <w:rPr>
          <w:bCs/>
          <w:i/>
          <w:iCs/>
        </w:rPr>
        <w:t xml:space="preserve">Number of mature individuals </w:t>
      </w:r>
      <w:r w:rsidR="00583103" w:rsidRPr="00EF28B7">
        <w:rPr>
          <w:bCs/>
          <w:i/>
          <w:iCs/>
        </w:rPr>
        <w:t>in each</w:t>
      </w:r>
      <w:r w:rsidRPr="00EF28B7">
        <w:rPr>
          <w:bCs/>
          <w:i/>
          <w:iCs/>
        </w:rPr>
        <w:t xml:space="preserve"> subpopulation</w:t>
      </w:r>
    </w:p>
    <w:p w14:paraId="6626DF16" w14:textId="7EE61B8E" w:rsidR="009135E2" w:rsidRPr="00EF28B7" w:rsidRDefault="00B16FC9" w:rsidP="008A60DB">
      <w:pPr>
        <w:keepNext/>
      </w:pPr>
      <w:r w:rsidRPr="00EF28B7">
        <w:rPr>
          <w:bCs/>
        </w:rPr>
        <w:t>In 2017 (</w:t>
      </w:r>
      <w:r w:rsidR="00231D7B" w:rsidRPr="00EF28B7">
        <w:rPr>
          <w:bCs/>
        </w:rPr>
        <w:t>before 2018 and 2019-20 fires</w:t>
      </w:r>
      <w:r w:rsidRPr="00EF28B7">
        <w:rPr>
          <w:bCs/>
        </w:rPr>
        <w:t xml:space="preserve">), </w:t>
      </w:r>
      <w:r w:rsidR="00C73BE8" w:rsidRPr="00EF28B7">
        <w:rPr>
          <w:bCs/>
        </w:rPr>
        <w:t>approximately 2000</w:t>
      </w:r>
      <w:r w:rsidR="00D31C8F" w:rsidRPr="00EF28B7">
        <w:rPr>
          <w:bCs/>
        </w:rPr>
        <w:t xml:space="preserve"> mature individuals occurred</w:t>
      </w:r>
      <w:r w:rsidRPr="00EF28B7">
        <w:rPr>
          <w:bCs/>
        </w:rPr>
        <w:t xml:space="preserve"> in</w:t>
      </w:r>
      <w:r w:rsidR="00D31C8F" w:rsidRPr="00EF28B7">
        <w:rPr>
          <w:bCs/>
        </w:rPr>
        <w:t xml:space="preserve"> </w:t>
      </w:r>
      <w:r w:rsidR="00A029D3" w:rsidRPr="00EF28B7">
        <w:rPr>
          <w:bCs/>
        </w:rPr>
        <w:t>subpo</w:t>
      </w:r>
      <w:r w:rsidR="00CA61D7" w:rsidRPr="00EF28B7">
        <w:rPr>
          <w:bCs/>
        </w:rPr>
        <w:t xml:space="preserve">pulation 1 (Bluff Knoll/Bula Meela) and </w:t>
      </w:r>
      <w:r w:rsidR="00C73BE8" w:rsidRPr="00EF28B7">
        <w:rPr>
          <w:bCs/>
        </w:rPr>
        <w:t xml:space="preserve">approximately </w:t>
      </w:r>
      <w:r w:rsidR="00A0379E" w:rsidRPr="00EF28B7">
        <w:rPr>
          <w:bCs/>
        </w:rPr>
        <w:t>4000</w:t>
      </w:r>
      <w:r w:rsidR="00C73BE8" w:rsidRPr="00EF28B7">
        <w:rPr>
          <w:bCs/>
        </w:rPr>
        <w:t xml:space="preserve"> mature individuals occurred in </w:t>
      </w:r>
      <w:r w:rsidR="00CA61D7" w:rsidRPr="00EF28B7">
        <w:rPr>
          <w:bCs/>
        </w:rPr>
        <w:t xml:space="preserve">6A (Bakers Knob A) </w:t>
      </w:r>
      <w:r w:rsidR="00034514" w:rsidRPr="00EF28B7">
        <w:rPr>
          <w:bCs/>
        </w:rPr>
        <w:t xml:space="preserve">(Table 1) </w:t>
      </w:r>
      <w:r w:rsidR="00D31C8F" w:rsidRPr="00EF28B7">
        <w:rPr>
          <w:bCs/>
        </w:rPr>
        <w:t>(DBCA 2021).</w:t>
      </w:r>
      <w:r w:rsidR="008566E9" w:rsidRPr="00EF28B7">
        <w:rPr>
          <w:bCs/>
        </w:rPr>
        <w:t xml:space="preserve"> </w:t>
      </w:r>
      <w:r w:rsidR="003B4658" w:rsidRPr="00EF28B7">
        <w:rPr>
          <w:bCs/>
        </w:rPr>
        <w:t>Accordingly, t</w:t>
      </w:r>
      <w:r w:rsidR="00A03ECD" w:rsidRPr="00EF28B7">
        <w:rPr>
          <w:bCs/>
        </w:rPr>
        <w:t xml:space="preserve">he number of </w:t>
      </w:r>
      <w:r w:rsidR="00A03ECD" w:rsidRPr="00EF28B7">
        <w:t xml:space="preserve">mature individuals in each subpopulation </w:t>
      </w:r>
      <w:proofErr w:type="gramStart"/>
      <w:r w:rsidR="00A03ECD" w:rsidRPr="00EF28B7">
        <w:t xml:space="preserve">is considered to </w:t>
      </w:r>
      <w:r w:rsidR="00D449BA" w:rsidRPr="00EF28B7">
        <w:t>be</w:t>
      </w:r>
      <w:proofErr w:type="gramEnd"/>
      <w:r w:rsidR="00D449BA" w:rsidRPr="00EF28B7">
        <w:t xml:space="preserve"> </w:t>
      </w:r>
      <w:r w:rsidR="008B0327" w:rsidRPr="00EF28B7">
        <w:t>greater</w:t>
      </w:r>
      <w:r w:rsidR="00D449BA" w:rsidRPr="00EF28B7">
        <w:t xml:space="preserve"> than </w:t>
      </w:r>
      <w:r w:rsidR="00A03ECD" w:rsidRPr="00EF28B7">
        <w:t>1000</w:t>
      </w:r>
      <w:r w:rsidR="00287006" w:rsidRPr="00EF28B7">
        <w:t xml:space="preserve">, so the species does not appear to meet </w:t>
      </w:r>
      <w:r w:rsidR="00320E18" w:rsidRPr="00EF28B7">
        <w:t xml:space="preserve">this </w:t>
      </w:r>
      <w:r w:rsidR="009135E2" w:rsidRPr="00EF28B7">
        <w:t>requirement for listing under this criterion.</w:t>
      </w:r>
    </w:p>
    <w:p w14:paraId="18F5DA52" w14:textId="2D44B705" w:rsidR="006E6BDF" w:rsidRPr="00EF28B7" w:rsidRDefault="006F2CD8" w:rsidP="006E6BDF">
      <w:pPr>
        <w:keepNext/>
        <w:keepLines/>
        <w:rPr>
          <w:bCs/>
          <w:i/>
          <w:iCs/>
        </w:rPr>
      </w:pPr>
      <w:r w:rsidRPr="00EF28B7">
        <w:rPr>
          <w:bCs/>
          <w:i/>
          <w:iCs/>
        </w:rPr>
        <w:t>Percentage</w:t>
      </w:r>
      <w:r w:rsidR="006E6BDF" w:rsidRPr="00EF28B7">
        <w:rPr>
          <w:bCs/>
          <w:i/>
          <w:iCs/>
        </w:rPr>
        <w:t xml:space="preserve"> of mature individuals in</w:t>
      </w:r>
      <w:r w:rsidR="00583103" w:rsidRPr="00EF28B7">
        <w:rPr>
          <w:bCs/>
          <w:i/>
          <w:iCs/>
        </w:rPr>
        <w:t xml:space="preserve"> one</w:t>
      </w:r>
      <w:r w:rsidR="006E6BDF" w:rsidRPr="00EF28B7">
        <w:rPr>
          <w:bCs/>
          <w:i/>
          <w:iCs/>
        </w:rPr>
        <w:t xml:space="preserve"> subpopulation</w:t>
      </w:r>
    </w:p>
    <w:p w14:paraId="6B84BFDF" w14:textId="02614911" w:rsidR="00D449BA" w:rsidRDefault="00750BE3" w:rsidP="00BD5244">
      <w:pPr>
        <w:keepNext/>
      </w:pPr>
      <w:r w:rsidRPr="00EF28B7">
        <w:rPr>
          <w:bCs/>
        </w:rPr>
        <w:t>Given</w:t>
      </w:r>
      <w:r w:rsidR="002E5F45" w:rsidRPr="00EF28B7">
        <w:rPr>
          <w:bCs/>
        </w:rPr>
        <w:t xml:space="preserve"> that </w:t>
      </w:r>
      <w:r w:rsidR="00AE24AB" w:rsidRPr="00EF28B7">
        <w:rPr>
          <w:bCs/>
        </w:rPr>
        <w:t xml:space="preserve">mature individuals occur </w:t>
      </w:r>
      <w:r w:rsidR="008A60DB" w:rsidRPr="00EF28B7">
        <w:rPr>
          <w:bCs/>
        </w:rPr>
        <w:t>in</w:t>
      </w:r>
      <w:r w:rsidR="00AE24AB" w:rsidRPr="00EF28B7">
        <w:rPr>
          <w:bCs/>
        </w:rPr>
        <w:t xml:space="preserve"> at</w:t>
      </w:r>
      <w:r w:rsidR="002E5F45" w:rsidRPr="00EF28B7">
        <w:rPr>
          <w:bCs/>
        </w:rPr>
        <w:t xml:space="preserve"> least three </w:t>
      </w:r>
      <w:r w:rsidR="00583103" w:rsidRPr="00EF28B7">
        <w:rPr>
          <w:bCs/>
        </w:rPr>
        <w:t>subpopulations</w:t>
      </w:r>
      <w:r w:rsidR="002E5F45" w:rsidRPr="00EF28B7">
        <w:rPr>
          <w:bCs/>
        </w:rPr>
        <w:t xml:space="preserve"> (</w:t>
      </w:r>
      <w:r w:rsidR="00AE24AB" w:rsidRPr="00EF28B7">
        <w:rPr>
          <w:bCs/>
        </w:rPr>
        <w:t>subpopulation</w:t>
      </w:r>
      <w:r w:rsidR="00BD5244" w:rsidRPr="00EF28B7">
        <w:rPr>
          <w:bCs/>
        </w:rPr>
        <w:t>s</w:t>
      </w:r>
      <w:r w:rsidR="00AE24AB" w:rsidRPr="00EF28B7">
        <w:rPr>
          <w:bCs/>
        </w:rPr>
        <w:t xml:space="preserve"> 1, 6A and 9)</w:t>
      </w:r>
      <w:r w:rsidR="00FC4A70" w:rsidRPr="00EF28B7">
        <w:rPr>
          <w:bCs/>
        </w:rPr>
        <w:t xml:space="preserve"> (DBCA 2021)</w:t>
      </w:r>
      <w:r w:rsidR="00583103" w:rsidRPr="00EF28B7">
        <w:rPr>
          <w:bCs/>
        </w:rPr>
        <w:t xml:space="preserve">, </w:t>
      </w:r>
      <w:r w:rsidR="002E5F45" w:rsidRPr="00EF28B7">
        <w:rPr>
          <w:bCs/>
        </w:rPr>
        <w:t xml:space="preserve">it is not possible for </w:t>
      </w:r>
      <w:r w:rsidR="0044738A" w:rsidRPr="00EF28B7">
        <w:rPr>
          <w:bCs/>
        </w:rPr>
        <w:t>100 percent</w:t>
      </w:r>
      <w:r w:rsidR="002E5F45" w:rsidRPr="00EF28B7">
        <w:rPr>
          <w:bCs/>
        </w:rPr>
        <w:t xml:space="preserve"> of mature individuals </w:t>
      </w:r>
      <w:r w:rsidR="0044738A" w:rsidRPr="00EF28B7">
        <w:rPr>
          <w:bCs/>
        </w:rPr>
        <w:t xml:space="preserve">to occur </w:t>
      </w:r>
      <w:r w:rsidR="002E5F45" w:rsidRPr="00EF28B7">
        <w:rPr>
          <w:bCs/>
        </w:rPr>
        <w:t>in one subpopulation</w:t>
      </w:r>
      <w:r w:rsidR="0044738A" w:rsidRPr="00EF28B7">
        <w:rPr>
          <w:bCs/>
        </w:rPr>
        <w:t>.</w:t>
      </w:r>
      <w:r w:rsidR="00E769DC" w:rsidRPr="00EF28B7">
        <w:rPr>
          <w:bCs/>
        </w:rPr>
        <w:t xml:space="preserve"> </w:t>
      </w:r>
      <w:r w:rsidR="0070085F" w:rsidRPr="00EF28B7">
        <w:rPr>
          <w:bCs/>
        </w:rPr>
        <w:t>T</w:t>
      </w:r>
      <w:r w:rsidR="00D449BA" w:rsidRPr="00EF28B7">
        <w:rPr>
          <w:bCs/>
        </w:rPr>
        <w:t xml:space="preserve">he </w:t>
      </w:r>
      <w:r w:rsidR="0044738A" w:rsidRPr="00EF28B7">
        <w:rPr>
          <w:bCs/>
        </w:rPr>
        <w:t>percentage</w:t>
      </w:r>
      <w:r w:rsidR="00D449BA" w:rsidRPr="00EF28B7">
        <w:rPr>
          <w:bCs/>
        </w:rPr>
        <w:t xml:space="preserve"> of </w:t>
      </w:r>
      <w:r w:rsidR="00D449BA" w:rsidRPr="00EF28B7">
        <w:t>mature</w:t>
      </w:r>
      <w:r w:rsidR="00D449BA">
        <w:t xml:space="preserve"> individuals in </w:t>
      </w:r>
      <w:r w:rsidR="0044738A">
        <w:t>one</w:t>
      </w:r>
      <w:r w:rsidR="00D449BA">
        <w:t xml:space="preserve"> subpopulation </w:t>
      </w:r>
      <w:proofErr w:type="gramStart"/>
      <w:r w:rsidR="00D449BA">
        <w:t xml:space="preserve">is considered to </w:t>
      </w:r>
      <w:r w:rsidR="0044738A">
        <w:t>be</w:t>
      </w:r>
      <w:proofErr w:type="gramEnd"/>
      <w:r w:rsidR="0044738A">
        <w:t xml:space="preserve"> </w:t>
      </w:r>
      <w:r w:rsidR="00320E18">
        <w:t>less than 100 percent</w:t>
      </w:r>
      <w:r w:rsidR="00D449BA">
        <w:t xml:space="preserve">, so the species does not appear to meet </w:t>
      </w:r>
      <w:r w:rsidR="00320E18">
        <w:t>this</w:t>
      </w:r>
      <w:r w:rsidR="00D449BA">
        <w:t xml:space="preserve"> requirement for listing under this criterion.</w:t>
      </w:r>
    </w:p>
    <w:p w14:paraId="79FCF983" w14:textId="3EFE6F31" w:rsidR="001958E6" w:rsidRDefault="001958E6" w:rsidP="001958E6">
      <w:pPr>
        <w:rPr>
          <w:bCs/>
          <w:i/>
          <w:iCs/>
        </w:rPr>
      </w:pPr>
      <w:r>
        <w:rPr>
          <w:bCs/>
          <w:i/>
          <w:iCs/>
        </w:rPr>
        <w:t>Extreme fluctuations in the number of mature individuals</w:t>
      </w:r>
    </w:p>
    <w:p w14:paraId="7824E6BB" w14:textId="0A340032" w:rsidR="000922CD" w:rsidRDefault="00304547" w:rsidP="000922CD">
      <w:r>
        <w:t>As discussed in Criterion 2 (see above), the</w:t>
      </w:r>
      <w:r w:rsidRPr="009A6E8A">
        <w:t xml:space="preserve"> species </w:t>
      </w:r>
      <w:r>
        <w:t xml:space="preserve">appears to show extreme fluctuations in the number of </w:t>
      </w:r>
      <w:r w:rsidRPr="007D4A85">
        <w:rPr>
          <w:lang w:eastAsia="ja-JP"/>
        </w:rPr>
        <w:t>mature individuals</w:t>
      </w:r>
      <w:r>
        <w:rPr>
          <w:lang w:eastAsia="ja-JP"/>
        </w:rPr>
        <w:t>. Accordingly, the species</w:t>
      </w:r>
      <w:r w:rsidRPr="009A6E8A">
        <w:t xml:space="preserve"> appears to meet the </w:t>
      </w:r>
      <w:r w:rsidR="00EE5108">
        <w:t xml:space="preserve">extreme fluctuations </w:t>
      </w:r>
      <w:r w:rsidRPr="009A6E8A">
        <w:t xml:space="preserve">requirement for </w:t>
      </w:r>
      <w:r w:rsidR="00EE5108">
        <w:t xml:space="preserve">listing under </w:t>
      </w:r>
      <w:r w:rsidR="002E06E6">
        <w:t>this criterion</w:t>
      </w:r>
      <w:r w:rsidRPr="009A6E8A">
        <w:t>.</w:t>
      </w:r>
    </w:p>
    <w:p w14:paraId="7D74EB80" w14:textId="77777777" w:rsidR="001958E6" w:rsidRDefault="001958E6" w:rsidP="00EE5108">
      <w:pPr>
        <w:keepNext/>
        <w:rPr>
          <w:bCs/>
          <w:i/>
          <w:iCs/>
        </w:rPr>
      </w:pPr>
      <w:r>
        <w:rPr>
          <w:bCs/>
          <w:i/>
          <w:iCs/>
        </w:rPr>
        <w:t>Conclusion</w:t>
      </w:r>
    </w:p>
    <w:p w14:paraId="1A637D91" w14:textId="6F7C1BAF" w:rsidR="002560B6" w:rsidRPr="00663D5A" w:rsidRDefault="002560B6" w:rsidP="002560B6">
      <w:r w:rsidRPr="00663D5A">
        <w:t xml:space="preserve">The species’ population size </w:t>
      </w:r>
      <w:r w:rsidR="00663D5A" w:rsidRPr="00663D5A">
        <w:t xml:space="preserve">appears to be </w:t>
      </w:r>
      <w:r w:rsidRPr="00663D5A">
        <w:t>&lt;10</w:t>
      </w:r>
      <w:r w:rsidR="003B4658">
        <w:t>,</w:t>
      </w:r>
      <w:r w:rsidRPr="00663D5A">
        <w:t>000 mature individuals</w:t>
      </w:r>
      <w:r w:rsidR="00663D5A" w:rsidRPr="00663D5A">
        <w:t>, and</w:t>
      </w:r>
      <w:r w:rsidRPr="00663D5A">
        <w:t xml:space="preserve"> </w:t>
      </w:r>
      <w:r w:rsidR="00663D5A" w:rsidRPr="00663D5A">
        <w:t>the number of mature individuals appears to be undergoing continuing decline and</w:t>
      </w:r>
      <w:r w:rsidRPr="00663D5A">
        <w:t xml:space="preserve"> extreme fluctuations.</w:t>
      </w:r>
    </w:p>
    <w:p w14:paraId="2DE373DF" w14:textId="21B0E346" w:rsidR="00FC297B" w:rsidRDefault="002560B6" w:rsidP="002560B6">
      <w:pPr>
        <w:rPr>
          <w:rFonts w:ascii="Calibri" w:hAnsi="Calibri"/>
          <w:b/>
          <w:sz w:val="24"/>
          <w:szCs w:val="18"/>
        </w:rPr>
      </w:pPr>
      <w:r w:rsidRPr="00663D5A">
        <w:t xml:space="preserve">The data presented above appear to demonstrate that the species is eligible for listing as </w:t>
      </w:r>
      <w:r w:rsidR="00663D5A" w:rsidRPr="00663D5A">
        <w:rPr>
          <w:b/>
        </w:rPr>
        <w:t>Vulnerable</w:t>
      </w:r>
      <w:r w:rsidRPr="00663D5A">
        <w:t xml:space="preserve"> under this criterion. However, the purpose of this consultation document is to elicit additional information to better understand the species’ status. This conclusion should therefore </w:t>
      </w:r>
      <w:proofErr w:type="gramStart"/>
      <w:r w:rsidRPr="00663D5A">
        <w:t>be considered to be</w:t>
      </w:r>
      <w:proofErr w:type="gramEnd"/>
      <w:r w:rsidRPr="00663D5A">
        <w:t xml:space="preserve"> tentative at this stage, as it may be changed as a result of responses to this consultation process.</w:t>
      </w:r>
      <w:r w:rsidR="00FC297B">
        <w:br w:type="page"/>
      </w:r>
    </w:p>
    <w:p w14:paraId="3BAF3C5E" w14:textId="05BC8FC0"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72D93045"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4CABB8B1" w14:textId="77777777" w:rsidR="00166185" w:rsidRPr="00166185" w:rsidRDefault="00166185" w:rsidP="000E630E">
            <w:pPr>
              <w:pStyle w:val="TableText"/>
              <w:keepNext/>
            </w:pPr>
          </w:p>
        </w:tc>
      </w:tr>
      <w:tr w:rsidR="00166185" w:rsidRPr="00166185" w14:paraId="2A10C63B"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111DBC55"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3CCEC6B2" w14:textId="77777777" w:rsidR="00166185" w:rsidRPr="009E3E71" w:rsidRDefault="00166185" w:rsidP="000E630E">
            <w:pPr>
              <w:pStyle w:val="TableText"/>
              <w:keepNext/>
              <w:rPr>
                <w:rStyle w:val="Strong"/>
              </w:rPr>
            </w:pPr>
            <w:r w:rsidRPr="009E3E71">
              <w:rPr>
                <w:rStyle w:val="Strong"/>
              </w:rPr>
              <w:t>Critically Endangered</w:t>
            </w:r>
          </w:p>
          <w:p w14:paraId="63A96EE2"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760FB43B" w14:textId="77777777" w:rsidR="00166185" w:rsidRPr="009E3E71" w:rsidRDefault="00166185" w:rsidP="000E630E">
            <w:pPr>
              <w:pStyle w:val="TableText"/>
              <w:keepNext/>
              <w:rPr>
                <w:rStyle w:val="Strong"/>
              </w:rPr>
            </w:pPr>
            <w:r w:rsidRPr="009E3E71">
              <w:rPr>
                <w:rStyle w:val="Strong"/>
              </w:rPr>
              <w:t>Endangered</w:t>
            </w:r>
          </w:p>
          <w:p w14:paraId="53823D5C"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4678CB10" w14:textId="77777777" w:rsidR="00166185" w:rsidRPr="009E3E71" w:rsidRDefault="00166185" w:rsidP="000E630E">
            <w:pPr>
              <w:pStyle w:val="TableText"/>
              <w:keepNext/>
              <w:rPr>
                <w:rStyle w:val="Strong"/>
              </w:rPr>
            </w:pPr>
            <w:r w:rsidRPr="009E3E71">
              <w:rPr>
                <w:rStyle w:val="Strong"/>
              </w:rPr>
              <w:t>Vulnerable</w:t>
            </w:r>
          </w:p>
          <w:p w14:paraId="2312FA15" w14:textId="77777777" w:rsidR="00166185" w:rsidRPr="009E3E71" w:rsidRDefault="00166185" w:rsidP="000E630E">
            <w:pPr>
              <w:pStyle w:val="TableText"/>
              <w:keepNext/>
              <w:rPr>
                <w:rStyle w:val="Strong"/>
              </w:rPr>
            </w:pPr>
            <w:r w:rsidRPr="009E3E71">
              <w:rPr>
                <w:rStyle w:val="Strong"/>
              </w:rPr>
              <w:t>Low</w:t>
            </w:r>
          </w:p>
        </w:tc>
      </w:tr>
      <w:tr w:rsidR="00166185" w:rsidRPr="00166185" w14:paraId="1466CD23"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60918DAA"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AF4907E"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23581488"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05186852" w14:textId="477E4A8C"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040C5FF"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46D865CC"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76C611C8"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7A51B38"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4120D09"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38AD601"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0FF8951E"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6" w:history="1">
        <w:r w:rsidRPr="00166185">
          <w:rPr>
            <w:rStyle w:val="Hyperlink"/>
            <w:bCs/>
            <w:i/>
            <w:iCs/>
          </w:rPr>
          <w:t>common assessment method</w:t>
        </w:r>
      </w:hyperlink>
      <w:r w:rsidRPr="00166185">
        <w:t>.</w:t>
      </w:r>
    </w:p>
    <w:p w14:paraId="4E7D4C55" w14:textId="77777777" w:rsidR="00C2736A" w:rsidRPr="00C2736A" w:rsidRDefault="00C2736A">
      <w:pPr>
        <w:pStyle w:val="Heading3"/>
        <w:ind w:left="964" w:hanging="964"/>
      </w:pPr>
      <w:r>
        <w:t>Criterion 4 e</w:t>
      </w:r>
      <w:r w:rsidR="00BE530B" w:rsidRPr="00BE530B">
        <w:t>vidence</w:t>
      </w:r>
    </w:p>
    <w:p w14:paraId="2358F619" w14:textId="77777777" w:rsidR="00FC297B" w:rsidRPr="00CD30FC" w:rsidRDefault="00FC297B" w:rsidP="00FC297B">
      <w:pPr>
        <w:rPr>
          <w:rStyle w:val="Strong"/>
        </w:rPr>
      </w:pPr>
      <w:r w:rsidRPr="00C3775B">
        <w:rPr>
          <w:rStyle w:val="Strong"/>
        </w:rPr>
        <w:t>Not eligible</w:t>
      </w:r>
    </w:p>
    <w:p w14:paraId="782F1914" w14:textId="77777777" w:rsidR="00BC44B5" w:rsidRPr="001B624C" w:rsidRDefault="00BC44B5" w:rsidP="00BC44B5">
      <w:pPr>
        <w:rPr>
          <w:bCs/>
          <w:i/>
          <w:iCs/>
        </w:rPr>
      </w:pPr>
      <w:r>
        <w:rPr>
          <w:bCs/>
          <w:i/>
          <w:iCs/>
        </w:rPr>
        <w:t>Number of mature individuals</w:t>
      </w:r>
    </w:p>
    <w:p w14:paraId="722D272B" w14:textId="37A81D71" w:rsidR="005B1813" w:rsidRDefault="005B1813" w:rsidP="00A83F50">
      <w:pPr>
        <w:keepNext/>
        <w:rPr>
          <w:bCs/>
        </w:rPr>
      </w:pPr>
      <w:r>
        <w:rPr>
          <w:lang w:eastAsia="ja-JP"/>
        </w:rPr>
        <w:t>As</w:t>
      </w:r>
      <w:r w:rsidRPr="006B5300">
        <w:rPr>
          <w:bCs/>
        </w:rPr>
        <w:t xml:space="preserve"> per the </w:t>
      </w:r>
      <w:r>
        <w:rPr>
          <w:bCs/>
        </w:rPr>
        <w:t>evidence presented</w:t>
      </w:r>
      <w:r w:rsidRPr="006B5300">
        <w:rPr>
          <w:bCs/>
        </w:rPr>
        <w:t xml:space="preserve"> above for Criterion 3, </w:t>
      </w:r>
      <w:r w:rsidR="00A83F50">
        <w:rPr>
          <w:bCs/>
        </w:rPr>
        <w:t xml:space="preserve">the number of mature individuals </w:t>
      </w:r>
      <w:proofErr w:type="gramStart"/>
      <w:r w:rsidR="00A83F50">
        <w:rPr>
          <w:bCs/>
        </w:rPr>
        <w:t>is considered to be</w:t>
      </w:r>
      <w:proofErr w:type="gramEnd"/>
      <w:r w:rsidR="00A83F50">
        <w:rPr>
          <w:bCs/>
        </w:rPr>
        <w:t xml:space="preserve"> greater than</w:t>
      </w:r>
      <w:r w:rsidRPr="006B5300">
        <w:rPr>
          <w:bCs/>
        </w:rPr>
        <w:t xml:space="preserve"> 1000</w:t>
      </w:r>
      <w:r>
        <w:rPr>
          <w:bCs/>
        </w:rPr>
        <w:t>.</w:t>
      </w:r>
      <w:r w:rsidR="006D0B80">
        <w:rPr>
          <w:bCs/>
        </w:rPr>
        <w:t xml:space="preserve"> </w:t>
      </w:r>
      <w:bookmarkStart w:id="39" w:name="_Hlk85562892"/>
      <w:r w:rsidR="006D0B80">
        <w:rPr>
          <w:bCs/>
        </w:rPr>
        <w:t>The species does not appear to meet the requirements for listing under this criterion.</w:t>
      </w:r>
    </w:p>
    <w:p w14:paraId="70D30FE0" w14:textId="719F70DD" w:rsidR="00FA28B4" w:rsidRDefault="00FA28B4" w:rsidP="00FA28B4">
      <w:pPr>
        <w:rPr>
          <w:bCs/>
        </w:rPr>
      </w:pPr>
      <w:r>
        <w:rPr>
          <w:bCs/>
        </w:rPr>
        <w:t xml:space="preserve">Species cannot be listed under Criterion D2 (see </w:t>
      </w:r>
      <w:r w:rsidRPr="00280752">
        <w:rPr>
          <w:bCs/>
          <w:vertAlign w:val="superscript"/>
        </w:rPr>
        <w:t>1</w:t>
      </w:r>
      <w:r>
        <w:rPr>
          <w:bCs/>
        </w:rPr>
        <w:t xml:space="preserve">). However, </w:t>
      </w:r>
      <w:r w:rsidR="00C9182E">
        <w:rPr>
          <w:bCs/>
        </w:rPr>
        <w:t xml:space="preserve">the species meets the requirements for the Vulnerable category under D2, </w:t>
      </w:r>
      <w:r>
        <w:rPr>
          <w:bCs/>
        </w:rPr>
        <w:t xml:space="preserve">given the </w:t>
      </w:r>
      <w:r w:rsidR="00C9182E">
        <w:rPr>
          <w:bCs/>
        </w:rPr>
        <w:t>n</w:t>
      </w:r>
      <w:r>
        <w:rPr>
          <w:bCs/>
        </w:rPr>
        <w:t xml:space="preserve">umber of locations is </w:t>
      </w:r>
      <w:r w:rsidR="00C9182E">
        <w:t>one</w:t>
      </w:r>
      <w:r w:rsidRPr="006B5300" w:rsidDel="00280752">
        <w:rPr>
          <w:bCs/>
        </w:rPr>
        <w:t xml:space="preserve"> </w:t>
      </w:r>
      <w:r>
        <w:rPr>
          <w:bCs/>
        </w:rPr>
        <w:t>(see Criterion 2)</w:t>
      </w:r>
      <w:r w:rsidR="00C9182E">
        <w:rPr>
          <w:bCs/>
        </w:rPr>
        <w:t>.</w:t>
      </w:r>
      <w:bookmarkEnd w:id="39"/>
    </w:p>
    <w:p w14:paraId="6C14EC26" w14:textId="77777777" w:rsidR="00FA28B4" w:rsidRPr="00346064" w:rsidRDefault="00FA28B4" w:rsidP="00FA28B4">
      <w:pPr>
        <w:keepNext/>
        <w:rPr>
          <w:bCs/>
          <w:i/>
          <w:iCs/>
        </w:rPr>
      </w:pPr>
      <w:r>
        <w:rPr>
          <w:bCs/>
          <w:i/>
          <w:iCs/>
        </w:rPr>
        <w:t>Conclusion</w:t>
      </w:r>
    </w:p>
    <w:p w14:paraId="79B45DAB" w14:textId="77777777" w:rsidR="00FA28B4" w:rsidRPr="00676DC7" w:rsidRDefault="00FA28B4" w:rsidP="00FA28B4">
      <w:pPr>
        <w:keepLines/>
        <w:rPr>
          <w:lang w:eastAsia="ja-JP"/>
        </w:rPr>
      </w:pPr>
      <w:r w:rsidRPr="00D97723">
        <w:rPr>
          <w:lang w:eastAsia="ja-JP"/>
        </w:rPr>
        <w:t xml:space="preserve">The data presented above appear </w:t>
      </w:r>
      <w:r>
        <w:rPr>
          <w:lang w:eastAsia="ja-JP"/>
        </w:rPr>
        <w:t>to</w:t>
      </w:r>
      <w:r w:rsidRPr="00D97723">
        <w:rPr>
          <w:lang w:eastAsia="ja-JP"/>
        </w:rPr>
        <w:t xml:space="preserve"> demonstrate the species is </w:t>
      </w:r>
      <w:r>
        <w:rPr>
          <w:lang w:eastAsia="ja-JP"/>
        </w:rPr>
        <w:t xml:space="preserve">not </w:t>
      </w:r>
      <w:r w:rsidRPr="00D97723">
        <w:rPr>
          <w:lang w:eastAsia="ja-JP"/>
        </w:rPr>
        <w:t xml:space="preserve">eligible for listing under this criterion. However, the purpose of this consultation document is to elicit additional information to better understand the species’ status. This conclusion should therefore </w:t>
      </w:r>
      <w:proofErr w:type="gramStart"/>
      <w:r w:rsidRPr="00D97723">
        <w:rPr>
          <w:lang w:eastAsia="ja-JP"/>
        </w:rPr>
        <w:t>be considered to be</w:t>
      </w:r>
      <w:proofErr w:type="gramEnd"/>
      <w:r w:rsidRPr="00D97723">
        <w:rPr>
          <w:lang w:eastAsia="ja-JP"/>
        </w:rPr>
        <w:t xml:space="preserve"> tentative at this stage, as it may be changed as a result of responses to this consultation process.</w:t>
      </w:r>
    </w:p>
    <w:p w14:paraId="3596598B" w14:textId="77777777" w:rsidR="000B2E4E" w:rsidRDefault="000B2E4E">
      <w:pPr>
        <w:spacing w:after="0" w:line="240" w:lineRule="auto"/>
        <w:rPr>
          <w:rFonts w:ascii="Calibri" w:hAnsi="Calibri"/>
          <w:b/>
          <w:bCs/>
          <w:sz w:val="24"/>
          <w:szCs w:val="18"/>
        </w:rPr>
      </w:pPr>
      <w:r>
        <w:br w:type="page"/>
      </w:r>
    </w:p>
    <w:p w14:paraId="0A5A2E83" w14:textId="79FE8DE4"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4A8F0D12"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0B71435"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2D17CBCB" w14:textId="77777777" w:rsidTr="001C7420">
        <w:trPr>
          <w:trHeight w:val="439"/>
        </w:trPr>
        <w:tc>
          <w:tcPr>
            <w:tcW w:w="4042" w:type="dxa"/>
            <w:tcBorders>
              <w:top w:val="nil"/>
              <w:left w:val="single" w:sz="4" w:space="0" w:color="auto"/>
              <w:bottom w:val="nil"/>
              <w:right w:val="nil"/>
            </w:tcBorders>
          </w:tcPr>
          <w:p w14:paraId="6CF540E1"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17C6F3AC" w14:textId="77777777" w:rsidR="00AD2722" w:rsidRPr="009E3E71" w:rsidRDefault="00AD2722" w:rsidP="000E630E">
            <w:pPr>
              <w:pStyle w:val="TableText"/>
              <w:keepNext/>
              <w:rPr>
                <w:rStyle w:val="Strong"/>
              </w:rPr>
            </w:pPr>
            <w:r w:rsidRPr="009E3E71">
              <w:rPr>
                <w:rStyle w:val="Strong"/>
              </w:rPr>
              <w:t>Critically Endangered</w:t>
            </w:r>
          </w:p>
          <w:p w14:paraId="467ED1BE"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A415213" w14:textId="77777777" w:rsidR="00AD2722" w:rsidRPr="009E3E71" w:rsidRDefault="00AD2722" w:rsidP="000E630E">
            <w:pPr>
              <w:pStyle w:val="TableText"/>
              <w:keepNext/>
              <w:rPr>
                <w:rStyle w:val="Strong"/>
              </w:rPr>
            </w:pPr>
            <w:r w:rsidRPr="009E3E71">
              <w:rPr>
                <w:rStyle w:val="Strong"/>
              </w:rPr>
              <w:t>Endangered</w:t>
            </w:r>
          </w:p>
          <w:p w14:paraId="06F65389"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2EF5DD3" w14:textId="77777777" w:rsidR="00AD2722" w:rsidRPr="009E3E71" w:rsidRDefault="00AD2722" w:rsidP="000E630E">
            <w:pPr>
              <w:pStyle w:val="TableText"/>
              <w:keepNext/>
              <w:rPr>
                <w:rStyle w:val="Strong"/>
              </w:rPr>
            </w:pPr>
            <w:r w:rsidRPr="009E3E71">
              <w:rPr>
                <w:rStyle w:val="Strong"/>
              </w:rPr>
              <w:t>Vulnerable</w:t>
            </w:r>
          </w:p>
          <w:p w14:paraId="23EF4431"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50C7D31C"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04F1E2DF"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4E993A5C"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6760C1D9"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5F9874A"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1CFABFFA" w14:textId="77777777" w:rsidR="00AD2722" w:rsidRPr="00AD2722" w:rsidRDefault="00C2736A" w:rsidP="00A41058">
      <w:pPr>
        <w:pStyle w:val="Heading3"/>
        <w:spacing w:before="240"/>
        <w:ind w:left="964" w:hanging="964"/>
      </w:pPr>
      <w:r>
        <w:t>Criterion 5 e</w:t>
      </w:r>
      <w:r w:rsidR="00AD2722" w:rsidRPr="00AD2722">
        <w:t>vidence</w:t>
      </w:r>
    </w:p>
    <w:p w14:paraId="4D53DBFA" w14:textId="425E3F46" w:rsidR="001F485C" w:rsidRPr="00A41058" w:rsidRDefault="001F485C" w:rsidP="001F485C">
      <w:pPr>
        <w:rPr>
          <w:rStyle w:val="Strong"/>
        </w:rPr>
      </w:pPr>
      <w:r w:rsidRPr="00A31C80">
        <w:rPr>
          <w:rStyle w:val="Strong"/>
        </w:rPr>
        <w:t>Insufficient data to determine eligibility</w:t>
      </w:r>
    </w:p>
    <w:p w14:paraId="252AF34B" w14:textId="77777777" w:rsidR="001F485C" w:rsidRPr="002407FF" w:rsidRDefault="001F485C" w:rsidP="001F485C">
      <w:pPr>
        <w:rPr>
          <w:rStyle w:val="Strong"/>
          <w:b w:val="0"/>
          <w:bCs w:val="0"/>
          <w:i/>
          <w:iCs/>
        </w:rPr>
      </w:pPr>
      <w:r>
        <w:rPr>
          <w:rStyle w:val="Strong"/>
          <w:b w:val="0"/>
          <w:bCs w:val="0"/>
          <w:i/>
          <w:iCs/>
        </w:rPr>
        <w:t>Population viability analysis</w:t>
      </w:r>
    </w:p>
    <w:p w14:paraId="7BC4462E" w14:textId="686EAF9E" w:rsidR="001F485C" w:rsidRPr="000A5525" w:rsidRDefault="001F485C" w:rsidP="001F485C">
      <w:pPr>
        <w:rPr>
          <w:bCs/>
        </w:rPr>
      </w:pPr>
      <w:r w:rsidRPr="000A5525">
        <w:rPr>
          <w:bCs/>
        </w:rPr>
        <w:t xml:space="preserve">Population viability analysis has not been undertaken for the </w:t>
      </w:r>
      <w:r w:rsidR="003B4658">
        <w:t>y</w:t>
      </w:r>
      <w:r w:rsidR="003B4658" w:rsidRPr="00184886">
        <w:t xml:space="preserve">ellow </w:t>
      </w:r>
      <w:r w:rsidR="003B4658">
        <w:t>m</w:t>
      </w:r>
      <w:r w:rsidR="003B4658" w:rsidRPr="00184886">
        <w:t xml:space="preserve">ountain </w:t>
      </w:r>
      <w:r w:rsidR="003B4658">
        <w:t>b</w:t>
      </w:r>
      <w:r w:rsidR="003B4658" w:rsidRPr="00184886">
        <w:t>ell</w:t>
      </w:r>
      <w:r w:rsidRPr="000A5525">
        <w:rPr>
          <w:bCs/>
        </w:rPr>
        <w:t>.</w:t>
      </w:r>
    </w:p>
    <w:p w14:paraId="33C54CEC" w14:textId="77777777" w:rsidR="001F485C" w:rsidRPr="00346064" w:rsidRDefault="001F485C" w:rsidP="001F485C">
      <w:pPr>
        <w:rPr>
          <w:bCs/>
          <w:i/>
          <w:iCs/>
        </w:rPr>
      </w:pPr>
      <w:r>
        <w:rPr>
          <w:bCs/>
          <w:i/>
          <w:iCs/>
        </w:rPr>
        <w:t>Conclusion</w:t>
      </w:r>
    </w:p>
    <w:p w14:paraId="3324B71A" w14:textId="77777777" w:rsidR="001F485C" w:rsidRPr="004D037C" w:rsidRDefault="001F485C" w:rsidP="001F485C">
      <w:pPr>
        <w:rPr>
          <w:bCs/>
        </w:rPr>
      </w:pPr>
      <w:r w:rsidRPr="000A5525">
        <w:rPr>
          <w:bCs/>
        </w:rPr>
        <w:t>There are insufficient data to demonstrate if the species is eligible for listing under this criterion. However, the</w:t>
      </w:r>
      <w:r w:rsidRPr="00374C7B">
        <w:rPr>
          <w:bCs/>
        </w:rPr>
        <w:t xml:space="preserve"> purpose of this consultation document is to elicit additional information to better understand the species’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p>
    <w:p w14:paraId="3E922C56" w14:textId="77777777" w:rsidR="00AD2722" w:rsidRPr="00AD2722" w:rsidRDefault="00AD2722" w:rsidP="00F20180">
      <w:pPr>
        <w:pStyle w:val="Heading3"/>
        <w:ind w:left="964" w:hanging="964"/>
      </w:pPr>
      <w:r w:rsidRPr="00AD2722">
        <w:t>Adequacy of survey</w:t>
      </w:r>
    </w:p>
    <w:p w14:paraId="34D29AD3" w14:textId="77777777" w:rsidR="00DD6757" w:rsidRDefault="00DD6757" w:rsidP="00DD6757">
      <w:pPr>
        <w:rPr>
          <w:bCs/>
        </w:rPr>
      </w:pPr>
      <w:r w:rsidRPr="00B649BB">
        <w:rPr>
          <w:bCs/>
        </w:rPr>
        <w:t>The survey effort has been considered adequate and there is sufficient scientific evidence to support the assessment.</w:t>
      </w:r>
    </w:p>
    <w:p w14:paraId="1E5240CB" w14:textId="77777777" w:rsidR="00AD2722" w:rsidRPr="00AD2722" w:rsidRDefault="00AD2722" w:rsidP="00243014">
      <w:pPr>
        <w:pStyle w:val="Heading3"/>
      </w:pPr>
      <w:bookmarkStart w:id="40" w:name="_Hlk85562973"/>
      <w:r w:rsidRPr="00AD2722">
        <w:t>Listing and Recovery Plan Recommendations</w:t>
      </w:r>
    </w:p>
    <w:p w14:paraId="687EB0D3" w14:textId="77777777" w:rsidR="00573FBC" w:rsidRDefault="00573FBC" w:rsidP="00573FBC">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bookmarkEnd w:id="40"/>
    <w:p w14:paraId="185487A9" w14:textId="77777777" w:rsidR="00AD44EA" w:rsidRDefault="00AD44EA" w:rsidP="000202F4">
      <w:pPr>
        <w:pStyle w:val="Normalsmall"/>
        <w:pageBreakBefore/>
      </w:pPr>
      <w:r>
        <w:lastRenderedPageBreak/>
        <w:t xml:space="preserve">© Commonwealth of </w:t>
      </w:r>
      <w:r w:rsidRPr="00AD56AD">
        <w:t>Australia 202</w:t>
      </w:r>
      <w:r w:rsidR="008C5A24" w:rsidRPr="00AD56AD">
        <w:t>1</w:t>
      </w:r>
      <w:r w:rsidR="00D431C8">
        <w:t xml:space="preserve"> </w:t>
      </w:r>
      <w:r w:rsidR="00D431C8" w:rsidRPr="00D431C8">
        <w:rPr>
          <w:noProof/>
        </w:rPr>
        <w:drawing>
          <wp:inline distT="0" distB="0" distL="0" distR="0" wp14:anchorId="55EB5A36" wp14:editId="40F0B4EA">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7DE5135E" w14:textId="77777777" w:rsidR="00AD44EA" w:rsidRDefault="00AD44EA" w:rsidP="00AD44EA">
      <w:pPr>
        <w:pStyle w:val="Normalsmall"/>
        <w:rPr>
          <w:rStyle w:val="Strong"/>
        </w:rPr>
      </w:pPr>
      <w:r>
        <w:rPr>
          <w:rStyle w:val="Strong"/>
        </w:rPr>
        <w:t>Ownership of intellectual property rights</w:t>
      </w:r>
    </w:p>
    <w:p w14:paraId="5824E719"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1AC27DEE" w14:textId="77777777" w:rsidR="00AD44EA" w:rsidRDefault="00AD44EA" w:rsidP="00AD44EA">
      <w:pPr>
        <w:pStyle w:val="Normalsmall"/>
        <w:rPr>
          <w:rStyle w:val="Strong"/>
        </w:rPr>
      </w:pPr>
      <w:r>
        <w:rPr>
          <w:rStyle w:val="Strong"/>
        </w:rPr>
        <w:t>Creative Commons licence</w:t>
      </w:r>
    </w:p>
    <w:p w14:paraId="3265D0C1" w14:textId="77777777" w:rsidR="00AD44EA" w:rsidRDefault="00AD44EA" w:rsidP="00AD44EA">
      <w:pPr>
        <w:pStyle w:val="Normalsmall"/>
      </w:pPr>
      <w:r>
        <w:t xml:space="preserve">All material in this publication is licensed under a </w:t>
      </w:r>
      <w:hyperlink r:id="rId48"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070645EC" w14:textId="77777777" w:rsidR="00AD44EA" w:rsidRDefault="00AD44EA" w:rsidP="00AD44EA">
      <w:pPr>
        <w:pStyle w:val="Normalsmall"/>
      </w:pPr>
      <w:r>
        <w:t xml:space="preserve">Inquiries about the licence and any use of this document should be emailed to </w:t>
      </w:r>
      <w:hyperlink r:id="rId49" w:history="1">
        <w:r w:rsidRPr="00CD29E9">
          <w:rPr>
            <w:rStyle w:val="Hyperlink"/>
          </w:rPr>
          <w:t>copyright@awe.gov.au</w:t>
        </w:r>
      </w:hyperlink>
      <w:r>
        <w:t>.</w:t>
      </w:r>
    </w:p>
    <w:p w14:paraId="16B51EFE" w14:textId="77777777" w:rsidR="00AD44EA" w:rsidRDefault="00AD44EA" w:rsidP="00AD44EA">
      <w:pPr>
        <w:pStyle w:val="Normalsmall"/>
        <w:rPr>
          <w:rStyle w:val="Strong"/>
        </w:rPr>
      </w:pPr>
      <w:r>
        <w:rPr>
          <w:rStyle w:val="Strong"/>
        </w:rPr>
        <w:t>Cataloguing data</w:t>
      </w:r>
    </w:p>
    <w:p w14:paraId="2F9A945F" w14:textId="2F75EEAC" w:rsidR="00AD56AD" w:rsidRDefault="00AD56AD" w:rsidP="00AD56AD">
      <w:pPr>
        <w:pStyle w:val="Normalsmall"/>
      </w:pPr>
      <w:r>
        <w:t xml:space="preserve">This publication (and any material sourced from it) should be attributed as: </w:t>
      </w:r>
      <w:r w:rsidRPr="00AD44EA">
        <w:t xml:space="preserve">Department of Agriculture, Water and the </w:t>
      </w:r>
      <w:r w:rsidRPr="00ED2FDD">
        <w:t>Environment 202</w:t>
      </w:r>
      <w:r>
        <w:t>1</w:t>
      </w:r>
      <w:r w:rsidRPr="00ED2FDD">
        <w:t xml:space="preserve">, </w:t>
      </w:r>
      <w:r w:rsidRPr="00ED2FDD">
        <w:rPr>
          <w:i/>
        </w:rPr>
        <w:t>Conservation</w:t>
      </w:r>
      <w:r>
        <w:rPr>
          <w:i/>
        </w:rPr>
        <w:t xml:space="preserve"> advice for </w:t>
      </w:r>
      <w:proofErr w:type="spellStart"/>
      <w:r>
        <w:t>Darwinia</w:t>
      </w:r>
      <w:proofErr w:type="spellEnd"/>
      <w:r>
        <w:t xml:space="preserve"> </w:t>
      </w:r>
      <w:proofErr w:type="spellStart"/>
      <w:r>
        <w:t>collina</w:t>
      </w:r>
      <w:proofErr w:type="spellEnd"/>
      <w:r>
        <w:rPr>
          <w:i/>
        </w:rPr>
        <w:t xml:space="preserve"> </w:t>
      </w:r>
      <w:r w:rsidRPr="0056544D">
        <w:rPr>
          <w:i/>
        </w:rPr>
        <w:t>(</w:t>
      </w:r>
      <w:r w:rsidR="003B4658" w:rsidRPr="0056544D">
        <w:rPr>
          <w:i/>
        </w:rPr>
        <w:t>yellow mountain bell</w:t>
      </w:r>
      <w:r w:rsidRPr="0056544D">
        <w:rPr>
          <w:i/>
        </w:rPr>
        <w:t xml:space="preserve">), </w:t>
      </w:r>
      <w:r w:rsidRPr="00F81B59">
        <w:rPr>
          <w:iCs/>
        </w:rPr>
        <w:t>Canberra.</w:t>
      </w:r>
      <w:r>
        <w:t xml:space="preserve"> </w:t>
      </w:r>
      <w:r w:rsidRPr="00D431C8">
        <w:rPr>
          <w:noProof/>
        </w:rPr>
        <w:drawing>
          <wp:inline distT="0" distB="0" distL="0" distR="0" wp14:anchorId="6278FBA7" wp14:editId="565B289B">
            <wp:extent cx="600075" cy="2099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583ACA8A" w14:textId="249DB085" w:rsidR="00AD56AD" w:rsidRDefault="00AD56AD" w:rsidP="00AD56AD">
      <w:pPr>
        <w:pStyle w:val="Normalsmall"/>
      </w:pPr>
      <w:r>
        <w:t xml:space="preserve">This publication is </w:t>
      </w:r>
      <w:r w:rsidRPr="00E20810">
        <w:t>available at</w:t>
      </w:r>
      <w:r>
        <w:t xml:space="preserve"> the </w:t>
      </w:r>
      <w:hyperlink r:id="rId50" w:history="1">
        <w:r w:rsidRPr="00BA28D1">
          <w:rPr>
            <w:rStyle w:val="Hyperlink"/>
          </w:rPr>
          <w:t xml:space="preserve">SPRAT profile for </w:t>
        </w:r>
        <w:proofErr w:type="spellStart"/>
        <w:r>
          <w:rPr>
            <w:rStyle w:val="Hyperlink"/>
            <w:i/>
            <w:iCs/>
          </w:rPr>
          <w:t>Darwinia</w:t>
        </w:r>
        <w:proofErr w:type="spellEnd"/>
        <w:r>
          <w:rPr>
            <w:rStyle w:val="Hyperlink"/>
            <w:i/>
            <w:iCs/>
          </w:rPr>
          <w:t xml:space="preserve"> </w:t>
        </w:r>
        <w:proofErr w:type="spellStart"/>
        <w:r>
          <w:rPr>
            <w:rStyle w:val="Hyperlink"/>
            <w:i/>
            <w:iCs/>
          </w:rPr>
          <w:t>collina</w:t>
        </w:r>
        <w:proofErr w:type="spellEnd"/>
        <w:r>
          <w:rPr>
            <w:rStyle w:val="Hyperlink"/>
            <w:i/>
            <w:iCs/>
          </w:rPr>
          <w:t xml:space="preserve"> </w:t>
        </w:r>
        <w:r>
          <w:rPr>
            <w:rStyle w:val="Hyperlink"/>
          </w:rPr>
          <w:t>(</w:t>
        </w:r>
        <w:r w:rsidR="003B4658" w:rsidRPr="003B4658">
          <w:rPr>
            <w:rStyle w:val="Hyperlink"/>
          </w:rPr>
          <w:t>yellow mountain bell</w:t>
        </w:r>
        <w:r>
          <w:rPr>
            <w:rStyle w:val="Hyperlink"/>
          </w:rPr>
          <w:t>)</w:t>
        </w:r>
        <w:r w:rsidRPr="00BA28D1">
          <w:rPr>
            <w:rStyle w:val="Hyperlink"/>
            <w:i/>
          </w:rPr>
          <w:t>.</w:t>
        </w:r>
      </w:hyperlink>
    </w:p>
    <w:p w14:paraId="5FB4C9FE"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35B5EBF7" w14:textId="77777777" w:rsidR="00AD44EA" w:rsidRDefault="00AD44EA" w:rsidP="00AD44EA">
      <w:pPr>
        <w:pStyle w:val="Normalsmall"/>
        <w:spacing w:after="0"/>
      </w:pPr>
      <w:r>
        <w:t>GPO Box 858</w:t>
      </w:r>
      <w:r w:rsidR="00B16806">
        <w:t>,</w:t>
      </w:r>
      <w:r>
        <w:t xml:space="preserve"> Canberra ACT 2601</w:t>
      </w:r>
    </w:p>
    <w:p w14:paraId="1F2A42A4" w14:textId="77777777" w:rsidR="00AD44EA" w:rsidRDefault="00AD44EA" w:rsidP="00AD44EA">
      <w:pPr>
        <w:pStyle w:val="Normalsmall"/>
        <w:spacing w:after="0"/>
      </w:pPr>
      <w:r>
        <w:t xml:space="preserve">Telephone </w:t>
      </w:r>
      <w:r w:rsidRPr="00773056">
        <w:t>1800 900 090</w:t>
      </w:r>
    </w:p>
    <w:p w14:paraId="334B543D" w14:textId="77777777" w:rsidR="00AD44EA" w:rsidRDefault="00AD44EA" w:rsidP="00AD44EA">
      <w:pPr>
        <w:pStyle w:val="Normalsmall"/>
      </w:pPr>
      <w:r w:rsidRPr="00E20810">
        <w:t xml:space="preserve">Web </w:t>
      </w:r>
      <w:hyperlink r:id="rId51" w:history="1">
        <w:r w:rsidRPr="00E20810">
          <w:rPr>
            <w:rStyle w:val="Hyperlink"/>
          </w:rPr>
          <w:t>awe.gov.au</w:t>
        </w:r>
      </w:hyperlink>
    </w:p>
    <w:p w14:paraId="6BEB66A6" w14:textId="1BC1C8B2"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B6EC1C3" w14:textId="77777777" w:rsidR="004A7B7C" w:rsidRPr="00721DE9" w:rsidRDefault="004A7B7C" w:rsidP="004A7B7C">
      <w:pPr>
        <w:pStyle w:val="Normalsmall"/>
        <w:rPr>
          <w:rStyle w:val="Strong"/>
        </w:rPr>
      </w:pPr>
      <w:r w:rsidRPr="00721DE9">
        <w:rPr>
          <w:rStyle w:val="Strong"/>
        </w:rPr>
        <w:t>Acknowledgements</w:t>
      </w:r>
    </w:p>
    <w:p w14:paraId="743D21EA" w14:textId="5A5C93C6" w:rsidR="004A7B7C" w:rsidRDefault="004A7B7C" w:rsidP="00AD44EA">
      <w:pPr>
        <w:pStyle w:val="Normalsmall"/>
      </w:pPr>
      <w:r w:rsidRPr="00571190">
        <w:t>The Threatened Species Scientific Committee and the Department of Agriculture, Water and the Environment acknowledge the contributions of</w:t>
      </w:r>
      <w:r w:rsidRPr="00721DE9">
        <w:rPr>
          <w:rStyle w:val="Strong"/>
          <w:b w:val="0"/>
          <w:bCs w:val="0"/>
        </w:rPr>
        <w:t xml:space="preserve"> Dr. </w:t>
      </w:r>
      <w:r>
        <w:rPr>
          <w:rStyle w:val="Strong"/>
          <w:b w:val="0"/>
          <w:bCs w:val="0"/>
        </w:rPr>
        <w:t>Sarah Barrett</w:t>
      </w:r>
      <w:r w:rsidRPr="00721DE9">
        <w:rPr>
          <w:rStyle w:val="Strong"/>
          <w:b w:val="0"/>
          <w:bCs w:val="0"/>
        </w:rPr>
        <w:t xml:space="preserve"> (D</w:t>
      </w:r>
      <w:r>
        <w:rPr>
          <w:rStyle w:val="Strong"/>
          <w:b w:val="0"/>
          <w:bCs w:val="0"/>
        </w:rPr>
        <w:t>BCA</w:t>
      </w:r>
      <w:r w:rsidRPr="00721DE9">
        <w:rPr>
          <w:rStyle w:val="Strong"/>
          <w:b w:val="0"/>
          <w:bCs w:val="0"/>
        </w:rPr>
        <w:t xml:space="preserve">) </w:t>
      </w:r>
      <w:r w:rsidRPr="00571190">
        <w:t>in preparing this document</w:t>
      </w:r>
      <w:r>
        <w:rPr>
          <w:rStyle w:val="Strong"/>
          <w:b w:val="0"/>
          <w:bCs w:val="0"/>
        </w:rPr>
        <w:t>.</w:t>
      </w:r>
    </w:p>
    <w:p w14:paraId="37DAC8E8" w14:textId="090D119C" w:rsidR="009E30E5" w:rsidRPr="00AF6941" w:rsidRDefault="009E30E5" w:rsidP="00AD56AD">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7378A25E" w14:textId="77777777" w:rsidTr="005F3E72">
        <w:trPr>
          <w:cantSplit/>
          <w:tblHeader/>
        </w:trPr>
        <w:tc>
          <w:tcPr>
            <w:tcW w:w="3020" w:type="dxa"/>
            <w:tcBorders>
              <w:top w:val="single" w:sz="4" w:space="0" w:color="auto"/>
              <w:bottom w:val="single" w:sz="4" w:space="0" w:color="auto"/>
            </w:tcBorders>
          </w:tcPr>
          <w:p w14:paraId="5F5A3A5B"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237D993D"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246C8D62"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626E25AC" w14:textId="77777777" w:rsidTr="009E30E5">
        <w:tc>
          <w:tcPr>
            <w:tcW w:w="3020" w:type="dxa"/>
            <w:tcBorders>
              <w:top w:val="single" w:sz="4" w:space="0" w:color="auto"/>
            </w:tcBorders>
          </w:tcPr>
          <w:p w14:paraId="75F9F212" w14:textId="77777777" w:rsidR="009E30E5" w:rsidRDefault="005F3E72" w:rsidP="009E30E5">
            <w:pPr>
              <w:pStyle w:val="TableText"/>
            </w:pPr>
            <w:r>
              <w:t>–</w:t>
            </w:r>
          </w:p>
        </w:tc>
        <w:tc>
          <w:tcPr>
            <w:tcW w:w="3020" w:type="dxa"/>
            <w:tcBorders>
              <w:top w:val="single" w:sz="4" w:space="0" w:color="auto"/>
            </w:tcBorders>
          </w:tcPr>
          <w:p w14:paraId="10C89B8C" w14:textId="77777777" w:rsidR="009E30E5" w:rsidRDefault="00D17C18" w:rsidP="009E30E5">
            <w:pPr>
              <w:pStyle w:val="TableText"/>
            </w:pPr>
            <w:r>
              <w:t>–</w:t>
            </w:r>
          </w:p>
        </w:tc>
        <w:tc>
          <w:tcPr>
            <w:tcW w:w="3020" w:type="dxa"/>
            <w:tcBorders>
              <w:top w:val="single" w:sz="4" w:space="0" w:color="auto"/>
            </w:tcBorders>
          </w:tcPr>
          <w:p w14:paraId="7B03F8D6" w14:textId="77777777" w:rsidR="009E30E5" w:rsidRDefault="00D17C18" w:rsidP="009E30E5">
            <w:pPr>
              <w:pStyle w:val="TableText"/>
            </w:pPr>
            <w:r>
              <w:t>–</w:t>
            </w:r>
          </w:p>
        </w:tc>
      </w:tr>
      <w:tr w:rsidR="009E30E5" w14:paraId="432D97B7" w14:textId="77777777" w:rsidTr="009E30E5">
        <w:tc>
          <w:tcPr>
            <w:tcW w:w="3020" w:type="dxa"/>
          </w:tcPr>
          <w:p w14:paraId="36A8221C" w14:textId="77777777" w:rsidR="009E30E5" w:rsidRDefault="00D17C18" w:rsidP="009E30E5">
            <w:pPr>
              <w:pStyle w:val="TableText"/>
            </w:pPr>
            <w:r>
              <w:t>–</w:t>
            </w:r>
          </w:p>
        </w:tc>
        <w:tc>
          <w:tcPr>
            <w:tcW w:w="3020" w:type="dxa"/>
          </w:tcPr>
          <w:p w14:paraId="6B3151DA" w14:textId="77777777" w:rsidR="009E30E5" w:rsidRDefault="00D17C18" w:rsidP="009E30E5">
            <w:pPr>
              <w:pStyle w:val="TableText"/>
            </w:pPr>
            <w:r>
              <w:t>–</w:t>
            </w:r>
          </w:p>
        </w:tc>
        <w:tc>
          <w:tcPr>
            <w:tcW w:w="3020" w:type="dxa"/>
          </w:tcPr>
          <w:p w14:paraId="5E1E158D" w14:textId="77777777" w:rsidR="009E30E5" w:rsidRDefault="00D17C18" w:rsidP="009E30E5">
            <w:pPr>
              <w:pStyle w:val="TableText"/>
            </w:pPr>
            <w:r>
              <w:t>–</w:t>
            </w:r>
          </w:p>
        </w:tc>
      </w:tr>
    </w:tbl>
    <w:p w14:paraId="4B885C88" w14:textId="77777777" w:rsidR="008B0C12" w:rsidRDefault="008B0C12" w:rsidP="009E30E5"/>
    <w:p w14:paraId="47222AFC" w14:textId="048D3E7A" w:rsidR="009E30E5" w:rsidRPr="009E30E5" w:rsidRDefault="009E30E5" w:rsidP="009E30E5"/>
    <w:sectPr w:rsidR="009E30E5" w:rsidRPr="009E30E5" w:rsidSect="002F232F">
      <w:headerReference w:type="even" r:id="rId52"/>
      <w:headerReference w:type="default" r:id="rId53"/>
      <w:headerReference w:type="first" r:id="rId54"/>
      <w:footerReference w:type="first" r:id="rId5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5311" w14:textId="77777777" w:rsidR="002724B2" w:rsidRDefault="002724B2">
      <w:r>
        <w:separator/>
      </w:r>
    </w:p>
    <w:p w14:paraId="532D6CFB" w14:textId="77777777" w:rsidR="002724B2" w:rsidRDefault="002724B2"/>
    <w:p w14:paraId="10BACB6A" w14:textId="77777777" w:rsidR="002724B2" w:rsidRDefault="002724B2"/>
    <w:p w14:paraId="691A64CB" w14:textId="77777777" w:rsidR="002724B2" w:rsidRDefault="002724B2"/>
  </w:endnote>
  <w:endnote w:type="continuationSeparator" w:id="0">
    <w:p w14:paraId="044C99AB" w14:textId="77777777" w:rsidR="002724B2" w:rsidRDefault="002724B2">
      <w:r>
        <w:continuationSeparator/>
      </w:r>
    </w:p>
    <w:p w14:paraId="09AFDF4F" w14:textId="77777777" w:rsidR="002724B2" w:rsidRDefault="002724B2"/>
    <w:p w14:paraId="3B16974A" w14:textId="77777777" w:rsidR="002724B2" w:rsidRDefault="002724B2"/>
    <w:p w14:paraId="6CB6D78F" w14:textId="77777777" w:rsidR="002724B2" w:rsidRDefault="002724B2"/>
  </w:endnote>
  <w:endnote w:type="continuationNotice" w:id="1">
    <w:p w14:paraId="513E70DA" w14:textId="77777777" w:rsidR="002724B2" w:rsidRDefault="002724B2">
      <w:pPr>
        <w:pStyle w:val="Footer"/>
      </w:pPr>
    </w:p>
    <w:p w14:paraId="637C3E40" w14:textId="77777777" w:rsidR="002724B2" w:rsidRDefault="002724B2"/>
    <w:p w14:paraId="306CFC09" w14:textId="77777777" w:rsidR="002724B2" w:rsidRDefault="002724B2"/>
    <w:p w14:paraId="600DB67D" w14:textId="77777777" w:rsidR="002724B2" w:rsidRDefault="00272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A94" w14:textId="77777777" w:rsidR="00B72149" w:rsidRDefault="00B72149" w:rsidP="00E02D9C">
    <w:pPr>
      <w:pStyle w:val="Footer"/>
    </w:pPr>
    <w:r>
      <w:t>Threatened Species Scientific Committee</w:t>
    </w:r>
  </w:p>
  <w:p w14:paraId="1A75ECF2" w14:textId="77777777" w:rsidR="00B72149" w:rsidRDefault="00B72149"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45E1" w14:textId="77777777" w:rsidR="00B72149" w:rsidRDefault="00B72149" w:rsidP="002F232F">
    <w:pPr>
      <w:pStyle w:val="Footer"/>
    </w:pPr>
    <w:r>
      <w:t xml:space="preserve">Department of Agriculture, </w:t>
    </w:r>
    <w:proofErr w:type="gramStart"/>
    <w:r>
      <w:t>Water</w:t>
    </w:r>
    <w:proofErr w:type="gramEnd"/>
    <w:r>
      <w:t xml:space="preserve"> and the Environment</w:t>
    </w:r>
  </w:p>
  <w:p w14:paraId="36B9B250" w14:textId="77777777" w:rsidR="00B72149" w:rsidRDefault="00B72149"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2B48" w14:textId="77777777" w:rsidR="00B72149" w:rsidRDefault="00B72149" w:rsidP="002F232F">
    <w:pPr>
      <w:pStyle w:val="Footer"/>
    </w:pPr>
    <w:r>
      <w:t>Threatened Species Scientific Committee</w:t>
    </w:r>
  </w:p>
  <w:p w14:paraId="6E9E599F" w14:textId="77777777" w:rsidR="00B72149" w:rsidRDefault="00B72149"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919F" w14:textId="77777777" w:rsidR="002724B2" w:rsidRDefault="002724B2">
      <w:r>
        <w:separator/>
      </w:r>
    </w:p>
    <w:p w14:paraId="52F93E21" w14:textId="77777777" w:rsidR="002724B2" w:rsidRDefault="002724B2"/>
    <w:p w14:paraId="3ED148C3" w14:textId="77777777" w:rsidR="002724B2" w:rsidRDefault="002724B2"/>
    <w:p w14:paraId="7DE13355" w14:textId="77777777" w:rsidR="002724B2" w:rsidRDefault="002724B2"/>
  </w:footnote>
  <w:footnote w:type="continuationSeparator" w:id="0">
    <w:p w14:paraId="6ADB8C34" w14:textId="77777777" w:rsidR="002724B2" w:rsidRDefault="002724B2">
      <w:r>
        <w:continuationSeparator/>
      </w:r>
    </w:p>
    <w:p w14:paraId="039E9D22" w14:textId="77777777" w:rsidR="002724B2" w:rsidRDefault="002724B2"/>
    <w:p w14:paraId="76FEC6BD" w14:textId="77777777" w:rsidR="002724B2" w:rsidRDefault="002724B2"/>
    <w:p w14:paraId="271B3301" w14:textId="77777777" w:rsidR="002724B2" w:rsidRDefault="002724B2"/>
  </w:footnote>
  <w:footnote w:type="continuationNotice" w:id="1">
    <w:p w14:paraId="2E23DD5D" w14:textId="77777777" w:rsidR="002724B2" w:rsidRDefault="002724B2">
      <w:pPr>
        <w:pStyle w:val="Footer"/>
      </w:pPr>
    </w:p>
    <w:p w14:paraId="30F00630" w14:textId="77777777" w:rsidR="002724B2" w:rsidRDefault="002724B2"/>
    <w:p w14:paraId="032A2B45" w14:textId="77777777" w:rsidR="002724B2" w:rsidRDefault="002724B2"/>
    <w:p w14:paraId="03CAA2A7" w14:textId="77777777" w:rsidR="002724B2" w:rsidRDefault="00272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E513" w14:textId="77777777" w:rsidR="00B72149" w:rsidRDefault="007D642D">
    <w:pPr>
      <w:pStyle w:val="Header"/>
    </w:pPr>
    <w:r>
      <w:rPr>
        <w:noProof/>
      </w:rPr>
      <w:pict w14:anchorId="33CF5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52"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7DD8E0AA" w14:textId="77777777" w:rsidR="00B72149" w:rsidRDefault="00B721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AD9D" w14:textId="0A04A609" w:rsidR="00B72149" w:rsidRDefault="007D642D" w:rsidP="000202F4">
    <w:pPr>
      <w:pStyle w:val="Header"/>
    </w:pPr>
    <w:r>
      <w:rPr>
        <w:noProof/>
      </w:rPr>
      <w:pict w14:anchorId="359B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53"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72149" w:rsidRPr="009B6672">
      <w:rPr>
        <w:rStyle w:val="Emphasis"/>
      </w:rPr>
      <w:t xml:space="preserve"> </w:t>
    </w:r>
    <w:proofErr w:type="spellStart"/>
    <w:r w:rsidR="00B72149" w:rsidRPr="00F63BA8">
      <w:rPr>
        <w:rStyle w:val="Emphasis"/>
      </w:rPr>
      <w:t>Darwinia</w:t>
    </w:r>
    <w:proofErr w:type="spellEnd"/>
    <w:r w:rsidR="00B72149" w:rsidRPr="00F63BA8">
      <w:rPr>
        <w:rStyle w:val="Emphasis"/>
      </w:rPr>
      <w:t xml:space="preserve"> </w:t>
    </w:r>
    <w:proofErr w:type="spellStart"/>
    <w:r w:rsidR="00B72149" w:rsidRPr="00F63BA8">
      <w:rPr>
        <w:rStyle w:val="Emphasis"/>
      </w:rPr>
      <w:t>collina</w:t>
    </w:r>
    <w:proofErr w:type="spellEnd"/>
    <w:r w:rsidR="00B72149" w:rsidRPr="00F63BA8">
      <w:t xml:space="preserve"> (</w:t>
    </w:r>
    <w:r w:rsidR="00B72149">
      <w:t>y</w:t>
    </w:r>
    <w:r w:rsidR="00B72149" w:rsidRPr="00F63BA8">
      <w:t xml:space="preserve">ellow </w:t>
    </w:r>
    <w:r w:rsidR="00B72149">
      <w:t>m</w:t>
    </w:r>
    <w:r w:rsidR="00B72149" w:rsidRPr="00F63BA8">
      <w:t xml:space="preserve">ountain </w:t>
    </w:r>
    <w:r w:rsidR="00B72149">
      <w:t>b</w:t>
    </w:r>
    <w:r w:rsidR="00B72149" w:rsidRPr="00F63BA8">
      <w:t xml:space="preserve">ell) </w:t>
    </w:r>
    <w:r w:rsidR="00B72149">
      <w:t>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0F0D" w14:textId="77777777" w:rsidR="00B72149" w:rsidRDefault="007D642D" w:rsidP="00C37215">
    <w:pPr>
      <w:pStyle w:val="Header"/>
      <w:tabs>
        <w:tab w:val="clear" w:pos="4820"/>
        <w:tab w:val="left" w:pos="7992"/>
      </w:tabs>
      <w:jc w:val="left"/>
    </w:pPr>
    <w:r>
      <w:rPr>
        <w:noProof/>
      </w:rPr>
      <w:pict w14:anchorId="30082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51"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72149">
      <w:rPr>
        <w:noProof/>
        <w:lang w:eastAsia="en-AU"/>
      </w:rPr>
      <w:drawing>
        <wp:inline distT="0" distB="0" distL="0" distR="0" wp14:anchorId="44AC71CB" wp14:editId="26965C1A">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541F" w14:textId="77777777" w:rsidR="00B72149" w:rsidRDefault="007D642D">
    <w:pPr>
      <w:pStyle w:val="Header"/>
    </w:pPr>
    <w:r>
      <w:rPr>
        <w:noProof/>
      </w:rPr>
      <w:pict w14:anchorId="71582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4104" w14:textId="004E4B91" w:rsidR="00B72149" w:rsidRDefault="007D642D" w:rsidP="008E7C80">
    <w:pPr>
      <w:pStyle w:val="Header"/>
    </w:pPr>
    <w:r>
      <w:rPr>
        <w:i/>
        <w:iCs/>
        <w:noProof/>
      </w:rPr>
      <w:pict w14:anchorId="5DACA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72149" w:rsidRPr="003A5357">
      <w:rPr>
        <w:i/>
        <w:iCs/>
        <w:noProof/>
      </w:rPr>
      <w:t>Darwinia collina</w:t>
    </w:r>
    <w:r w:rsidR="00B72149">
      <w:t xml:space="preserve"> (y</w:t>
    </w:r>
    <w:r w:rsidR="00B72149" w:rsidRPr="00184886">
      <w:t xml:space="preserve">ellow </w:t>
    </w:r>
    <w:r w:rsidR="00B72149">
      <w:t>m</w:t>
    </w:r>
    <w:r w:rsidR="00B72149" w:rsidRPr="00184886">
      <w:t xml:space="preserve">ountain </w:t>
    </w:r>
    <w:r w:rsidR="00B72149">
      <w:t>b</w:t>
    </w:r>
    <w:r w:rsidR="00B72149" w:rsidRPr="00184886">
      <w:t>ell</w:t>
    </w:r>
    <w:r w:rsidR="00B72149">
      <w:t>)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053F" w14:textId="77777777" w:rsidR="00B72149" w:rsidRPr="003E30FD" w:rsidRDefault="007D642D"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441FD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72149"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506917AE" w14:textId="77777777" w:rsidR="00B72149" w:rsidRPr="00D728A1" w:rsidRDefault="00B72149"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6ABE4739" w14:textId="77777777" w:rsidR="00B72149" w:rsidRDefault="00B72149"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745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446FA8"/>
    <w:multiLevelType w:val="hybridMultilevel"/>
    <w:tmpl w:val="A802CB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E9D25EF"/>
    <w:multiLevelType w:val="hybridMultilevel"/>
    <w:tmpl w:val="7C089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E90673D"/>
    <w:multiLevelType w:val="hybridMultilevel"/>
    <w:tmpl w:val="AC62DA80"/>
    <w:lvl w:ilvl="0" w:tplc="A9082D36">
      <w:start w:val="1"/>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4198C"/>
    <w:multiLevelType w:val="hybridMultilevel"/>
    <w:tmpl w:val="85A81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3934B7"/>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3"/>
  </w:num>
  <w:num w:numId="4">
    <w:abstractNumId w:val="14"/>
  </w:num>
  <w:num w:numId="5">
    <w:abstractNumId w:val="8"/>
  </w:num>
  <w:num w:numId="6">
    <w:abstractNumId w:val="12"/>
  </w:num>
  <w:num w:numId="7">
    <w:abstractNumId w:val="7"/>
  </w:num>
  <w:num w:numId="8">
    <w:abstractNumId w:val="17"/>
  </w:num>
  <w:num w:numId="9">
    <w:abstractNumId w:val="11"/>
  </w:num>
  <w:num w:numId="10">
    <w:abstractNumId w:val="3"/>
  </w:num>
  <w:num w:numId="11">
    <w:abstractNumId w:val="6"/>
  </w:num>
  <w:num w:numId="12">
    <w:abstractNumId w:val="15"/>
  </w:num>
  <w:num w:numId="13">
    <w:abstractNumId w:val="16"/>
  </w:num>
  <w:num w:numId="14">
    <w:abstractNumId w:val="0"/>
  </w:num>
  <w:num w:numId="15">
    <w:abstractNumId w:val="9"/>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EWHA Species Listing&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x2avpwetfesmeawfu59dpidxssfst55v9z&quot;&gt;Darwinia collina&lt;record-ids&gt;&lt;item&gt;1&lt;/item&gt;&lt;item&gt;2&lt;/item&gt;&lt;item&gt;3&lt;/item&gt;&lt;item&gt;4&lt;/item&gt;&lt;item&gt;5&lt;/item&gt;&lt;item&gt;6&lt;/item&gt;&lt;item&gt;7&lt;/item&gt;&lt;item&gt;8&lt;/item&gt;&lt;item&gt;9&lt;/item&gt;&lt;item&gt;10&lt;/item&gt;&lt;item&gt;11&lt;/item&gt;&lt;item&gt;12&lt;/item&gt;&lt;item&gt;13&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7&lt;/item&gt;&lt;item&gt;38&lt;/item&gt;&lt;item&gt;39&lt;/item&gt;&lt;item&gt;41&lt;/item&gt;&lt;item&gt;42&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3&lt;/item&gt;&lt;item&gt;64&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8&lt;/item&gt;&lt;item&gt;89&lt;/item&gt;&lt;item&gt;90&lt;/item&gt;&lt;item&gt;92&lt;/item&gt;&lt;item&gt;93&lt;/item&gt;&lt;item&gt;94&lt;/item&gt;&lt;item&gt;95&lt;/item&gt;&lt;item&gt;96&lt;/item&gt;&lt;item&gt;97&lt;/item&gt;&lt;item&gt;98&lt;/item&gt;&lt;item&gt;99&lt;/item&gt;&lt;/record-ids&gt;&lt;/item&gt;&lt;/Libraries&gt;"/>
  </w:docVars>
  <w:rsids>
    <w:rsidRoot w:val="00901687"/>
    <w:rsid w:val="000011D8"/>
    <w:rsid w:val="0000210C"/>
    <w:rsid w:val="00002241"/>
    <w:rsid w:val="00002825"/>
    <w:rsid w:val="000049FF"/>
    <w:rsid w:val="000057F8"/>
    <w:rsid w:val="000075C7"/>
    <w:rsid w:val="00010D07"/>
    <w:rsid w:val="00010EBA"/>
    <w:rsid w:val="00010FF2"/>
    <w:rsid w:val="0001339B"/>
    <w:rsid w:val="000141C0"/>
    <w:rsid w:val="00014F23"/>
    <w:rsid w:val="00017838"/>
    <w:rsid w:val="000202F4"/>
    <w:rsid w:val="0002071D"/>
    <w:rsid w:val="00021317"/>
    <w:rsid w:val="000213FD"/>
    <w:rsid w:val="00021BA9"/>
    <w:rsid w:val="00022479"/>
    <w:rsid w:val="00023500"/>
    <w:rsid w:val="0002419A"/>
    <w:rsid w:val="000241F8"/>
    <w:rsid w:val="0002531E"/>
    <w:rsid w:val="00025619"/>
    <w:rsid w:val="00025AC9"/>
    <w:rsid w:val="00027490"/>
    <w:rsid w:val="00031B94"/>
    <w:rsid w:val="000326E5"/>
    <w:rsid w:val="00033701"/>
    <w:rsid w:val="00033EC2"/>
    <w:rsid w:val="000341E0"/>
    <w:rsid w:val="00034514"/>
    <w:rsid w:val="0003591D"/>
    <w:rsid w:val="00035A54"/>
    <w:rsid w:val="00035F84"/>
    <w:rsid w:val="00041499"/>
    <w:rsid w:val="00043740"/>
    <w:rsid w:val="0004423C"/>
    <w:rsid w:val="000452E5"/>
    <w:rsid w:val="0004550E"/>
    <w:rsid w:val="00046918"/>
    <w:rsid w:val="00047E51"/>
    <w:rsid w:val="000500E6"/>
    <w:rsid w:val="00050524"/>
    <w:rsid w:val="00053929"/>
    <w:rsid w:val="00054E07"/>
    <w:rsid w:val="00055AFD"/>
    <w:rsid w:val="00056DFA"/>
    <w:rsid w:val="000610F8"/>
    <w:rsid w:val="00061B90"/>
    <w:rsid w:val="00061D2E"/>
    <w:rsid w:val="0006231C"/>
    <w:rsid w:val="00063C71"/>
    <w:rsid w:val="00063E78"/>
    <w:rsid w:val="000640C8"/>
    <w:rsid w:val="00064381"/>
    <w:rsid w:val="00064A19"/>
    <w:rsid w:val="00065F4B"/>
    <w:rsid w:val="00066FFA"/>
    <w:rsid w:val="000674CC"/>
    <w:rsid w:val="00067886"/>
    <w:rsid w:val="00067CB2"/>
    <w:rsid w:val="00070A93"/>
    <w:rsid w:val="00071129"/>
    <w:rsid w:val="0007233A"/>
    <w:rsid w:val="00073C60"/>
    <w:rsid w:val="00074095"/>
    <w:rsid w:val="000757E5"/>
    <w:rsid w:val="000769CD"/>
    <w:rsid w:val="00081388"/>
    <w:rsid w:val="00081887"/>
    <w:rsid w:val="00082347"/>
    <w:rsid w:val="0008288F"/>
    <w:rsid w:val="00082FD3"/>
    <w:rsid w:val="00083077"/>
    <w:rsid w:val="000835A0"/>
    <w:rsid w:val="00085069"/>
    <w:rsid w:val="00085401"/>
    <w:rsid w:val="0008655C"/>
    <w:rsid w:val="0008666F"/>
    <w:rsid w:val="00086694"/>
    <w:rsid w:val="000906EE"/>
    <w:rsid w:val="00090F54"/>
    <w:rsid w:val="000922CD"/>
    <w:rsid w:val="00092775"/>
    <w:rsid w:val="00093770"/>
    <w:rsid w:val="00094C09"/>
    <w:rsid w:val="00094F22"/>
    <w:rsid w:val="000959C5"/>
    <w:rsid w:val="00096462"/>
    <w:rsid w:val="00097136"/>
    <w:rsid w:val="00097670"/>
    <w:rsid w:val="000A1D49"/>
    <w:rsid w:val="000A2E98"/>
    <w:rsid w:val="000A4134"/>
    <w:rsid w:val="000A5180"/>
    <w:rsid w:val="000A5719"/>
    <w:rsid w:val="000A57D6"/>
    <w:rsid w:val="000A5C2B"/>
    <w:rsid w:val="000A6133"/>
    <w:rsid w:val="000A6BC8"/>
    <w:rsid w:val="000A722E"/>
    <w:rsid w:val="000A79AA"/>
    <w:rsid w:val="000B0F3E"/>
    <w:rsid w:val="000B11A2"/>
    <w:rsid w:val="000B2E4E"/>
    <w:rsid w:val="000B3B92"/>
    <w:rsid w:val="000B5E94"/>
    <w:rsid w:val="000B5E97"/>
    <w:rsid w:val="000B7CE7"/>
    <w:rsid w:val="000C0075"/>
    <w:rsid w:val="000C15AF"/>
    <w:rsid w:val="000C1AC9"/>
    <w:rsid w:val="000C1D6D"/>
    <w:rsid w:val="000C3FAC"/>
    <w:rsid w:val="000C4208"/>
    <w:rsid w:val="000C49C7"/>
    <w:rsid w:val="000C4FEB"/>
    <w:rsid w:val="000C55A6"/>
    <w:rsid w:val="000C56CF"/>
    <w:rsid w:val="000C7E7F"/>
    <w:rsid w:val="000D0334"/>
    <w:rsid w:val="000D12B6"/>
    <w:rsid w:val="000D1830"/>
    <w:rsid w:val="000D2EF6"/>
    <w:rsid w:val="000D51F3"/>
    <w:rsid w:val="000D55BC"/>
    <w:rsid w:val="000D6161"/>
    <w:rsid w:val="000D738D"/>
    <w:rsid w:val="000D7FAF"/>
    <w:rsid w:val="000E1F02"/>
    <w:rsid w:val="000E44E9"/>
    <w:rsid w:val="000E4FE5"/>
    <w:rsid w:val="000E630E"/>
    <w:rsid w:val="000E690C"/>
    <w:rsid w:val="000E699F"/>
    <w:rsid w:val="000E7461"/>
    <w:rsid w:val="000E74DF"/>
    <w:rsid w:val="000E783E"/>
    <w:rsid w:val="000F018A"/>
    <w:rsid w:val="000F194B"/>
    <w:rsid w:val="000F201D"/>
    <w:rsid w:val="000F30DC"/>
    <w:rsid w:val="000F3D21"/>
    <w:rsid w:val="000F45AB"/>
    <w:rsid w:val="000F4E9F"/>
    <w:rsid w:val="000F4ECB"/>
    <w:rsid w:val="000F546A"/>
    <w:rsid w:val="000F615D"/>
    <w:rsid w:val="000F685A"/>
    <w:rsid w:val="000F6AEE"/>
    <w:rsid w:val="000F6D5A"/>
    <w:rsid w:val="00100D95"/>
    <w:rsid w:val="00102F4A"/>
    <w:rsid w:val="00102FDA"/>
    <w:rsid w:val="00104FDB"/>
    <w:rsid w:val="001052F4"/>
    <w:rsid w:val="0010557C"/>
    <w:rsid w:val="00105970"/>
    <w:rsid w:val="00105A64"/>
    <w:rsid w:val="00105DE1"/>
    <w:rsid w:val="00105F72"/>
    <w:rsid w:val="0010731F"/>
    <w:rsid w:val="001075D6"/>
    <w:rsid w:val="00110D0B"/>
    <w:rsid w:val="00111240"/>
    <w:rsid w:val="001112AB"/>
    <w:rsid w:val="00112E4B"/>
    <w:rsid w:val="001130B9"/>
    <w:rsid w:val="00113481"/>
    <w:rsid w:val="00114207"/>
    <w:rsid w:val="00115207"/>
    <w:rsid w:val="00115761"/>
    <w:rsid w:val="00116481"/>
    <w:rsid w:val="0011667C"/>
    <w:rsid w:val="001200FA"/>
    <w:rsid w:val="00120CED"/>
    <w:rsid w:val="00121F2C"/>
    <w:rsid w:val="0012461E"/>
    <w:rsid w:val="00124DAA"/>
    <w:rsid w:val="00125633"/>
    <w:rsid w:val="001258CE"/>
    <w:rsid w:val="00126959"/>
    <w:rsid w:val="00126DE2"/>
    <w:rsid w:val="00126FF2"/>
    <w:rsid w:val="00127671"/>
    <w:rsid w:val="001300B5"/>
    <w:rsid w:val="00130A0B"/>
    <w:rsid w:val="00130C4B"/>
    <w:rsid w:val="00130DC3"/>
    <w:rsid w:val="0013210D"/>
    <w:rsid w:val="0013287E"/>
    <w:rsid w:val="001330E8"/>
    <w:rsid w:val="00133292"/>
    <w:rsid w:val="001358EB"/>
    <w:rsid w:val="00135DE5"/>
    <w:rsid w:val="001376F1"/>
    <w:rsid w:val="00137F5A"/>
    <w:rsid w:val="00140745"/>
    <w:rsid w:val="001407BB"/>
    <w:rsid w:val="00140B2B"/>
    <w:rsid w:val="00141C8E"/>
    <w:rsid w:val="00142646"/>
    <w:rsid w:val="00142B5B"/>
    <w:rsid w:val="00145862"/>
    <w:rsid w:val="00145DB1"/>
    <w:rsid w:val="00146CE3"/>
    <w:rsid w:val="00151415"/>
    <w:rsid w:val="001536F9"/>
    <w:rsid w:val="0015440C"/>
    <w:rsid w:val="001547AC"/>
    <w:rsid w:val="00154B5B"/>
    <w:rsid w:val="00155084"/>
    <w:rsid w:val="00155BA9"/>
    <w:rsid w:val="001573B8"/>
    <w:rsid w:val="001573BF"/>
    <w:rsid w:val="0016081E"/>
    <w:rsid w:val="00160FB7"/>
    <w:rsid w:val="00161E8C"/>
    <w:rsid w:val="00161FAA"/>
    <w:rsid w:val="00162A6D"/>
    <w:rsid w:val="001633F4"/>
    <w:rsid w:val="00163F07"/>
    <w:rsid w:val="0016455E"/>
    <w:rsid w:val="00164C88"/>
    <w:rsid w:val="00165364"/>
    <w:rsid w:val="00165398"/>
    <w:rsid w:val="00166185"/>
    <w:rsid w:val="0016624B"/>
    <w:rsid w:val="00166CD8"/>
    <w:rsid w:val="001706C0"/>
    <w:rsid w:val="00170795"/>
    <w:rsid w:val="00172CCD"/>
    <w:rsid w:val="00172CFB"/>
    <w:rsid w:val="001731C7"/>
    <w:rsid w:val="0017387F"/>
    <w:rsid w:val="001739A8"/>
    <w:rsid w:val="00175D01"/>
    <w:rsid w:val="001772E4"/>
    <w:rsid w:val="00177744"/>
    <w:rsid w:val="0017795A"/>
    <w:rsid w:val="001801ED"/>
    <w:rsid w:val="00180229"/>
    <w:rsid w:val="00180329"/>
    <w:rsid w:val="0018058D"/>
    <w:rsid w:val="001808F8"/>
    <w:rsid w:val="0018230D"/>
    <w:rsid w:val="001825DE"/>
    <w:rsid w:val="001829FD"/>
    <w:rsid w:val="00184886"/>
    <w:rsid w:val="00185423"/>
    <w:rsid w:val="00186635"/>
    <w:rsid w:val="001903BC"/>
    <w:rsid w:val="00191EA5"/>
    <w:rsid w:val="0019381F"/>
    <w:rsid w:val="00194202"/>
    <w:rsid w:val="001958E6"/>
    <w:rsid w:val="0019598A"/>
    <w:rsid w:val="0019616E"/>
    <w:rsid w:val="001964EF"/>
    <w:rsid w:val="00197D6F"/>
    <w:rsid w:val="001A0736"/>
    <w:rsid w:val="001A0FF1"/>
    <w:rsid w:val="001A27D8"/>
    <w:rsid w:val="001A2D13"/>
    <w:rsid w:val="001A3C77"/>
    <w:rsid w:val="001A5D83"/>
    <w:rsid w:val="001A6237"/>
    <w:rsid w:val="001A70EC"/>
    <w:rsid w:val="001B077B"/>
    <w:rsid w:val="001B1357"/>
    <w:rsid w:val="001B1609"/>
    <w:rsid w:val="001B19FD"/>
    <w:rsid w:val="001B2752"/>
    <w:rsid w:val="001B2810"/>
    <w:rsid w:val="001B2BE2"/>
    <w:rsid w:val="001B2C57"/>
    <w:rsid w:val="001B441B"/>
    <w:rsid w:val="001B46FC"/>
    <w:rsid w:val="001B55AE"/>
    <w:rsid w:val="001B6285"/>
    <w:rsid w:val="001B6655"/>
    <w:rsid w:val="001B681F"/>
    <w:rsid w:val="001B729C"/>
    <w:rsid w:val="001B72D3"/>
    <w:rsid w:val="001B7FAE"/>
    <w:rsid w:val="001C0493"/>
    <w:rsid w:val="001C04A8"/>
    <w:rsid w:val="001C1D91"/>
    <w:rsid w:val="001C305F"/>
    <w:rsid w:val="001C31E1"/>
    <w:rsid w:val="001C33E6"/>
    <w:rsid w:val="001C3F42"/>
    <w:rsid w:val="001C4329"/>
    <w:rsid w:val="001C4597"/>
    <w:rsid w:val="001C55F5"/>
    <w:rsid w:val="001C6775"/>
    <w:rsid w:val="001C7420"/>
    <w:rsid w:val="001C742C"/>
    <w:rsid w:val="001D181A"/>
    <w:rsid w:val="001D3C59"/>
    <w:rsid w:val="001D55ED"/>
    <w:rsid w:val="001D6068"/>
    <w:rsid w:val="001D6D65"/>
    <w:rsid w:val="001D6FD6"/>
    <w:rsid w:val="001D70CB"/>
    <w:rsid w:val="001D70DC"/>
    <w:rsid w:val="001E17D5"/>
    <w:rsid w:val="001E19A0"/>
    <w:rsid w:val="001E1AF7"/>
    <w:rsid w:val="001E26B6"/>
    <w:rsid w:val="001E3289"/>
    <w:rsid w:val="001E4765"/>
    <w:rsid w:val="001E4EF9"/>
    <w:rsid w:val="001E5131"/>
    <w:rsid w:val="001E6003"/>
    <w:rsid w:val="001E68C4"/>
    <w:rsid w:val="001E7381"/>
    <w:rsid w:val="001E7C8D"/>
    <w:rsid w:val="001E7CF5"/>
    <w:rsid w:val="001F11C1"/>
    <w:rsid w:val="001F1A5B"/>
    <w:rsid w:val="001F1C51"/>
    <w:rsid w:val="001F2BF3"/>
    <w:rsid w:val="001F3538"/>
    <w:rsid w:val="001F3FC7"/>
    <w:rsid w:val="001F485C"/>
    <w:rsid w:val="001F783D"/>
    <w:rsid w:val="00200175"/>
    <w:rsid w:val="00200786"/>
    <w:rsid w:val="00202562"/>
    <w:rsid w:val="00203D70"/>
    <w:rsid w:val="00204486"/>
    <w:rsid w:val="002056AD"/>
    <w:rsid w:val="002078E9"/>
    <w:rsid w:val="00213E15"/>
    <w:rsid w:val="0021433D"/>
    <w:rsid w:val="0021454D"/>
    <w:rsid w:val="002168E4"/>
    <w:rsid w:val="00216BA8"/>
    <w:rsid w:val="0021728F"/>
    <w:rsid w:val="002207E6"/>
    <w:rsid w:val="00221209"/>
    <w:rsid w:val="0022142B"/>
    <w:rsid w:val="00221AA2"/>
    <w:rsid w:val="00222283"/>
    <w:rsid w:val="00223138"/>
    <w:rsid w:val="00223D2D"/>
    <w:rsid w:val="00225E4D"/>
    <w:rsid w:val="0023010D"/>
    <w:rsid w:val="00231331"/>
    <w:rsid w:val="0023161C"/>
    <w:rsid w:val="002319AB"/>
    <w:rsid w:val="00231D7B"/>
    <w:rsid w:val="00232977"/>
    <w:rsid w:val="00233856"/>
    <w:rsid w:val="00236456"/>
    <w:rsid w:val="0023678B"/>
    <w:rsid w:val="002369A0"/>
    <w:rsid w:val="00236D99"/>
    <w:rsid w:val="00236FAE"/>
    <w:rsid w:val="00237B4B"/>
    <w:rsid w:val="00237FDF"/>
    <w:rsid w:val="00240248"/>
    <w:rsid w:val="0024140D"/>
    <w:rsid w:val="00243014"/>
    <w:rsid w:val="002450EE"/>
    <w:rsid w:val="0024526C"/>
    <w:rsid w:val="0024549B"/>
    <w:rsid w:val="00245D99"/>
    <w:rsid w:val="00246A33"/>
    <w:rsid w:val="00250760"/>
    <w:rsid w:val="00251053"/>
    <w:rsid w:val="00251F5A"/>
    <w:rsid w:val="00252237"/>
    <w:rsid w:val="00252454"/>
    <w:rsid w:val="002526DD"/>
    <w:rsid w:val="00253FD9"/>
    <w:rsid w:val="002560B6"/>
    <w:rsid w:val="00256A28"/>
    <w:rsid w:val="0025779B"/>
    <w:rsid w:val="002601DE"/>
    <w:rsid w:val="0026157B"/>
    <w:rsid w:val="00261DFA"/>
    <w:rsid w:val="00262446"/>
    <w:rsid w:val="002626C8"/>
    <w:rsid w:val="00263229"/>
    <w:rsid w:val="002632DB"/>
    <w:rsid w:val="0026398F"/>
    <w:rsid w:val="00264B5F"/>
    <w:rsid w:val="00266DC5"/>
    <w:rsid w:val="002709BA"/>
    <w:rsid w:val="0027192D"/>
    <w:rsid w:val="00272407"/>
    <w:rsid w:val="002724B2"/>
    <w:rsid w:val="0027312B"/>
    <w:rsid w:val="0027414A"/>
    <w:rsid w:val="002748DF"/>
    <w:rsid w:val="00274B8A"/>
    <w:rsid w:val="002766F2"/>
    <w:rsid w:val="00276E5C"/>
    <w:rsid w:val="00276F05"/>
    <w:rsid w:val="00277634"/>
    <w:rsid w:val="00280297"/>
    <w:rsid w:val="002802A2"/>
    <w:rsid w:val="002803B8"/>
    <w:rsid w:val="00280857"/>
    <w:rsid w:val="0028144F"/>
    <w:rsid w:val="0028148E"/>
    <w:rsid w:val="00284222"/>
    <w:rsid w:val="002849FB"/>
    <w:rsid w:val="00284E69"/>
    <w:rsid w:val="00284FBF"/>
    <w:rsid w:val="0028601D"/>
    <w:rsid w:val="002866F4"/>
    <w:rsid w:val="00286E01"/>
    <w:rsid w:val="00286E84"/>
    <w:rsid w:val="00287006"/>
    <w:rsid w:val="00287924"/>
    <w:rsid w:val="00287E88"/>
    <w:rsid w:val="002906BC"/>
    <w:rsid w:val="00291107"/>
    <w:rsid w:val="00291158"/>
    <w:rsid w:val="0029195E"/>
    <w:rsid w:val="002928DB"/>
    <w:rsid w:val="00292F01"/>
    <w:rsid w:val="0029451A"/>
    <w:rsid w:val="00294D35"/>
    <w:rsid w:val="0029531A"/>
    <w:rsid w:val="0029587D"/>
    <w:rsid w:val="00295B69"/>
    <w:rsid w:val="00295CEF"/>
    <w:rsid w:val="00297049"/>
    <w:rsid w:val="002970BE"/>
    <w:rsid w:val="00297549"/>
    <w:rsid w:val="0029756F"/>
    <w:rsid w:val="00297A20"/>
    <w:rsid w:val="00297EDB"/>
    <w:rsid w:val="002A0415"/>
    <w:rsid w:val="002A0B5E"/>
    <w:rsid w:val="002A1409"/>
    <w:rsid w:val="002A3DDB"/>
    <w:rsid w:val="002A43A5"/>
    <w:rsid w:val="002A4C30"/>
    <w:rsid w:val="002A4CCD"/>
    <w:rsid w:val="002A5C4B"/>
    <w:rsid w:val="002A6BDE"/>
    <w:rsid w:val="002A73D1"/>
    <w:rsid w:val="002A752F"/>
    <w:rsid w:val="002A7536"/>
    <w:rsid w:val="002A7652"/>
    <w:rsid w:val="002B01EE"/>
    <w:rsid w:val="002B1073"/>
    <w:rsid w:val="002B134C"/>
    <w:rsid w:val="002B1F3E"/>
    <w:rsid w:val="002B2CA2"/>
    <w:rsid w:val="002B2F87"/>
    <w:rsid w:val="002B3508"/>
    <w:rsid w:val="002B4060"/>
    <w:rsid w:val="002B6753"/>
    <w:rsid w:val="002B69E4"/>
    <w:rsid w:val="002B6A3F"/>
    <w:rsid w:val="002B76C9"/>
    <w:rsid w:val="002B7B3B"/>
    <w:rsid w:val="002C07B9"/>
    <w:rsid w:val="002C0AD0"/>
    <w:rsid w:val="002C21F5"/>
    <w:rsid w:val="002C292A"/>
    <w:rsid w:val="002C31D5"/>
    <w:rsid w:val="002C32E9"/>
    <w:rsid w:val="002C33E8"/>
    <w:rsid w:val="002C384B"/>
    <w:rsid w:val="002C43C5"/>
    <w:rsid w:val="002C4F7C"/>
    <w:rsid w:val="002C6CE0"/>
    <w:rsid w:val="002C6E0F"/>
    <w:rsid w:val="002C7467"/>
    <w:rsid w:val="002D01DC"/>
    <w:rsid w:val="002D12E1"/>
    <w:rsid w:val="002D2FF1"/>
    <w:rsid w:val="002D333B"/>
    <w:rsid w:val="002D337D"/>
    <w:rsid w:val="002D37D0"/>
    <w:rsid w:val="002D4A0F"/>
    <w:rsid w:val="002D6C94"/>
    <w:rsid w:val="002E06E6"/>
    <w:rsid w:val="002E0D1F"/>
    <w:rsid w:val="002E2A02"/>
    <w:rsid w:val="002E2AA9"/>
    <w:rsid w:val="002E31FA"/>
    <w:rsid w:val="002E32CA"/>
    <w:rsid w:val="002E34B7"/>
    <w:rsid w:val="002E4396"/>
    <w:rsid w:val="002E4D66"/>
    <w:rsid w:val="002E5F45"/>
    <w:rsid w:val="002E6C50"/>
    <w:rsid w:val="002F232F"/>
    <w:rsid w:val="002F34D8"/>
    <w:rsid w:val="002F3AEA"/>
    <w:rsid w:val="002F4680"/>
    <w:rsid w:val="002F4DA4"/>
    <w:rsid w:val="002F4DAD"/>
    <w:rsid w:val="002F52B2"/>
    <w:rsid w:val="002F5CE2"/>
    <w:rsid w:val="00300814"/>
    <w:rsid w:val="00301977"/>
    <w:rsid w:val="00301E21"/>
    <w:rsid w:val="00302689"/>
    <w:rsid w:val="00302A1D"/>
    <w:rsid w:val="00303820"/>
    <w:rsid w:val="00304547"/>
    <w:rsid w:val="003045A0"/>
    <w:rsid w:val="00304904"/>
    <w:rsid w:val="00306424"/>
    <w:rsid w:val="00307163"/>
    <w:rsid w:val="003113EE"/>
    <w:rsid w:val="0031196B"/>
    <w:rsid w:val="00312298"/>
    <w:rsid w:val="0031312E"/>
    <w:rsid w:val="003169DD"/>
    <w:rsid w:val="00320B15"/>
    <w:rsid w:val="00320E18"/>
    <w:rsid w:val="00321463"/>
    <w:rsid w:val="00322229"/>
    <w:rsid w:val="00322655"/>
    <w:rsid w:val="00323004"/>
    <w:rsid w:val="003254B8"/>
    <w:rsid w:val="003254BB"/>
    <w:rsid w:val="00330260"/>
    <w:rsid w:val="003310F7"/>
    <w:rsid w:val="00335A22"/>
    <w:rsid w:val="00337137"/>
    <w:rsid w:val="00337360"/>
    <w:rsid w:val="003415D9"/>
    <w:rsid w:val="00341FF0"/>
    <w:rsid w:val="003421E6"/>
    <w:rsid w:val="00342206"/>
    <w:rsid w:val="00343718"/>
    <w:rsid w:val="003437D5"/>
    <w:rsid w:val="00344280"/>
    <w:rsid w:val="003445EF"/>
    <w:rsid w:val="00344617"/>
    <w:rsid w:val="00345C63"/>
    <w:rsid w:val="00346541"/>
    <w:rsid w:val="00346B66"/>
    <w:rsid w:val="00347206"/>
    <w:rsid w:val="00347F9B"/>
    <w:rsid w:val="0035052B"/>
    <w:rsid w:val="00351A8B"/>
    <w:rsid w:val="00351E1D"/>
    <w:rsid w:val="00351E68"/>
    <w:rsid w:val="0035243D"/>
    <w:rsid w:val="00352B6B"/>
    <w:rsid w:val="003558BA"/>
    <w:rsid w:val="00355F1B"/>
    <w:rsid w:val="00355F72"/>
    <w:rsid w:val="003561EE"/>
    <w:rsid w:val="00356CDE"/>
    <w:rsid w:val="0035748B"/>
    <w:rsid w:val="003577E6"/>
    <w:rsid w:val="00360700"/>
    <w:rsid w:val="003607B9"/>
    <w:rsid w:val="00360ACE"/>
    <w:rsid w:val="003612A1"/>
    <w:rsid w:val="00361B24"/>
    <w:rsid w:val="00362D4A"/>
    <w:rsid w:val="003637DC"/>
    <w:rsid w:val="003649E5"/>
    <w:rsid w:val="00366C51"/>
    <w:rsid w:val="0037030B"/>
    <w:rsid w:val="003709D3"/>
    <w:rsid w:val="003729F0"/>
    <w:rsid w:val="00375198"/>
    <w:rsid w:val="0037602E"/>
    <w:rsid w:val="003761A4"/>
    <w:rsid w:val="003810AE"/>
    <w:rsid w:val="00381BA2"/>
    <w:rsid w:val="003833F4"/>
    <w:rsid w:val="0038356D"/>
    <w:rsid w:val="00383790"/>
    <w:rsid w:val="003844EE"/>
    <w:rsid w:val="00386C5E"/>
    <w:rsid w:val="003875CA"/>
    <w:rsid w:val="00387E7C"/>
    <w:rsid w:val="003902A4"/>
    <w:rsid w:val="0039336C"/>
    <w:rsid w:val="0039409A"/>
    <w:rsid w:val="0039434D"/>
    <w:rsid w:val="003943F8"/>
    <w:rsid w:val="00394AB6"/>
    <w:rsid w:val="00395CFA"/>
    <w:rsid w:val="003961E8"/>
    <w:rsid w:val="003963E1"/>
    <w:rsid w:val="00397DED"/>
    <w:rsid w:val="003A044A"/>
    <w:rsid w:val="003A06CA"/>
    <w:rsid w:val="003A224B"/>
    <w:rsid w:val="003A3965"/>
    <w:rsid w:val="003A4214"/>
    <w:rsid w:val="003A5357"/>
    <w:rsid w:val="003A56DF"/>
    <w:rsid w:val="003A6771"/>
    <w:rsid w:val="003A70DA"/>
    <w:rsid w:val="003A7E69"/>
    <w:rsid w:val="003B01B2"/>
    <w:rsid w:val="003B0D87"/>
    <w:rsid w:val="003B10F3"/>
    <w:rsid w:val="003B2A51"/>
    <w:rsid w:val="003B2BC8"/>
    <w:rsid w:val="003B2C20"/>
    <w:rsid w:val="003B4658"/>
    <w:rsid w:val="003B6FA9"/>
    <w:rsid w:val="003B7E7C"/>
    <w:rsid w:val="003B7FC4"/>
    <w:rsid w:val="003C222F"/>
    <w:rsid w:val="003C2859"/>
    <w:rsid w:val="003C28C6"/>
    <w:rsid w:val="003C2D5B"/>
    <w:rsid w:val="003C3BA4"/>
    <w:rsid w:val="003C41F8"/>
    <w:rsid w:val="003C423D"/>
    <w:rsid w:val="003C6818"/>
    <w:rsid w:val="003C716E"/>
    <w:rsid w:val="003C76E2"/>
    <w:rsid w:val="003C7B5E"/>
    <w:rsid w:val="003C7BAE"/>
    <w:rsid w:val="003D034E"/>
    <w:rsid w:val="003D5214"/>
    <w:rsid w:val="003D7949"/>
    <w:rsid w:val="003E1291"/>
    <w:rsid w:val="003E30FD"/>
    <w:rsid w:val="003E5E90"/>
    <w:rsid w:val="003E6003"/>
    <w:rsid w:val="003E6102"/>
    <w:rsid w:val="003E77D1"/>
    <w:rsid w:val="003E7AD9"/>
    <w:rsid w:val="003F1C12"/>
    <w:rsid w:val="003F22EA"/>
    <w:rsid w:val="003F4BAE"/>
    <w:rsid w:val="003F546E"/>
    <w:rsid w:val="003F60E2"/>
    <w:rsid w:val="003F6EE8"/>
    <w:rsid w:val="003F7D53"/>
    <w:rsid w:val="0040031A"/>
    <w:rsid w:val="00400494"/>
    <w:rsid w:val="00400A23"/>
    <w:rsid w:val="00401DB0"/>
    <w:rsid w:val="0040258A"/>
    <w:rsid w:val="0040290D"/>
    <w:rsid w:val="00403E11"/>
    <w:rsid w:val="00404C08"/>
    <w:rsid w:val="00404F33"/>
    <w:rsid w:val="00405677"/>
    <w:rsid w:val="004072C9"/>
    <w:rsid w:val="0041199E"/>
    <w:rsid w:val="00412830"/>
    <w:rsid w:val="00412D63"/>
    <w:rsid w:val="004133EA"/>
    <w:rsid w:val="00413882"/>
    <w:rsid w:val="00415563"/>
    <w:rsid w:val="00415EB9"/>
    <w:rsid w:val="00416E9A"/>
    <w:rsid w:val="00420E21"/>
    <w:rsid w:val="00420EAA"/>
    <w:rsid w:val="004218F0"/>
    <w:rsid w:val="00421E71"/>
    <w:rsid w:val="00421FA6"/>
    <w:rsid w:val="00422201"/>
    <w:rsid w:val="00422934"/>
    <w:rsid w:val="004233F7"/>
    <w:rsid w:val="004236E0"/>
    <w:rsid w:val="00423997"/>
    <w:rsid w:val="004247E0"/>
    <w:rsid w:val="00424A1D"/>
    <w:rsid w:val="004254FD"/>
    <w:rsid w:val="00431529"/>
    <w:rsid w:val="00432BB0"/>
    <w:rsid w:val="00432CEA"/>
    <w:rsid w:val="00433A6F"/>
    <w:rsid w:val="0043513C"/>
    <w:rsid w:val="00436DEF"/>
    <w:rsid w:val="00437675"/>
    <w:rsid w:val="00437E66"/>
    <w:rsid w:val="00440136"/>
    <w:rsid w:val="00440C79"/>
    <w:rsid w:val="00442FB8"/>
    <w:rsid w:val="0044391F"/>
    <w:rsid w:val="00443D93"/>
    <w:rsid w:val="004448A5"/>
    <w:rsid w:val="00445BE1"/>
    <w:rsid w:val="004466FD"/>
    <w:rsid w:val="0044738A"/>
    <w:rsid w:val="00450368"/>
    <w:rsid w:val="00451A37"/>
    <w:rsid w:val="00454D9B"/>
    <w:rsid w:val="00455079"/>
    <w:rsid w:val="00456323"/>
    <w:rsid w:val="00456B7C"/>
    <w:rsid w:val="0045733C"/>
    <w:rsid w:val="00460C44"/>
    <w:rsid w:val="00460D3B"/>
    <w:rsid w:val="00460D54"/>
    <w:rsid w:val="0046168A"/>
    <w:rsid w:val="00461F25"/>
    <w:rsid w:val="00462117"/>
    <w:rsid w:val="004633F8"/>
    <w:rsid w:val="004635B4"/>
    <w:rsid w:val="00463EA9"/>
    <w:rsid w:val="00464F00"/>
    <w:rsid w:val="004655E4"/>
    <w:rsid w:val="00467952"/>
    <w:rsid w:val="00471292"/>
    <w:rsid w:val="00471480"/>
    <w:rsid w:val="00472A18"/>
    <w:rsid w:val="00473104"/>
    <w:rsid w:val="004731B9"/>
    <w:rsid w:val="004735C9"/>
    <w:rsid w:val="00473CE0"/>
    <w:rsid w:val="00473DF9"/>
    <w:rsid w:val="004749C4"/>
    <w:rsid w:val="00475FF3"/>
    <w:rsid w:val="00476948"/>
    <w:rsid w:val="00480352"/>
    <w:rsid w:val="00480C78"/>
    <w:rsid w:val="00481223"/>
    <w:rsid w:val="004819D7"/>
    <w:rsid w:val="00482558"/>
    <w:rsid w:val="00482607"/>
    <w:rsid w:val="00483BAE"/>
    <w:rsid w:val="00485849"/>
    <w:rsid w:val="00486C20"/>
    <w:rsid w:val="00487748"/>
    <w:rsid w:val="004920D0"/>
    <w:rsid w:val="00492C3D"/>
    <w:rsid w:val="0049477E"/>
    <w:rsid w:val="004966D2"/>
    <w:rsid w:val="00496B11"/>
    <w:rsid w:val="00497980"/>
    <w:rsid w:val="004A05D4"/>
    <w:rsid w:val="004A32AB"/>
    <w:rsid w:val="004A3350"/>
    <w:rsid w:val="004A3BB5"/>
    <w:rsid w:val="004A4CDC"/>
    <w:rsid w:val="004A6A03"/>
    <w:rsid w:val="004A741A"/>
    <w:rsid w:val="004A74A9"/>
    <w:rsid w:val="004A7975"/>
    <w:rsid w:val="004A7B7C"/>
    <w:rsid w:val="004B06F9"/>
    <w:rsid w:val="004B090F"/>
    <w:rsid w:val="004B1469"/>
    <w:rsid w:val="004B30E8"/>
    <w:rsid w:val="004B3256"/>
    <w:rsid w:val="004B332E"/>
    <w:rsid w:val="004B38BC"/>
    <w:rsid w:val="004B38E5"/>
    <w:rsid w:val="004B3ECC"/>
    <w:rsid w:val="004B4A69"/>
    <w:rsid w:val="004B4B94"/>
    <w:rsid w:val="004B4E58"/>
    <w:rsid w:val="004B71E1"/>
    <w:rsid w:val="004C095F"/>
    <w:rsid w:val="004C0DD9"/>
    <w:rsid w:val="004C14D0"/>
    <w:rsid w:val="004C1FF8"/>
    <w:rsid w:val="004C2C35"/>
    <w:rsid w:val="004C3033"/>
    <w:rsid w:val="004C3E96"/>
    <w:rsid w:val="004C4253"/>
    <w:rsid w:val="004C49CE"/>
    <w:rsid w:val="004C579C"/>
    <w:rsid w:val="004C67BB"/>
    <w:rsid w:val="004C6D5B"/>
    <w:rsid w:val="004C714C"/>
    <w:rsid w:val="004C7209"/>
    <w:rsid w:val="004C77BF"/>
    <w:rsid w:val="004C7AC1"/>
    <w:rsid w:val="004C7CD7"/>
    <w:rsid w:val="004C7F78"/>
    <w:rsid w:val="004D0FEF"/>
    <w:rsid w:val="004D1881"/>
    <w:rsid w:val="004D2636"/>
    <w:rsid w:val="004D2790"/>
    <w:rsid w:val="004D2E53"/>
    <w:rsid w:val="004D3573"/>
    <w:rsid w:val="004D47D5"/>
    <w:rsid w:val="004D48AF"/>
    <w:rsid w:val="004D4959"/>
    <w:rsid w:val="004D61C9"/>
    <w:rsid w:val="004D7E1D"/>
    <w:rsid w:val="004E0F31"/>
    <w:rsid w:val="004E60AB"/>
    <w:rsid w:val="004E6D51"/>
    <w:rsid w:val="004E7AAB"/>
    <w:rsid w:val="004F02BF"/>
    <w:rsid w:val="004F0FEC"/>
    <w:rsid w:val="004F1A12"/>
    <w:rsid w:val="004F2221"/>
    <w:rsid w:val="004F32AB"/>
    <w:rsid w:val="004F3A87"/>
    <w:rsid w:val="004F412F"/>
    <w:rsid w:val="004F5120"/>
    <w:rsid w:val="004F5429"/>
    <w:rsid w:val="004F7EE8"/>
    <w:rsid w:val="00500241"/>
    <w:rsid w:val="0050079E"/>
    <w:rsid w:val="00501322"/>
    <w:rsid w:val="00501D99"/>
    <w:rsid w:val="0050205E"/>
    <w:rsid w:val="00502F2D"/>
    <w:rsid w:val="005030DD"/>
    <w:rsid w:val="005033A2"/>
    <w:rsid w:val="0050438E"/>
    <w:rsid w:val="00504740"/>
    <w:rsid w:val="00504E67"/>
    <w:rsid w:val="0050535B"/>
    <w:rsid w:val="0050545D"/>
    <w:rsid w:val="005059FD"/>
    <w:rsid w:val="00510CEA"/>
    <w:rsid w:val="00511BA5"/>
    <w:rsid w:val="00511D7B"/>
    <w:rsid w:val="00511F29"/>
    <w:rsid w:val="0051202F"/>
    <w:rsid w:val="00513053"/>
    <w:rsid w:val="00514A37"/>
    <w:rsid w:val="00516CA0"/>
    <w:rsid w:val="0051701F"/>
    <w:rsid w:val="005171E6"/>
    <w:rsid w:val="00517BC3"/>
    <w:rsid w:val="005202A4"/>
    <w:rsid w:val="005208A6"/>
    <w:rsid w:val="005219AD"/>
    <w:rsid w:val="00521B98"/>
    <w:rsid w:val="00523D15"/>
    <w:rsid w:val="00524025"/>
    <w:rsid w:val="00524EE9"/>
    <w:rsid w:val="005259FE"/>
    <w:rsid w:val="00525B47"/>
    <w:rsid w:val="00526949"/>
    <w:rsid w:val="005270D1"/>
    <w:rsid w:val="0052784B"/>
    <w:rsid w:val="00527AC1"/>
    <w:rsid w:val="005303A0"/>
    <w:rsid w:val="00530560"/>
    <w:rsid w:val="005305AC"/>
    <w:rsid w:val="005306BA"/>
    <w:rsid w:val="005306ED"/>
    <w:rsid w:val="00533E9E"/>
    <w:rsid w:val="00535A79"/>
    <w:rsid w:val="00541262"/>
    <w:rsid w:val="0054151D"/>
    <w:rsid w:val="00542B6E"/>
    <w:rsid w:val="005447BF"/>
    <w:rsid w:val="00544C89"/>
    <w:rsid w:val="00545470"/>
    <w:rsid w:val="0054559E"/>
    <w:rsid w:val="0054623E"/>
    <w:rsid w:val="0054704A"/>
    <w:rsid w:val="005475AB"/>
    <w:rsid w:val="0055033C"/>
    <w:rsid w:val="00551A94"/>
    <w:rsid w:val="00551DE9"/>
    <w:rsid w:val="00553578"/>
    <w:rsid w:val="0055372C"/>
    <w:rsid w:val="005539AC"/>
    <w:rsid w:val="0055462E"/>
    <w:rsid w:val="00554AE9"/>
    <w:rsid w:val="00555BF7"/>
    <w:rsid w:val="005568E4"/>
    <w:rsid w:val="005603B7"/>
    <w:rsid w:val="00561407"/>
    <w:rsid w:val="0056348C"/>
    <w:rsid w:val="00563809"/>
    <w:rsid w:val="0056441A"/>
    <w:rsid w:val="00564DDE"/>
    <w:rsid w:val="0056544D"/>
    <w:rsid w:val="00565F5A"/>
    <w:rsid w:val="00565F94"/>
    <w:rsid w:val="0056604B"/>
    <w:rsid w:val="00566ACC"/>
    <w:rsid w:val="00566BE4"/>
    <w:rsid w:val="00567AFA"/>
    <w:rsid w:val="00570A53"/>
    <w:rsid w:val="005729AE"/>
    <w:rsid w:val="0057329B"/>
    <w:rsid w:val="00573B2C"/>
    <w:rsid w:val="00573FBC"/>
    <w:rsid w:val="00574ADF"/>
    <w:rsid w:val="00574DF6"/>
    <w:rsid w:val="00576F31"/>
    <w:rsid w:val="005775D1"/>
    <w:rsid w:val="005804AA"/>
    <w:rsid w:val="0058168E"/>
    <w:rsid w:val="005826E1"/>
    <w:rsid w:val="00583103"/>
    <w:rsid w:val="00584483"/>
    <w:rsid w:val="0058583E"/>
    <w:rsid w:val="00585B6D"/>
    <w:rsid w:val="005905F1"/>
    <w:rsid w:val="00590E2A"/>
    <w:rsid w:val="005934E8"/>
    <w:rsid w:val="00593BE4"/>
    <w:rsid w:val="00594174"/>
    <w:rsid w:val="005942C8"/>
    <w:rsid w:val="00594CD8"/>
    <w:rsid w:val="00595431"/>
    <w:rsid w:val="00595A98"/>
    <w:rsid w:val="005960E3"/>
    <w:rsid w:val="00597376"/>
    <w:rsid w:val="0059777E"/>
    <w:rsid w:val="005A02CB"/>
    <w:rsid w:val="005A1107"/>
    <w:rsid w:val="005A2237"/>
    <w:rsid w:val="005A3DAB"/>
    <w:rsid w:val="005A43D7"/>
    <w:rsid w:val="005A5154"/>
    <w:rsid w:val="005A5158"/>
    <w:rsid w:val="005A5CCD"/>
    <w:rsid w:val="005A611F"/>
    <w:rsid w:val="005A723B"/>
    <w:rsid w:val="005A77A3"/>
    <w:rsid w:val="005A7BB8"/>
    <w:rsid w:val="005A7EC3"/>
    <w:rsid w:val="005B0771"/>
    <w:rsid w:val="005B0B32"/>
    <w:rsid w:val="005B17F4"/>
    <w:rsid w:val="005B1813"/>
    <w:rsid w:val="005B2DA0"/>
    <w:rsid w:val="005B3D88"/>
    <w:rsid w:val="005B40CA"/>
    <w:rsid w:val="005B471B"/>
    <w:rsid w:val="005B4CF9"/>
    <w:rsid w:val="005B7410"/>
    <w:rsid w:val="005C296C"/>
    <w:rsid w:val="005C2D7B"/>
    <w:rsid w:val="005C3430"/>
    <w:rsid w:val="005C3ACC"/>
    <w:rsid w:val="005C4878"/>
    <w:rsid w:val="005C4D49"/>
    <w:rsid w:val="005C6419"/>
    <w:rsid w:val="005C682A"/>
    <w:rsid w:val="005D0B73"/>
    <w:rsid w:val="005D2006"/>
    <w:rsid w:val="005D22D0"/>
    <w:rsid w:val="005D25E7"/>
    <w:rsid w:val="005D3AAC"/>
    <w:rsid w:val="005D452F"/>
    <w:rsid w:val="005D5124"/>
    <w:rsid w:val="005D6596"/>
    <w:rsid w:val="005D72BF"/>
    <w:rsid w:val="005D7F8D"/>
    <w:rsid w:val="005E06EB"/>
    <w:rsid w:val="005E07DA"/>
    <w:rsid w:val="005E0D50"/>
    <w:rsid w:val="005E0E08"/>
    <w:rsid w:val="005E1E42"/>
    <w:rsid w:val="005E2859"/>
    <w:rsid w:val="005E3CBC"/>
    <w:rsid w:val="005E4AF2"/>
    <w:rsid w:val="005E59A4"/>
    <w:rsid w:val="005E5E04"/>
    <w:rsid w:val="005E6CB5"/>
    <w:rsid w:val="005E72DF"/>
    <w:rsid w:val="005E78D6"/>
    <w:rsid w:val="005F0C84"/>
    <w:rsid w:val="005F0E4D"/>
    <w:rsid w:val="005F23CA"/>
    <w:rsid w:val="005F24D5"/>
    <w:rsid w:val="005F27FE"/>
    <w:rsid w:val="005F336C"/>
    <w:rsid w:val="005F35D7"/>
    <w:rsid w:val="005F376D"/>
    <w:rsid w:val="005F395D"/>
    <w:rsid w:val="005F3E72"/>
    <w:rsid w:val="005F4B35"/>
    <w:rsid w:val="005F582E"/>
    <w:rsid w:val="005F623D"/>
    <w:rsid w:val="005F6F58"/>
    <w:rsid w:val="005F7ADD"/>
    <w:rsid w:val="005F7D03"/>
    <w:rsid w:val="006000F1"/>
    <w:rsid w:val="0060065D"/>
    <w:rsid w:val="006011C4"/>
    <w:rsid w:val="00601B79"/>
    <w:rsid w:val="00601FF6"/>
    <w:rsid w:val="00603CC8"/>
    <w:rsid w:val="00604FFF"/>
    <w:rsid w:val="00605A86"/>
    <w:rsid w:val="00605BF7"/>
    <w:rsid w:val="006068EE"/>
    <w:rsid w:val="00607399"/>
    <w:rsid w:val="00611AE4"/>
    <w:rsid w:val="00611FAC"/>
    <w:rsid w:val="006129B6"/>
    <w:rsid w:val="00612AA8"/>
    <w:rsid w:val="00612DAE"/>
    <w:rsid w:val="006134A7"/>
    <w:rsid w:val="0061515E"/>
    <w:rsid w:val="00615568"/>
    <w:rsid w:val="006157FE"/>
    <w:rsid w:val="006167EE"/>
    <w:rsid w:val="00621992"/>
    <w:rsid w:val="00622D0D"/>
    <w:rsid w:val="0062342F"/>
    <w:rsid w:val="00624A10"/>
    <w:rsid w:val="0062591E"/>
    <w:rsid w:val="00625A55"/>
    <w:rsid w:val="00627E45"/>
    <w:rsid w:val="006310CF"/>
    <w:rsid w:val="006337FF"/>
    <w:rsid w:val="0063392B"/>
    <w:rsid w:val="00635AAF"/>
    <w:rsid w:val="00636106"/>
    <w:rsid w:val="0063615F"/>
    <w:rsid w:val="00636BD9"/>
    <w:rsid w:val="00642CBD"/>
    <w:rsid w:val="00643D03"/>
    <w:rsid w:val="00643EE8"/>
    <w:rsid w:val="0064551D"/>
    <w:rsid w:val="006505A3"/>
    <w:rsid w:val="0065073D"/>
    <w:rsid w:val="00651E7C"/>
    <w:rsid w:val="00651F93"/>
    <w:rsid w:val="00652A21"/>
    <w:rsid w:val="00653161"/>
    <w:rsid w:val="00655834"/>
    <w:rsid w:val="00655AF5"/>
    <w:rsid w:val="00655BD3"/>
    <w:rsid w:val="006565EB"/>
    <w:rsid w:val="0065783D"/>
    <w:rsid w:val="00657D68"/>
    <w:rsid w:val="006604F0"/>
    <w:rsid w:val="0066106F"/>
    <w:rsid w:val="006614B8"/>
    <w:rsid w:val="00661CF1"/>
    <w:rsid w:val="0066255E"/>
    <w:rsid w:val="00663719"/>
    <w:rsid w:val="00663D5A"/>
    <w:rsid w:val="00664226"/>
    <w:rsid w:val="006653DD"/>
    <w:rsid w:val="0066570A"/>
    <w:rsid w:val="00665E94"/>
    <w:rsid w:val="006665E3"/>
    <w:rsid w:val="006671A6"/>
    <w:rsid w:val="006673D6"/>
    <w:rsid w:val="0067136B"/>
    <w:rsid w:val="006715A5"/>
    <w:rsid w:val="006715EF"/>
    <w:rsid w:val="006718C8"/>
    <w:rsid w:val="006732BF"/>
    <w:rsid w:val="00673F39"/>
    <w:rsid w:val="0067504E"/>
    <w:rsid w:val="00676E7A"/>
    <w:rsid w:val="00677456"/>
    <w:rsid w:val="00677AD0"/>
    <w:rsid w:val="006807B3"/>
    <w:rsid w:val="0068116D"/>
    <w:rsid w:val="00681604"/>
    <w:rsid w:val="00682BC1"/>
    <w:rsid w:val="00683895"/>
    <w:rsid w:val="00683B26"/>
    <w:rsid w:val="006855C6"/>
    <w:rsid w:val="00685944"/>
    <w:rsid w:val="00687A49"/>
    <w:rsid w:val="006915C5"/>
    <w:rsid w:val="00691AC8"/>
    <w:rsid w:val="00691C08"/>
    <w:rsid w:val="00692C9E"/>
    <w:rsid w:val="00693699"/>
    <w:rsid w:val="0069374C"/>
    <w:rsid w:val="00694E4A"/>
    <w:rsid w:val="00695903"/>
    <w:rsid w:val="00695BF3"/>
    <w:rsid w:val="006974EF"/>
    <w:rsid w:val="006975EE"/>
    <w:rsid w:val="00697607"/>
    <w:rsid w:val="00697EA2"/>
    <w:rsid w:val="006A0A25"/>
    <w:rsid w:val="006A0F0C"/>
    <w:rsid w:val="006A3675"/>
    <w:rsid w:val="006A3C25"/>
    <w:rsid w:val="006A51C9"/>
    <w:rsid w:val="006A5604"/>
    <w:rsid w:val="006A595D"/>
    <w:rsid w:val="006A625D"/>
    <w:rsid w:val="006A6526"/>
    <w:rsid w:val="006A7709"/>
    <w:rsid w:val="006A78FE"/>
    <w:rsid w:val="006A7AEA"/>
    <w:rsid w:val="006B08FC"/>
    <w:rsid w:val="006B1622"/>
    <w:rsid w:val="006B1CA1"/>
    <w:rsid w:val="006B6A94"/>
    <w:rsid w:val="006C01CE"/>
    <w:rsid w:val="006C06E3"/>
    <w:rsid w:val="006C07A3"/>
    <w:rsid w:val="006C0CBE"/>
    <w:rsid w:val="006C0D22"/>
    <w:rsid w:val="006C1B22"/>
    <w:rsid w:val="006C225D"/>
    <w:rsid w:val="006C4785"/>
    <w:rsid w:val="006C480C"/>
    <w:rsid w:val="006C5497"/>
    <w:rsid w:val="006C5AE4"/>
    <w:rsid w:val="006C6B92"/>
    <w:rsid w:val="006C6D63"/>
    <w:rsid w:val="006C719F"/>
    <w:rsid w:val="006C7342"/>
    <w:rsid w:val="006D0068"/>
    <w:rsid w:val="006D0B80"/>
    <w:rsid w:val="006D0D9F"/>
    <w:rsid w:val="006D20E8"/>
    <w:rsid w:val="006D29A0"/>
    <w:rsid w:val="006D2A4D"/>
    <w:rsid w:val="006D3581"/>
    <w:rsid w:val="006D374C"/>
    <w:rsid w:val="006D384D"/>
    <w:rsid w:val="006D596B"/>
    <w:rsid w:val="006D6B84"/>
    <w:rsid w:val="006D6C77"/>
    <w:rsid w:val="006D6F13"/>
    <w:rsid w:val="006D718C"/>
    <w:rsid w:val="006D779F"/>
    <w:rsid w:val="006D7ECC"/>
    <w:rsid w:val="006E04A7"/>
    <w:rsid w:val="006E2283"/>
    <w:rsid w:val="006E24F3"/>
    <w:rsid w:val="006E3AB2"/>
    <w:rsid w:val="006E4947"/>
    <w:rsid w:val="006E4AF9"/>
    <w:rsid w:val="006E5CC3"/>
    <w:rsid w:val="006E5F7E"/>
    <w:rsid w:val="006E6507"/>
    <w:rsid w:val="006E6BDF"/>
    <w:rsid w:val="006E7B8E"/>
    <w:rsid w:val="006E7E26"/>
    <w:rsid w:val="006F0574"/>
    <w:rsid w:val="006F1D0B"/>
    <w:rsid w:val="006F2CD8"/>
    <w:rsid w:val="006F34F8"/>
    <w:rsid w:val="006F443F"/>
    <w:rsid w:val="006F4AC3"/>
    <w:rsid w:val="006F55AA"/>
    <w:rsid w:val="006F6134"/>
    <w:rsid w:val="006F64D9"/>
    <w:rsid w:val="006F6EFF"/>
    <w:rsid w:val="006F7CD2"/>
    <w:rsid w:val="0070085F"/>
    <w:rsid w:val="007019A7"/>
    <w:rsid w:val="00701A02"/>
    <w:rsid w:val="00701DE9"/>
    <w:rsid w:val="0070330D"/>
    <w:rsid w:val="0070330E"/>
    <w:rsid w:val="00703A2C"/>
    <w:rsid w:val="00703DF6"/>
    <w:rsid w:val="007055FE"/>
    <w:rsid w:val="007056E3"/>
    <w:rsid w:val="00705FCB"/>
    <w:rsid w:val="007062CB"/>
    <w:rsid w:val="007063FF"/>
    <w:rsid w:val="0070710D"/>
    <w:rsid w:val="00710550"/>
    <w:rsid w:val="0071173C"/>
    <w:rsid w:val="00712837"/>
    <w:rsid w:val="00713D6E"/>
    <w:rsid w:val="00714607"/>
    <w:rsid w:val="0071552D"/>
    <w:rsid w:val="0071568F"/>
    <w:rsid w:val="00715C18"/>
    <w:rsid w:val="0071711A"/>
    <w:rsid w:val="00720F63"/>
    <w:rsid w:val="007210AB"/>
    <w:rsid w:val="0072165A"/>
    <w:rsid w:val="007224C5"/>
    <w:rsid w:val="0072328F"/>
    <w:rsid w:val="00723B98"/>
    <w:rsid w:val="00726727"/>
    <w:rsid w:val="007269A3"/>
    <w:rsid w:val="00730400"/>
    <w:rsid w:val="00730B85"/>
    <w:rsid w:val="00730CF3"/>
    <w:rsid w:val="00730E75"/>
    <w:rsid w:val="00731251"/>
    <w:rsid w:val="00733605"/>
    <w:rsid w:val="00733F6F"/>
    <w:rsid w:val="00734925"/>
    <w:rsid w:val="0073584B"/>
    <w:rsid w:val="0073597D"/>
    <w:rsid w:val="007368C0"/>
    <w:rsid w:val="00736CA7"/>
    <w:rsid w:val="00737127"/>
    <w:rsid w:val="007405CB"/>
    <w:rsid w:val="00742879"/>
    <w:rsid w:val="0074311D"/>
    <w:rsid w:val="0074317F"/>
    <w:rsid w:val="00743AA2"/>
    <w:rsid w:val="0074480F"/>
    <w:rsid w:val="00745B31"/>
    <w:rsid w:val="00745E2B"/>
    <w:rsid w:val="00745F00"/>
    <w:rsid w:val="0074658B"/>
    <w:rsid w:val="00746B45"/>
    <w:rsid w:val="00747D9B"/>
    <w:rsid w:val="00750BE3"/>
    <w:rsid w:val="00751A62"/>
    <w:rsid w:val="00751BF1"/>
    <w:rsid w:val="00751D8E"/>
    <w:rsid w:val="007531FC"/>
    <w:rsid w:val="0075388B"/>
    <w:rsid w:val="007545A9"/>
    <w:rsid w:val="0075462B"/>
    <w:rsid w:val="0075469E"/>
    <w:rsid w:val="0075488E"/>
    <w:rsid w:val="0075601D"/>
    <w:rsid w:val="0075639B"/>
    <w:rsid w:val="0076046D"/>
    <w:rsid w:val="00760AF7"/>
    <w:rsid w:val="00760FF8"/>
    <w:rsid w:val="0076185A"/>
    <w:rsid w:val="0076197C"/>
    <w:rsid w:val="00761CFA"/>
    <w:rsid w:val="00763F74"/>
    <w:rsid w:val="007643B4"/>
    <w:rsid w:val="00764BCD"/>
    <w:rsid w:val="00765138"/>
    <w:rsid w:val="0076542A"/>
    <w:rsid w:val="00765819"/>
    <w:rsid w:val="0076771F"/>
    <w:rsid w:val="007700DE"/>
    <w:rsid w:val="0077040D"/>
    <w:rsid w:val="0077097C"/>
    <w:rsid w:val="007713F6"/>
    <w:rsid w:val="0077160F"/>
    <w:rsid w:val="00772527"/>
    <w:rsid w:val="0077351A"/>
    <w:rsid w:val="00774914"/>
    <w:rsid w:val="00774BED"/>
    <w:rsid w:val="00774EAA"/>
    <w:rsid w:val="0077667D"/>
    <w:rsid w:val="007800C5"/>
    <w:rsid w:val="007800F7"/>
    <w:rsid w:val="00780907"/>
    <w:rsid w:val="007810A5"/>
    <w:rsid w:val="00781485"/>
    <w:rsid w:val="0078307B"/>
    <w:rsid w:val="00783314"/>
    <w:rsid w:val="00783A3D"/>
    <w:rsid w:val="00783F28"/>
    <w:rsid w:val="007855EC"/>
    <w:rsid w:val="007859AA"/>
    <w:rsid w:val="00785AC0"/>
    <w:rsid w:val="00785B4C"/>
    <w:rsid w:val="00786818"/>
    <w:rsid w:val="00787EB2"/>
    <w:rsid w:val="0079223B"/>
    <w:rsid w:val="00792478"/>
    <w:rsid w:val="00792E2B"/>
    <w:rsid w:val="00793A30"/>
    <w:rsid w:val="00794BA6"/>
    <w:rsid w:val="00795A96"/>
    <w:rsid w:val="00795CD2"/>
    <w:rsid w:val="00795EDC"/>
    <w:rsid w:val="00795F43"/>
    <w:rsid w:val="00797C14"/>
    <w:rsid w:val="007A0007"/>
    <w:rsid w:val="007A015B"/>
    <w:rsid w:val="007A0EAB"/>
    <w:rsid w:val="007A3729"/>
    <w:rsid w:val="007A3D02"/>
    <w:rsid w:val="007A5898"/>
    <w:rsid w:val="007A5CA8"/>
    <w:rsid w:val="007A6151"/>
    <w:rsid w:val="007A72F4"/>
    <w:rsid w:val="007A7A1C"/>
    <w:rsid w:val="007A7A33"/>
    <w:rsid w:val="007B028A"/>
    <w:rsid w:val="007B136B"/>
    <w:rsid w:val="007B1BA0"/>
    <w:rsid w:val="007B40C1"/>
    <w:rsid w:val="007B4C72"/>
    <w:rsid w:val="007C02EB"/>
    <w:rsid w:val="007C0912"/>
    <w:rsid w:val="007C1000"/>
    <w:rsid w:val="007C2AF7"/>
    <w:rsid w:val="007C4AFF"/>
    <w:rsid w:val="007C5B94"/>
    <w:rsid w:val="007C60C0"/>
    <w:rsid w:val="007D094C"/>
    <w:rsid w:val="007D0BB0"/>
    <w:rsid w:val="007D14AD"/>
    <w:rsid w:val="007D227C"/>
    <w:rsid w:val="007D2862"/>
    <w:rsid w:val="007D4A85"/>
    <w:rsid w:val="007D51CD"/>
    <w:rsid w:val="007D63D1"/>
    <w:rsid w:val="007D642D"/>
    <w:rsid w:val="007D6BD8"/>
    <w:rsid w:val="007E0BCE"/>
    <w:rsid w:val="007E2056"/>
    <w:rsid w:val="007E2ACF"/>
    <w:rsid w:val="007E2BD0"/>
    <w:rsid w:val="007E312F"/>
    <w:rsid w:val="007E41A6"/>
    <w:rsid w:val="007E48EA"/>
    <w:rsid w:val="007E7C8E"/>
    <w:rsid w:val="007F07C8"/>
    <w:rsid w:val="007F0AD2"/>
    <w:rsid w:val="007F31E7"/>
    <w:rsid w:val="007F3AD9"/>
    <w:rsid w:val="007F4024"/>
    <w:rsid w:val="007F4224"/>
    <w:rsid w:val="007F5628"/>
    <w:rsid w:val="007F56F7"/>
    <w:rsid w:val="00800250"/>
    <w:rsid w:val="00800302"/>
    <w:rsid w:val="0080114D"/>
    <w:rsid w:val="0080148B"/>
    <w:rsid w:val="00802773"/>
    <w:rsid w:val="00802C21"/>
    <w:rsid w:val="00803163"/>
    <w:rsid w:val="0080361F"/>
    <w:rsid w:val="00803788"/>
    <w:rsid w:val="0080398D"/>
    <w:rsid w:val="008040FE"/>
    <w:rsid w:val="00804EAC"/>
    <w:rsid w:val="00805DF5"/>
    <w:rsid w:val="008064B3"/>
    <w:rsid w:val="00807052"/>
    <w:rsid w:val="00810A96"/>
    <w:rsid w:val="0081178B"/>
    <w:rsid w:val="00812BC9"/>
    <w:rsid w:val="00813B0D"/>
    <w:rsid w:val="00814CBA"/>
    <w:rsid w:val="0081563F"/>
    <w:rsid w:val="00815A5B"/>
    <w:rsid w:val="00816C67"/>
    <w:rsid w:val="00820849"/>
    <w:rsid w:val="0082163A"/>
    <w:rsid w:val="0082249A"/>
    <w:rsid w:val="008231EC"/>
    <w:rsid w:val="008261FE"/>
    <w:rsid w:val="00826439"/>
    <w:rsid w:val="00826523"/>
    <w:rsid w:val="008275AB"/>
    <w:rsid w:val="00827D2C"/>
    <w:rsid w:val="0083182C"/>
    <w:rsid w:val="00832187"/>
    <w:rsid w:val="0083255C"/>
    <w:rsid w:val="00832E99"/>
    <w:rsid w:val="00832FAC"/>
    <w:rsid w:val="008336B4"/>
    <w:rsid w:val="00833933"/>
    <w:rsid w:val="00833BBF"/>
    <w:rsid w:val="00833DA2"/>
    <w:rsid w:val="00835732"/>
    <w:rsid w:val="00835E4C"/>
    <w:rsid w:val="008406DF"/>
    <w:rsid w:val="00840E76"/>
    <w:rsid w:val="00841C57"/>
    <w:rsid w:val="008475E0"/>
    <w:rsid w:val="00850E9B"/>
    <w:rsid w:val="0085136A"/>
    <w:rsid w:val="00851663"/>
    <w:rsid w:val="00852406"/>
    <w:rsid w:val="008532DE"/>
    <w:rsid w:val="00853E2A"/>
    <w:rsid w:val="00854BE8"/>
    <w:rsid w:val="0085502F"/>
    <w:rsid w:val="00855316"/>
    <w:rsid w:val="008566E9"/>
    <w:rsid w:val="00856A46"/>
    <w:rsid w:val="008570BE"/>
    <w:rsid w:val="008577C7"/>
    <w:rsid w:val="00860618"/>
    <w:rsid w:val="00861305"/>
    <w:rsid w:val="0086194F"/>
    <w:rsid w:val="00861BA1"/>
    <w:rsid w:val="00865EEA"/>
    <w:rsid w:val="0086619D"/>
    <w:rsid w:val="00866569"/>
    <w:rsid w:val="00866A71"/>
    <w:rsid w:val="00867A04"/>
    <w:rsid w:val="00871967"/>
    <w:rsid w:val="00871C8E"/>
    <w:rsid w:val="00871FCD"/>
    <w:rsid w:val="00872E14"/>
    <w:rsid w:val="008745FF"/>
    <w:rsid w:val="00875EF0"/>
    <w:rsid w:val="00877A1B"/>
    <w:rsid w:val="00877D05"/>
    <w:rsid w:val="00880060"/>
    <w:rsid w:val="008802D8"/>
    <w:rsid w:val="00880E00"/>
    <w:rsid w:val="00881197"/>
    <w:rsid w:val="00881205"/>
    <w:rsid w:val="00881543"/>
    <w:rsid w:val="00881F33"/>
    <w:rsid w:val="0088255F"/>
    <w:rsid w:val="00882FF5"/>
    <w:rsid w:val="00883A2D"/>
    <w:rsid w:val="00885209"/>
    <w:rsid w:val="008861BF"/>
    <w:rsid w:val="00887CFD"/>
    <w:rsid w:val="0089036A"/>
    <w:rsid w:val="00891A0D"/>
    <w:rsid w:val="008938D3"/>
    <w:rsid w:val="008942C0"/>
    <w:rsid w:val="008946EE"/>
    <w:rsid w:val="0089518D"/>
    <w:rsid w:val="00895277"/>
    <w:rsid w:val="00895793"/>
    <w:rsid w:val="0089596B"/>
    <w:rsid w:val="008A05C1"/>
    <w:rsid w:val="008A0889"/>
    <w:rsid w:val="008A1619"/>
    <w:rsid w:val="008A17E1"/>
    <w:rsid w:val="008A18B0"/>
    <w:rsid w:val="008A1C81"/>
    <w:rsid w:val="008A24A1"/>
    <w:rsid w:val="008A28AF"/>
    <w:rsid w:val="008A32A4"/>
    <w:rsid w:val="008A35DD"/>
    <w:rsid w:val="008A3D0A"/>
    <w:rsid w:val="008A4B54"/>
    <w:rsid w:val="008A51E7"/>
    <w:rsid w:val="008A54E9"/>
    <w:rsid w:val="008A5D32"/>
    <w:rsid w:val="008A60DB"/>
    <w:rsid w:val="008A6658"/>
    <w:rsid w:val="008A6F13"/>
    <w:rsid w:val="008B00FB"/>
    <w:rsid w:val="008B0327"/>
    <w:rsid w:val="008B0C12"/>
    <w:rsid w:val="008B118D"/>
    <w:rsid w:val="008B39BF"/>
    <w:rsid w:val="008B4E5A"/>
    <w:rsid w:val="008B5DCA"/>
    <w:rsid w:val="008B66AD"/>
    <w:rsid w:val="008B7629"/>
    <w:rsid w:val="008B78CE"/>
    <w:rsid w:val="008C0626"/>
    <w:rsid w:val="008C0917"/>
    <w:rsid w:val="008C1ADE"/>
    <w:rsid w:val="008C25C9"/>
    <w:rsid w:val="008C2A0A"/>
    <w:rsid w:val="008C30C3"/>
    <w:rsid w:val="008C531D"/>
    <w:rsid w:val="008C53A9"/>
    <w:rsid w:val="008C5A24"/>
    <w:rsid w:val="008C5C0C"/>
    <w:rsid w:val="008C5D69"/>
    <w:rsid w:val="008D05E4"/>
    <w:rsid w:val="008D19AA"/>
    <w:rsid w:val="008D2312"/>
    <w:rsid w:val="008D2DCF"/>
    <w:rsid w:val="008D36C4"/>
    <w:rsid w:val="008D4C1F"/>
    <w:rsid w:val="008D4C2A"/>
    <w:rsid w:val="008D4E8C"/>
    <w:rsid w:val="008D55C7"/>
    <w:rsid w:val="008D5FB2"/>
    <w:rsid w:val="008D6C7A"/>
    <w:rsid w:val="008E0164"/>
    <w:rsid w:val="008E0C6C"/>
    <w:rsid w:val="008E2333"/>
    <w:rsid w:val="008E45B3"/>
    <w:rsid w:val="008E4C40"/>
    <w:rsid w:val="008E669A"/>
    <w:rsid w:val="008E6BA8"/>
    <w:rsid w:val="008E7368"/>
    <w:rsid w:val="008E7C80"/>
    <w:rsid w:val="008E7F16"/>
    <w:rsid w:val="008F1B3D"/>
    <w:rsid w:val="008F252A"/>
    <w:rsid w:val="008F57A7"/>
    <w:rsid w:val="008F59C1"/>
    <w:rsid w:val="008F614A"/>
    <w:rsid w:val="008F67A8"/>
    <w:rsid w:val="008F7E93"/>
    <w:rsid w:val="00901565"/>
    <w:rsid w:val="00901687"/>
    <w:rsid w:val="00901C85"/>
    <w:rsid w:val="00903833"/>
    <w:rsid w:val="0090458F"/>
    <w:rsid w:val="00907B9E"/>
    <w:rsid w:val="0091047F"/>
    <w:rsid w:val="00910D84"/>
    <w:rsid w:val="00911931"/>
    <w:rsid w:val="009135E2"/>
    <w:rsid w:val="009137FE"/>
    <w:rsid w:val="00913A44"/>
    <w:rsid w:val="00915CF8"/>
    <w:rsid w:val="00916F8B"/>
    <w:rsid w:val="009203D9"/>
    <w:rsid w:val="009205A9"/>
    <w:rsid w:val="00920BF0"/>
    <w:rsid w:val="00920C7B"/>
    <w:rsid w:val="00920EF4"/>
    <w:rsid w:val="00921F7C"/>
    <w:rsid w:val="00922346"/>
    <w:rsid w:val="00923403"/>
    <w:rsid w:val="00924340"/>
    <w:rsid w:val="00924DBB"/>
    <w:rsid w:val="009262B2"/>
    <w:rsid w:val="00927495"/>
    <w:rsid w:val="00927D81"/>
    <w:rsid w:val="00930234"/>
    <w:rsid w:val="00931643"/>
    <w:rsid w:val="00931D7A"/>
    <w:rsid w:val="00932DA2"/>
    <w:rsid w:val="00933A0D"/>
    <w:rsid w:val="00933B07"/>
    <w:rsid w:val="00933B36"/>
    <w:rsid w:val="00934607"/>
    <w:rsid w:val="00934BDE"/>
    <w:rsid w:val="00935CDF"/>
    <w:rsid w:val="00936152"/>
    <w:rsid w:val="0093706E"/>
    <w:rsid w:val="009375AC"/>
    <w:rsid w:val="00937CBD"/>
    <w:rsid w:val="00942091"/>
    <w:rsid w:val="009421AF"/>
    <w:rsid w:val="00942315"/>
    <w:rsid w:val="00942521"/>
    <w:rsid w:val="0094468A"/>
    <w:rsid w:val="00944CD6"/>
    <w:rsid w:val="009468FD"/>
    <w:rsid w:val="00947982"/>
    <w:rsid w:val="00947A36"/>
    <w:rsid w:val="00950176"/>
    <w:rsid w:val="009502E2"/>
    <w:rsid w:val="00951575"/>
    <w:rsid w:val="00951DDF"/>
    <w:rsid w:val="00952F77"/>
    <w:rsid w:val="00953F4C"/>
    <w:rsid w:val="0095692A"/>
    <w:rsid w:val="00956DC6"/>
    <w:rsid w:val="0095701C"/>
    <w:rsid w:val="009575D2"/>
    <w:rsid w:val="00957A21"/>
    <w:rsid w:val="00960FFD"/>
    <w:rsid w:val="009620EF"/>
    <w:rsid w:val="00962432"/>
    <w:rsid w:val="009629DF"/>
    <w:rsid w:val="009637C7"/>
    <w:rsid w:val="00963888"/>
    <w:rsid w:val="009638AE"/>
    <w:rsid w:val="00964E36"/>
    <w:rsid w:val="009655EB"/>
    <w:rsid w:val="009665D8"/>
    <w:rsid w:val="00967C60"/>
    <w:rsid w:val="009716F3"/>
    <w:rsid w:val="00971A2B"/>
    <w:rsid w:val="00972E40"/>
    <w:rsid w:val="009735A1"/>
    <w:rsid w:val="0097373D"/>
    <w:rsid w:val="009739C8"/>
    <w:rsid w:val="009746AB"/>
    <w:rsid w:val="00974882"/>
    <w:rsid w:val="00975E38"/>
    <w:rsid w:val="00976737"/>
    <w:rsid w:val="0097684A"/>
    <w:rsid w:val="00980788"/>
    <w:rsid w:val="0098092F"/>
    <w:rsid w:val="00981250"/>
    <w:rsid w:val="00984431"/>
    <w:rsid w:val="009865AD"/>
    <w:rsid w:val="0098674E"/>
    <w:rsid w:val="00990660"/>
    <w:rsid w:val="00992161"/>
    <w:rsid w:val="009922A0"/>
    <w:rsid w:val="009939D9"/>
    <w:rsid w:val="00993C55"/>
    <w:rsid w:val="0099413F"/>
    <w:rsid w:val="009955C4"/>
    <w:rsid w:val="00995B7F"/>
    <w:rsid w:val="0099648C"/>
    <w:rsid w:val="009970C8"/>
    <w:rsid w:val="00997EF5"/>
    <w:rsid w:val="009A0B3C"/>
    <w:rsid w:val="009A145E"/>
    <w:rsid w:val="009A1748"/>
    <w:rsid w:val="009A1768"/>
    <w:rsid w:val="009A18C2"/>
    <w:rsid w:val="009A22FB"/>
    <w:rsid w:val="009A268F"/>
    <w:rsid w:val="009A42BE"/>
    <w:rsid w:val="009A5676"/>
    <w:rsid w:val="009A5850"/>
    <w:rsid w:val="009A5BB2"/>
    <w:rsid w:val="009A615F"/>
    <w:rsid w:val="009A7056"/>
    <w:rsid w:val="009A799D"/>
    <w:rsid w:val="009A7B7C"/>
    <w:rsid w:val="009B1303"/>
    <w:rsid w:val="009B1D11"/>
    <w:rsid w:val="009B2322"/>
    <w:rsid w:val="009B284E"/>
    <w:rsid w:val="009B4E87"/>
    <w:rsid w:val="009B5162"/>
    <w:rsid w:val="009B60C0"/>
    <w:rsid w:val="009B62F6"/>
    <w:rsid w:val="009B6672"/>
    <w:rsid w:val="009B7BD6"/>
    <w:rsid w:val="009C1590"/>
    <w:rsid w:val="009C1F18"/>
    <w:rsid w:val="009C21EA"/>
    <w:rsid w:val="009C33A3"/>
    <w:rsid w:val="009C4AC4"/>
    <w:rsid w:val="009C4DEA"/>
    <w:rsid w:val="009C5EFA"/>
    <w:rsid w:val="009D0B77"/>
    <w:rsid w:val="009D0BBF"/>
    <w:rsid w:val="009D3DC3"/>
    <w:rsid w:val="009D41D2"/>
    <w:rsid w:val="009E0E09"/>
    <w:rsid w:val="009E13C2"/>
    <w:rsid w:val="009E2973"/>
    <w:rsid w:val="009E2BC4"/>
    <w:rsid w:val="009E30E5"/>
    <w:rsid w:val="009E37AF"/>
    <w:rsid w:val="009E3E71"/>
    <w:rsid w:val="009E59CA"/>
    <w:rsid w:val="009E7A91"/>
    <w:rsid w:val="009E7F56"/>
    <w:rsid w:val="009F08D5"/>
    <w:rsid w:val="009F10A8"/>
    <w:rsid w:val="009F19E8"/>
    <w:rsid w:val="009F1A26"/>
    <w:rsid w:val="009F2B1B"/>
    <w:rsid w:val="009F38E5"/>
    <w:rsid w:val="009F4030"/>
    <w:rsid w:val="009F4586"/>
    <w:rsid w:val="009F47EB"/>
    <w:rsid w:val="009F5905"/>
    <w:rsid w:val="009F6824"/>
    <w:rsid w:val="009F6C4E"/>
    <w:rsid w:val="00A0013C"/>
    <w:rsid w:val="00A001BD"/>
    <w:rsid w:val="00A00407"/>
    <w:rsid w:val="00A0179C"/>
    <w:rsid w:val="00A029D3"/>
    <w:rsid w:val="00A0315A"/>
    <w:rsid w:val="00A033D2"/>
    <w:rsid w:val="00A034C7"/>
    <w:rsid w:val="00A0379E"/>
    <w:rsid w:val="00A03B2E"/>
    <w:rsid w:val="00A03EA2"/>
    <w:rsid w:val="00A03ECD"/>
    <w:rsid w:val="00A0427D"/>
    <w:rsid w:val="00A04371"/>
    <w:rsid w:val="00A0443F"/>
    <w:rsid w:val="00A04612"/>
    <w:rsid w:val="00A052EF"/>
    <w:rsid w:val="00A05935"/>
    <w:rsid w:val="00A06416"/>
    <w:rsid w:val="00A06FC3"/>
    <w:rsid w:val="00A076DF"/>
    <w:rsid w:val="00A07851"/>
    <w:rsid w:val="00A07DF2"/>
    <w:rsid w:val="00A1047B"/>
    <w:rsid w:val="00A1067E"/>
    <w:rsid w:val="00A12094"/>
    <w:rsid w:val="00A12762"/>
    <w:rsid w:val="00A13840"/>
    <w:rsid w:val="00A14000"/>
    <w:rsid w:val="00A14299"/>
    <w:rsid w:val="00A14BBB"/>
    <w:rsid w:val="00A14BC6"/>
    <w:rsid w:val="00A15314"/>
    <w:rsid w:val="00A15D82"/>
    <w:rsid w:val="00A174FE"/>
    <w:rsid w:val="00A20633"/>
    <w:rsid w:val="00A208DE"/>
    <w:rsid w:val="00A21391"/>
    <w:rsid w:val="00A215A9"/>
    <w:rsid w:val="00A2217C"/>
    <w:rsid w:val="00A22DDE"/>
    <w:rsid w:val="00A23AF2"/>
    <w:rsid w:val="00A24136"/>
    <w:rsid w:val="00A24F0F"/>
    <w:rsid w:val="00A2673B"/>
    <w:rsid w:val="00A26997"/>
    <w:rsid w:val="00A27EB7"/>
    <w:rsid w:val="00A324E3"/>
    <w:rsid w:val="00A32B5C"/>
    <w:rsid w:val="00A32FFB"/>
    <w:rsid w:val="00A33B04"/>
    <w:rsid w:val="00A35327"/>
    <w:rsid w:val="00A3571D"/>
    <w:rsid w:val="00A35CFF"/>
    <w:rsid w:val="00A37B41"/>
    <w:rsid w:val="00A4013D"/>
    <w:rsid w:val="00A41058"/>
    <w:rsid w:val="00A415D2"/>
    <w:rsid w:val="00A41BFF"/>
    <w:rsid w:val="00A42FC6"/>
    <w:rsid w:val="00A44919"/>
    <w:rsid w:val="00A45C2B"/>
    <w:rsid w:val="00A45DDE"/>
    <w:rsid w:val="00A45FC2"/>
    <w:rsid w:val="00A466A7"/>
    <w:rsid w:val="00A468C2"/>
    <w:rsid w:val="00A47597"/>
    <w:rsid w:val="00A47A14"/>
    <w:rsid w:val="00A50512"/>
    <w:rsid w:val="00A50F88"/>
    <w:rsid w:val="00A51851"/>
    <w:rsid w:val="00A51891"/>
    <w:rsid w:val="00A52764"/>
    <w:rsid w:val="00A5399A"/>
    <w:rsid w:val="00A54B60"/>
    <w:rsid w:val="00A56664"/>
    <w:rsid w:val="00A56912"/>
    <w:rsid w:val="00A57600"/>
    <w:rsid w:val="00A57C4F"/>
    <w:rsid w:val="00A60CB6"/>
    <w:rsid w:val="00A60E21"/>
    <w:rsid w:val="00A625CA"/>
    <w:rsid w:val="00A62941"/>
    <w:rsid w:val="00A62E13"/>
    <w:rsid w:val="00A62F8B"/>
    <w:rsid w:val="00A63194"/>
    <w:rsid w:val="00A63A25"/>
    <w:rsid w:val="00A63D16"/>
    <w:rsid w:val="00A645A8"/>
    <w:rsid w:val="00A64604"/>
    <w:rsid w:val="00A64A84"/>
    <w:rsid w:val="00A65D7F"/>
    <w:rsid w:val="00A7089F"/>
    <w:rsid w:val="00A72E1A"/>
    <w:rsid w:val="00A72FF2"/>
    <w:rsid w:val="00A73DD2"/>
    <w:rsid w:val="00A746B2"/>
    <w:rsid w:val="00A75CE3"/>
    <w:rsid w:val="00A765F2"/>
    <w:rsid w:val="00A76F32"/>
    <w:rsid w:val="00A7740E"/>
    <w:rsid w:val="00A7772A"/>
    <w:rsid w:val="00A7798C"/>
    <w:rsid w:val="00A77F5D"/>
    <w:rsid w:val="00A81027"/>
    <w:rsid w:val="00A83F50"/>
    <w:rsid w:val="00A84071"/>
    <w:rsid w:val="00A85421"/>
    <w:rsid w:val="00A85E32"/>
    <w:rsid w:val="00A86983"/>
    <w:rsid w:val="00A86AB2"/>
    <w:rsid w:val="00A86F0A"/>
    <w:rsid w:val="00A876F6"/>
    <w:rsid w:val="00A877A0"/>
    <w:rsid w:val="00A87EFD"/>
    <w:rsid w:val="00A9057C"/>
    <w:rsid w:val="00A9073D"/>
    <w:rsid w:val="00A90E58"/>
    <w:rsid w:val="00A91ED3"/>
    <w:rsid w:val="00A93662"/>
    <w:rsid w:val="00A937AD"/>
    <w:rsid w:val="00A93AC9"/>
    <w:rsid w:val="00A941C6"/>
    <w:rsid w:val="00A94B92"/>
    <w:rsid w:val="00A9611E"/>
    <w:rsid w:val="00A96523"/>
    <w:rsid w:val="00A96BBC"/>
    <w:rsid w:val="00AA0A06"/>
    <w:rsid w:val="00AA2903"/>
    <w:rsid w:val="00AA2925"/>
    <w:rsid w:val="00AA3889"/>
    <w:rsid w:val="00AA4439"/>
    <w:rsid w:val="00AA4A93"/>
    <w:rsid w:val="00AA4CDC"/>
    <w:rsid w:val="00AA5B46"/>
    <w:rsid w:val="00AA5BD8"/>
    <w:rsid w:val="00AA5D56"/>
    <w:rsid w:val="00AA6060"/>
    <w:rsid w:val="00AA651C"/>
    <w:rsid w:val="00AA70E3"/>
    <w:rsid w:val="00AA74F0"/>
    <w:rsid w:val="00AA7D58"/>
    <w:rsid w:val="00AB0659"/>
    <w:rsid w:val="00AB0FBE"/>
    <w:rsid w:val="00AB1853"/>
    <w:rsid w:val="00AB1E34"/>
    <w:rsid w:val="00AB20A5"/>
    <w:rsid w:val="00AB20B7"/>
    <w:rsid w:val="00AB362F"/>
    <w:rsid w:val="00AB3764"/>
    <w:rsid w:val="00AB3E0C"/>
    <w:rsid w:val="00AB40B6"/>
    <w:rsid w:val="00AB4F8A"/>
    <w:rsid w:val="00AB5560"/>
    <w:rsid w:val="00AB5718"/>
    <w:rsid w:val="00AB60D7"/>
    <w:rsid w:val="00AC049E"/>
    <w:rsid w:val="00AC085A"/>
    <w:rsid w:val="00AC1EAC"/>
    <w:rsid w:val="00AC1F52"/>
    <w:rsid w:val="00AC2611"/>
    <w:rsid w:val="00AC3A2A"/>
    <w:rsid w:val="00AC4D7F"/>
    <w:rsid w:val="00AC5F6E"/>
    <w:rsid w:val="00AC6993"/>
    <w:rsid w:val="00AD1D81"/>
    <w:rsid w:val="00AD2182"/>
    <w:rsid w:val="00AD2722"/>
    <w:rsid w:val="00AD28FC"/>
    <w:rsid w:val="00AD29F1"/>
    <w:rsid w:val="00AD2D38"/>
    <w:rsid w:val="00AD44EA"/>
    <w:rsid w:val="00AD4D96"/>
    <w:rsid w:val="00AD56AD"/>
    <w:rsid w:val="00AD5AD4"/>
    <w:rsid w:val="00AD60E4"/>
    <w:rsid w:val="00AD7894"/>
    <w:rsid w:val="00AE1129"/>
    <w:rsid w:val="00AE1D04"/>
    <w:rsid w:val="00AE24AB"/>
    <w:rsid w:val="00AE29E9"/>
    <w:rsid w:val="00AE31DA"/>
    <w:rsid w:val="00AE353E"/>
    <w:rsid w:val="00AE38E6"/>
    <w:rsid w:val="00AE4893"/>
    <w:rsid w:val="00AE4CC4"/>
    <w:rsid w:val="00AE4D3F"/>
    <w:rsid w:val="00AE524C"/>
    <w:rsid w:val="00AE5E41"/>
    <w:rsid w:val="00AE749B"/>
    <w:rsid w:val="00AF0C5D"/>
    <w:rsid w:val="00AF0EC2"/>
    <w:rsid w:val="00AF2AD5"/>
    <w:rsid w:val="00AF3D63"/>
    <w:rsid w:val="00AF4755"/>
    <w:rsid w:val="00AF5211"/>
    <w:rsid w:val="00AF527D"/>
    <w:rsid w:val="00AF6941"/>
    <w:rsid w:val="00AF6CF8"/>
    <w:rsid w:val="00B00236"/>
    <w:rsid w:val="00B0083C"/>
    <w:rsid w:val="00B00981"/>
    <w:rsid w:val="00B012AB"/>
    <w:rsid w:val="00B01AD0"/>
    <w:rsid w:val="00B01FB8"/>
    <w:rsid w:val="00B0203B"/>
    <w:rsid w:val="00B02E6F"/>
    <w:rsid w:val="00B032CB"/>
    <w:rsid w:val="00B038DF"/>
    <w:rsid w:val="00B03989"/>
    <w:rsid w:val="00B03C03"/>
    <w:rsid w:val="00B03C1E"/>
    <w:rsid w:val="00B055B3"/>
    <w:rsid w:val="00B055BC"/>
    <w:rsid w:val="00B057F5"/>
    <w:rsid w:val="00B06BFA"/>
    <w:rsid w:val="00B108B9"/>
    <w:rsid w:val="00B117F2"/>
    <w:rsid w:val="00B11CF7"/>
    <w:rsid w:val="00B11D28"/>
    <w:rsid w:val="00B12A8C"/>
    <w:rsid w:val="00B12BCF"/>
    <w:rsid w:val="00B150DF"/>
    <w:rsid w:val="00B16806"/>
    <w:rsid w:val="00B16FC9"/>
    <w:rsid w:val="00B170BA"/>
    <w:rsid w:val="00B171AC"/>
    <w:rsid w:val="00B17200"/>
    <w:rsid w:val="00B21B9F"/>
    <w:rsid w:val="00B21C20"/>
    <w:rsid w:val="00B227A7"/>
    <w:rsid w:val="00B22C9E"/>
    <w:rsid w:val="00B24057"/>
    <w:rsid w:val="00B241DE"/>
    <w:rsid w:val="00B24B6D"/>
    <w:rsid w:val="00B2590F"/>
    <w:rsid w:val="00B26068"/>
    <w:rsid w:val="00B27E5A"/>
    <w:rsid w:val="00B30C59"/>
    <w:rsid w:val="00B313D8"/>
    <w:rsid w:val="00B31FED"/>
    <w:rsid w:val="00B32752"/>
    <w:rsid w:val="00B3750C"/>
    <w:rsid w:val="00B37AD6"/>
    <w:rsid w:val="00B40556"/>
    <w:rsid w:val="00B40832"/>
    <w:rsid w:val="00B411FF"/>
    <w:rsid w:val="00B4156D"/>
    <w:rsid w:val="00B420F2"/>
    <w:rsid w:val="00B4649B"/>
    <w:rsid w:val="00B47C3B"/>
    <w:rsid w:val="00B501A3"/>
    <w:rsid w:val="00B515B4"/>
    <w:rsid w:val="00B5185B"/>
    <w:rsid w:val="00B520A7"/>
    <w:rsid w:val="00B52E90"/>
    <w:rsid w:val="00B5309A"/>
    <w:rsid w:val="00B53451"/>
    <w:rsid w:val="00B54C08"/>
    <w:rsid w:val="00B55CA6"/>
    <w:rsid w:val="00B568E7"/>
    <w:rsid w:val="00B601EB"/>
    <w:rsid w:val="00B60BF3"/>
    <w:rsid w:val="00B61F41"/>
    <w:rsid w:val="00B6264B"/>
    <w:rsid w:val="00B63452"/>
    <w:rsid w:val="00B64C33"/>
    <w:rsid w:val="00B64FEB"/>
    <w:rsid w:val="00B6598E"/>
    <w:rsid w:val="00B66CC6"/>
    <w:rsid w:val="00B67D2D"/>
    <w:rsid w:val="00B706ED"/>
    <w:rsid w:val="00B72149"/>
    <w:rsid w:val="00B72C9A"/>
    <w:rsid w:val="00B73BF5"/>
    <w:rsid w:val="00B75142"/>
    <w:rsid w:val="00B75C22"/>
    <w:rsid w:val="00B76C78"/>
    <w:rsid w:val="00B7745D"/>
    <w:rsid w:val="00B810EC"/>
    <w:rsid w:val="00B813B2"/>
    <w:rsid w:val="00B82ED8"/>
    <w:rsid w:val="00B84FCB"/>
    <w:rsid w:val="00B85588"/>
    <w:rsid w:val="00B85665"/>
    <w:rsid w:val="00B86BDB"/>
    <w:rsid w:val="00B87D46"/>
    <w:rsid w:val="00B87DC4"/>
    <w:rsid w:val="00B900F0"/>
    <w:rsid w:val="00B90D71"/>
    <w:rsid w:val="00B92599"/>
    <w:rsid w:val="00B92695"/>
    <w:rsid w:val="00B9370C"/>
    <w:rsid w:val="00B93A47"/>
    <w:rsid w:val="00B967B9"/>
    <w:rsid w:val="00B96ECF"/>
    <w:rsid w:val="00BA28D1"/>
    <w:rsid w:val="00BA33C5"/>
    <w:rsid w:val="00BA3B08"/>
    <w:rsid w:val="00BA4438"/>
    <w:rsid w:val="00BA52BB"/>
    <w:rsid w:val="00BA5526"/>
    <w:rsid w:val="00BA5AE1"/>
    <w:rsid w:val="00BA5DC7"/>
    <w:rsid w:val="00BA5E0A"/>
    <w:rsid w:val="00BA6A1F"/>
    <w:rsid w:val="00BB1D49"/>
    <w:rsid w:val="00BB215E"/>
    <w:rsid w:val="00BB29FB"/>
    <w:rsid w:val="00BB2A10"/>
    <w:rsid w:val="00BB2E0D"/>
    <w:rsid w:val="00BB365A"/>
    <w:rsid w:val="00BB3E03"/>
    <w:rsid w:val="00BB412E"/>
    <w:rsid w:val="00BB4418"/>
    <w:rsid w:val="00BB49D0"/>
    <w:rsid w:val="00BB6471"/>
    <w:rsid w:val="00BB747A"/>
    <w:rsid w:val="00BB796D"/>
    <w:rsid w:val="00BB7C4F"/>
    <w:rsid w:val="00BC0195"/>
    <w:rsid w:val="00BC11D7"/>
    <w:rsid w:val="00BC2317"/>
    <w:rsid w:val="00BC2990"/>
    <w:rsid w:val="00BC44B5"/>
    <w:rsid w:val="00BC61C7"/>
    <w:rsid w:val="00BC6842"/>
    <w:rsid w:val="00BC73D0"/>
    <w:rsid w:val="00BC749F"/>
    <w:rsid w:val="00BD04E1"/>
    <w:rsid w:val="00BD2367"/>
    <w:rsid w:val="00BD432C"/>
    <w:rsid w:val="00BD4E1C"/>
    <w:rsid w:val="00BD5244"/>
    <w:rsid w:val="00BD5ADE"/>
    <w:rsid w:val="00BD5E99"/>
    <w:rsid w:val="00BD6132"/>
    <w:rsid w:val="00BD6289"/>
    <w:rsid w:val="00BD6390"/>
    <w:rsid w:val="00BD67A9"/>
    <w:rsid w:val="00BD67DE"/>
    <w:rsid w:val="00BD75E9"/>
    <w:rsid w:val="00BD7983"/>
    <w:rsid w:val="00BD7F28"/>
    <w:rsid w:val="00BE01AC"/>
    <w:rsid w:val="00BE03A4"/>
    <w:rsid w:val="00BE0A46"/>
    <w:rsid w:val="00BE14FA"/>
    <w:rsid w:val="00BE1AEB"/>
    <w:rsid w:val="00BE2EA2"/>
    <w:rsid w:val="00BE3002"/>
    <w:rsid w:val="00BE3665"/>
    <w:rsid w:val="00BE4FE4"/>
    <w:rsid w:val="00BE530B"/>
    <w:rsid w:val="00BE62E8"/>
    <w:rsid w:val="00BF2375"/>
    <w:rsid w:val="00BF2381"/>
    <w:rsid w:val="00BF2860"/>
    <w:rsid w:val="00BF2922"/>
    <w:rsid w:val="00BF2D3D"/>
    <w:rsid w:val="00BF3C49"/>
    <w:rsid w:val="00BF4794"/>
    <w:rsid w:val="00BF6502"/>
    <w:rsid w:val="00BF6AC7"/>
    <w:rsid w:val="00BF6EFE"/>
    <w:rsid w:val="00BF752E"/>
    <w:rsid w:val="00C01FE6"/>
    <w:rsid w:val="00C032B2"/>
    <w:rsid w:val="00C03ADC"/>
    <w:rsid w:val="00C03F66"/>
    <w:rsid w:val="00C0445D"/>
    <w:rsid w:val="00C0457A"/>
    <w:rsid w:val="00C05600"/>
    <w:rsid w:val="00C0578E"/>
    <w:rsid w:val="00C1057D"/>
    <w:rsid w:val="00C116F9"/>
    <w:rsid w:val="00C12FD1"/>
    <w:rsid w:val="00C1341A"/>
    <w:rsid w:val="00C145FB"/>
    <w:rsid w:val="00C14D04"/>
    <w:rsid w:val="00C157FA"/>
    <w:rsid w:val="00C15DA3"/>
    <w:rsid w:val="00C171E4"/>
    <w:rsid w:val="00C17381"/>
    <w:rsid w:val="00C17832"/>
    <w:rsid w:val="00C21228"/>
    <w:rsid w:val="00C2128B"/>
    <w:rsid w:val="00C21813"/>
    <w:rsid w:val="00C23646"/>
    <w:rsid w:val="00C23BB1"/>
    <w:rsid w:val="00C24F49"/>
    <w:rsid w:val="00C25B15"/>
    <w:rsid w:val="00C25F63"/>
    <w:rsid w:val="00C2679D"/>
    <w:rsid w:val="00C2736A"/>
    <w:rsid w:val="00C304AA"/>
    <w:rsid w:val="00C31D9B"/>
    <w:rsid w:val="00C3331E"/>
    <w:rsid w:val="00C33405"/>
    <w:rsid w:val="00C358D7"/>
    <w:rsid w:val="00C3591C"/>
    <w:rsid w:val="00C35E9E"/>
    <w:rsid w:val="00C371D5"/>
    <w:rsid w:val="00C37215"/>
    <w:rsid w:val="00C377EE"/>
    <w:rsid w:val="00C42C47"/>
    <w:rsid w:val="00C42E53"/>
    <w:rsid w:val="00C436D5"/>
    <w:rsid w:val="00C43F8C"/>
    <w:rsid w:val="00C44A50"/>
    <w:rsid w:val="00C4532C"/>
    <w:rsid w:val="00C45C0C"/>
    <w:rsid w:val="00C478F6"/>
    <w:rsid w:val="00C50B95"/>
    <w:rsid w:val="00C511D1"/>
    <w:rsid w:val="00C51603"/>
    <w:rsid w:val="00C5281A"/>
    <w:rsid w:val="00C52A55"/>
    <w:rsid w:val="00C52C46"/>
    <w:rsid w:val="00C52D13"/>
    <w:rsid w:val="00C53BB8"/>
    <w:rsid w:val="00C53EB1"/>
    <w:rsid w:val="00C53ECF"/>
    <w:rsid w:val="00C542AE"/>
    <w:rsid w:val="00C5450B"/>
    <w:rsid w:val="00C5493E"/>
    <w:rsid w:val="00C55D4B"/>
    <w:rsid w:val="00C5746B"/>
    <w:rsid w:val="00C5758F"/>
    <w:rsid w:val="00C57E1C"/>
    <w:rsid w:val="00C57ED7"/>
    <w:rsid w:val="00C57F3C"/>
    <w:rsid w:val="00C622B5"/>
    <w:rsid w:val="00C629E8"/>
    <w:rsid w:val="00C63460"/>
    <w:rsid w:val="00C64607"/>
    <w:rsid w:val="00C649EC"/>
    <w:rsid w:val="00C64C7F"/>
    <w:rsid w:val="00C658DA"/>
    <w:rsid w:val="00C7031A"/>
    <w:rsid w:val="00C705C6"/>
    <w:rsid w:val="00C706BE"/>
    <w:rsid w:val="00C720D1"/>
    <w:rsid w:val="00C72F10"/>
    <w:rsid w:val="00C73BE8"/>
    <w:rsid w:val="00C73C35"/>
    <w:rsid w:val="00C73F0F"/>
    <w:rsid w:val="00C7602F"/>
    <w:rsid w:val="00C76350"/>
    <w:rsid w:val="00C76976"/>
    <w:rsid w:val="00C76AD7"/>
    <w:rsid w:val="00C77652"/>
    <w:rsid w:val="00C77CE3"/>
    <w:rsid w:val="00C80B97"/>
    <w:rsid w:val="00C813A2"/>
    <w:rsid w:val="00C815C0"/>
    <w:rsid w:val="00C81606"/>
    <w:rsid w:val="00C81A82"/>
    <w:rsid w:val="00C825A3"/>
    <w:rsid w:val="00C8541A"/>
    <w:rsid w:val="00C857B3"/>
    <w:rsid w:val="00C8691B"/>
    <w:rsid w:val="00C871F9"/>
    <w:rsid w:val="00C9182E"/>
    <w:rsid w:val="00C9428B"/>
    <w:rsid w:val="00C943BE"/>
    <w:rsid w:val="00C95107"/>
    <w:rsid w:val="00C959AC"/>
    <w:rsid w:val="00C959CA"/>
    <w:rsid w:val="00C9646A"/>
    <w:rsid w:val="00C97825"/>
    <w:rsid w:val="00CA13A7"/>
    <w:rsid w:val="00CA32C5"/>
    <w:rsid w:val="00CA38DE"/>
    <w:rsid w:val="00CA3BFF"/>
    <w:rsid w:val="00CA4797"/>
    <w:rsid w:val="00CA4B6B"/>
    <w:rsid w:val="00CA61D7"/>
    <w:rsid w:val="00CA6D34"/>
    <w:rsid w:val="00CA7C3F"/>
    <w:rsid w:val="00CA7CC6"/>
    <w:rsid w:val="00CB117C"/>
    <w:rsid w:val="00CB1559"/>
    <w:rsid w:val="00CB471E"/>
    <w:rsid w:val="00CB5AA5"/>
    <w:rsid w:val="00CB67B5"/>
    <w:rsid w:val="00CB7032"/>
    <w:rsid w:val="00CB7F45"/>
    <w:rsid w:val="00CC062B"/>
    <w:rsid w:val="00CC076B"/>
    <w:rsid w:val="00CC1C4E"/>
    <w:rsid w:val="00CC2463"/>
    <w:rsid w:val="00CC2ABC"/>
    <w:rsid w:val="00CC4AAD"/>
    <w:rsid w:val="00CC4FBB"/>
    <w:rsid w:val="00CC5663"/>
    <w:rsid w:val="00CC648D"/>
    <w:rsid w:val="00CC6876"/>
    <w:rsid w:val="00CC6BF3"/>
    <w:rsid w:val="00CC7E29"/>
    <w:rsid w:val="00CD03C5"/>
    <w:rsid w:val="00CD291E"/>
    <w:rsid w:val="00CD30FC"/>
    <w:rsid w:val="00CD40A1"/>
    <w:rsid w:val="00CD441B"/>
    <w:rsid w:val="00CD7437"/>
    <w:rsid w:val="00CE066F"/>
    <w:rsid w:val="00CE18A3"/>
    <w:rsid w:val="00CE2EE7"/>
    <w:rsid w:val="00CE3B07"/>
    <w:rsid w:val="00CE405A"/>
    <w:rsid w:val="00CE666A"/>
    <w:rsid w:val="00CE7788"/>
    <w:rsid w:val="00CF0359"/>
    <w:rsid w:val="00CF0999"/>
    <w:rsid w:val="00CF0A90"/>
    <w:rsid w:val="00CF270B"/>
    <w:rsid w:val="00CF511B"/>
    <w:rsid w:val="00CF60A9"/>
    <w:rsid w:val="00CF662D"/>
    <w:rsid w:val="00CF66BF"/>
    <w:rsid w:val="00D00BBE"/>
    <w:rsid w:val="00D00C27"/>
    <w:rsid w:val="00D00C7E"/>
    <w:rsid w:val="00D05147"/>
    <w:rsid w:val="00D051F2"/>
    <w:rsid w:val="00D06356"/>
    <w:rsid w:val="00D100ED"/>
    <w:rsid w:val="00D10FAA"/>
    <w:rsid w:val="00D112E4"/>
    <w:rsid w:val="00D1133A"/>
    <w:rsid w:val="00D14EE3"/>
    <w:rsid w:val="00D15D2E"/>
    <w:rsid w:val="00D17C18"/>
    <w:rsid w:val="00D218E3"/>
    <w:rsid w:val="00D22908"/>
    <w:rsid w:val="00D24058"/>
    <w:rsid w:val="00D243D3"/>
    <w:rsid w:val="00D2496D"/>
    <w:rsid w:val="00D277B5"/>
    <w:rsid w:val="00D279CC"/>
    <w:rsid w:val="00D27B99"/>
    <w:rsid w:val="00D302F1"/>
    <w:rsid w:val="00D314B1"/>
    <w:rsid w:val="00D31C8F"/>
    <w:rsid w:val="00D322B3"/>
    <w:rsid w:val="00D32DBD"/>
    <w:rsid w:val="00D32F4B"/>
    <w:rsid w:val="00D33872"/>
    <w:rsid w:val="00D33BBD"/>
    <w:rsid w:val="00D34ADB"/>
    <w:rsid w:val="00D35115"/>
    <w:rsid w:val="00D356A1"/>
    <w:rsid w:val="00D35DC3"/>
    <w:rsid w:val="00D37773"/>
    <w:rsid w:val="00D37C53"/>
    <w:rsid w:val="00D407C2"/>
    <w:rsid w:val="00D4094E"/>
    <w:rsid w:val="00D409F0"/>
    <w:rsid w:val="00D40E17"/>
    <w:rsid w:val="00D41C28"/>
    <w:rsid w:val="00D431C8"/>
    <w:rsid w:val="00D43428"/>
    <w:rsid w:val="00D43848"/>
    <w:rsid w:val="00D447A7"/>
    <w:rsid w:val="00D447F8"/>
    <w:rsid w:val="00D449BA"/>
    <w:rsid w:val="00D44E3B"/>
    <w:rsid w:val="00D45274"/>
    <w:rsid w:val="00D45E0E"/>
    <w:rsid w:val="00D47187"/>
    <w:rsid w:val="00D476D7"/>
    <w:rsid w:val="00D50C64"/>
    <w:rsid w:val="00D516CF"/>
    <w:rsid w:val="00D5218E"/>
    <w:rsid w:val="00D54A1B"/>
    <w:rsid w:val="00D54AA3"/>
    <w:rsid w:val="00D555B9"/>
    <w:rsid w:val="00D55911"/>
    <w:rsid w:val="00D55E04"/>
    <w:rsid w:val="00D56A7A"/>
    <w:rsid w:val="00D60C9A"/>
    <w:rsid w:val="00D60D9A"/>
    <w:rsid w:val="00D620E3"/>
    <w:rsid w:val="00D65B91"/>
    <w:rsid w:val="00D666DC"/>
    <w:rsid w:val="00D67BF5"/>
    <w:rsid w:val="00D67C0A"/>
    <w:rsid w:val="00D7056B"/>
    <w:rsid w:val="00D72688"/>
    <w:rsid w:val="00D72848"/>
    <w:rsid w:val="00D728A1"/>
    <w:rsid w:val="00D759FF"/>
    <w:rsid w:val="00D75B44"/>
    <w:rsid w:val="00D805B3"/>
    <w:rsid w:val="00D81936"/>
    <w:rsid w:val="00D82474"/>
    <w:rsid w:val="00D82B14"/>
    <w:rsid w:val="00D830A9"/>
    <w:rsid w:val="00D830B5"/>
    <w:rsid w:val="00D85801"/>
    <w:rsid w:val="00D858B2"/>
    <w:rsid w:val="00D85EC2"/>
    <w:rsid w:val="00D86EDB"/>
    <w:rsid w:val="00D91156"/>
    <w:rsid w:val="00D93D14"/>
    <w:rsid w:val="00D93E30"/>
    <w:rsid w:val="00D94463"/>
    <w:rsid w:val="00D945A0"/>
    <w:rsid w:val="00D965AE"/>
    <w:rsid w:val="00D96C40"/>
    <w:rsid w:val="00DA16D6"/>
    <w:rsid w:val="00DA2F30"/>
    <w:rsid w:val="00DA3454"/>
    <w:rsid w:val="00DA365F"/>
    <w:rsid w:val="00DA3C9A"/>
    <w:rsid w:val="00DA3F6B"/>
    <w:rsid w:val="00DA4EC2"/>
    <w:rsid w:val="00DA53C2"/>
    <w:rsid w:val="00DA5471"/>
    <w:rsid w:val="00DA5B38"/>
    <w:rsid w:val="00DA65E7"/>
    <w:rsid w:val="00DB15A2"/>
    <w:rsid w:val="00DB3CC5"/>
    <w:rsid w:val="00DB48B5"/>
    <w:rsid w:val="00DB57A1"/>
    <w:rsid w:val="00DB5BEA"/>
    <w:rsid w:val="00DB5C4C"/>
    <w:rsid w:val="00DB7D63"/>
    <w:rsid w:val="00DC2829"/>
    <w:rsid w:val="00DC28DD"/>
    <w:rsid w:val="00DC3268"/>
    <w:rsid w:val="00DC38F0"/>
    <w:rsid w:val="00DC3D9D"/>
    <w:rsid w:val="00DC409E"/>
    <w:rsid w:val="00DC4577"/>
    <w:rsid w:val="00DC4C46"/>
    <w:rsid w:val="00DC5926"/>
    <w:rsid w:val="00DC7EA4"/>
    <w:rsid w:val="00DD0982"/>
    <w:rsid w:val="00DD236D"/>
    <w:rsid w:val="00DD3067"/>
    <w:rsid w:val="00DD4163"/>
    <w:rsid w:val="00DD4695"/>
    <w:rsid w:val="00DD636C"/>
    <w:rsid w:val="00DD6681"/>
    <w:rsid w:val="00DD66FB"/>
    <w:rsid w:val="00DD6757"/>
    <w:rsid w:val="00DD6B05"/>
    <w:rsid w:val="00DD6D88"/>
    <w:rsid w:val="00DD6E1F"/>
    <w:rsid w:val="00DD6EBA"/>
    <w:rsid w:val="00DE00A7"/>
    <w:rsid w:val="00DE232B"/>
    <w:rsid w:val="00DE2914"/>
    <w:rsid w:val="00DE337B"/>
    <w:rsid w:val="00DE38F8"/>
    <w:rsid w:val="00DE41FE"/>
    <w:rsid w:val="00DE4612"/>
    <w:rsid w:val="00DE4967"/>
    <w:rsid w:val="00DE588F"/>
    <w:rsid w:val="00DE76DE"/>
    <w:rsid w:val="00DE7B99"/>
    <w:rsid w:val="00DF08B8"/>
    <w:rsid w:val="00DF0DCC"/>
    <w:rsid w:val="00DF1597"/>
    <w:rsid w:val="00DF2483"/>
    <w:rsid w:val="00DF285E"/>
    <w:rsid w:val="00DF2ADF"/>
    <w:rsid w:val="00DF41F3"/>
    <w:rsid w:val="00DF4B35"/>
    <w:rsid w:val="00DF57BF"/>
    <w:rsid w:val="00DF59CB"/>
    <w:rsid w:val="00DF6349"/>
    <w:rsid w:val="00DF68BA"/>
    <w:rsid w:val="00E01C4D"/>
    <w:rsid w:val="00E02D9C"/>
    <w:rsid w:val="00E02F56"/>
    <w:rsid w:val="00E04F47"/>
    <w:rsid w:val="00E061EB"/>
    <w:rsid w:val="00E0636A"/>
    <w:rsid w:val="00E12A21"/>
    <w:rsid w:val="00E137A6"/>
    <w:rsid w:val="00E139B5"/>
    <w:rsid w:val="00E14664"/>
    <w:rsid w:val="00E15268"/>
    <w:rsid w:val="00E16CB7"/>
    <w:rsid w:val="00E170FB"/>
    <w:rsid w:val="00E21C6B"/>
    <w:rsid w:val="00E22344"/>
    <w:rsid w:val="00E23E86"/>
    <w:rsid w:val="00E24F4E"/>
    <w:rsid w:val="00E25445"/>
    <w:rsid w:val="00E25A4B"/>
    <w:rsid w:val="00E25EF9"/>
    <w:rsid w:val="00E26D9F"/>
    <w:rsid w:val="00E30C31"/>
    <w:rsid w:val="00E30C87"/>
    <w:rsid w:val="00E31711"/>
    <w:rsid w:val="00E31B81"/>
    <w:rsid w:val="00E31FE6"/>
    <w:rsid w:val="00E325CB"/>
    <w:rsid w:val="00E3282F"/>
    <w:rsid w:val="00E3311D"/>
    <w:rsid w:val="00E33158"/>
    <w:rsid w:val="00E349E8"/>
    <w:rsid w:val="00E34B32"/>
    <w:rsid w:val="00E34C27"/>
    <w:rsid w:val="00E35EC0"/>
    <w:rsid w:val="00E362EF"/>
    <w:rsid w:val="00E36F63"/>
    <w:rsid w:val="00E37755"/>
    <w:rsid w:val="00E41602"/>
    <w:rsid w:val="00E416C0"/>
    <w:rsid w:val="00E418DC"/>
    <w:rsid w:val="00E4296A"/>
    <w:rsid w:val="00E42AA6"/>
    <w:rsid w:val="00E4374F"/>
    <w:rsid w:val="00E4466C"/>
    <w:rsid w:val="00E44A67"/>
    <w:rsid w:val="00E46F88"/>
    <w:rsid w:val="00E47A53"/>
    <w:rsid w:val="00E47B4E"/>
    <w:rsid w:val="00E47B85"/>
    <w:rsid w:val="00E50CCA"/>
    <w:rsid w:val="00E51546"/>
    <w:rsid w:val="00E53067"/>
    <w:rsid w:val="00E532A9"/>
    <w:rsid w:val="00E53B52"/>
    <w:rsid w:val="00E544D1"/>
    <w:rsid w:val="00E5498E"/>
    <w:rsid w:val="00E560BF"/>
    <w:rsid w:val="00E5651E"/>
    <w:rsid w:val="00E57571"/>
    <w:rsid w:val="00E57CBC"/>
    <w:rsid w:val="00E609F9"/>
    <w:rsid w:val="00E61E77"/>
    <w:rsid w:val="00E6238F"/>
    <w:rsid w:val="00E62582"/>
    <w:rsid w:val="00E62F9E"/>
    <w:rsid w:val="00E63622"/>
    <w:rsid w:val="00E65F26"/>
    <w:rsid w:val="00E66177"/>
    <w:rsid w:val="00E66543"/>
    <w:rsid w:val="00E66759"/>
    <w:rsid w:val="00E66871"/>
    <w:rsid w:val="00E67A08"/>
    <w:rsid w:val="00E707AE"/>
    <w:rsid w:val="00E70B20"/>
    <w:rsid w:val="00E70C83"/>
    <w:rsid w:val="00E72434"/>
    <w:rsid w:val="00E73F60"/>
    <w:rsid w:val="00E74BA5"/>
    <w:rsid w:val="00E769DC"/>
    <w:rsid w:val="00E7747B"/>
    <w:rsid w:val="00E80859"/>
    <w:rsid w:val="00E80938"/>
    <w:rsid w:val="00E81E2D"/>
    <w:rsid w:val="00E838B6"/>
    <w:rsid w:val="00E83AA3"/>
    <w:rsid w:val="00E8411B"/>
    <w:rsid w:val="00E8423F"/>
    <w:rsid w:val="00E8438B"/>
    <w:rsid w:val="00E849EC"/>
    <w:rsid w:val="00E84D66"/>
    <w:rsid w:val="00E851EF"/>
    <w:rsid w:val="00E869F7"/>
    <w:rsid w:val="00E87C43"/>
    <w:rsid w:val="00E93125"/>
    <w:rsid w:val="00E93CE6"/>
    <w:rsid w:val="00E9480D"/>
    <w:rsid w:val="00E96F97"/>
    <w:rsid w:val="00E976D0"/>
    <w:rsid w:val="00EA0299"/>
    <w:rsid w:val="00EA0DA1"/>
    <w:rsid w:val="00EA1EF2"/>
    <w:rsid w:val="00EA2E37"/>
    <w:rsid w:val="00EA3C04"/>
    <w:rsid w:val="00EA42E6"/>
    <w:rsid w:val="00EA4D74"/>
    <w:rsid w:val="00EA61E9"/>
    <w:rsid w:val="00EA690A"/>
    <w:rsid w:val="00EB10A4"/>
    <w:rsid w:val="00EB33D2"/>
    <w:rsid w:val="00EB3B1E"/>
    <w:rsid w:val="00EB55B8"/>
    <w:rsid w:val="00EB6A65"/>
    <w:rsid w:val="00EC07E6"/>
    <w:rsid w:val="00EC0BBD"/>
    <w:rsid w:val="00EC0EB3"/>
    <w:rsid w:val="00EC1B80"/>
    <w:rsid w:val="00EC1E9E"/>
    <w:rsid w:val="00EC249A"/>
    <w:rsid w:val="00EC2808"/>
    <w:rsid w:val="00EC2908"/>
    <w:rsid w:val="00EC4309"/>
    <w:rsid w:val="00EC4F5E"/>
    <w:rsid w:val="00EC53E9"/>
    <w:rsid w:val="00EC67E5"/>
    <w:rsid w:val="00EC6DFD"/>
    <w:rsid w:val="00EC7103"/>
    <w:rsid w:val="00EC725E"/>
    <w:rsid w:val="00EC7C3F"/>
    <w:rsid w:val="00ED07EC"/>
    <w:rsid w:val="00ED1D68"/>
    <w:rsid w:val="00ED1E9A"/>
    <w:rsid w:val="00ED2D87"/>
    <w:rsid w:val="00ED36FA"/>
    <w:rsid w:val="00ED7AE5"/>
    <w:rsid w:val="00EE0895"/>
    <w:rsid w:val="00EE0F9A"/>
    <w:rsid w:val="00EE1E7A"/>
    <w:rsid w:val="00EE223D"/>
    <w:rsid w:val="00EE24D3"/>
    <w:rsid w:val="00EE255E"/>
    <w:rsid w:val="00EE4544"/>
    <w:rsid w:val="00EE4E28"/>
    <w:rsid w:val="00EE5108"/>
    <w:rsid w:val="00EE5ABE"/>
    <w:rsid w:val="00EE60F6"/>
    <w:rsid w:val="00EE6B28"/>
    <w:rsid w:val="00EE7364"/>
    <w:rsid w:val="00EF0184"/>
    <w:rsid w:val="00EF0AE1"/>
    <w:rsid w:val="00EF17E4"/>
    <w:rsid w:val="00EF1ACF"/>
    <w:rsid w:val="00EF1C69"/>
    <w:rsid w:val="00EF1F4F"/>
    <w:rsid w:val="00EF28B7"/>
    <w:rsid w:val="00EF365F"/>
    <w:rsid w:val="00EF3899"/>
    <w:rsid w:val="00EF57AF"/>
    <w:rsid w:val="00EF6FFB"/>
    <w:rsid w:val="00F00F11"/>
    <w:rsid w:val="00F010DC"/>
    <w:rsid w:val="00F027B8"/>
    <w:rsid w:val="00F02AC8"/>
    <w:rsid w:val="00F03209"/>
    <w:rsid w:val="00F03E80"/>
    <w:rsid w:val="00F05A77"/>
    <w:rsid w:val="00F05DED"/>
    <w:rsid w:val="00F064E9"/>
    <w:rsid w:val="00F11913"/>
    <w:rsid w:val="00F12C59"/>
    <w:rsid w:val="00F12D82"/>
    <w:rsid w:val="00F13D60"/>
    <w:rsid w:val="00F15681"/>
    <w:rsid w:val="00F17F25"/>
    <w:rsid w:val="00F20180"/>
    <w:rsid w:val="00F20639"/>
    <w:rsid w:val="00F21257"/>
    <w:rsid w:val="00F22A63"/>
    <w:rsid w:val="00F23281"/>
    <w:rsid w:val="00F2718E"/>
    <w:rsid w:val="00F27ABC"/>
    <w:rsid w:val="00F27EDA"/>
    <w:rsid w:val="00F310BB"/>
    <w:rsid w:val="00F318B2"/>
    <w:rsid w:val="00F321A6"/>
    <w:rsid w:val="00F323DA"/>
    <w:rsid w:val="00F34117"/>
    <w:rsid w:val="00F347CF"/>
    <w:rsid w:val="00F35050"/>
    <w:rsid w:val="00F35B65"/>
    <w:rsid w:val="00F36D94"/>
    <w:rsid w:val="00F40F17"/>
    <w:rsid w:val="00F423C0"/>
    <w:rsid w:val="00F427CA"/>
    <w:rsid w:val="00F5071D"/>
    <w:rsid w:val="00F5088B"/>
    <w:rsid w:val="00F50E98"/>
    <w:rsid w:val="00F510A0"/>
    <w:rsid w:val="00F522A6"/>
    <w:rsid w:val="00F52A16"/>
    <w:rsid w:val="00F5322A"/>
    <w:rsid w:val="00F543AB"/>
    <w:rsid w:val="00F5467D"/>
    <w:rsid w:val="00F55F75"/>
    <w:rsid w:val="00F56BF5"/>
    <w:rsid w:val="00F572BA"/>
    <w:rsid w:val="00F604B3"/>
    <w:rsid w:val="00F60F39"/>
    <w:rsid w:val="00F61558"/>
    <w:rsid w:val="00F6192D"/>
    <w:rsid w:val="00F61E2F"/>
    <w:rsid w:val="00F620DF"/>
    <w:rsid w:val="00F6273E"/>
    <w:rsid w:val="00F62F88"/>
    <w:rsid w:val="00F64C25"/>
    <w:rsid w:val="00F64E7E"/>
    <w:rsid w:val="00F65097"/>
    <w:rsid w:val="00F658E8"/>
    <w:rsid w:val="00F66841"/>
    <w:rsid w:val="00F66C29"/>
    <w:rsid w:val="00F67538"/>
    <w:rsid w:val="00F677A4"/>
    <w:rsid w:val="00F716A2"/>
    <w:rsid w:val="00F7218E"/>
    <w:rsid w:val="00F730C8"/>
    <w:rsid w:val="00F74265"/>
    <w:rsid w:val="00F75B80"/>
    <w:rsid w:val="00F8047C"/>
    <w:rsid w:val="00F8110E"/>
    <w:rsid w:val="00F81B59"/>
    <w:rsid w:val="00F82E2D"/>
    <w:rsid w:val="00F83E8F"/>
    <w:rsid w:val="00F845E2"/>
    <w:rsid w:val="00F879D2"/>
    <w:rsid w:val="00F904BF"/>
    <w:rsid w:val="00F9136A"/>
    <w:rsid w:val="00F919D1"/>
    <w:rsid w:val="00F91D8E"/>
    <w:rsid w:val="00F92E1E"/>
    <w:rsid w:val="00F92E66"/>
    <w:rsid w:val="00F932BC"/>
    <w:rsid w:val="00F9338A"/>
    <w:rsid w:val="00F939EB"/>
    <w:rsid w:val="00F94416"/>
    <w:rsid w:val="00F94F2C"/>
    <w:rsid w:val="00F961E7"/>
    <w:rsid w:val="00F9682A"/>
    <w:rsid w:val="00F96994"/>
    <w:rsid w:val="00F96CC2"/>
    <w:rsid w:val="00F97653"/>
    <w:rsid w:val="00FA0B0E"/>
    <w:rsid w:val="00FA0C5B"/>
    <w:rsid w:val="00FA28B4"/>
    <w:rsid w:val="00FA3590"/>
    <w:rsid w:val="00FA39C1"/>
    <w:rsid w:val="00FA3A14"/>
    <w:rsid w:val="00FA45BC"/>
    <w:rsid w:val="00FA514B"/>
    <w:rsid w:val="00FA57A2"/>
    <w:rsid w:val="00FA66DA"/>
    <w:rsid w:val="00FB08F7"/>
    <w:rsid w:val="00FB1187"/>
    <w:rsid w:val="00FB1937"/>
    <w:rsid w:val="00FB21DD"/>
    <w:rsid w:val="00FB2632"/>
    <w:rsid w:val="00FB2EA3"/>
    <w:rsid w:val="00FB3047"/>
    <w:rsid w:val="00FB35E3"/>
    <w:rsid w:val="00FB3DC0"/>
    <w:rsid w:val="00FB4A6E"/>
    <w:rsid w:val="00FB54B1"/>
    <w:rsid w:val="00FB5637"/>
    <w:rsid w:val="00FB5E4E"/>
    <w:rsid w:val="00FB621E"/>
    <w:rsid w:val="00FB7817"/>
    <w:rsid w:val="00FC0EFA"/>
    <w:rsid w:val="00FC2505"/>
    <w:rsid w:val="00FC297B"/>
    <w:rsid w:val="00FC36C5"/>
    <w:rsid w:val="00FC37EA"/>
    <w:rsid w:val="00FC3C94"/>
    <w:rsid w:val="00FC4332"/>
    <w:rsid w:val="00FC4A70"/>
    <w:rsid w:val="00FC4EC6"/>
    <w:rsid w:val="00FC5EA6"/>
    <w:rsid w:val="00FC6E46"/>
    <w:rsid w:val="00FC7444"/>
    <w:rsid w:val="00FC76F6"/>
    <w:rsid w:val="00FD02C7"/>
    <w:rsid w:val="00FD0B84"/>
    <w:rsid w:val="00FD0DFB"/>
    <w:rsid w:val="00FD1166"/>
    <w:rsid w:val="00FD2A09"/>
    <w:rsid w:val="00FD3C5E"/>
    <w:rsid w:val="00FD4171"/>
    <w:rsid w:val="00FD5027"/>
    <w:rsid w:val="00FD515C"/>
    <w:rsid w:val="00FD5534"/>
    <w:rsid w:val="00FD606B"/>
    <w:rsid w:val="00FD7C0F"/>
    <w:rsid w:val="00FE0139"/>
    <w:rsid w:val="00FE029A"/>
    <w:rsid w:val="00FE0F46"/>
    <w:rsid w:val="00FE0F63"/>
    <w:rsid w:val="00FE1BF4"/>
    <w:rsid w:val="00FE23C9"/>
    <w:rsid w:val="00FE35CF"/>
    <w:rsid w:val="00FE3B0A"/>
    <w:rsid w:val="00FE4B5B"/>
    <w:rsid w:val="00FE674B"/>
    <w:rsid w:val="00FF0DC8"/>
    <w:rsid w:val="00FF3161"/>
    <w:rsid w:val="00FF343F"/>
    <w:rsid w:val="00FF3ECD"/>
    <w:rsid w:val="00FF3F81"/>
    <w:rsid w:val="00FF57B3"/>
    <w:rsid w:val="00FF6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45A30"/>
  <w15:docId w15:val="{755A78D2-BD83-4B93-852C-C0CFF13C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link w:val="NormalsmallChar"/>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ind w:left="964" w:hanging="96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NormalsmallChar">
    <w:name w:val="Normal small Char"/>
    <w:basedOn w:val="DefaultParagraphFont"/>
    <w:link w:val="Normalsmall"/>
    <w:rsid w:val="00240248"/>
    <w:rPr>
      <w:rFonts w:eastAsiaTheme="minorHAnsi" w:cstheme="minorBidi"/>
      <w:sz w:val="18"/>
      <w:szCs w:val="18"/>
      <w:lang w:eastAsia="en-US"/>
    </w:rPr>
  </w:style>
  <w:style w:type="paragraph" w:customStyle="1" w:styleId="EndNoteBibliographyTitle">
    <w:name w:val="EndNote Bibliography Title"/>
    <w:basedOn w:val="Normal"/>
    <w:link w:val="EndNoteBibliographyTitleChar"/>
    <w:rsid w:val="008B0C1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8B0C12"/>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8B0C12"/>
    <w:pPr>
      <w:spacing w:line="240" w:lineRule="auto"/>
    </w:pPr>
    <w:rPr>
      <w:noProof/>
      <w:lang w:val="en-US"/>
    </w:rPr>
  </w:style>
  <w:style w:type="character" w:customStyle="1" w:styleId="EndNoteBibliographyChar">
    <w:name w:val="EndNote Bibliography Char"/>
    <w:basedOn w:val="DefaultParagraphFont"/>
    <w:link w:val="EndNoteBibliography"/>
    <w:rsid w:val="008B0C12"/>
    <w:rPr>
      <w:rFonts w:eastAsiaTheme="minorHAnsi" w:cstheme="minorBidi"/>
      <w:noProof/>
      <w:sz w:val="22"/>
      <w:szCs w:val="22"/>
      <w:lang w:val="en-US" w:eastAsia="en-US"/>
    </w:rPr>
  </w:style>
  <w:style w:type="character" w:customStyle="1" w:styleId="TableTextChar">
    <w:name w:val="Table Text Char"/>
    <w:basedOn w:val="DefaultParagraphFont"/>
    <w:link w:val="TableText"/>
    <w:uiPriority w:val="13"/>
    <w:rsid w:val="00345C63"/>
    <w:rPr>
      <w:rFonts w:eastAsiaTheme="minorHAnsi" w:cstheme="minorBidi"/>
      <w:sz w:val="18"/>
      <w:szCs w:val="22"/>
      <w:lang w:eastAsia="en-US"/>
    </w:rPr>
  </w:style>
  <w:style w:type="paragraph" w:customStyle="1" w:styleId="TSSC">
    <w:name w:val="TSSC"/>
    <w:basedOn w:val="Normal"/>
    <w:qFormat/>
    <w:rsid w:val="00C73C35"/>
    <w:pPr>
      <w:numPr>
        <w:numId w:val="16"/>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4035044">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2003">
      <w:bodyDiv w:val="1"/>
      <w:marLeft w:val="0"/>
      <w:marRight w:val="0"/>
      <w:marTop w:val="0"/>
      <w:marBottom w:val="0"/>
      <w:divBdr>
        <w:top w:val="none" w:sz="0" w:space="0" w:color="auto"/>
        <w:left w:val="none" w:sz="0" w:space="0" w:color="auto"/>
        <w:bottom w:val="none" w:sz="0" w:space="0" w:color="auto"/>
        <w:right w:val="none" w:sz="0" w:space="0" w:color="auto"/>
      </w:divBdr>
    </w:div>
    <w:div w:id="208764783">
      <w:bodyDiv w:val="1"/>
      <w:marLeft w:val="0"/>
      <w:marRight w:val="0"/>
      <w:marTop w:val="0"/>
      <w:marBottom w:val="0"/>
      <w:divBdr>
        <w:top w:val="none" w:sz="0" w:space="0" w:color="auto"/>
        <w:left w:val="none" w:sz="0" w:space="0" w:color="auto"/>
        <w:bottom w:val="none" w:sz="0" w:space="0" w:color="auto"/>
        <w:right w:val="none" w:sz="0" w:space="0" w:color="auto"/>
      </w:divBdr>
    </w:div>
    <w:div w:id="25775744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88105">
      <w:bodyDiv w:val="1"/>
      <w:marLeft w:val="0"/>
      <w:marRight w:val="0"/>
      <w:marTop w:val="0"/>
      <w:marBottom w:val="0"/>
      <w:divBdr>
        <w:top w:val="none" w:sz="0" w:space="0" w:color="auto"/>
        <w:left w:val="none" w:sz="0" w:space="0" w:color="auto"/>
        <w:bottom w:val="none" w:sz="0" w:space="0" w:color="auto"/>
        <w:right w:val="none" w:sz="0" w:space="0" w:color="auto"/>
      </w:divBdr>
      <w:divsChild>
        <w:div w:id="1673214303">
          <w:marLeft w:val="0"/>
          <w:marRight w:val="0"/>
          <w:marTop w:val="0"/>
          <w:marBottom w:val="0"/>
          <w:divBdr>
            <w:top w:val="none" w:sz="0" w:space="0" w:color="auto"/>
            <w:left w:val="none" w:sz="0" w:space="0" w:color="auto"/>
            <w:bottom w:val="none" w:sz="0" w:space="0" w:color="auto"/>
            <w:right w:val="none" w:sz="0" w:space="0" w:color="auto"/>
          </w:divBdr>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12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69595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157052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2336222">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9029030">
      <w:bodyDiv w:val="1"/>
      <w:marLeft w:val="0"/>
      <w:marRight w:val="0"/>
      <w:marTop w:val="0"/>
      <w:marBottom w:val="0"/>
      <w:divBdr>
        <w:top w:val="none" w:sz="0" w:space="0" w:color="auto"/>
        <w:left w:val="none" w:sz="0" w:space="0" w:color="auto"/>
        <w:bottom w:val="none" w:sz="0" w:space="0" w:color="auto"/>
        <w:right w:val="none" w:sz="0" w:space="0" w:color="auto"/>
      </w:divBdr>
    </w:div>
    <w:div w:id="157793460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www.environment.gov.au/cgi-bin/sprat/public/publicspecies.pl?taxon_id=17296" TargetMode="External"/><Relationship Id="rId39" Type="http://schemas.openxmlformats.org/officeDocument/2006/relationships/footer" Target="footer1.xml"/><Relationship Id="rId21" Type="http://schemas.openxmlformats.org/officeDocument/2006/relationships/hyperlink" Target="http://www.environment.gov.au/cgi-bin/sprat/public/sprat.pl" TargetMode="External"/><Relationship Id="rId34" Type="http://schemas.openxmlformats.org/officeDocument/2006/relationships/hyperlink" Target="https://dx.doi.org/10.2305/IUCN.UK.2020-2.RLTS.T112646721A113309215.en" TargetMode="External"/><Relationship Id="rId42" Type="http://schemas.openxmlformats.org/officeDocument/2006/relationships/hyperlink" Target="http://www.environment.gov.au/system/files/pages/d72dfd1a-f0d8-4699-8d43-5d95bbb02428/files/tssc-guidelines-assessing-species-2018.pdf" TargetMode="External"/><Relationship Id="rId47" Type="http://schemas.openxmlformats.org/officeDocument/2006/relationships/image" Target="media/image6.png"/><Relationship Id="rId50" Type="http://schemas.openxmlformats.org/officeDocument/2006/relationships/hyperlink" Target="http://www.environment.gov.au/cgi-bin/sprat/public/publicspecies.pl?taxon_id=17296" TargetMode="External"/><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avh.ala.org.au/occurrences/search?taxa=darwinia+leiostyla" TargetMode="External"/><Relationship Id="rId11" Type="http://schemas.openxmlformats.org/officeDocument/2006/relationships/footnotes" Target="footnotes.xml"/><Relationship Id="rId24" Type="http://schemas.openxmlformats.org/officeDocument/2006/relationships/hyperlink" Target="https://www.dpaw.wa.gov.au/plants-and-animals/threatened-species-and-communities/threatened-plants" TargetMode="External"/><Relationship Id="rId32" Type="http://schemas.openxmlformats.org/officeDocument/2006/relationships/hyperlink" Target="https://www.dplh.wa.gov.au/ahis" TargetMode="Externa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image" Target="media/image5.jpeg"/><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awe.gov.au/about/commitment/privacy" TargetMode="External"/><Relationship Id="rId10" Type="http://schemas.openxmlformats.org/officeDocument/2006/relationships/webSettings" Target="webSettings.xml"/><Relationship Id="rId31" Type="http://schemas.openxmlformats.org/officeDocument/2006/relationships/hyperlink" Target="https://www.dpaw.wa.gov.au/management/pests-diseases/phytophthora-dieback" TargetMode="External"/><Relationship Id="rId44" Type="http://schemas.openxmlformats.org/officeDocument/2006/relationships/image" Target="media/image4.jpeg"/><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image" Target="media/image2.jpeg"/><Relationship Id="rId27" Type="http://schemas.openxmlformats.org/officeDocument/2006/relationships/hyperlink" Target="http://www.environment.gov.au/cgi-bin/sprat/public/publicspecies.pl?taxon_id=17296" TargetMode="External"/><Relationship Id="rId30" Type="http://schemas.openxmlformats.org/officeDocument/2006/relationships/hyperlink" Target="http://www.environment.gov.au/fed/catalog/search/resource/details.page?uuid=%7B9ACDCB09-0364-4FE8-9459-2A56C792C743%7D" TargetMode="External"/><Relationship Id="rId35" Type="http://schemas.openxmlformats.org/officeDocument/2006/relationships/hyperlink" Target="https://www.noongarculture.org.au/wagyl-kaip/" TargetMode="External"/><Relationship Id="rId43" Type="http://schemas.openxmlformats.org/officeDocument/2006/relationships/hyperlink" Target="https://nc.iucnredlist.org/redlist/content/attachment_files/RedListGuidelines.pdf" TargetMode="External"/><Relationship Id="rId48" Type="http://schemas.openxmlformats.org/officeDocument/2006/relationships/hyperlink" Target="https://creativecommons.org/licenses/by/4.0/legalcode"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agriculture.gov.au/" TargetMode="Externa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library.dbca.wa.gov.au/static/Journals/080548/080548-370.pdf" TargetMode="External"/><Relationship Id="rId33" Type="http://schemas.openxmlformats.org/officeDocument/2006/relationships/hyperlink" Target="http://www.environment.gov.au/biodiversity/bushfire-recovery/priority-plants" TargetMode="External"/><Relationship Id="rId38" Type="http://schemas.openxmlformats.org/officeDocument/2006/relationships/header" Target="header2.xml"/><Relationship Id="rId46" Type="http://schemas.openxmlformats.org/officeDocument/2006/relationships/hyperlink" Target="http://www.environment.gov.au/biodiversity/threatened/cam" TargetMode="External"/><Relationship Id="rId20" Type="http://schemas.openxmlformats.org/officeDocument/2006/relationships/image" Target="media/image1.jpeg"/><Relationship Id="rId41" Type="http://schemas.openxmlformats.org/officeDocument/2006/relationships/footer" Target="footer2.xml"/><Relationship Id="rId54" Type="http://schemas.openxmlformats.org/officeDocument/2006/relationships/header" Target="header6.xml"/><Relationship Id="rId6" Type="http://schemas.openxmlformats.org/officeDocument/2006/relationships/customXml" Target="../customXml/item6.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yperlink" Target="http://www.environment.gov.au/science/erin/databases-maps/snes" TargetMode="External"/><Relationship Id="rId28" Type="http://schemas.openxmlformats.org/officeDocument/2006/relationships/hyperlink" Target="http://www.environment.gov.au/cgi-bin/sprat/public/publicspecies.pl?taxon_id=17296" TargetMode="External"/><Relationship Id="rId36" Type="http://schemas.openxmlformats.org/officeDocument/2006/relationships/hyperlink" Target="https://florabase.dpaw.wa.gov.au/browse/profile/19923" TargetMode="External"/><Relationship Id="rId49" Type="http://schemas.openxmlformats.org/officeDocument/2006/relationships/hyperlink" Target="mailto:copyright@awe.gov.au" TargetMode="External"/><Relationship Id="rId5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454\OneDrive%20-%20Environment\HomeDrive\Listing%20Assessments\Grevillea%20banyabba\6.16.1%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7FE90F06449E0867606ED2476BA63"/>
        <w:category>
          <w:name w:val="General"/>
          <w:gallery w:val="placeholder"/>
        </w:category>
        <w:types>
          <w:type w:val="bbPlcHdr"/>
        </w:types>
        <w:behaviors>
          <w:behavior w:val="content"/>
        </w:behaviors>
        <w:guid w:val="{275D8B9C-89D9-4197-991E-33DF84ECF937}"/>
      </w:docPartPr>
      <w:docPartBody>
        <w:p w:rsidR="00996959" w:rsidRDefault="00996959">
          <w:pPr>
            <w:pStyle w:val="C787FE90F06449E0867606ED2476BA63"/>
          </w:pPr>
          <w:r w:rsidRPr="0045331C">
            <w:rPr>
              <w:rStyle w:val="PlaceholderText"/>
            </w:rPr>
            <w:t>Choose an item.</w:t>
          </w:r>
        </w:p>
      </w:docPartBody>
    </w:docPart>
    <w:docPart>
      <w:docPartPr>
        <w:name w:val="7D876FA0F8A646EE83510CE9BCBAAC0A"/>
        <w:category>
          <w:name w:val="General"/>
          <w:gallery w:val="placeholder"/>
        </w:category>
        <w:types>
          <w:type w:val="bbPlcHdr"/>
        </w:types>
        <w:behaviors>
          <w:behavior w:val="content"/>
        </w:behaviors>
        <w:guid w:val="{44918DB0-C6BA-4F60-9667-E547F12D561F}"/>
      </w:docPartPr>
      <w:docPartBody>
        <w:p w:rsidR="00996959" w:rsidRDefault="00996959">
          <w:pPr>
            <w:pStyle w:val="7D876FA0F8A646EE83510CE9BCBAAC0A"/>
          </w:pPr>
          <w:r w:rsidRPr="0045331C">
            <w:rPr>
              <w:rStyle w:val="PlaceholderText"/>
            </w:rPr>
            <w:t>Choose an item.</w:t>
          </w:r>
        </w:p>
      </w:docPartBody>
    </w:docPart>
    <w:docPart>
      <w:docPartPr>
        <w:name w:val="1A83C46AFB8C4B749FC6A603EFA25680"/>
        <w:category>
          <w:name w:val="General"/>
          <w:gallery w:val="placeholder"/>
        </w:category>
        <w:types>
          <w:type w:val="bbPlcHdr"/>
        </w:types>
        <w:behaviors>
          <w:behavior w:val="content"/>
        </w:behaviors>
        <w:guid w:val="{250B5378-B21C-4B5F-BD11-12D89DC20C8B}"/>
      </w:docPartPr>
      <w:docPartBody>
        <w:p w:rsidR="00996959" w:rsidRDefault="00996959">
          <w:pPr>
            <w:pStyle w:val="1A83C46AFB8C4B749FC6A603EFA25680"/>
          </w:pPr>
          <w:r w:rsidRPr="0045331C">
            <w:rPr>
              <w:rStyle w:val="PlaceholderText"/>
            </w:rPr>
            <w:t>Choose an item.</w:t>
          </w:r>
        </w:p>
      </w:docPartBody>
    </w:docPart>
    <w:docPart>
      <w:docPartPr>
        <w:name w:val="76FDA32807144D6DA7C12596419D433B"/>
        <w:category>
          <w:name w:val="General"/>
          <w:gallery w:val="placeholder"/>
        </w:category>
        <w:types>
          <w:type w:val="bbPlcHdr"/>
        </w:types>
        <w:behaviors>
          <w:behavior w:val="content"/>
        </w:behaviors>
        <w:guid w:val="{99493349-4825-46BB-824B-D7F631DFD5B8}"/>
      </w:docPartPr>
      <w:docPartBody>
        <w:p w:rsidR="00996959" w:rsidRDefault="00996959">
          <w:pPr>
            <w:pStyle w:val="76FDA32807144D6DA7C12596419D433B"/>
          </w:pPr>
          <w:r w:rsidRPr="0045331C">
            <w:rPr>
              <w:rStyle w:val="PlaceholderText"/>
            </w:rPr>
            <w:t>Choose an item.</w:t>
          </w:r>
        </w:p>
      </w:docPartBody>
    </w:docPart>
    <w:docPart>
      <w:docPartPr>
        <w:name w:val="63F2BBAC861C4587A7919C43C93A9392"/>
        <w:category>
          <w:name w:val="General"/>
          <w:gallery w:val="placeholder"/>
        </w:category>
        <w:types>
          <w:type w:val="bbPlcHdr"/>
        </w:types>
        <w:behaviors>
          <w:behavior w:val="content"/>
        </w:behaviors>
        <w:guid w:val="{4BACA9E5-35C0-4B64-88C4-0B9823C59C19}"/>
      </w:docPartPr>
      <w:docPartBody>
        <w:p w:rsidR="00996959" w:rsidRDefault="00996959">
          <w:pPr>
            <w:pStyle w:val="63F2BBAC861C4587A7919C43C93A9392"/>
          </w:pPr>
          <w:r w:rsidRPr="0045331C">
            <w:rPr>
              <w:rStyle w:val="PlaceholderText"/>
            </w:rPr>
            <w:t>Choose an item.</w:t>
          </w:r>
        </w:p>
      </w:docPartBody>
    </w:docPart>
    <w:docPart>
      <w:docPartPr>
        <w:name w:val="8F155F8F5A6E4AF78799D0CE244A588E"/>
        <w:category>
          <w:name w:val="General"/>
          <w:gallery w:val="placeholder"/>
        </w:category>
        <w:types>
          <w:type w:val="bbPlcHdr"/>
        </w:types>
        <w:behaviors>
          <w:behavior w:val="content"/>
        </w:behaviors>
        <w:guid w:val="{D3230F9C-1935-4F4E-9853-0314C33A36F0}"/>
      </w:docPartPr>
      <w:docPartBody>
        <w:p w:rsidR="00996959" w:rsidRDefault="00996959">
          <w:pPr>
            <w:pStyle w:val="8F155F8F5A6E4AF78799D0CE244A588E"/>
          </w:pPr>
          <w:r w:rsidRPr="0045331C">
            <w:rPr>
              <w:rStyle w:val="PlaceholderText"/>
            </w:rPr>
            <w:t>Choose an item.</w:t>
          </w:r>
        </w:p>
      </w:docPartBody>
    </w:docPart>
    <w:docPart>
      <w:docPartPr>
        <w:name w:val="28901B4824A3485DBE1E6CB95406718C"/>
        <w:category>
          <w:name w:val="General"/>
          <w:gallery w:val="placeholder"/>
        </w:category>
        <w:types>
          <w:type w:val="bbPlcHdr"/>
        </w:types>
        <w:behaviors>
          <w:behavior w:val="content"/>
        </w:behaviors>
        <w:guid w:val="{1BEB2533-BD5A-4F12-B4F7-676F6E5A97B8}"/>
      </w:docPartPr>
      <w:docPartBody>
        <w:p w:rsidR="00996959" w:rsidRDefault="00996959">
          <w:pPr>
            <w:pStyle w:val="28901B4824A3485DBE1E6CB95406718C"/>
          </w:pPr>
          <w:r w:rsidRPr="0045331C">
            <w:rPr>
              <w:rStyle w:val="PlaceholderText"/>
            </w:rPr>
            <w:t>Choose an item.</w:t>
          </w:r>
        </w:p>
      </w:docPartBody>
    </w:docPart>
    <w:docPart>
      <w:docPartPr>
        <w:name w:val="0D9315E93A9540CCA493CAC6C28DBE0D"/>
        <w:category>
          <w:name w:val="General"/>
          <w:gallery w:val="placeholder"/>
        </w:category>
        <w:types>
          <w:type w:val="bbPlcHdr"/>
        </w:types>
        <w:behaviors>
          <w:behavior w:val="content"/>
        </w:behaviors>
        <w:guid w:val="{C357A4A9-5A6E-45D5-AB97-ADA08C695BCF}"/>
      </w:docPartPr>
      <w:docPartBody>
        <w:p w:rsidR="00996959" w:rsidRDefault="00996959">
          <w:pPr>
            <w:pStyle w:val="0D9315E93A9540CCA493CAC6C28DBE0D"/>
          </w:pPr>
          <w:r w:rsidRPr="0045331C">
            <w:rPr>
              <w:rStyle w:val="PlaceholderText"/>
            </w:rPr>
            <w:t>Choose an item.</w:t>
          </w:r>
        </w:p>
      </w:docPartBody>
    </w:docPart>
    <w:docPart>
      <w:docPartPr>
        <w:name w:val="42BDD08994C2413AB2D90CB4E2C6AEBC"/>
        <w:category>
          <w:name w:val="General"/>
          <w:gallery w:val="placeholder"/>
        </w:category>
        <w:types>
          <w:type w:val="bbPlcHdr"/>
        </w:types>
        <w:behaviors>
          <w:behavior w:val="content"/>
        </w:behaviors>
        <w:guid w:val="{3F178C8C-5EF0-4198-80EF-3279EF1B708B}"/>
      </w:docPartPr>
      <w:docPartBody>
        <w:p w:rsidR="00996959" w:rsidRDefault="00996959">
          <w:pPr>
            <w:pStyle w:val="42BDD08994C2413AB2D90CB4E2C6AEBC"/>
          </w:pPr>
          <w:r w:rsidRPr="004D61C9">
            <w:rPr>
              <w:rStyle w:val="PlaceholderText"/>
              <w:highlight w:val="yellow"/>
            </w:rPr>
            <w:t>Choose an item.</w:t>
          </w:r>
        </w:p>
      </w:docPartBody>
    </w:docPart>
    <w:docPart>
      <w:docPartPr>
        <w:name w:val="D75E05FA1B594371A48C20E491D591E3"/>
        <w:category>
          <w:name w:val="General"/>
          <w:gallery w:val="placeholder"/>
        </w:category>
        <w:types>
          <w:type w:val="bbPlcHdr"/>
        </w:types>
        <w:behaviors>
          <w:behavior w:val="content"/>
        </w:behaviors>
        <w:guid w:val="{0AC476E3-826B-4843-B6D7-FCCE360531D8}"/>
      </w:docPartPr>
      <w:docPartBody>
        <w:p w:rsidR="00996959" w:rsidRDefault="00996959">
          <w:pPr>
            <w:pStyle w:val="D75E05FA1B594371A48C20E491D591E3"/>
          </w:pPr>
          <w:r w:rsidRPr="00F20180">
            <w:rPr>
              <w:rStyle w:val="PlaceholderText"/>
              <w:highlight w:val="yellow"/>
            </w:rPr>
            <w:t>Choose an item.</w:t>
          </w:r>
        </w:p>
      </w:docPartBody>
    </w:docPart>
    <w:docPart>
      <w:docPartPr>
        <w:name w:val="E205E06DA92D4FD78D9787D783DFBBC9"/>
        <w:category>
          <w:name w:val="General"/>
          <w:gallery w:val="placeholder"/>
        </w:category>
        <w:types>
          <w:type w:val="bbPlcHdr"/>
        </w:types>
        <w:behaviors>
          <w:behavior w:val="content"/>
        </w:behaviors>
        <w:guid w:val="{96E477D9-AB2B-43B9-BB03-00BD3C020010}"/>
      </w:docPartPr>
      <w:docPartBody>
        <w:p w:rsidR="00996959" w:rsidRDefault="00996959">
          <w:pPr>
            <w:pStyle w:val="E205E06DA92D4FD78D9787D783DFBBC9"/>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59"/>
    <w:rsid w:val="000515B3"/>
    <w:rsid w:val="000C3E50"/>
    <w:rsid w:val="001C325D"/>
    <w:rsid w:val="00313DFE"/>
    <w:rsid w:val="00370882"/>
    <w:rsid w:val="005748FF"/>
    <w:rsid w:val="005C192F"/>
    <w:rsid w:val="00604606"/>
    <w:rsid w:val="006560DE"/>
    <w:rsid w:val="006866C7"/>
    <w:rsid w:val="006B5389"/>
    <w:rsid w:val="006D147A"/>
    <w:rsid w:val="00717CFD"/>
    <w:rsid w:val="007C6790"/>
    <w:rsid w:val="007E2857"/>
    <w:rsid w:val="00811BD0"/>
    <w:rsid w:val="00844821"/>
    <w:rsid w:val="00846BB2"/>
    <w:rsid w:val="008764C9"/>
    <w:rsid w:val="008C6917"/>
    <w:rsid w:val="0096325B"/>
    <w:rsid w:val="00996959"/>
    <w:rsid w:val="009D7B15"/>
    <w:rsid w:val="00A47F4A"/>
    <w:rsid w:val="00A656EA"/>
    <w:rsid w:val="00A71EDC"/>
    <w:rsid w:val="00AE3FC9"/>
    <w:rsid w:val="00B564BF"/>
    <w:rsid w:val="00B966D4"/>
    <w:rsid w:val="00BF7C70"/>
    <w:rsid w:val="00DE31BA"/>
    <w:rsid w:val="00E23A50"/>
    <w:rsid w:val="00EB6002"/>
    <w:rsid w:val="00EC1EF8"/>
    <w:rsid w:val="00F35425"/>
    <w:rsid w:val="00FB1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7FE90F06449E0867606ED2476BA63">
    <w:name w:val="C787FE90F06449E0867606ED2476BA63"/>
  </w:style>
  <w:style w:type="paragraph" w:customStyle="1" w:styleId="7D876FA0F8A646EE83510CE9BCBAAC0A">
    <w:name w:val="7D876FA0F8A646EE83510CE9BCBAAC0A"/>
  </w:style>
  <w:style w:type="paragraph" w:customStyle="1" w:styleId="1A83C46AFB8C4B749FC6A603EFA25680">
    <w:name w:val="1A83C46AFB8C4B749FC6A603EFA25680"/>
  </w:style>
  <w:style w:type="paragraph" w:customStyle="1" w:styleId="76FDA32807144D6DA7C12596419D433B">
    <w:name w:val="76FDA32807144D6DA7C12596419D433B"/>
  </w:style>
  <w:style w:type="paragraph" w:customStyle="1" w:styleId="63F2BBAC861C4587A7919C43C93A9392">
    <w:name w:val="63F2BBAC861C4587A7919C43C93A9392"/>
  </w:style>
  <w:style w:type="paragraph" w:customStyle="1" w:styleId="8F155F8F5A6E4AF78799D0CE244A588E">
    <w:name w:val="8F155F8F5A6E4AF78799D0CE244A588E"/>
  </w:style>
  <w:style w:type="paragraph" w:customStyle="1" w:styleId="28901B4824A3485DBE1E6CB95406718C">
    <w:name w:val="28901B4824A3485DBE1E6CB95406718C"/>
  </w:style>
  <w:style w:type="paragraph" w:customStyle="1" w:styleId="0D9315E93A9540CCA493CAC6C28DBE0D">
    <w:name w:val="0D9315E93A9540CCA493CAC6C28DBE0D"/>
  </w:style>
  <w:style w:type="paragraph" w:customStyle="1" w:styleId="42BDD08994C2413AB2D90CB4E2C6AEBC">
    <w:name w:val="42BDD08994C2413AB2D90CB4E2C6AEBC"/>
  </w:style>
  <w:style w:type="paragraph" w:customStyle="1" w:styleId="D75E05FA1B594371A48C20E491D591E3">
    <w:name w:val="D75E05FA1B594371A48C20E491D591E3"/>
  </w:style>
  <w:style w:type="paragraph" w:customStyle="1" w:styleId="E205E06DA92D4FD78D9787D783DFBBC9">
    <w:name w:val="E205E06DA92D4FD78D9787D783DFB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39C25-361B-4F6B-A299-6ACCC210256E}">
  <ds:schemaRefs>
    <ds:schemaRef ds:uri="http://schemas.microsoft.com/sharepoint/events"/>
  </ds:schemaRefs>
</ds:datastoreItem>
</file>

<file path=customXml/itemProps2.xml><?xml version="1.0" encoding="utf-8"?>
<ds:datastoreItem xmlns:ds="http://schemas.openxmlformats.org/officeDocument/2006/customXml" ds:itemID="{30D7A3D7-7061-4D40-9743-48AC6B294251}"/>
</file>

<file path=customXml/itemProps3.xml><?xml version="1.0" encoding="utf-8"?>
<ds:datastoreItem xmlns:ds="http://schemas.openxmlformats.org/officeDocument/2006/customXml" ds:itemID="{06C61ADF-DA79-47E8-BF2F-8C62A96B99D1}">
  <ds:schemaRefs>
    <ds:schemaRef ds:uri="http://schemas.microsoft.com/office/2006/metadata/customXsn"/>
  </ds:schemaRefs>
</ds:datastoreItem>
</file>

<file path=customXml/itemProps4.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5.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6.16.1 Conservation Advice template.dotx</Template>
  <TotalTime>0</TotalTime>
  <Pages>55</Pages>
  <Words>17970</Words>
  <Characters>102430</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Darwinia collina</vt:lpstr>
    </vt:vector>
  </TitlesOfParts>
  <Company/>
  <LinksUpToDate>false</LinksUpToDate>
  <CharactersWithSpaces>120160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Darwinia collina</dc:title>
  <dc:creator>Department of Agriculture, Water and Environment</dc:creator>
  <cp:lastModifiedBy>Bec Durack</cp:lastModifiedBy>
  <cp:revision>2</cp:revision>
  <cp:lastPrinted>2020-12-10T04:50:00Z</cp:lastPrinted>
  <dcterms:created xsi:type="dcterms:W3CDTF">2021-12-03T01:38:00Z</dcterms:created>
  <dcterms:modified xsi:type="dcterms:W3CDTF">2021-12-03T01:38:00Z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Moved">
    <vt:lpwstr/>
  </property>
  <property fmtid="{D5CDD505-2E9C-101B-9397-08002B2CF9AE}" pid="6" name="RecordPoint_SubmissionCompleted">
    <vt:lpwstr/>
  </property>
  <property fmtid="{D5CDD505-2E9C-101B-9397-08002B2CF9AE}" pid="7" name="RecordPoint_RecordFormat">
    <vt:lpwstr/>
  </property>
  <property fmtid="{D5CDD505-2E9C-101B-9397-08002B2CF9AE}" pid="8" name="RecordPoint_WorkflowType">
    <vt:lpwstr>ActiveSubmitStub</vt:lpwstr>
  </property>
  <property fmtid="{D5CDD505-2E9C-101B-9397-08002B2CF9AE}" pid="9" name="RecordPoint_ActiveItemSiteId">
    <vt:lpwstr>{8003c3b3-d20c-4e9a-bee9-0e2243d810ee}</vt:lpwstr>
  </property>
  <property fmtid="{D5CDD505-2E9C-101B-9397-08002B2CF9AE}" pid="10" name="RecordPoint_ActiveItemListId">
    <vt:lpwstr>{c2343697-786a-4864-9b9e-d8eda4729cc2}</vt:lpwstr>
  </property>
  <property fmtid="{D5CDD505-2E9C-101B-9397-08002B2CF9AE}" pid="11" name="RecordPoint_ActiveItemUniqueId">
    <vt:lpwstr>{c312b9f0-e7b2-4242-b561-899be63ba385}</vt:lpwstr>
  </property>
  <property fmtid="{D5CDD505-2E9C-101B-9397-08002B2CF9AE}" pid="12" name="RecordPoint_ActiveItemWebId">
    <vt:lpwstr>{ce0940a8-fbdd-4d61-aa5f-5fccf7e3a693}</vt:lpwstr>
  </property>
</Properties>
</file>