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B474" w14:textId="77777777" w:rsidR="0009196C" w:rsidRPr="00FE6C07" w:rsidRDefault="0009196C" w:rsidP="0009196C">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7456C2AB" w14:textId="0B1E1496" w:rsidR="0009196C" w:rsidRDefault="0009196C" w:rsidP="0009196C">
      <w:pPr>
        <w:spacing w:before="120" w:beforeAutospacing="1" w:after="240" w:afterAutospacing="1" w:line="240" w:lineRule="auto"/>
        <w:jc w:val="center"/>
        <w:rPr>
          <w:rFonts w:ascii="Arial" w:eastAsia="Times New Roman" w:hAnsi="Arial" w:cs="Arial"/>
          <w:b/>
          <w:bCs/>
          <w:i/>
          <w:iCs/>
          <w:snapToGrid w:val="0"/>
          <w:sz w:val="24"/>
          <w:szCs w:val="24"/>
        </w:rPr>
      </w:pPr>
      <w:r>
        <w:rPr>
          <w:rFonts w:ascii="Arial" w:eastAsia="Times New Roman" w:hAnsi="Arial" w:cs="Arial"/>
          <w:b/>
          <w:bCs/>
          <w:i/>
          <w:iCs/>
          <w:snapToGrid w:val="0"/>
          <w:sz w:val="24"/>
          <w:szCs w:val="24"/>
        </w:rPr>
        <w:t>Grevillea banyabba</w:t>
      </w:r>
    </w:p>
    <w:p w14:paraId="3F771621" w14:textId="77777777" w:rsidR="0009196C" w:rsidRPr="00FE6C07" w:rsidRDefault="0009196C" w:rsidP="0009196C">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5698BB24" w14:textId="74CE45F9" w:rsidR="0009196C" w:rsidRPr="00BC75A0" w:rsidRDefault="0009196C" w:rsidP="0009196C">
      <w:pPr>
        <w:rPr>
          <w:rFonts w:ascii="Arial" w:hAnsi="Arial" w:cs="Arial"/>
        </w:rPr>
      </w:pPr>
      <w:r w:rsidRPr="00BC75A0">
        <w:rPr>
          <w:rFonts w:ascii="Arial" w:hAnsi="Arial" w:cs="Arial"/>
        </w:rPr>
        <w:t>1)</w:t>
      </w:r>
      <w:r w:rsidRPr="00BC75A0">
        <w:rPr>
          <w:rFonts w:ascii="Arial" w:hAnsi="Arial" w:cs="Arial"/>
        </w:rPr>
        <w:tab/>
        <w:t xml:space="preserve">the eligibility of </w:t>
      </w:r>
      <w:r>
        <w:rPr>
          <w:rFonts w:ascii="Arial" w:hAnsi="Arial" w:cs="Arial"/>
          <w:i/>
          <w:iCs/>
        </w:rPr>
        <w:t xml:space="preserve">Grevillea banyabba </w:t>
      </w:r>
      <w:r w:rsidRPr="00BC75A0">
        <w:rPr>
          <w:rFonts w:ascii="Arial" w:hAnsi="Arial" w:cs="Arial"/>
        </w:rPr>
        <w:t xml:space="preserve">for inclusion on the EPBC Act threatened species list in </w:t>
      </w:r>
      <w:r w:rsidRPr="00E7625B">
        <w:rPr>
          <w:rFonts w:ascii="Arial" w:hAnsi="Arial" w:cs="Arial"/>
        </w:rPr>
        <w:t xml:space="preserve">the </w:t>
      </w:r>
      <w:r>
        <w:rPr>
          <w:rFonts w:ascii="Arial" w:hAnsi="Arial" w:cs="Arial"/>
        </w:rPr>
        <w:t>Endangered category</w:t>
      </w:r>
      <w:r w:rsidRPr="00BC75A0">
        <w:rPr>
          <w:rFonts w:ascii="Arial" w:hAnsi="Arial" w:cs="Arial"/>
        </w:rPr>
        <w:t xml:space="preserve">; and </w:t>
      </w:r>
    </w:p>
    <w:p w14:paraId="3C503509" w14:textId="77777777" w:rsidR="0009196C" w:rsidRPr="00FE6C07" w:rsidRDefault="0009196C" w:rsidP="0009196C">
      <w:pPr>
        <w:tabs>
          <w:tab w:val="left" w:pos="426"/>
        </w:tabs>
        <w:spacing w:before="100" w:beforeAutospacing="1" w:after="10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6C0F75C1" w14:textId="77777777" w:rsidR="0009196C" w:rsidRDefault="0009196C" w:rsidP="0009196C">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28256500" w14:textId="77777777" w:rsidR="0009196C" w:rsidRPr="00FE6C07" w:rsidRDefault="0009196C" w:rsidP="0009196C">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3DA07C74" w14:textId="77777777" w:rsidR="0009196C" w:rsidRPr="00FE6C07" w:rsidRDefault="0009196C" w:rsidP="0009196C">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50D3449B" w14:textId="77777777" w:rsidR="0009196C" w:rsidRPr="00FE6C07" w:rsidRDefault="0009196C" w:rsidP="0009196C">
      <w:pPr>
        <w:spacing w:after="0" w:line="240" w:lineRule="auto"/>
        <w:rPr>
          <w:rFonts w:ascii="Arial" w:eastAsia="Times New Roman" w:hAnsi="Arial" w:cs="Arial"/>
        </w:rPr>
      </w:pPr>
    </w:p>
    <w:p w14:paraId="53FBDFAD" w14:textId="77777777" w:rsidR="0009196C" w:rsidRDefault="0009196C" w:rsidP="0009196C">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Pr>
            <w:rFonts w:ascii="Arial" w:eastAsia="Times New Roman" w:hAnsi="Arial" w:cs="Arial"/>
            <w:color w:val="0000FF"/>
            <w:u w:val="single"/>
          </w:rPr>
          <w:t>species.consultation@awe.gov.au</w:t>
        </w:r>
      </w:hyperlink>
    </w:p>
    <w:p w14:paraId="00C0C2DF" w14:textId="77777777" w:rsidR="0009196C" w:rsidRDefault="0009196C" w:rsidP="0009196C">
      <w:pPr>
        <w:spacing w:after="0" w:line="240" w:lineRule="auto"/>
        <w:rPr>
          <w:rFonts w:ascii="Arial" w:eastAsia="Times New Roman" w:hAnsi="Arial" w:cs="Arial"/>
        </w:rPr>
      </w:pPr>
    </w:p>
    <w:p w14:paraId="7E00A260" w14:textId="77777777" w:rsidR="0009196C" w:rsidRPr="00FE6C07" w:rsidRDefault="0009196C" w:rsidP="0009196C">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79623402" w14:textId="77777777" w:rsidR="0009196C" w:rsidRPr="00FE6C07" w:rsidRDefault="0009196C" w:rsidP="0009196C">
      <w:pPr>
        <w:spacing w:after="0" w:line="240" w:lineRule="auto"/>
        <w:rPr>
          <w:rFonts w:ascii="Arial" w:eastAsia="Times New Roman" w:hAnsi="Arial" w:cs="Arial"/>
        </w:rPr>
      </w:pPr>
    </w:p>
    <w:p w14:paraId="47723520" w14:textId="77777777" w:rsidR="0009196C" w:rsidRPr="00FE6C07" w:rsidRDefault="0009196C" w:rsidP="0009196C">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036CE4F8" w14:textId="77777777" w:rsidR="0009196C" w:rsidRPr="00FE6C07" w:rsidRDefault="0009196C" w:rsidP="0009196C">
      <w:pPr>
        <w:spacing w:after="0" w:line="240" w:lineRule="auto"/>
        <w:rPr>
          <w:rFonts w:ascii="Arial" w:eastAsia="Times New Roman" w:hAnsi="Arial" w:cs="Arial"/>
          <w:color w:val="000000"/>
        </w:rPr>
      </w:pPr>
    </w:p>
    <w:p w14:paraId="0398B77E" w14:textId="77777777" w:rsidR="0009196C" w:rsidRPr="00FE6C07" w:rsidRDefault="0009196C" w:rsidP="0009196C">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14C4157F" w14:textId="77777777" w:rsidR="0009196C" w:rsidRPr="00E7625B" w:rsidRDefault="0009196C" w:rsidP="0009196C">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41796FDF" w14:textId="77777777" w:rsidR="0009196C" w:rsidRPr="00FE6C07" w:rsidRDefault="0009196C" w:rsidP="0009196C">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6AC58378" w14:textId="77777777" w:rsidR="0009196C" w:rsidRDefault="0009196C" w:rsidP="0009196C">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36517B0B" w14:textId="77777777" w:rsidR="0009196C" w:rsidRPr="00FE6C07" w:rsidRDefault="0009196C" w:rsidP="0009196C">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6EEA36ED" w14:textId="77777777" w:rsidR="0009196C" w:rsidRPr="00FE6C07" w:rsidRDefault="0009196C" w:rsidP="0009196C">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2A4A0B73" w14:textId="77777777" w:rsidR="0009196C" w:rsidRPr="00FE6C07" w:rsidRDefault="0009196C" w:rsidP="0009196C">
      <w:pPr>
        <w:spacing w:after="0" w:line="240" w:lineRule="auto"/>
        <w:rPr>
          <w:rFonts w:ascii="Arial" w:eastAsia="Times New Roman" w:hAnsi="Arial" w:cs="Arial"/>
          <w:color w:val="000000"/>
        </w:rPr>
      </w:pPr>
    </w:p>
    <w:p w14:paraId="75A5FD3C" w14:textId="77777777" w:rsidR="0009196C" w:rsidRPr="00FE6C07" w:rsidRDefault="0009196C" w:rsidP="0009196C">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Pr>
          <w:rFonts w:ascii="Arial" w:eastAsia="Times New Roman" w:hAnsi="Arial" w:cs="Arial"/>
          <w:b/>
        </w:rPr>
        <w:t>1 February</w:t>
      </w:r>
      <w:r w:rsidRPr="00E7625B">
        <w:rPr>
          <w:rFonts w:ascii="Arial" w:eastAsia="Times New Roman" w:hAnsi="Arial" w:cs="Arial"/>
          <w:b/>
        </w:rPr>
        <w:t xml:space="preserve"> 202</w:t>
      </w:r>
      <w:r>
        <w:rPr>
          <w:rFonts w:ascii="Arial" w:eastAsia="Times New Roman" w:hAnsi="Arial" w:cs="Arial"/>
          <w:b/>
        </w:rPr>
        <w:t>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09196C" w:rsidRPr="00771DB7" w14:paraId="43C5133D" w14:textId="77777777" w:rsidTr="00827423">
        <w:tc>
          <w:tcPr>
            <w:tcW w:w="9039" w:type="dxa"/>
            <w:tcBorders>
              <w:top w:val="single" w:sz="4" w:space="0" w:color="auto"/>
              <w:left w:val="single" w:sz="4" w:space="0" w:color="auto"/>
              <w:bottom w:val="single" w:sz="4" w:space="0" w:color="auto"/>
              <w:right w:val="single" w:sz="4" w:space="0" w:color="auto"/>
            </w:tcBorders>
            <w:shd w:val="pct15" w:color="auto" w:fill="auto"/>
          </w:tcPr>
          <w:p w14:paraId="7BF0EB6B" w14:textId="77777777" w:rsidR="0009196C" w:rsidRPr="00771DB7" w:rsidRDefault="0009196C" w:rsidP="00827423">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64845531" w14:textId="77777777" w:rsidR="0009196C" w:rsidRPr="00771DB7" w:rsidRDefault="0009196C" w:rsidP="00827423">
            <w:pPr>
              <w:spacing w:after="0" w:line="240" w:lineRule="auto"/>
              <w:rPr>
                <w:rFonts w:ascii="Arial" w:eastAsia="Times New Roman" w:hAnsi="Arial" w:cs="Arial"/>
                <w:b/>
                <w:bCs/>
              </w:rPr>
            </w:pPr>
            <w:r w:rsidRPr="00771DB7">
              <w:rPr>
                <w:rFonts w:ascii="Arial" w:eastAsia="Times New Roman" w:hAnsi="Arial" w:cs="Arial"/>
                <w:b/>
                <w:bCs/>
              </w:rPr>
              <w:t>Page</w:t>
            </w:r>
          </w:p>
        </w:tc>
      </w:tr>
      <w:tr w:rsidR="0009196C" w:rsidRPr="00771DB7" w14:paraId="47253A80" w14:textId="77777777" w:rsidTr="00827423">
        <w:tc>
          <w:tcPr>
            <w:tcW w:w="9039" w:type="dxa"/>
            <w:tcBorders>
              <w:top w:val="single" w:sz="4" w:space="0" w:color="auto"/>
              <w:left w:val="single" w:sz="4" w:space="0" w:color="auto"/>
              <w:bottom w:val="single" w:sz="4" w:space="0" w:color="auto"/>
              <w:right w:val="single" w:sz="4" w:space="0" w:color="auto"/>
            </w:tcBorders>
          </w:tcPr>
          <w:p w14:paraId="7A7FEE36"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18E292C4" w14:textId="77777777" w:rsidR="0009196C" w:rsidRPr="009C3D0F" w:rsidRDefault="0009196C" w:rsidP="00827423">
            <w:pPr>
              <w:spacing w:after="0" w:line="240" w:lineRule="auto"/>
              <w:jc w:val="center"/>
              <w:rPr>
                <w:rFonts w:ascii="Arial" w:eastAsia="Times New Roman" w:hAnsi="Arial" w:cs="Arial"/>
              </w:rPr>
            </w:pPr>
            <w:r w:rsidRPr="009C3D0F">
              <w:rPr>
                <w:rFonts w:ascii="Arial" w:hAnsi="Arial" w:cs="Arial"/>
              </w:rPr>
              <w:t>1</w:t>
            </w:r>
          </w:p>
        </w:tc>
      </w:tr>
      <w:tr w:rsidR="0009196C" w:rsidRPr="00771DB7" w14:paraId="245D6BC7" w14:textId="77777777" w:rsidTr="00827423">
        <w:tc>
          <w:tcPr>
            <w:tcW w:w="9039" w:type="dxa"/>
            <w:tcBorders>
              <w:top w:val="single" w:sz="4" w:space="0" w:color="auto"/>
              <w:left w:val="single" w:sz="4" w:space="0" w:color="auto"/>
              <w:bottom w:val="single" w:sz="4" w:space="0" w:color="auto"/>
              <w:right w:val="single" w:sz="4" w:space="0" w:color="auto"/>
            </w:tcBorders>
          </w:tcPr>
          <w:p w14:paraId="7A421D68"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556F27F9" w14:textId="77777777" w:rsidR="0009196C" w:rsidRPr="009C3D0F" w:rsidRDefault="0009196C" w:rsidP="00827423">
            <w:pPr>
              <w:spacing w:after="0" w:line="240" w:lineRule="auto"/>
              <w:jc w:val="center"/>
              <w:rPr>
                <w:rFonts w:ascii="Arial" w:eastAsia="Times New Roman" w:hAnsi="Arial" w:cs="Arial"/>
              </w:rPr>
            </w:pPr>
            <w:r w:rsidRPr="009C3D0F">
              <w:rPr>
                <w:rFonts w:ascii="Arial" w:hAnsi="Arial" w:cs="Arial"/>
              </w:rPr>
              <w:t>2</w:t>
            </w:r>
          </w:p>
        </w:tc>
      </w:tr>
      <w:tr w:rsidR="0009196C" w:rsidRPr="00771DB7" w14:paraId="31B542EA" w14:textId="77777777" w:rsidTr="00827423">
        <w:tc>
          <w:tcPr>
            <w:tcW w:w="9039" w:type="dxa"/>
            <w:tcBorders>
              <w:top w:val="single" w:sz="4" w:space="0" w:color="auto"/>
              <w:left w:val="single" w:sz="4" w:space="0" w:color="auto"/>
              <w:bottom w:val="single" w:sz="4" w:space="0" w:color="auto"/>
              <w:right w:val="single" w:sz="4" w:space="0" w:color="auto"/>
            </w:tcBorders>
          </w:tcPr>
          <w:p w14:paraId="2EFC6F7C"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254DB8BF" w14:textId="77777777" w:rsidR="0009196C" w:rsidRPr="009C3D0F" w:rsidRDefault="0009196C" w:rsidP="00827423">
            <w:pPr>
              <w:spacing w:after="0" w:line="240" w:lineRule="auto"/>
              <w:jc w:val="center"/>
              <w:rPr>
                <w:rFonts w:ascii="Arial" w:eastAsia="Times New Roman" w:hAnsi="Arial" w:cs="Arial"/>
              </w:rPr>
            </w:pPr>
            <w:r w:rsidRPr="009C3D0F">
              <w:rPr>
                <w:rFonts w:ascii="Arial" w:hAnsi="Arial" w:cs="Arial"/>
              </w:rPr>
              <w:t>4</w:t>
            </w:r>
          </w:p>
        </w:tc>
      </w:tr>
      <w:tr w:rsidR="0009196C" w:rsidRPr="00771DB7" w14:paraId="2B0B4B02" w14:textId="77777777" w:rsidTr="00827423">
        <w:tc>
          <w:tcPr>
            <w:tcW w:w="9039" w:type="dxa"/>
            <w:tcBorders>
              <w:top w:val="single" w:sz="4" w:space="0" w:color="auto"/>
              <w:left w:val="single" w:sz="4" w:space="0" w:color="auto"/>
              <w:bottom w:val="single" w:sz="4" w:space="0" w:color="auto"/>
              <w:right w:val="single" w:sz="4" w:space="0" w:color="auto"/>
            </w:tcBorders>
          </w:tcPr>
          <w:p w14:paraId="11D4E872"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 xml:space="preserve">Information about </w:t>
            </w:r>
            <w:r w:rsidRPr="009C3D0F">
              <w:rPr>
                <w:rFonts w:ascii="Arial" w:eastAsia="Times New Roman" w:hAnsi="Arial" w:cs="Arial"/>
                <w:iCs/>
              </w:rPr>
              <w:t xml:space="preserve">the </w:t>
            </w:r>
            <w:r w:rsidRPr="009C3D0F">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2FE6244C" w14:textId="7EFD5404" w:rsidR="0009196C" w:rsidRPr="009C3D0F" w:rsidRDefault="0009196C" w:rsidP="00827423">
            <w:pPr>
              <w:spacing w:after="0" w:line="240" w:lineRule="auto"/>
              <w:jc w:val="center"/>
              <w:rPr>
                <w:rFonts w:ascii="Arial" w:eastAsia="Times New Roman" w:hAnsi="Arial" w:cs="Arial"/>
              </w:rPr>
            </w:pPr>
            <w:r w:rsidRPr="009C3D0F">
              <w:rPr>
                <w:rFonts w:ascii="Arial" w:hAnsi="Arial" w:cs="Arial"/>
              </w:rPr>
              <w:t>1</w:t>
            </w:r>
            <w:r w:rsidR="00291DD9" w:rsidRPr="009C3D0F">
              <w:rPr>
                <w:rFonts w:ascii="Arial" w:hAnsi="Arial" w:cs="Arial"/>
              </w:rPr>
              <w:t>3</w:t>
            </w:r>
          </w:p>
        </w:tc>
      </w:tr>
      <w:tr w:rsidR="0009196C" w:rsidRPr="00771DB7" w14:paraId="6F2DB97B" w14:textId="77777777" w:rsidTr="00827423">
        <w:tc>
          <w:tcPr>
            <w:tcW w:w="9039" w:type="dxa"/>
            <w:tcBorders>
              <w:top w:val="single" w:sz="4" w:space="0" w:color="auto"/>
              <w:left w:val="single" w:sz="4" w:space="0" w:color="auto"/>
              <w:bottom w:val="single" w:sz="4" w:space="0" w:color="auto"/>
              <w:right w:val="single" w:sz="4" w:space="0" w:color="auto"/>
            </w:tcBorders>
          </w:tcPr>
          <w:p w14:paraId="6B494592"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74FED491" w14:textId="13721315" w:rsidR="0009196C" w:rsidRPr="009C3D0F" w:rsidRDefault="0009196C" w:rsidP="00827423">
            <w:pPr>
              <w:spacing w:after="0" w:line="240" w:lineRule="auto"/>
              <w:jc w:val="center"/>
              <w:rPr>
                <w:rFonts w:ascii="Arial" w:eastAsia="Times New Roman" w:hAnsi="Arial" w:cs="Arial"/>
              </w:rPr>
            </w:pPr>
            <w:r w:rsidRPr="009C3D0F">
              <w:rPr>
                <w:rFonts w:ascii="Arial" w:hAnsi="Arial" w:cs="Arial"/>
              </w:rPr>
              <w:t>2</w:t>
            </w:r>
            <w:r w:rsidR="009C3D0F" w:rsidRPr="009C3D0F">
              <w:rPr>
                <w:rFonts w:ascii="Arial" w:hAnsi="Arial" w:cs="Arial"/>
              </w:rPr>
              <w:t>4</w:t>
            </w:r>
          </w:p>
        </w:tc>
      </w:tr>
      <w:tr w:rsidR="0009196C" w:rsidRPr="00771DB7" w14:paraId="1F777929" w14:textId="77777777" w:rsidTr="00827423">
        <w:tc>
          <w:tcPr>
            <w:tcW w:w="9039" w:type="dxa"/>
            <w:tcBorders>
              <w:top w:val="single" w:sz="4" w:space="0" w:color="auto"/>
              <w:left w:val="single" w:sz="4" w:space="0" w:color="auto"/>
              <w:bottom w:val="single" w:sz="4" w:space="0" w:color="auto"/>
              <w:right w:val="single" w:sz="4" w:space="0" w:color="auto"/>
            </w:tcBorders>
          </w:tcPr>
          <w:p w14:paraId="483198CC"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31BFA05A" w14:textId="76863C1D" w:rsidR="0009196C" w:rsidRPr="009C3D0F" w:rsidRDefault="0009196C" w:rsidP="00827423">
            <w:pPr>
              <w:spacing w:after="0" w:line="240" w:lineRule="auto"/>
              <w:jc w:val="center"/>
              <w:rPr>
                <w:rFonts w:ascii="Arial" w:hAnsi="Arial" w:cs="Arial"/>
              </w:rPr>
            </w:pPr>
            <w:r w:rsidRPr="009C3D0F">
              <w:rPr>
                <w:rFonts w:ascii="Arial" w:hAnsi="Arial" w:cs="Arial"/>
              </w:rPr>
              <w:t>2</w:t>
            </w:r>
            <w:r w:rsidR="009C3D0F" w:rsidRPr="009C3D0F">
              <w:rPr>
                <w:rFonts w:ascii="Arial" w:hAnsi="Arial" w:cs="Arial"/>
              </w:rPr>
              <w:t>7</w:t>
            </w:r>
          </w:p>
        </w:tc>
      </w:tr>
      <w:tr w:rsidR="0009196C" w:rsidRPr="00771DB7" w14:paraId="5A778B5F" w14:textId="77777777" w:rsidTr="00827423">
        <w:tc>
          <w:tcPr>
            <w:tcW w:w="9039" w:type="dxa"/>
            <w:tcBorders>
              <w:top w:val="single" w:sz="4" w:space="0" w:color="auto"/>
              <w:left w:val="single" w:sz="4" w:space="0" w:color="auto"/>
              <w:bottom w:val="single" w:sz="4" w:space="0" w:color="auto"/>
              <w:right w:val="single" w:sz="4" w:space="0" w:color="auto"/>
            </w:tcBorders>
          </w:tcPr>
          <w:p w14:paraId="456FD2EA" w14:textId="77777777" w:rsidR="0009196C" w:rsidRPr="009C3D0F" w:rsidRDefault="0009196C" w:rsidP="00827423">
            <w:pPr>
              <w:spacing w:after="0" w:line="240" w:lineRule="auto"/>
              <w:rPr>
                <w:rFonts w:ascii="Arial" w:eastAsia="Times New Roman" w:hAnsi="Arial" w:cs="Arial"/>
              </w:rPr>
            </w:pPr>
            <w:r w:rsidRPr="009C3D0F">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6DFB3D9C" w14:textId="6D09E884" w:rsidR="0009196C" w:rsidRPr="009C3D0F" w:rsidRDefault="00291DD9" w:rsidP="00827423">
            <w:pPr>
              <w:spacing w:after="0" w:line="240" w:lineRule="auto"/>
              <w:jc w:val="center"/>
              <w:rPr>
                <w:rFonts w:ascii="Arial" w:eastAsia="Times New Roman" w:hAnsi="Arial" w:cs="Arial"/>
              </w:rPr>
            </w:pPr>
            <w:r w:rsidRPr="009C3D0F">
              <w:rPr>
                <w:rFonts w:ascii="Arial" w:hAnsi="Arial" w:cs="Arial"/>
              </w:rPr>
              <w:t>3</w:t>
            </w:r>
            <w:r w:rsidR="009C3D0F" w:rsidRPr="009C3D0F">
              <w:rPr>
                <w:rFonts w:ascii="Arial" w:hAnsi="Arial" w:cs="Arial"/>
              </w:rPr>
              <w:t>4</w:t>
            </w:r>
          </w:p>
        </w:tc>
      </w:tr>
    </w:tbl>
    <w:p w14:paraId="372AA589" w14:textId="77777777" w:rsidR="0009196C" w:rsidRDefault="0009196C" w:rsidP="0009196C">
      <w:pPr>
        <w:spacing w:line="240" w:lineRule="auto"/>
        <w:rPr>
          <w:rFonts w:ascii="Arial" w:eastAsia="Times New Roman" w:hAnsi="Arial" w:cs="Arial"/>
          <w:b/>
        </w:rPr>
      </w:pPr>
    </w:p>
    <w:p w14:paraId="7A1D536E" w14:textId="77777777" w:rsidR="0009196C" w:rsidRDefault="0009196C" w:rsidP="0009196C">
      <w:pPr>
        <w:spacing w:line="240" w:lineRule="auto"/>
        <w:rPr>
          <w:rFonts w:ascii="Arial" w:eastAsia="Times New Roman" w:hAnsi="Arial" w:cs="Arial"/>
          <w:b/>
        </w:rPr>
      </w:pPr>
      <w:bookmarkStart w:id="0" w:name="Background"/>
      <w:r>
        <w:rPr>
          <w:rFonts w:ascii="Arial" w:eastAsia="Times New Roman" w:hAnsi="Arial" w:cs="Arial"/>
          <w:b/>
        </w:rPr>
        <w:lastRenderedPageBreak/>
        <w:t>General background information about listing threatened species</w:t>
      </w:r>
    </w:p>
    <w:bookmarkEnd w:id="0"/>
    <w:p w14:paraId="52169AEC" w14:textId="77777777" w:rsidR="0009196C" w:rsidRDefault="0009196C" w:rsidP="0009196C">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4842223B" w14:textId="77777777" w:rsidR="0009196C" w:rsidRDefault="00B655DF" w:rsidP="0009196C">
      <w:pPr>
        <w:spacing w:line="240" w:lineRule="auto"/>
        <w:rPr>
          <w:rFonts w:ascii="Arial" w:eastAsia="Times New Roman" w:hAnsi="Arial" w:cs="Arial"/>
        </w:rPr>
      </w:pPr>
      <w:hyperlink r:id="rId14" w:history="1">
        <w:r w:rsidR="0009196C">
          <w:rPr>
            <w:rStyle w:val="Hyperlink"/>
            <w:rFonts w:ascii="Arial" w:eastAsia="Times New Roman" w:hAnsi="Arial" w:cs="Arial"/>
          </w:rPr>
          <w:t>https://www.awe.gov.au/environment/biodiversity/threatened/recovery-plans</w:t>
        </w:r>
      </w:hyperlink>
      <w:r w:rsidR="0009196C">
        <w:rPr>
          <w:rFonts w:ascii="Arial" w:eastAsia="Times New Roman" w:hAnsi="Arial" w:cs="Arial"/>
        </w:rPr>
        <w:t>.</w:t>
      </w:r>
    </w:p>
    <w:p w14:paraId="2C280AC0" w14:textId="77777777" w:rsidR="0009196C" w:rsidRDefault="0009196C" w:rsidP="0009196C">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17312F02" w14:textId="77777777" w:rsidR="0009196C" w:rsidRDefault="00B655DF" w:rsidP="0009196C">
      <w:pPr>
        <w:spacing w:after="0" w:line="240" w:lineRule="auto"/>
        <w:rPr>
          <w:rFonts w:ascii="Times New Roman" w:eastAsia="Times New Roman" w:hAnsi="Times New Roman" w:cs="Times New Roman"/>
          <w:color w:val="1F497D"/>
          <w:szCs w:val="24"/>
        </w:rPr>
      </w:pPr>
      <w:hyperlink r:id="rId15" w:history="1">
        <w:r w:rsidR="0009196C">
          <w:rPr>
            <w:rStyle w:val="Hyperlink"/>
            <w:rFonts w:ascii="Arial" w:eastAsia="Times New Roman" w:hAnsi="Arial" w:cs="Arial"/>
            <w:szCs w:val="24"/>
          </w:rPr>
          <w:t>https://www.awe.gov.au/sites/default/files/env/pages/d72dfd1a-f0d8-4699-8d43-5d95bbb02428/files/tssc-guidelines-assessing-species-2021.pdf</w:t>
        </w:r>
      </w:hyperlink>
      <w:r w:rsidR="0009196C">
        <w:rPr>
          <w:rFonts w:ascii="Times New Roman" w:eastAsia="Times New Roman" w:hAnsi="Times New Roman" w:cs="Times New Roman"/>
          <w:color w:val="1F497D"/>
          <w:szCs w:val="24"/>
        </w:rPr>
        <w:t>.</w:t>
      </w:r>
    </w:p>
    <w:p w14:paraId="54E52F99" w14:textId="77777777" w:rsidR="0009196C" w:rsidRDefault="0009196C" w:rsidP="0009196C">
      <w:pPr>
        <w:spacing w:line="240" w:lineRule="auto"/>
        <w:rPr>
          <w:rFonts w:ascii="Arial" w:eastAsia="Times New Roman" w:hAnsi="Arial" w:cs="Arial"/>
        </w:rPr>
      </w:pPr>
    </w:p>
    <w:p w14:paraId="775FF28B" w14:textId="77777777" w:rsidR="0009196C" w:rsidRDefault="0009196C" w:rsidP="0009196C">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36E8C944" w14:textId="77777777" w:rsidR="0009196C" w:rsidRDefault="0009196C" w:rsidP="0009196C">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1B7DF877" w14:textId="77777777" w:rsidR="0009196C" w:rsidRDefault="0009196C" w:rsidP="0009196C">
      <w:pPr>
        <w:spacing w:line="240" w:lineRule="auto"/>
        <w:rPr>
          <w:rFonts w:ascii="Arial" w:eastAsia="Times New Roman" w:hAnsi="Arial" w:cs="Arial"/>
          <w:b/>
        </w:rPr>
      </w:pPr>
      <w:r>
        <w:rPr>
          <w:rFonts w:ascii="Arial" w:eastAsia="Times New Roman" w:hAnsi="Arial" w:cs="Arial"/>
          <w:b/>
        </w:rPr>
        <w:t>Privacy notice</w:t>
      </w:r>
    </w:p>
    <w:p w14:paraId="4AB1C100" w14:textId="77777777" w:rsidR="0009196C" w:rsidRDefault="0009196C" w:rsidP="0009196C">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2045F9B0" w14:textId="77777777" w:rsidR="0009196C" w:rsidRDefault="0009196C" w:rsidP="0009196C">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3788A2DD" w14:textId="77777777" w:rsidR="0009196C" w:rsidRDefault="0009196C" w:rsidP="0009196C">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0FDCCE88" w14:textId="77777777" w:rsidR="0009196C" w:rsidRDefault="0009196C" w:rsidP="0009196C">
      <w:pPr>
        <w:spacing w:line="240" w:lineRule="auto"/>
        <w:rPr>
          <w:rFonts w:ascii="Arial" w:eastAsia="Times New Roman" w:hAnsi="Arial" w:cs="Arial"/>
        </w:rPr>
      </w:pPr>
      <w:r>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24EBED82" w14:textId="77777777" w:rsidR="0009196C" w:rsidRDefault="0009196C" w:rsidP="0009196C">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0A034D40" w14:textId="77777777" w:rsidR="0009196C" w:rsidRDefault="0009196C" w:rsidP="0009196C">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BB74C7E" w14:textId="77777777" w:rsidR="0009196C" w:rsidRDefault="0009196C" w:rsidP="0009196C">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1FE591D" w14:textId="77777777" w:rsidR="0009196C" w:rsidRDefault="0009196C" w:rsidP="0009196C">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6DE34893" w14:textId="77777777" w:rsidR="0009196C" w:rsidRDefault="0009196C" w:rsidP="00136347">
      <w:pPr>
        <w:pStyle w:val="DisseminationLimitingMarker"/>
      </w:pPr>
    </w:p>
    <w:p w14:paraId="1BC61089" w14:textId="16B73643" w:rsidR="0009196C" w:rsidRDefault="0009196C">
      <w:pPr>
        <w:spacing w:after="0" w:line="240" w:lineRule="auto"/>
        <w:rPr>
          <w:rFonts w:ascii="Calibri" w:hAnsi="Calibri"/>
          <w:sz w:val="20"/>
        </w:rPr>
      </w:pPr>
      <w:r>
        <w:br w:type="page"/>
      </w:r>
    </w:p>
    <w:p w14:paraId="36BB2103" w14:textId="77777777" w:rsidR="0009196C" w:rsidRPr="009F43F9" w:rsidRDefault="0009196C" w:rsidP="0009196C">
      <w:pPr>
        <w:pStyle w:val="TSSC"/>
        <w:numPr>
          <w:ilvl w:val="0"/>
          <w:numId w:val="0"/>
        </w:numPr>
        <w:tabs>
          <w:tab w:val="clear" w:pos="567"/>
          <w:tab w:val="left" w:pos="720"/>
        </w:tabs>
        <w:ind w:left="1560" w:hanging="1560"/>
        <w:rPr>
          <w:rFonts w:ascii="Arial" w:hAnsi="Arial" w:cs="Arial"/>
          <w:b/>
          <w:szCs w:val="24"/>
          <w:u w:val="single"/>
        </w:rPr>
      </w:pPr>
      <w:r>
        <w:rPr>
          <w:rFonts w:ascii="Arial" w:hAnsi="Arial" w:cs="Arial"/>
          <w:b/>
          <w:szCs w:val="24"/>
          <w:u w:val="single"/>
        </w:rPr>
        <w:lastRenderedPageBreak/>
        <w:t>Consultation questions for</w:t>
      </w:r>
      <w:r w:rsidRPr="009F43F9">
        <w:rPr>
          <w:rFonts w:ascii="Arial" w:hAnsi="Arial" w:cs="Arial"/>
          <w:b/>
          <w:szCs w:val="24"/>
          <w:u w:val="single"/>
        </w:rPr>
        <w:t xml:space="preserve"> </w:t>
      </w:r>
      <w:r w:rsidRPr="00D6189A">
        <w:rPr>
          <w:rFonts w:ascii="Arial" w:hAnsi="Arial" w:cs="Arial"/>
          <w:b/>
          <w:i/>
          <w:iCs/>
          <w:szCs w:val="24"/>
          <w:u w:val="single"/>
        </w:rPr>
        <w:t>Grevillea banyabba</w:t>
      </w:r>
      <w:r>
        <w:rPr>
          <w:rFonts w:ascii="Arial" w:hAnsi="Arial" w:cs="Arial"/>
          <w:b/>
          <w:szCs w:val="24"/>
          <w:u w:val="single"/>
        </w:rPr>
        <w:t xml:space="preserve"> (Banyabba grevillea)</w:t>
      </w:r>
    </w:p>
    <w:p w14:paraId="43EE321A" w14:textId="77777777" w:rsidR="0009196C" w:rsidRPr="009F43F9" w:rsidRDefault="0009196C" w:rsidP="0009196C">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2404EA43"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 robust? Have all the underlying assumptions been made explicit? Please provide justification for your response.</w:t>
      </w:r>
    </w:p>
    <w:p w14:paraId="6B9BC582" w14:textId="77777777" w:rsidR="0009196C" w:rsidRDefault="0009196C" w:rsidP="0009196C">
      <w:pPr>
        <w:pStyle w:val="ListParagraph"/>
        <w:autoSpaceDE w:val="0"/>
        <w:autoSpaceDN w:val="0"/>
        <w:adjustRightInd w:val="0"/>
        <w:ind w:left="360"/>
        <w:rPr>
          <w:rFonts w:ascii="Arial" w:hAnsi="Arial" w:cs="Arial"/>
        </w:rPr>
      </w:pPr>
    </w:p>
    <w:p w14:paraId="51F4FCC5"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3E91E4D0" w14:textId="77777777" w:rsidR="0009196C" w:rsidRDefault="0009196C" w:rsidP="0009196C">
      <w:pPr>
        <w:pStyle w:val="ListParagraph"/>
        <w:autoSpaceDE w:val="0"/>
        <w:autoSpaceDN w:val="0"/>
        <w:adjustRightInd w:val="0"/>
        <w:ind w:left="360"/>
        <w:rPr>
          <w:rFonts w:ascii="Arial" w:hAnsi="Arial" w:cs="Arial"/>
        </w:rPr>
      </w:pPr>
    </w:p>
    <w:p w14:paraId="7E03D1D5"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7395C326" w14:textId="77777777" w:rsidR="0009196C" w:rsidRDefault="0009196C" w:rsidP="0009196C">
      <w:pPr>
        <w:autoSpaceDE w:val="0"/>
        <w:autoSpaceDN w:val="0"/>
        <w:adjustRightInd w:val="0"/>
        <w:rPr>
          <w:rFonts w:ascii="Arial" w:hAnsi="Arial" w:cs="Arial"/>
        </w:rPr>
      </w:pPr>
    </w:p>
    <w:p w14:paraId="536C82DD" w14:textId="77777777" w:rsidR="0009196C" w:rsidRDefault="0009196C" w:rsidP="0009196C">
      <w:pPr>
        <w:shd w:val="clear" w:color="auto" w:fill="D9D9D9" w:themeFill="background1" w:themeFillShade="D9"/>
        <w:autoSpaceDE w:val="0"/>
        <w:autoSpaceDN w:val="0"/>
        <w:adjustRightInd w:val="0"/>
        <w:jc w:val="center"/>
        <w:rPr>
          <w:rFonts w:ascii="Arial" w:hAnsi="Arial" w:cs="Arial"/>
          <w:b/>
        </w:rPr>
      </w:pPr>
    </w:p>
    <w:p w14:paraId="67258E47" w14:textId="7FB93FA5" w:rsidR="0009196C" w:rsidRDefault="0009196C" w:rsidP="000164D8">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1C174B47" w14:textId="77777777" w:rsidR="0009196C" w:rsidRDefault="0009196C" w:rsidP="0009196C">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2288BFAF" w14:textId="77777777" w:rsidR="0009196C" w:rsidRDefault="0009196C" w:rsidP="0009196C">
      <w:pPr>
        <w:autoSpaceDE w:val="0"/>
        <w:autoSpaceDN w:val="0"/>
        <w:adjustRightInd w:val="0"/>
        <w:rPr>
          <w:rFonts w:ascii="Arial" w:hAnsi="Arial" w:cs="Arial"/>
          <w:b/>
          <w:bCs/>
        </w:rPr>
      </w:pPr>
      <w:r>
        <w:rPr>
          <w:rFonts w:ascii="Arial" w:hAnsi="Arial" w:cs="Arial"/>
          <w:b/>
          <w:bCs/>
        </w:rPr>
        <w:t>Biological information</w:t>
      </w:r>
    </w:p>
    <w:p w14:paraId="55E6B02F"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Can you provide any additional or alternative references, information or estimates on longevity, average life span and generation length?</w:t>
      </w:r>
    </w:p>
    <w:p w14:paraId="0E01D19F" w14:textId="77777777" w:rsidR="0009196C" w:rsidRPr="001D1863" w:rsidRDefault="0009196C" w:rsidP="0009196C">
      <w:pPr>
        <w:pStyle w:val="ListParagraph"/>
        <w:autoSpaceDE w:val="0"/>
        <w:autoSpaceDN w:val="0"/>
        <w:adjustRightInd w:val="0"/>
        <w:ind w:left="360"/>
        <w:rPr>
          <w:rFonts w:ascii="Arial" w:hAnsi="Arial" w:cs="Arial"/>
        </w:rPr>
      </w:pPr>
    </w:p>
    <w:p w14:paraId="76D36C5E"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Do you have any additional information on the ecology or biology of the species/subspecies not in the current advice?</w:t>
      </w:r>
    </w:p>
    <w:p w14:paraId="27F1476A" w14:textId="77777777" w:rsidR="0009196C" w:rsidRPr="001D1863" w:rsidRDefault="0009196C" w:rsidP="0009196C">
      <w:pPr>
        <w:autoSpaceDE w:val="0"/>
        <w:autoSpaceDN w:val="0"/>
        <w:adjustRightInd w:val="0"/>
        <w:rPr>
          <w:rFonts w:ascii="Arial" w:hAnsi="Arial" w:cs="Arial"/>
        </w:rPr>
      </w:pPr>
    </w:p>
    <w:p w14:paraId="6E4D6B52" w14:textId="77777777" w:rsidR="0009196C" w:rsidRPr="001D1863" w:rsidRDefault="0009196C" w:rsidP="0009196C">
      <w:pPr>
        <w:autoSpaceDE w:val="0"/>
        <w:autoSpaceDN w:val="0"/>
        <w:adjustRightInd w:val="0"/>
        <w:ind w:left="1560" w:hanging="1560"/>
        <w:rPr>
          <w:rFonts w:ascii="Arial" w:hAnsi="Arial" w:cs="Arial"/>
          <w:b/>
        </w:rPr>
      </w:pPr>
      <w:r w:rsidRPr="001D1863">
        <w:rPr>
          <w:rFonts w:ascii="Arial" w:hAnsi="Arial" w:cs="Arial"/>
          <w:b/>
          <w:u w:val="single"/>
        </w:rPr>
        <w:t>SECTION C</w:t>
      </w:r>
      <w:r w:rsidRPr="001D1863">
        <w:rPr>
          <w:rFonts w:ascii="Arial" w:hAnsi="Arial" w:cs="Arial"/>
        </w:rPr>
        <w:tab/>
      </w:r>
      <w:r w:rsidRPr="001D1863">
        <w:rPr>
          <w:rFonts w:ascii="Arial" w:hAnsi="Arial" w:cs="Arial"/>
          <w:b/>
        </w:rPr>
        <w:t>ARE YOU AWARE OF THE STATUS OF THE TOTAL NATIONAL POPULATION OF THE SPECIES? (If no, skip to section D)</w:t>
      </w:r>
    </w:p>
    <w:p w14:paraId="4B28D3A5" w14:textId="77777777" w:rsidR="0009196C" w:rsidRPr="001D1863" w:rsidRDefault="0009196C" w:rsidP="0009196C">
      <w:pPr>
        <w:autoSpaceDE w:val="0"/>
        <w:autoSpaceDN w:val="0"/>
        <w:adjustRightInd w:val="0"/>
        <w:rPr>
          <w:rFonts w:ascii="Arial,Bold" w:hAnsi="Arial,Bold" w:cs="Arial,Bold"/>
          <w:b/>
          <w:bCs/>
        </w:rPr>
      </w:pPr>
      <w:r w:rsidRPr="001D1863">
        <w:rPr>
          <w:rFonts w:ascii="Arial,Bold" w:hAnsi="Arial,Bold" w:cs="Arial,Bold"/>
          <w:b/>
          <w:bCs/>
        </w:rPr>
        <w:t>Population size</w:t>
      </w:r>
    </w:p>
    <w:p w14:paraId="1FB9F95B"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Has the survey effort for this taxon been adequate to determine its national adult population size? If not, please provide justification for your response.</w:t>
      </w:r>
    </w:p>
    <w:p w14:paraId="3C9FDF77" w14:textId="77777777" w:rsidR="0009196C" w:rsidRPr="001D1863" w:rsidRDefault="0009196C" w:rsidP="0009196C">
      <w:pPr>
        <w:pStyle w:val="ListParagraph"/>
        <w:autoSpaceDE w:val="0"/>
        <w:autoSpaceDN w:val="0"/>
        <w:adjustRightInd w:val="0"/>
        <w:ind w:left="360"/>
        <w:rPr>
          <w:rFonts w:ascii="Arial" w:hAnsi="Arial" w:cs="Arial"/>
        </w:rPr>
      </w:pPr>
    </w:p>
    <w:p w14:paraId="5C4CB60A"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 If not, please provide justification for your response.</w:t>
      </w:r>
    </w:p>
    <w:p w14:paraId="05F0875C" w14:textId="77777777" w:rsidR="0009196C" w:rsidRPr="001D1863" w:rsidRDefault="0009196C" w:rsidP="0009196C">
      <w:pPr>
        <w:pStyle w:val="ListParagraph"/>
        <w:autoSpaceDE w:val="0"/>
        <w:autoSpaceDN w:val="0"/>
        <w:adjustRightInd w:val="0"/>
        <w:ind w:left="360"/>
        <w:rPr>
          <w:rFonts w:ascii="Arial" w:hAnsi="Arial" w:cs="Arial"/>
        </w:rPr>
      </w:pPr>
    </w:p>
    <w:p w14:paraId="77859335"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If not, can you provide a further estimate of the current population size of mature adults of the species (national extent)? Please provide supporting justification or other information.</w:t>
      </w:r>
    </w:p>
    <w:p w14:paraId="5A6D60B2" w14:textId="77777777" w:rsidR="0009196C" w:rsidRPr="001D1863" w:rsidRDefault="0009196C" w:rsidP="0009196C">
      <w:pPr>
        <w:pStyle w:val="ListParagraph"/>
        <w:autoSpaceDE w:val="0"/>
        <w:autoSpaceDN w:val="0"/>
        <w:adjustRightInd w:val="0"/>
        <w:ind w:left="360"/>
        <w:rPr>
          <w:rFonts w:ascii="Arial" w:hAnsi="Arial" w:cs="Arial"/>
        </w:rPr>
      </w:pPr>
    </w:p>
    <w:p w14:paraId="3A8CC195" w14:textId="6A37A6D9" w:rsidR="0009196C" w:rsidRPr="000164D8" w:rsidRDefault="0009196C" w:rsidP="000164D8">
      <w:pPr>
        <w:pStyle w:val="ListParagraph"/>
        <w:autoSpaceDE w:val="0"/>
        <w:autoSpaceDN w:val="0"/>
        <w:adjustRightInd w:val="0"/>
        <w:ind w:left="360"/>
        <w:rPr>
          <w:rFonts w:ascii="Arial" w:hAnsi="Arial" w:cs="Arial"/>
        </w:rPr>
      </w:pPr>
      <w:r w:rsidRPr="001D1863">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sidRPr="001D1863">
        <w:rPr>
          <w:rFonts w:ascii="Arial" w:hAnsi="Arial" w:cs="Arial"/>
        </w:rPr>
        <w:t>and also</w:t>
      </w:r>
      <w:proofErr w:type="gramEnd"/>
      <w:r w:rsidRPr="001D1863">
        <w:rPr>
          <w:rFonts w:ascii="Arial" w:hAnsi="Arial" w:cs="Arial"/>
        </w:rPr>
        <w:t xml:space="preserve"> choose the level of confidence you have in this estimate:</w:t>
      </w:r>
    </w:p>
    <w:p w14:paraId="44EB3E15" w14:textId="77777777" w:rsidR="0009196C" w:rsidRPr="001D1863" w:rsidRDefault="0009196C" w:rsidP="000164D8">
      <w:pPr>
        <w:pStyle w:val="ListParagraph"/>
        <w:keepNext/>
        <w:keepLines/>
        <w:autoSpaceDE w:val="0"/>
        <w:autoSpaceDN w:val="0"/>
        <w:adjustRightInd w:val="0"/>
        <w:ind w:left="357"/>
        <w:rPr>
          <w:rFonts w:ascii="Arial" w:hAnsi="Arial" w:cs="Arial"/>
        </w:rPr>
      </w:pPr>
      <w:r w:rsidRPr="001D1863">
        <w:rPr>
          <w:rFonts w:ascii="Arial" w:hAnsi="Arial" w:cs="Arial"/>
        </w:rPr>
        <w:lastRenderedPageBreak/>
        <w:t>Number of mature individuals is estimated to be in the range of:</w:t>
      </w:r>
    </w:p>
    <w:p w14:paraId="0FB97403" w14:textId="77777777" w:rsidR="0009196C" w:rsidRPr="001D1863" w:rsidRDefault="0009196C" w:rsidP="000164D8">
      <w:pPr>
        <w:pStyle w:val="ListParagraph"/>
        <w:keepNext/>
        <w:keepLines/>
        <w:autoSpaceDE w:val="0"/>
        <w:autoSpaceDN w:val="0"/>
        <w:adjustRightInd w:val="0"/>
        <w:ind w:left="357"/>
        <w:rPr>
          <w:rFonts w:ascii="Arial" w:hAnsi="Arial" w:cs="Arial"/>
          <w:color w:val="FF0000"/>
        </w:rPr>
      </w:pPr>
      <w:r w:rsidRPr="001D1863">
        <w:rPr>
          <w:rFonts w:ascii="Arial" w:hAnsi="Arial" w:cs="Arial"/>
          <w:sz w:val="44"/>
          <w:szCs w:val="44"/>
        </w:rPr>
        <w:t>□</w:t>
      </w:r>
      <w:r w:rsidRPr="001D1863">
        <w:rPr>
          <w:rFonts w:ascii="Arial" w:hAnsi="Arial" w:cs="Arial"/>
        </w:rPr>
        <w:t xml:space="preserve"> 1–50 </w:t>
      </w:r>
      <w:r w:rsidRPr="001D1863">
        <w:rPr>
          <w:rFonts w:ascii="Arial" w:hAnsi="Arial" w:cs="Arial"/>
          <w:sz w:val="44"/>
          <w:szCs w:val="44"/>
        </w:rPr>
        <w:t>□</w:t>
      </w:r>
      <w:r w:rsidRPr="001D1863">
        <w:rPr>
          <w:rFonts w:ascii="Arial" w:hAnsi="Arial" w:cs="Arial"/>
        </w:rPr>
        <w:t xml:space="preserve"> 51–250 </w:t>
      </w:r>
      <w:r w:rsidRPr="001D1863">
        <w:rPr>
          <w:rFonts w:ascii="Arial" w:hAnsi="Arial" w:cs="Arial"/>
          <w:sz w:val="44"/>
          <w:szCs w:val="44"/>
        </w:rPr>
        <w:t>□</w:t>
      </w:r>
      <w:r w:rsidRPr="001D1863">
        <w:rPr>
          <w:rFonts w:ascii="Arial" w:hAnsi="Arial" w:cs="Arial"/>
        </w:rPr>
        <w:t xml:space="preserve"> 251–1,000</w:t>
      </w:r>
      <w:r w:rsidRPr="001D1863">
        <w:rPr>
          <w:rFonts w:ascii="Arial" w:hAnsi="Arial" w:cs="Arial"/>
          <w:sz w:val="44"/>
          <w:szCs w:val="44"/>
        </w:rPr>
        <w:t xml:space="preserve"> □ </w:t>
      </w:r>
      <w:r w:rsidRPr="001D1863">
        <w:rPr>
          <w:rFonts w:ascii="Arial" w:hAnsi="Arial" w:cs="Arial"/>
        </w:rPr>
        <w:t xml:space="preserve">&gt;1,000 </w:t>
      </w:r>
      <w:r w:rsidRPr="001D1863">
        <w:rPr>
          <w:rFonts w:ascii="Arial" w:hAnsi="Arial" w:cs="Arial"/>
          <w:sz w:val="44"/>
          <w:szCs w:val="44"/>
        </w:rPr>
        <w:t>□</w:t>
      </w:r>
      <w:r w:rsidRPr="001D1863">
        <w:rPr>
          <w:rFonts w:ascii="Arial" w:hAnsi="Arial" w:cs="Arial"/>
        </w:rPr>
        <w:t xml:space="preserve"> &gt;10,000</w:t>
      </w:r>
    </w:p>
    <w:p w14:paraId="58A45C66" w14:textId="77777777" w:rsidR="0009196C" w:rsidRPr="001D1863" w:rsidRDefault="0009196C" w:rsidP="0009196C">
      <w:pPr>
        <w:pStyle w:val="ListParagraph"/>
        <w:autoSpaceDE w:val="0"/>
        <w:autoSpaceDN w:val="0"/>
        <w:adjustRightInd w:val="0"/>
        <w:ind w:left="360"/>
        <w:rPr>
          <w:rFonts w:ascii="Arial" w:hAnsi="Arial" w:cs="Arial"/>
        </w:rPr>
      </w:pPr>
    </w:p>
    <w:p w14:paraId="34798F92" w14:textId="77777777" w:rsidR="0009196C" w:rsidRPr="001D1863" w:rsidRDefault="0009196C" w:rsidP="0009196C">
      <w:pPr>
        <w:pStyle w:val="ListParagraph"/>
        <w:keepNext/>
        <w:keepLines/>
        <w:autoSpaceDE w:val="0"/>
        <w:autoSpaceDN w:val="0"/>
        <w:adjustRightInd w:val="0"/>
        <w:ind w:left="357"/>
        <w:rPr>
          <w:rFonts w:ascii="Arial" w:hAnsi="Arial" w:cs="Arial"/>
        </w:rPr>
      </w:pPr>
      <w:r w:rsidRPr="001D1863">
        <w:rPr>
          <w:rFonts w:ascii="Arial" w:hAnsi="Arial" w:cs="Arial"/>
        </w:rPr>
        <w:t>Level of your confidence in this estimate:</w:t>
      </w:r>
    </w:p>
    <w:p w14:paraId="368597B3" w14:textId="77777777" w:rsidR="0009196C" w:rsidRPr="001D1863" w:rsidRDefault="0009196C" w:rsidP="0009196C">
      <w:pPr>
        <w:pStyle w:val="ListParagraph"/>
        <w:keepNext/>
        <w:keepLines/>
        <w:autoSpaceDE w:val="0"/>
        <w:autoSpaceDN w:val="0"/>
        <w:adjustRightInd w:val="0"/>
        <w:ind w:left="357"/>
        <w:rPr>
          <w:rFonts w:ascii="Arial" w:hAnsi="Arial" w:cs="Arial"/>
        </w:rPr>
      </w:pPr>
      <w:r w:rsidRPr="001D1863">
        <w:rPr>
          <w:rFonts w:ascii="Arial" w:hAnsi="Arial" w:cs="Arial"/>
          <w:sz w:val="44"/>
          <w:szCs w:val="44"/>
        </w:rPr>
        <w:t>□</w:t>
      </w:r>
      <w:r w:rsidRPr="001D1863">
        <w:rPr>
          <w:rFonts w:ascii="Arial" w:hAnsi="Arial" w:cs="Arial"/>
        </w:rPr>
        <w:t xml:space="preserve"> 0–30% - low level of certainty/a bit of a guess/not much information to go on</w:t>
      </w:r>
    </w:p>
    <w:p w14:paraId="3E1988B1" w14:textId="77777777" w:rsidR="0009196C" w:rsidRPr="001D1863" w:rsidRDefault="0009196C" w:rsidP="0009196C">
      <w:pPr>
        <w:pStyle w:val="ListParagraph"/>
        <w:keepNext/>
        <w:keepLines/>
        <w:autoSpaceDE w:val="0"/>
        <w:autoSpaceDN w:val="0"/>
        <w:adjustRightInd w:val="0"/>
        <w:ind w:left="357"/>
        <w:rPr>
          <w:rFonts w:ascii="Arial" w:hAnsi="Arial" w:cs="Arial"/>
        </w:rPr>
      </w:pPr>
      <w:r w:rsidRPr="001D1863">
        <w:rPr>
          <w:rFonts w:ascii="Arial" w:hAnsi="Arial" w:cs="Arial"/>
          <w:sz w:val="44"/>
          <w:szCs w:val="44"/>
        </w:rPr>
        <w:t>□</w:t>
      </w:r>
      <w:r w:rsidRPr="001D1863">
        <w:rPr>
          <w:rFonts w:ascii="Arial" w:hAnsi="Arial" w:cs="Arial"/>
        </w:rPr>
        <w:t xml:space="preserve"> 31–50% - more than a guess, some level of supporting evidence</w:t>
      </w:r>
    </w:p>
    <w:p w14:paraId="749DBFE5" w14:textId="77777777" w:rsidR="0009196C" w:rsidRPr="001D1863" w:rsidRDefault="0009196C" w:rsidP="0009196C">
      <w:pPr>
        <w:pStyle w:val="ListParagraph"/>
        <w:autoSpaceDE w:val="0"/>
        <w:autoSpaceDN w:val="0"/>
        <w:adjustRightInd w:val="0"/>
        <w:ind w:left="360"/>
        <w:rPr>
          <w:rFonts w:ascii="Arial" w:hAnsi="Arial" w:cs="Arial"/>
        </w:rPr>
      </w:pPr>
      <w:r w:rsidRPr="001D1863">
        <w:rPr>
          <w:rFonts w:ascii="Arial" w:hAnsi="Arial" w:cs="Arial"/>
          <w:sz w:val="44"/>
          <w:szCs w:val="44"/>
        </w:rPr>
        <w:t>□</w:t>
      </w:r>
      <w:r w:rsidRPr="001D1863">
        <w:rPr>
          <w:rFonts w:ascii="Arial" w:hAnsi="Arial" w:cs="Arial"/>
        </w:rPr>
        <w:t xml:space="preserve"> 51–95% - reasonably certain, information suggests this range</w:t>
      </w:r>
    </w:p>
    <w:p w14:paraId="62D7ACF9" w14:textId="77777777" w:rsidR="0009196C" w:rsidRPr="001D1863" w:rsidRDefault="0009196C" w:rsidP="0009196C">
      <w:pPr>
        <w:pStyle w:val="ListParagraph"/>
        <w:autoSpaceDE w:val="0"/>
        <w:autoSpaceDN w:val="0"/>
        <w:adjustRightInd w:val="0"/>
        <w:ind w:left="360"/>
        <w:rPr>
          <w:rFonts w:ascii="Arial" w:hAnsi="Arial" w:cs="Arial"/>
        </w:rPr>
      </w:pPr>
      <w:r w:rsidRPr="001D1863">
        <w:rPr>
          <w:rFonts w:ascii="Arial" w:hAnsi="Arial" w:cs="Arial"/>
          <w:sz w:val="44"/>
          <w:szCs w:val="44"/>
        </w:rPr>
        <w:t xml:space="preserve">□ </w:t>
      </w:r>
      <w:r w:rsidRPr="001D1863">
        <w:rPr>
          <w:rFonts w:ascii="Arial" w:hAnsi="Arial" w:cs="Arial"/>
        </w:rPr>
        <w:t>95–100% - high level of certainty, information indicates quantity within this range</w:t>
      </w:r>
    </w:p>
    <w:p w14:paraId="0713C52C" w14:textId="77777777" w:rsidR="0009196C" w:rsidRPr="001D1863" w:rsidRDefault="0009196C" w:rsidP="0009196C">
      <w:pPr>
        <w:pStyle w:val="ListParagraph"/>
        <w:autoSpaceDE w:val="0"/>
        <w:autoSpaceDN w:val="0"/>
        <w:adjustRightInd w:val="0"/>
        <w:ind w:left="360"/>
        <w:rPr>
          <w:rFonts w:ascii="Arial" w:hAnsi="Arial" w:cs="Arial"/>
        </w:rPr>
      </w:pPr>
      <w:r w:rsidRPr="001D1863">
        <w:rPr>
          <w:rFonts w:ascii="Arial" w:hAnsi="Arial" w:cs="Arial"/>
          <w:sz w:val="44"/>
          <w:szCs w:val="44"/>
        </w:rPr>
        <w:t xml:space="preserve">□ </w:t>
      </w:r>
      <w:r w:rsidRPr="001D1863">
        <w:rPr>
          <w:rFonts w:ascii="Arial" w:hAnsi="Arial" w:cs="Arial"/>
        </w:rPr>
        <w:t>99–100% - very high level of certainty, data are accurate within this range</w:t>
      </w:r>
    </w:p>
    <w:p w14:paraId="6E0EA57F" w14:textId="77777777" w:rsidR="0009196C" w:rsidRPr="001D1863" w:rsidRDefault="0009196C" w:rsidP="0009196C">
      <w:pPr>
        <w:autoSpaceDE w:val="0"/>
        <w:autoSpaceDN w:val="0"/>
        <w:adjustRightInd w:val="0"/>
        <w:ind w:left="1560" w:hanging="1560"/>
        <w:rPr>
          <w:rFonts w:ascii="Arial" w:hAnsi="Arial" w:cs="Arial"/>
          <w:b/>
        </w:rPr>
      </w:pPr>
      <w:r w:rsidRPr="001D1863">
        <w:rPr>
          <w:rFonts w:ascii="Arial" w:hAnsi="Arial" w:cs="Arial"/>
          <w:b/>
          <w:u w:val="single"/>
        </w:rPr>
        <w:t>SECTION D</w:t>
      </w:r>
      <w:r w:rsidRPr="001D1863">
        <w:rPr>
          <w:rFonts w:ascii="Arial" w:hAnsi="Arial" w:cs="Arial"/>
        </w:rPr>
        <w:tab/>
      </w:r>
      <w:r w:rsidRPr="001D1863">
        <w:rPr>
          <w:rFonts w:ascii="Arial" w:hAnsi="Arial" w:cs="Arial"/>
          <w:b/>
        </w:rPr>
        <w:t>ARE YOU AWARE OF TRENDS IN THE OVERALL POPULATION OF THE SPECIES? (If no, skip to section E)</w:t>
      </w:r>
    </w:p>
    <w:p w14:paraId="09A242C6"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 w:hAnsi="Arial" w:cs="Arial"/>
        </w:rPr>
      </w:pPr>
      <w:r w:rsidRPr="001D1863">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3B4E15FD" w14:textId="77777777" w:rsidR="0009196C" w:rsidRDefault="0009196C" w:rsidP="0009196C">
      <w:pPr>
        <w:autoSpaceDE w:val="0"/>
        <w:autoSpaceDN w:val="0"/>
        <w:adjustRightInd w:val="0"/>
        <w:rPr>
          <w:rFonts w:ascii="Arial,Bold" w:hAnsi="Arial,Bold" w:cs="Arial,Bold"/>
          <w:b/>
          <w:bCs/>
        </w:rPr>
      </w:pPr>
    </w:p>
    <w:p w14:paraId="5EBD454D" w14:textId="56594F8F" w:rsidR="0009196C" w:rsidRPr="001D1863" w:rsidRDefault="0009196C" w:rsidP="0009196C">
      <w:pPr>
        <w:autoSpaceDE w:val="0"/>
        <w:autoSpaceDN w:val="0"/>
        <w:adjustRightInd w:val="0"/>
        <w:rPr>
          <w:rFonts w:ascii="Arial" w:hAnsi="Arial" w:cs="Arial"/>
        </w:rPr>
      </w:pPr>
      <w:r w:rsidRPr="001D1863">
        <w:rPr>
          <w:rFonts w:ascii="Arial,Bold" w:hAnsi="Arial,Bold" w:cs="Arial,Bold"/>
          <w:b/>
          <w:bCs/>
        </w:rPr>
        <w:t>Evidence of total population size change</w:t>
      </w:r>
    </w:p>
    <w:p w14:paraId="2FA44EEE" w14:textId="77777777" w:rsidR="0009196C" w:rsidRPr="001D1863" w:rsidRDefault="0009196C" w:rsidP="0009196C">
      <w:pPr>
        <w:pStyle w:val="ListParagraph"/>
        <w:numPr>
          <w:ilvl w:val="0"/>
          <w:numId w:val="20"/>
        </w:numPr>
        <w:autoSpaceDE w:val="0"/>
        <w:autoSpaceDN w:val="0"/>
        <w:adjustRightInd w:val="0"/>
        <w:spacing w:after="0" w:line="240" w:lineRule="auto"/>
        <w:rPr>
          <w:rFonts w:ascii="Arial,Italic" w:hAnsi="Arial,Italic" w:cs="Arial,Italic"/>
          <w:i/>
          <w:iCs/>
        </w:rPr>
      </w:pPr>
      <w:r w:rsidRPr="001D1863">
        <w:rPr>
          <w:rFonts w:ascii="Arial" w:hAnsi="Arial" w:cs="Arial"/>
        </w:rPr>
        <w:t>Are you able to provide an estimate of the total population size during the early 1940s? Please provide justification for your response.</w:t>
      </w:r>
    </w:p>
    <w:p w14:paraId="4D74BBA7" w14:textId="77777777" w:rsidR="0009196C" w:rsidRDefault="0009196C" w:rsidP="0009196C">
      <w:pPr>
        <w:pStyle w:val="ListParagraph"/>
        <w:autoSpaceDE w:val="0"/>
        <w:autoSpaceDN w:val="0"/>
        <w:adjustRightInd w:val="0"/>
        <w:ind w:left="360"/>
        <w:rPr>
          <w:rFonts w:ascii="Arial,Italic" w:hAnsi="Arial,Italic" w:cs="Arial,Italic"/>
          <w:i/>
          <w:iCs/>
        </w:rPr>
      </w:pPr>
    </w:p>
    <w:p w14:paraId="124FE28B"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1DB29F0D" w14:textId="77777777" w:rsidR="0009196C" w:rsidRDefault="0009196C" w:rsidP="0009196C">
      <w:pPr>
        <w:pStyle w:val="ListParagraph"/>
        <w:autoSpaceDE w:val="0"/>
        <w:autoSpaceDN w:val="0"/>
        <w:adjustRightInd w:val="0"/>
        <w:ind w:left="360"/>
        <w:rPr>
          <w:rFonts w:ascii="Arial" w:hAnsi="Arial" w:cs="Arial"/>
        </w:rPr>
      </w:pPr>
    </w:p>
    <w:p w14:paraId="688C842C"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71B76CA4"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1–50 </w:t>
      </w:r>
      <w:r>
        <w:rPr>
          <w:rFonts w:ascii="Arial" w:hAnsi="Arial" w:cs="Arial"/>
          <w:sz w:val="44"/>
          <w:szCs w:val="44"/>
        </w:rPr>
        <w:t>□</w:t>
      </w:r>
      <w:r>
        <w:rPr>
          <w:rFonts w:ascii="Arial" w:hAnsi="Arial" w:cs="Arial"/>
        </w:rPr>
        <w:t xml:space="preserve"> 51–250 </w:t>
      </w:r>
      <w:r>
        <w:rPr>
          <w:rFonts w:ascii="Arial" w:hAnsi="Arial" w:cs="Arial"/>
          <w:sz w:val="44"/>
          <w:szCs w:val="44"/>
        </w:rPr>
        <w:t>□</w:t>
      </w:r>
      <w:r>
        <w:rPr>
          <w:rFonts w:ascii="Arial" w:hAnsi="Arial" w:cs="Arial"/>
        </w:rPr>
        <w:t xml:space="preserve"> 251–1,000 </w:t>
      </w:r>
      <w:r>
        <w:rPr>
          <w:rFonts w:ascii="Arial" w:hAnsi="Arial" w:cs="Arial"/>
          <w:sz w:val="44"/>
          <w:szCs w:val="44"/>
        </w:rPr>
        <w:t>□</w:t>
      </w:r>
      <w:r>
        <w:rPr>
          <w:rFonts w:ascii="Arial" w:hAnsi="Arial" w:cs="Arial"/>
        </w:rPr>
        <w:t xml:space="preserve"> &gt;1,000 </w:t>
      </w:r>
      <w:r>
        <w:rPr>
          <w:rFonts w:ascii="Arial" w:hAnsi="Arial" w:cs="Arial"/>
          <w:sz w:val="44"/>
          <w:szCs w:val="44"/>
        </w:rPr>
        <w:t>□</w:t>
      </w:r>
      <w:r>
        <w:rPr>
          <w:rFonts w:ascii="Arial" w:hAnsi="Arial" w:cs="Arial"/>
        </w:rPr>
        <w:t xml:space="preserve"> &gt;10,000</w:t>
      </w:r>
    </w:p>
    <w:p w14:paraId="24CFB58F" w14:textId="77777777" w:rsidR="0009196C" w:rsidRDefault="0009196C" w:rsidP="0009196C">
      <w:pPr>
        <w:pStyle w:val="ListParagraph"/>
        <w:autoSpaceDE w:val="0"/>
        <w:autoSpaceDN w:val="0"/>
        <w:adjustRightInd w:val="0"/>
        <w:ind w:left="360"/>
        <w:rPr>
          <w:rFonts w:ascii="Arial" w:hAnsi="Arial" w:cs="Arial"/>
        </w:rPr>
      </w:pPr>
    </w:p>
    <w:p w14:paraId="4F74EAAB"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535B730B"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certainty/a bit of a guess/not much information to go on</w:t>
      </w:r>
    </w:p>
    <w:p w14:paraId="76594D6D"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AFC4608"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1B178F6E"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71E61F5D" w14:textId="77777777" w:rsidR="0009196C" w:rsidRDefault="0009196C" w:rsidP="0009196C">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244E19AA" w14:textId="77777777" w:rsidR="0009196C" w:rsidRDefault="0009196C" w:rsidP="0009196C">
      <w:pPr>
        <w:autoSpaceDE w:val="0"/>
        <w:autoSpaceDN w:val="0"/>
        <w:adjustRightInd w:val="0"/>
        <w:rPr>
          <w:rFonts w:ascii="Arial,Italic" w:hAnsi="Arial,Italic" w:cs="Arial,Italic"/>
          <w:i/>
          <w:iCs/>
        </w:rPr>
      </w:pPr>
    </w:p>
    <w:p w14:paraId="5A8B7F98" w14:textId="77777777" w:rsidR="0009196C" w:rsidRDefault="0009196C" w:rsidP="00BA4A5E">
      <w:pPr>
        <w:pStyle w:val="ListParagraph"/>
        <w:numPr>
          <w:ilvl w:val="0"/>
          <w:numId w:val="20"/>
        </w:numPr>
        <w:autoSpaceDE w:val="0"/>
        <w:autoSpaceDN w:val="0"/>
        <w:adjustRightInd w:val="0"/>
        <w:spacing w:after="0" w:line="240" w:lineRule="auto"/>
        <w:rPr>
          <w:rFonts w:ascii="Arial" w:hAnsi="Arial" w:cs="Arial"/>
        </w:rPr>
      </w:pPr>
      <w:r w:rsidRPr="0009196C">
        <w:rPr>
          <w:rFonts w:ascii="Arial" w:hAnsi="Arial" w:cs="Arial"/>
        </w:rPr>
        <w:t>Are you able to comment on the extent of decline in the species’ total population size over the last approximately 80 years? Please provide justification for your response.</w:t>
      </w:r>
    </w:p>
    <w:p w14:paraId="0EFFDD09" w14:textId="77777777" w:rsidR="0009196C" w:rsidRDefault="0009196C" w:rsidP="0009196C">
      <w:pPr>
        <w:pStyle w:val="ListParagraph"/>
        <w:autoSpaceDE w:val="0"/>
        <w:autoSpaceDN w:val="0"/>
        <w:adjustRightInd w:val="0"/>
        <w:spacing w:before="240" w:after="0" w:line="240" w:lineRule="auto"/>
        <w:ind w:left="357"/>
        <w:contextualSpacing w:val="0"/>
        <w:rPr>
          <w:rFonts w:ascii="Arial" w:hAnsi="Arial" w:cs="Arial"/>
        </w:rPr>
      </w:pPr>
      <w:r w:rsidRPr="0009196C">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sidRPr="0009196C">
        <w:rPr>
          <w:rFonts w:ascii="Arial" w:hAnsi="Arial" w:cs="Arial"/>
        </w:rPr>
        <w:t>and also</w:t>
      </w:r>
      <w:proofErr w:type="gramEnd"/>
      <w:r w:rsidRPr="0009196C">
        <w:rPr>
          <w:rFonts w:ascii="Arial" w:hAnsi="Arial" w:cs="Arial"/>
        </w:rPr>
        <w:t xml:space="preserve"> choose the level of confidence you have in this estimated range.</w:t>
      </w:r>
    </w:p>
    <w:p w14:paraId="3BC85617" w14:textId="36FFD0F3" w:rsidR="0009196C" w:rsidRDefault="0009196C" w:rsidP="0009196C">
      <w:pPr>
        <w:pStyle w:val="ListParagraph"/>
        <w:autoSpaceDE w:val="0"/>
        <w:autoSpaceDN w:val="0"/>
        <w:adjustRightInd w:val="0"/>
        <w:spacing w:before="240" w:after="0" w:line="240" w:lineRule="auto"/>
        <w:ind w:left="357"/>
        <w:contextualSpacing w:val="0"/>
        <w:rPr>
          <w:rFonts w:ascii="Arial" w:hAnsi="Arial" w:cs="Arial"/>
        </w:rPr>
      </w:pPr>
      <w:r>
        <w:rPr>
          <w:rFonts w:ascii="Arial" w:hAnsi="Arial" w:cs="Arial"/>
        </w:rPr>
        <w:t>Decline estimated to be in the range of:</w:t>
      </w:r>
    </w:p>
    <w:p w14:paraId="5D452F82" w14:textId="44171851" w:rsidR="0009196C" w:rsidRDefault="0009196C" w:rsidP="0009196C">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423C6A2A" w14:textId="77777777" w:rsidR="0009196C" w:rsidRDefault="0009196C" w:rsidP="0009196C">
      <w:pPr>
        <w:autoSpaceDE w:val="0"/>
        <w:autoSpaceDN w:val="0"/>
        <w:adjustRightInd w:val="0"/>
        <w:ind w:left="360"/>
        <w:rPr>
          <w:rFonts w:ascii="Arial" w:hAnsi="Arial" w:cs="Arial"/>
        </w:rPr>
      </w:pPr>
      <w:r>
        <w:rPr>
          <w:rFonts w:ascii="Arial" w:hAnsi="Arial" w:cs="Arial"/>
        </w:rPr>
        <w:t>Level of your confidence in this estimated decline:</w:t>
      </w:r>
    </w:p>
    <w:p w14:paraId="22C1A23B" w14:textId="77777777" w:rsidR="0009196C" w:rsidRDefault="0009196C" w:rsidP="0009196C">
      <w:pPr>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79796428" w14:textId="77777777" w:rsidR="0009196C" w:rsidRDefault="0009196C" w:rsidP="0009196C">
      <w:pPr>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4104519C" w14:textId="77777777" w:rsidR="0009196C" w:rsidRDefault="0009196C" w:rsidP="0009196C">
      <w:pPr>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5DBBA9E8" w14:textId="77777777" w:rsidR="0009196C" w:rsidRDefault="0009196C" w:rsidP="0009196C">
      <w:pPr>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4B61063B" w14:textId="7E8307F9" w:rsidR="0009196C" w:rsidRDefault="0009196C" w:rsidP="0009196C">
      <w:pPr>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6438DFA5"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74E8B174" w14:textId="77777777" w:rsidR="0009196C" w:rsidRDefault="0009196C" w:rsidP="0009196C">
      <w:pPr>
        <w:autoSpaceDE w:val="0"/>
        <w:autoSpaceDN w:val="0"/>
        <w:adjustRightInd w:val="0"/>
        <w:rPr>
          <w:rFonts w:ascii="Arial" w:hAnsi="Arial" w:cs="Arial"/>
        </w:rPr>
      </w:pPr>
    </w:p>
    <w:p w14:paraId="18E7D922" w14:textId="6C25A669" w:rsidR="0009196C" w:rsidRDefault="0009196C" w:rsidP="0009196C">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381A3320" w14:textId="58D3FE3A" w:rsidR="0009196C" w:rsidRDefault="0009196C" w:rsidP="0009196C">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60281742"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 If not, please provide justification for your response.</w:t>
      </w:r>
    </w:p>
    <w:p w14:paraId="7D112780" w14:textId="77777777" w:rsidR="0009196C" w:rsidRDefault="0009196C" w:rsidP="0009196C">
      <w:pPr>
        <w:pStyle w:val="ListParagraph"/>
        <w:autoSpaceDE w:val="0"/>
        <w:autoSpaceDN w:val="0"/>
        <w:adjustRightInd w:val="0"/>
        <w:ind w:left="360"/>
        <w:rPr>
          <w:rFonts w:ascii="Arial" w:hAnsi="Arial" w:cs="Arial"/>
        </w:rPr>
      </w:pPr>
    </w:p>
    <w:p w14:paraId="16254241"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Has the survey effort for this species been adequate to determine its national distribution? If not, please provide justification for your response.</w:t>
      </w:r>
    </w:p>
    <w:p w14:paraId="2E6B68B1" w14:textId="77777777" w:rsidR="0009196C" w:rsidRDefault="0009196C" w:rsidP="0009196C">
      <w:pPr>
        <w:pStyle w:val="ListParagraph"/>
        <w:autoSpaceDE w:val="0"/>
        <w:autoSpaceDN w:val="0"/>
        <w:adjustRightInd w:val="0"/>
        <w:ind w:left="360"/>
        <w:rPr>
          <w:rFonts w:ascii="Arial" w:hAnsi="Arial" w:cs="Arial"/>
        </w:rPr>
      </w:pPr>
    </w:p>
    <w:p w14:paraId="699C272A"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2697606F" w14:textId="77777777" w:rsidR="0009196C" w:rsidRDefault="0009196C" w:rsidP="0009196C">
      <w:pPr>
        <w:pStyle w:val="ListParagraph"/>
        <w:autoSpaceDE w:val="0"/>
        <w:autoSpaceDN w:val="0"/>
        <w:adjustRightInd w:val="0"/>
        <w:ind w:left="360"/>
        <w:rPr>
          <w:rFonts w:ascii="Arial" w:hAnsi="Arial" w:cs="Arial"/>
        </w:rPr>
      </w:pPr>
    </w:p>
    <w:p w14:paraId="185B4490"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006211AC" w14:textId="77777777" w:rsidR="0009196C" w:rsidRDefault="0009196C" w:rsidP="0009196C">
      <w:pPr>
        <w:pStyle w:val="ListParagraph"/>
        <w:autoSpaceDE w:val="0"/>
        <w:autoSpaceDN w:val="0"/>
        <w:adjustRightInd w:val="0"/>
        <w:ind w:left="360"/>
        <w:rPr>
          <w:rFonts w:ascii="Arial" w:hAnsi="Arial" w:cs="Arial"/>
        </w:rPr>
      </w:pPr>
    </w:p>
    <w:p w14:paraId="4D4CA04A"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0FAE288E" w14:textId="77777777" w:rsidR="0009196C" w:rsidRDefault="0009196C" w:rsidP="0009196C">
      <w:pPr>
        <w:pStyle w:val="ListParagraph"/>
        <w:autoSpaceDE w:val="0"/>
        <w:autoSpaceDN w:val="0"/>
        <w:adjustRightInd w:val="0"/>
        <w:ind w:left="360"/>
        <w:rPr>
          <w:rFonts w:ascii="Arial" w:hAnsi="Arial" w:cs="Arial"/>
        </w:rPr>
      </w:pPr>
    </w:p>
    <w:p w14:paraId="3C7EB387" w14:textId="0E17AA46" w:rsidR="0009196C" w:rsidRDefault="0009196C" w:rsidP="0009196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3BA22B3" w14:textId="77777777" w:rsidR="0009196C" w:rsidRDefault="0009196C" w:rsidP="0009196C">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742FEF5E" w14:textId="20C1C73F"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6DFED977"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rPr>
        <w:t>Level of your confidence in this estimated extent of occurrence</w:t>
      </w:r>
    </w:p>
    <w:p w14:paraId="64E98EDB"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6F1A65A9"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2BAF922"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39F46731"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977BF59" w14:textId="47F03BF3" w:rsidR="0009196C" w:rsidRDefault="0009196C" w:rsidP="0009196C">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5D042492" w14:textId="7EDD969C" w:rsidR="0009196C" w:rsidRDefault="0009196C" w:rsidP="0009196C">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02FBE343" w14:textId="77777777" w:rsidR="0009196C" w:rsidRDefault="0009196C" w:rsidP="0009196C">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EF59ACB" w14:textId="3E39DBA3"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2F405C27" w14:textId="77777777" w:rsidR="0009196C" w:rsidRDefault="0009196C" w:rsidP="00677BE0">
      <w:pPr>
        <w:keepNext/>
        <w:keepLines/>
        <w:autoSpaceDE w:val="0"/>
        <w:autoSpaceDN w:val="0"/>
        <w:adjustRightInd w:val="0"/>
        <w:ind w:left="357"/>
        <w:rPr>
          <w:rFonts w:ascii="Arial" w:hAnsi="Arial" w:cs="Arial"/>
        </w:rPr>
      </w:pPr>
      <w:r>
        <w:rPr>
          <w:rFonts w:ascii="Arial" w:hAnsi="Arial" w:cs="Arial"/>
        </w:rPr>
        <w:lastRenderedPageBreak/>
        <w:t>Level of your confidence in this estimated extent of occurrence:</w:t>
      </w:r>
    </w:p>
    <w:p w14:paraId="531C0821" w14:textId="77777777" w:rsidR="0009196C" w:rsidRDefault="0009196C" w:rsidP="00677BE0">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7570AA29" w14:textId="77777777" w:rsidR="0009196C" w:rsidRDefault="0009196C" w:rsidP="00677BE0">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E3CCE5E" w14:textId="77777777" w:rsidR="0009196C" w:rsidRDefault="0009196C" w:rsidP="00677BE0">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DC5E681" w14:textId="77777777" w:rsidR="0009196C" w:rsidRDefault="0009196C" w:rsidP="00677BE0">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56E2E03" w14:textId="5454270E" w:rsidR="0009196C" w:rsidRPr="0009196C" w:rsidRDefault="0009196C" w:rsidP="00677BE0">
      <w:pPr>
        <w:keepNext/>
        <w:keepLines/>
        <w:autoSpaceDE w:val="0"/>
        <w:autoSpaceDN w:val="0"/>
        <w:adjustRightInd w:val="0"/>
        <w:ind w:left="357"/>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05D3957D" w14:textId="750151BD" w:rsidR="0009196C" w:rsidRDefault="0009196C" w:rsidP="0009196C">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15A6CB44" w14:textId="1418FA2E" w:rsidR="0009196C" w:rsidRPr="0009196C" w:rsidRDefault="0009196C" w:rsidP="0009196C">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3AD0A9D9"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7210C1DF" w14:textId="77777777" w:rsidR="0009196C" w:rsidRDefault="0009196C" w:rsidP="0009196C">
      <w:pPr>
        <w:pStyle w:val="ListParagraph"/>
        <w:autoSpaceDE w:val="0"/>
        <w:autoSpaceDN w:val="0"/>
        <w:adjustRightInd w:val="0"/>
        <w:ind w:left="360"/>
        <w:rPr>
          <w:rFonts w:ascii="Arial" w:hAnsi="Arial" w:cs="Arial"/>
        </w:rPr>
      </w:pPr>
    </w:p>
    <w:p w14:paraId="07EA7244"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482E3DB2" w14:textId="77777777" w:rsidR="0009196C" w:rsidRDefault="0009196C" w:rsidP="0009196C">
      <w:pPr>
        <w:pStyle w:val="ListParagraph"/>
        <w:autoSpaceDE w:val="0"/>
        <w:autoSpaceDN w:val="0"/>
        <w:adjustRightInd w:val="0"/>
        <w:ind w:left="360"/>
        <w:rPr>
          <w:rFonts w:ascii="Arial" w:hAnsi="Arial" w:cs="Arial"/>
        </w:rPr>
      </w:pPr>
    </w:p>
    <w:p w14:paraId="27B6E50C" w14:textId="2BD236E8" w:rsidR="0009196C" w:rsidRPr="0009196C" w:rsidRDefault="0009196C" w:rsidP="0009196C">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2E7DC5E4" w14:textId="77777777" w:rsidR="0009196C" w:rsidRDefault="0009196C" w:rsidP="0009196C">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4B069E2C" w14:textId="4E2A548A"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57EEE8C2"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rPr>
        <w:lastRenderedPageBreak/>
        <w:t>Level of your confidence in this estimated extent of occurrence</w:t>
      </w:r>
    </w:p>
    <w:p w14:paraId="03642E1A" w14:textId="77777777" w:rsidR="0009196C" w:rsidRDefault="0009196C" w:rsidP="0009196C">
      <w:pPr>
        <w:keepNext/>
        <w:keepLines/>
        <w:autoSpaceDE w:val="0"/>
        <w:autoSpaceDN w:val="0"/>
        <w:adjustRightInd w:val="0"/>
        <w:ind w:firstLine="357"/>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354943D5" w14:textId="77777777" w:rsidR="0009196C" w:rsidRDefault="0009196C" w:rsidP="0009196C">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56BC188C" w14:textId="77777777" w:rsidR="0009196C" w:rsidRDefault="0009196C" w:rsidP="0009196C">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906885B" w14:textId="77777777" w:rsidR="0009196C" w:rsidRDefault="0009196C" w:rsidP="0009196C">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3E722EC2" w14:textId="12483CB3" w:rsidR="0009196C" w:rsidRDefault="0009196C" w:rsidP="0009196C">
      <w:pPr>
        <w:keepNext/>
        <w:keepLines/>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58B8666E" w14:textId="51C8F1C2" w:rsidR="0009196C" w:rsidRPr="0009196C" w:rsidRDefault="0009196C" w:rsidP="0009196C">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53E8226" w14:textId="77777777" w:rsidR="0009196C" w:rsidRDefault="0009196C" w:rsidP="0009196C">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1FD7C78D" w14:textId="6DEA1736"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200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200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&gt;500 km</w:t>
      </w:r>
      <w:r>
        <w:rPr>
          <w:rFonts w:ascii="Arial" w:hAnsi="Arial" w:cs="Arial"/>
          <w:vertAlign w:val="superscript"/>
        </w:rPr>
        <w:t>2</w:t>
      </w:r>
    </w:p>
    <w:p w14:paraId="340F38BA" w14:textId="77777777" w:rsidR="0009196C" w:rsidRDefault="0009196C" w:rsidP="0009196C">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46FFFC81" w14:textId="77777777"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586BEE5" w14:textId="77777777"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D5655D1" w14:textId="77777777"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4273214" w14:textId="77777777" w:rsidR="0009196C" w:rsidRDefault="0009196C" w:rsidP="0009196C">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3C232443" w14:textId="5ADFC5E6" w:rsidR="0009196C" w:rsidRPr="0009196C" w:rsidRDefault="0009196C" w:rsidP="0009196C">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2B32EA2B" w14:textId="77777777" w:rsidR="0009196C" w:rsidRDefault="0009196C" w:rsidP="0009196C">
      <w:pPr>
        <w:keepNext/>
        <w:keepLines/>
        <w:shd w:val="clear" w:color="auto" w:fill="D9D9D9" w:themeFill="background1" w:themeFillShade="D9"/>
        <w:autoSpaceDE w:val="0"/>
        <w:autoSpaceDN w:val="0"/>
        <w:adjustRightInd w:val="0"/>
        <w:jc w:val="center"/>
        <w:rPr>
          <w:rFonts w:ascii="Arial" w:hAnsi="Arial" w:cs="Arial"/>
          <w:b/>
        </w:rPr>
      </w:pPr>
    </w:p>
    <w:p w14:paraId="5B4E4691" w14:textId="77777777" w:rsidR="0009196C" w:rsidRPr="009F43F9" w:rsidRDefault="0009196C" w:rsidP="0009196C">
      <w:pPr>
        <w:keepNext/>
        <w:keepLines/>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D3B6E95" w14:textId="77777777" w:rsidR="0009196C" w:rsidRDefault="0009196C" w:rsidP="0009196C">
      <w:pPr>
        <w:keepNext/>
        <w:keepLines/>
        <w:autoSpaceDE w:val="0"/>
        <w:autoSpaceDN w:val="0"/>
        <w:adjustRightInd w:val="0"/>
        <w:rPr>
          <w:rFonts w:ascii="Arial" w:hAnsi="Arial" w:cs="Arial"/>
        </w:rPr>
      </w:pPr>
    </w:p>
    <w:p w14:paraId="445EA016" w14:textId="3E8039DA" w:rsidR="0009196C" w:rsidRPr="0009196C" w:rsidRDefault="0009196C" w:rsidP="0009196C">
      <w:pPr>
        <w:keepNext/>
        <w:keepLines/>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7D3047ED"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40444A6E" w14:textId="77777777" w:rsidR="0009196C" w:rsidRDefault="0009196C" w:rsidP="0009196C">
      <w:pPr>
        <w:pStyle w:val="ListParagraph"/>
        <w:autoSpaceDE w:val="0"/>
        <w:autoSpaceDN w:val="0"/>
        <w:adjustRightInd w:val="0"/>
        <w:ind w:left="360"/>
        <w:rPr>
          <w:rFonts w:ascii="Arial" w:hAnsi="Arial" w:cs="Arial"/>
        </w:rPr>
      </w:pPr>
    </w:p>
    <w:p w14:paraId="16E83734"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 in the future?</w:t>
      </w:r>
    </w:p>
    <w:p w14:paraId="659A862D" w14:textId="77777777" w:rsidR="0009196C" w:rsidRDefault="0009196C" w:rsidP="0009196C">
      <w:pPr>
        <w:pStyle w:val="ListParagraph"/>
        <w:autoSpaceDE w:val="0"/>
        <w:autoSpaceDN w:val="0"/>
        <w:adjustRightInd w:val="0"/>
        <w:ind w:left="360"/>
        <w:rPr>
          <w:rFonts w:ascii="Arial" w:hAnsi="Arial" w:cs="Arial"/>
        </w:rPr>
      </w:pPr>
    </w:p>
    <w:p w14:paraId="741A66B4"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33E2F8FC" w14:textId="77777777" w:rsidR="0009196C" w:rsidRDefault="0009196C" w:rsidP="0009196C">
      <w:pPr>
        <w:pStyle w:val="ListParagraph"/>
        <w:autoSpaceDE w:val="0"/>
        <w:autoSpaceDN w:val="0"/>
        <w:adjustRightInd w:val="0"/>
        <w:ind w:left="360"/>
        <w:rPr>
          <w:rFonts w:ascii="Arial" w:hAnsi="Arial" w:cs="Arial"/>
        </w:rPr>
      </w:pPr>
    </w:p>
    <w:p w14:paraId="25769D1C"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 at any stage of its life cycle?</w:t>
      </w:r>
    </w:p>
    <w:p w14:paraId="5276128A" w14:textId="77777777" w:rsidR="0009196C" w:rsidRDefault="0009196C" w:rsidP="0009196C">
      <w:pPr>
        <w:pStyle w:val="ListParagraph"/>
        <w:autoSpaceDE w:val="0"/>
        <w:autoSpaceDN w:val="0"/>
        <w:adjustRightInd w:val="0"/>
        <w:ind w:left="360"/>
        <w:rPr>
          <w:rFonts w:ascii="Arial" w:hAnsi="Arial" w:cs="Arial"/>
        </w:rPr>
      </w:pPr>
    </w:p>
    <w:p w14:paraId="16B20A08"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47379CD6" w14:textId="77777777" w:rsidR="0009196C" w:rsidRDefault="0009196C" w:rsidP="0009196C">
      <w:pPr>
        <w:autoSpaceDE w:val="0"/>
        <w:autoSpaceDN w:val="0"/>
        <w:adjustRightInd w:val="0"/>
        <w:ind w:left="1560" w:hanging="1560"/>
        <w:rPr>
          <w:rFonts w:ascii="Arial,Bold" w:hAnsi="Arial,Bold" w:cs="Arial,Bold"/>
          <w:b/>
          <w:bCs/>
        </w:rPr>
      </w:pPr>
    </w:p>
    <w:p w14:paraId="0453E7F9" w14:textId="6485C2BC" w:rsidR="0009196C" w:rsidRPr="0009196C" w:rsidRDefault="0009196C" w:rsidP="0009196C">
      <w:pPr>
        <w:keepNext/>
        <w:keepLines/>
        <w:autoSpaceDE w:val="0"/>
        <w:autoSpaceDN w:val="0"/>
        <w:adjustRightInd w:val="0"/>
        <w:ind w:left="1559" w:hanging="1559"/>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21F6FCDF"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species? To what extent have they been effective?</w:t>
      </w:r>
    </w:p>
    <w:p w14:paraId="1B4FC072" w14:textId="77777777" w:rsidR="0009196C" w:rsidRDefault="0009196C" w:rsidP="0009196C">
      <w:pPr>
        <w:pStyle w:val="ListParagraph"/>
        <w:autoSpaceDE w:val="0"/>
        <w:autoSpaceDN w:val="0"/>
        <w:adjustRightInd w:val="0"/>
        <w:ind w:left="360"/>
        <w:rPr>
          <w:rFonts w:ascii="Arial" w:hAnsi="Arial" w:cs="Arial"/>
        </w:rPr>
      </w:pPr>
    </w:p>
    <w:p w14:paraId="5D968930"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w:t>
      </w:r>
    </w:p>
    <w:p w14:paraId="7319E3FB" w14:textId="77777777" w:rsidR="0009196C" w:rsidRDefault="0009196C" w:rsidP="0009196C">
      <w:pPr>
        <w:pStyle w:val="ListParagraph"/>
        <w:autoSpaceDE w:val="0"/>
        <w:autoSpaceDN w:val="0"/>
        <w:adjustRightInd w:val="0"/>
        <w:ind w:left="360"/>
        <w:rPr>
          <w:rFonts w:ascii="Arial" w:hAnsi="Arial" w:cs="Arial"/>
        </w:rPr>
      </w:pPr>
    </w:p>
    <w:p w14:paraId="434C0374"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rPr>
      </w:pPr>
      <w:r>
        <w:rPr>
          <w:rFonts w:ascii="Arial" w:hAnsi="Arial" w:cs="Arial"/>
        </w:rPr>
        <w:t>Would you recommend translocation (outside of the species’ historic range) as a viable option as a conservation actions for this species?</w:t>
      </w:r>
    </w:p>
    <w:p w14:paraId="562D48F0" w14:textId="77777777" w:rsidR="0009196C" w:rsidRDefault="0009196C" w:rsidP="0009196C">
      <w:pPr>
        <w:autoSpaceDE w:val="0"/>
        <w:autoSpaceDN w:val="0"/>
        <w:adjustRightInd w:val="0"/>
        <w:rPr>
          <w:rFonts w:ascii="Arial" w:hAnsi="Arial" w:cs="Arial"/>
        </w:rPr>
      </w:pPr>
    </w:p>
    <w:p w14:paraId="0D17959A" w14:textId="6875ECE1" w:rsidR="0009196C" w:rsidRDefault="0009196C" w:rsidP="0009196C">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5CD2F755"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24674F2C" w14:textId="77777777" w:rsidR="0009196C" w:rsidRDefault="0009196C" w:rsidP="0009196C">
      <w:pPr>
        <w:pStyle w:val="ListParagraph"/>
        <w:autoSpaceDE w:val="0"/>
        <w:autoSpaceDN w:val="0"/>
        <w:adjustRightInd w:val="0"/>
        <w:ind w:left="360"/>
        <w:rPr>
          <w:rFonts w:ascii="Arial" w:hAnsi="Arial" w:cs="Arial"/>
          <w:color w:val="000000"/>
        </w:rPr>
      </w:pPr>
    </w:p>
    <w:p w14:paraId="2A5515EA"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 has?</w:t>
      </w:r>
    </w:p>
    <w:p w14:paraId="1D367E10" w14:textId="77777777" w:rsidR="0009196C" w:rsidRDefault="0009196C" w:rsidP="0009196C">
      <w:pPr>
        <w:pStyle w:val="ListParagraph"/>
        <w:autoSpaceDE w:val="0"/>
        <w:autoSpaceDN w:val="0"/>
        <w:adjustRightInd w:val="0"/>
        <w:ind w:left="360"/>
        <w:rPr>
          <w:rFonts w:ascii="Arial" w:hAnsi="Arial" w:cs="Arial"/>
          <w:color w:val="000000"/>
        </w:rPr>
      </w:pPr>
    </w:p>
    <w:p w14:paraId="4E8EED4D"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w:t>
      </w:r>
    </w:p>
    <w:p w14:paraId="5C32735F" w14:textId="77777777" w:rsidR="0009196C" w:rsidRDefault="0009196C" w:rsidP="0009196C">
      <w:pPr>
        <w:pStyle w:val="ListParagraph"/>
        <w:autoSpaceDE w:val="0"/>
        <w:autoSpaceDN w:val="0"/>
        <w:adjustRightInd w:val="0"/>
        <w:ind w:left="360"/>
        <w:rPr>
          <w:rFonts w:ascii="Arial" w:hAnsi="Arial" w:cs="Arial"/>
          <w:color w:val="000000"/>
        </w:rPr>
      </w:pPr>
    </w:p>
    <w:p w14:paraId="1680D988"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 are land managers where the species is found? </w:t>
      </w:r>
    </w:p>
    <w:p w14:paraId="6825FDF6" w14:textId="77777777" w:rsidR="0009196C" w:rsidRDefault="0009196C" w:rsidP="0009196C">
      <w:pPr>
        <w:pStyle w:val="ListParagraph"/>
        <w:autoSpaceDE w:val="0"/>
        <w:autoSpaceDN w:val="0"/>
        <w:adjustRightInd w:val="0"/>
        <w:ind w:left="360"/>
        <w:rPr>
          <w:rFonts w:ascii="Arial" w:hAnsi="Arial" w:cs="Arial"/>
          <w:color w:val="000000"/>
        </w:rPr>
      </w:pPr>
    </w:p>
    <w:p w14:paraId="148CB21E"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rPr>
        <w:lastRenderedPageBreak/>
        <w:t>What level of awareness is there with individuals or organisations around the issues affecting the species?</w:t>
      </w:r>
    </w:p>
    <w:p w14:paraId="7499E404" w14:textId="77777777" w:rsidR="0009196C" w:rsidRDefault="0009196C" w:rsidP="0009196C">
      <w:pPr>
        <w:pStyle w:val="ListParagraph"/>
        <w:autoSpaceDE w:val="0"/>
        <w:autoSpaceDN w:val="0"/>
        <w:adjustRightInd w:val="0"/>
        <w:ind w:left="360"/>
        <w:rPr>
          <w:rFonts w:ascii="Arial" w:hAnsi="Arial" w:cs="Arial"/>
          <w:color w:val="000000"/>
        </w:rPr>
      </w:pPr>
    </w:p>
    <w:p w14:paraId="4ECD535B" w14:textId="77777777" w:rsidR="0009196C" w:rsidRDefault="0009196C" w:rsidP="0009196C">
      <w:pPr>
        <w:pStyle w:val="ListParagraph"/>
        <w:numPr>
          <w:ilvl w:val="1"/>
          <w:numId w:val="20"/>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3603A519" w14:textId="77777777" w:rsidR="0009196C" w:rsidRDefault="0009196C" w:rsidP="0009196C">
      <w:pPr>
        <w:pStyle w:val="ListParagraph"/>
        <w:autoSpaceDE w:val="0"/>
        <w:autoSpaceDN w:val="0"/>
        <w:adjustRightInd w:val="0"/>
        <w:ind w:left="1080"/>
        <w:rPr>
          <w:rFonts w:ascii="Arial" w:hAnsi="Arial" w:cs="Arial"/>
          <w:color w:val="000000"/>
        </w:rPr>
      </w:pPr>
    </w:p>
    <w:p w14:paraId="19B1A8B7" w14:textId="7F366974" w:rsidR="0009196C" w:rsidRDefault="0009196C" w:rsidP="0009196C">
      <w:pPr>
        <w:pStyle w:val="ListParagraph"/>
        <w:numPr>
          <w:ilvl w:val="1"/>
          <w:numId w:val="20"/>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65787D9A" w14:textId="77777777" w:rsidR="000164D8" w:rsidRPr="000164D8" w:rsidRDefault="000164D8" w:rsidP="000164D8">
      <w:pPr>
        <w:pStyle w:val="ListParagraph"/>
        <w:autoSpaceDE w:val="0"/>
        <w:autoSpaceDN w:val="0"/>
        <w:adjustRightInd w:val="0"/>
        <w:spacing w:after="0" w:line="240" w:lineRule="auto"/>
        <w:ind w:left="1080"/>
        <w:rPr>
          <w:rFonts w:ascii="Arial" w:hAnsi="Arial" w:cs="Arial"/>
          <w:color w:val="000000"/>
        </w:rPr>
      </w:pPr>
    </w:p>
    <w:p w14:paraId="4FA22256" w14:textId="77777777" w:rsidR="0009196C" w:rsidRDefault="0009196C" w:rsidP="0009196C">
      <w:pPr>
        <w:shd w:val="clear" w:color="auto" w:fill="D9D9D9" w:themeFill="background1" w:themeFillShade="D9"/>
        <w:autoSpaceDE w:val="0"/>
        <w:autoSpaceDN w:val="0"/>
        <w:adjustRightInd w:val="0"/>
        <w:jc w:val="center"/>
        <w:rPr>
          <w:rFonts w:ascii="Arial" w:hAnsi="Arial" w:cs="Arial"/>
          <w:b/>
        </w:rPr>
      </w:pPr>
    </w:p>
    <w:p w14:paraId="1A0C1D61" w14:textId="77777777" w:rsidR="0009196C" w:rsidRPr="009F43F9" w:rsidRDefault="0009196C" w:rsidP="0009196C">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61CB680A" w14:textId="77777777" w:rsidR="0009196C" w:rsidRDefault="0009196C" w:rsidP="0009196C">
      <w:pPr>
        <w:pStyle w:val="ListParagraph"/>
        <w:numPr>
          <w:ilvl w:val="0"/>
          <w:numId w:val="20"/>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w:t>
      </w:r>
    </w:p>
    <w:p w14:paraId="536344D6" w14:textId="77777777" w:rsidR="0009196C" w:rsidRPr="00EF53FF" w:rsidRDefault="0009196C" w:rsidP="0009196C"/>
    <w:p w14:paraId="2254B397" w14:textId="77777777" w:rsidR="0009196C" w:rsidRPr="009779CB" w:rsidRDefault="0009196C" w:rsidP="0009196C"/>
    <w:p w14:paraId="0DA96602" w14:textId="77777777" w:rsidR="0009196C" w:rsidRPr="0009196C" w:rsidRDefault="0009196C" w:rsidP="0009196C">
      <w:pPr>
        <w:pStyle w:val="Header"/>
        <w:sectPr w:rsidR="0009196C" w:rsidRPr="0009196C" w:rsidSect="005208A6">
          <w:headerReference w:type="even" r:id="rId20"/>
          <w:headerReference w:type="default" r:id="rId21"/>
          <w:footerReference w:type="default" r:id="rId22"/>
          <w:headerReference w:type="first" r:id="rId23"/>
          <w:footerReference w:type="first" r:id="rId24"/>
          <w:pgSz w:w="11906" w:h="16838"/>
          <w:pgMar w:top="1418" w:right="1418" w:bottom="1418" w:left="1418" w:header="567" w:footer="284" w:gutter="0"/>
          <w:cols w:space="708"/>
          <w:titlePg/>
          <w:docGrid w:linePitch="360"/>
        </w:sectPr>
      </w:pPr>
    </w:p>
    <w:p w14:paraId="789CD933" w14:textId="0F466CBC" w:rsidR="009D41D2" w:rsidRDefault="00460C44" w:rsidP="00136347">
      <w:pPr>
        <w:pStyle w:val="DisseminationLimitingMarker"/>
      </w:pPr>
      <w:r>
        <w:lastRenderedPageBreak/>
        <w:t xml:space="preserve">Conservation </w:t>
      </w:r>
      <w:r w:rsidR="002319AB">
        <w:t>A</w:t>
      </w:r>
      <w:r>
        <w:t>dvic</w:t>
      </w:r>
      <w:r w:rsidR="007C5B94">
        <w:t>e</w:t>
      </w:r>
      <w:r>
        <w:t xml:space="preserve"> for </w:t>
      </w:r>
      <w:r w:rsidR="00B16806">
        <w:br/>
      </w:r>
      <w:r w:rsidR="00BD2E26" w:rsidRPr="00BD2E26">
        <w:rPr>
          <w:rStyle w:val="Emphasis"/>
        </w:rPr>
        <w:t>Grevillea banyabba</w:t>
      </w:r>
      <w:r w:rsidR="00BD2E26" w:rsidRPr="00BD2E26">
        <w:rPr>
          <w:rStyle w:val="Emphasis"/>
          <w:i w:val="0"/>
          <w:iCs w:val="0"/>
        </w:rPr>
        <w:t xml:space="preserve"> (Banyabba </w:t>
      </w:r>
      <w:r w:rsidR="004F7964">
        <w:rPr>
          <w:rStyle w:val="Emphasis"/>
          <w:i w:val="0"/>
          <w:iCs w:val="0"/>
        </w:rPr>
        <w:t>g</w:t>
      </w:r>
      <w:r w:rsidR="00BD2E26" w:rsidRPr="00BD2E26">
        <w:rPr>
          <w:rStyle w:val="Emphasis"/>
          <w:i w:val="0"/>
          <w:iCs w:val="0"/>
        </w:rPr>
        <w:t>revillea)</w:t>
      </w:r>
    </w:p>
    <w:p w14:paraId="3445613B" w14:textId="77777777" w:rsidR="005B3D88" w:rsidRPr="005B3D88" w:rsidRDefault="005B3D88" w:rsidP="005B3D88">
      <w:pPr>
        <w:pStyle w:val="Header"/>
      </w:pPr>
    </w:p>
    <w:p w14:paraId="4AFBD49F" w14:textId="77777777" w:rsidR="00A7798C" w:rsidRPr="00A7798C" w:rsidRDefault="00F22A63" w:rsidP="00B038DF">
      <w:r>
        <w:rPr>
          <w:noProof/>
        </w:rPr>
        <mc:AlternateContent>
          <mc:Choice Requires="wps">
            <w:drawing>
              <wp:anchor distT="45720" distB="45720" distL="114300" distR="114300" simplePos="0" relativeHeight="251658241" behindDoc="0" locked="0" layoutInCell="1" allowOverlap="1" wp14:anchorId="47DC869E" wp14:editId="722547D1">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CF8AD0A" w14:textId="77777777" w:rsidR="004313AE" w:rsidRDefault="004313A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B135218" w14:textId="77777777" w:rsidR="004313AE" w:rsidRPr="00683895" w:rsidRDefault="004313AE" w:rsidP="00683895"/>
                          <w:p w14:paraId="4F412721" w14:textId="0666697E" w:rsidR="004313AE" w:rsidRDefault="004313A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1186F09D" w14:textId="1E3C1F31" w:rsidR="004313AE" w:rsidRPr="00B038DF" w:rsidRDefault="004313AE"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00C95F6D" w14:textId="77777777" w:rsidR="004313AE" w:rsidRDefault="004313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C869E"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6CF8AD0A" w14:textId="77777777" w:rsidR="004313AE" w:rsidRDefault="004313AE"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1B135218" w14:textId="77777777" w:rsidR="004313AE" w:rsidRPr="00683895" w:rsidRDefault="004313AE" w:rsidP="00683895"/>
                    <w:p w14:paraId="4F412721" w14:textId="0666697E" w:rsidR="004313AE" w:rsidRDefault="004313AE"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w:t>
                      </w:r>
                      <w:proofErr w:type="gramStart"/>
                      <w:r w:rsidRPr="004A3350">
                        <w:t>as a result of</w:t>
                      </w:r>
                      <w:proofErr w:type="gramEnd"/>
                      <w:r w:rsidRPr="004A3350">
                        <w:t xml:space="preserve"> responses to this consultation process.</w:t>
                      </w:r>
                    </w:p>
                    <w:p w14:paraId="1186F09D" w14:textId="1E3C1F31" w:rsidR="004313AE" w:rsidRPr="00B038DF" w:rsidRDefault="004313AE"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00C95F6D" w14:textId="77777777" w:rsidR="004313AE" w:rsidRDefault="004313AE"/>
                  </w:txbxContent>
                </v:textbox>
                <w10:wrap type="square"/>
              </v:shape>
            </w:pict>
          </mc:Fallback>
        </mc:AlternateContent>
      </w:r>
    </w:p>
    <w:p w14:paraId="3A18ACF5" w14:textId="77777777" w:rsidR="00A7798C" w:rsidRDefault="00A7798C" w:rsidP="00A7798C"/>
    <w:p w14:paraId="5FAFFAA2" w14:textId="77777777" w:rsidR="00A7798C" w:rsidRDefault="00A7798C" w:rsidP="00A7798C"/>
    <w:p w14:paraId="7D2F0B90" w14:textId="77777777" w:rsidR="00A7798C" w:rsidRDefault="00A7798C" w:rsidP="00A7798C"/>
    <w:p w14:paraId="10DB970A" w14:textId="77777777" w:rsidR="00A7798C" w:rsidRPr="00A7798C" w:rsidRDefault="00A7798C" w:rsidP="00B038DF"/>
    <w:p w14:paraId="533E1AB2" w14:textId="77777777" w:rsidR="00A14BC6" w:rsidRDefault="00A14BC6" w:rsidP="00E707AE">
      <w:pPr>
        <w:pStyle w:val="Author"/>
      </w:pPr>
    </w:p>
    <w:p w14:paraId="1093041F" w14:textId="77777777" w:rsidR="00A14BC6" w:rsidRDefault="00A14BC6" w:rsidP="00E707AE">
      <w:pPr>
        <w:pStyle w:val="Author"/>
      </w:pPr>
    </w:p>
    <w:p w14:paraId="7311CA7D" w14:textId="77777777" w:rsidR="00A14BC6" w:rsidRDefault="00A14BC6" w:rsidP="00E707AE">
      <w:pPr>
        <w:pStyle w:val="Author"/>
      </w:pPr>
    </w:p>
    <w:p w14:paraId="0C920437" w14:textId="77777777" w:rsidR="004B38BC" w:rsidRDefault="004B38BC" w:rsidP="00E707AE">
      <w:pPr>
        <w:pStyle w:val="Author"/>
      </w:pPr>
    </w:p>
    <w:p w14:paraId="58B86D8C" w14:textId="77777777" w:rsidR="004B38BC" w:rsidRDefault="004B38BC" w:rsidP="00E707AE">
      <w:pPr>
        <w:pStyle w:val="Author"/>
      </w:pPr>
    </w:p>
    <w:p w14:paraId="6CAC1211" w14:textId="14E89EBC" w:rsidR="0016081E" w:rsidRDefault="0016081E" w:rsidP="001C7420">
      <w:r w:rsidRPr="00BD2E26">
        <w:t xml:space="preserve">This document combines the </w:t>
      </w:r>
      <w:r w:rsidR="00BD2E26" w:rsidRPr="00BD2E26">
        <w:t>draft</w:t>
      </w:r>
      <w:r w:rsidRPr="00BD2E26">
        <w:t xml:space="preserve"> conservation advice and listing assessment for the species. It provides a foundation for conservation action and further planning.</w:t>
      </w:r>
    </w:p>
    <w:p w14:paraId="50CDDFF9" w14:textId="77777777" w:rsidR="00BD2E26" w:rsidRDefault="00BD2E26" w:rsidP="00BD2E26">
      <w:pPr>
        <w:pStyle w:val="FigureTableNoteSource"/>
        <w:jc w:val="center"/>
      </w:pPr>
      <w:bookmarkStart w:id="2" w:name="_Hlk46319602"/>
      <w:r>
        <w:rPr>
          <w:noProof/>
        </w:rPr>
        <w:drawing>
          <wp:inline distT="0" distB="0" distL="0" distR="0" wp14:anchorId="3F6CE76D" wp14:editId="5A621F9C">
            <wp:extent cx="5318760" cy="3544863"/>
            <wp:effectExtent l="0" t="0" r="0" b="0"/>
            <wp:docPr id="6" name="Picture 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flow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18760" cy="3544863"/>
                    </a:xfrm>
                    <a:prstGeom prst="rect">
                      <a:avLst/>
                    </a:prstGeom>
                  </pic:spPr>
                </pic:pic>
              </a:graphicData>
            </a:graphic>
          </wp:inline>
        </w:drawing>
      </w:r>
    </w:p>
    <w:p w14:paraId="05163145" w14:textId="4F52EFAB" w:rsidR="00BD2E26" w:rsidRPr="000A6133" w:rsidRDefault="00BD2E26" w:rsidP="00BD2E26">
      <w:pPr>
        <w:pStyle w:val="FigureTableNoteSource"/>
        <w:jc w:val="center"/>
      </w:pPr>
      <w:r>
        <w:t>Photo</w:t>
      </w:r>
      <w:r w:rsidRPr="003A09D5">
        <w:t xml:space="preserve"> of </w:t>
      </w:r>
      <w:r w:rsidRPr="003A09D5">
        <w:rPr>
          <w:i/>
          <w:iCs/>
        </w:rPr>
        <w:t>Grevillea banyabba</w:t>
      </w:r>
      <w:r w:rsidRPr="003A09D5">
        <w:t xml:space="preserve"> </w:t>
      </w:r>
      <w:r>
        <w:t xml:space="preserve">(Banyabba </w:t>
      </w:r>
      <w:r w:rsidR="004F7964">
        <w:t>g</w:t>
      </w:r>
      <w:r>
        <w:t xml:space="preserve">revillea) </w:t>
      </w:r>
      <w:r w:rsidRPr="003A09D5">
        <w:t xml:space="preserve">© Copyright, </w:t>
      </w:r>
      <w:hyperlink r:id="rId26" w:history="1">
        <w:r w:rsidRPr="008D02AE">
          <w:rPr>
            <w:rStyle w:val="Hyperlink"/>
          </w:rPr>
          <w:t>Adrian Gale (2020)</w:t>
        </w:r>
      </w:hyperlink>
    </w:p>
    <w:bookmarkEnd w:id="2"/>
    <w:p w14:paraId="3FF6323A" w14:textId="77777777" w:rsidR="006D3581" w:rsidRPr="00AC3A2A" w:rsidRDefault="006D3581" w:rsidP="006D3581">
      <w:pPr>
        <w:pStyle w:val="Heading2"/>
        <w:ind w:left="720" w:hanging="720"/>
      </w:pPr>
      <w:r>
        <w:lastRenderedPageBreak/>
        <w:t>Conservation status</w:t>
      </w:r>
    </w:p>
    <w:p w14:paraId="13588359" w14:textId="282CEC7E" w:rsidR="00026C1A" w:rsidRPr="009722E4" w:rsidRDefault="00026C1A" w:rsidP="00026C1A">
      <w:pPr>
        <w:keepNext/>
        <w:keepLines/>
      </w:pPr>
      <w:r w:rsidRPr="00E31CB0">
        <w:rPr>
          <w:rStyle w:val="Emphasis"/>
        </w:rPr>
        <w:t>Grevillea banyabba</w:t>
      </w:r>
      <w:r w:rsidRPr="00E31CB0">
        <w:t xml:space="preserve"> (Banyabba </w:t>
      </w:r>
      <w:r w:rsidR="004F7964">
        <w:t>g</w:t>
      </w:r>
      <w:r w:rsidRPr="00E31CB0">
        <w:t xml:space="preserve">revillea) </w:t>
      </w:r>
      <w:r>
        <w:t>was</w:t>
      </w:r>
      <w:r w:rsidRPr="006D3581">
        <w:t xml:space="preserve"> listed in the</w:t>
      </w:r>
      <w:r w:rsidRPr="00D86EDB">
        <w:t xml:space="preserve"> </w:t>
      </w:r>
      <w:sdt>
        <w:sdtPr>
          <w:id w:val="1251469027"/>
          <w:placeholder>
            <w:docPart w:val="30B3AA2CCF32421AB611F458B3EF40CE"/>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Pr="006D3581">
        <w:t xml:space="preserve"> category of the threatened species list </w:t>
      </w:r>
      <w:r w:rsidR="005B1F82" w:rsidRPr="00E31CB0">
        <w:t xml:space="preserve">under the </w:t>
      </w:r>
      <w:r w:rsidR="005B1F82" w:rsidRPr="00E31CB0">
        <w:rPr>
          <w:rStyle w:val="Emphasis"/>
        </w:rPr>
        <w:t>Environment Protection and Biodiversity Conservation Act 1999</w:t>
      </w:r>
      <w:r w:rsidR="005B1F82">
        <w:rPr>
          <w:rStyle w:val="Emphasis"/>
        </w:rPr>
        <w:t xml:space="preserve"> </w:t>
      </w:r>
      <w:r w:rsidRPr="006D3581">
        <w:t>effective from</w:t>
      </w:r>
      <w:r>
        <w:t xml:space="preserve"> </w:t>
      </w:r>
      <w:sdt>
        <w:sdtPr>
          <w:tag w:val="dateofeffect"/>
          <w:id w:val="202990041"/>
          <w:placeholder>
            <w:docPart w:val="A07E8E49B6DE47CEA2E93EADC35C2FA8"/>
          </w:placeholder>
          <w:date w:fullDate="2000-07-16T00:00:00Z">
            <w:dateFormat w:val="d MMMM yyyy"/>
            <w:lid w:val="en-AU"/>
            <w:storeMappedDataAs w:val="dateTime"/>
            <w:calendar w:val="gregorian"/>
          </w:date>
        </w:sdtPr>
        <w:sdtEndPr/>
        <w:sdtContent>
          <w:r>
            <w:t>16 July 2000</w:t>
          </w:r>
        </w:sdtContent>
      </w:sdt>
      <w:r>
        <w:t xml:space="preserve">. </w:t>
      </w:r>
      <w:r w:rsidRPr="008564EB">
        <w:t xml:space="preserve">The species </w:t>
      </w:r>
      <w:r>
        <w:t>was</w:t>
      </w:r>
      <w:r w:rsidRPr="008564EB">
        <w:t xml:space="preserve"> eligible for listing because prior to the EPBC Act, it was listed as </w:t>
      </w:r>
      <w:r>
        <w:t>Vulnerable</w:t>
      </w:r>
      <w:r w:rsidRPr="008564EB">
        <w:t xml:space="preserve"> under the </w:t>
      </w:r>
      <w:r w:rsidRPr="0000732D">
        <w:rPr>
          <w:i/>
          <w:iCs/>
        </w:rPr>
        <w:t>Endangered Species Protection Act 1992</w:t>
      </w:r>
      <w:r w:rsidRPr="008564EB">
        <w:t xml:space="preserve"> (Cwlth)</w:t>
      </w:r>
      <w:r>
        <w:t>.</w:t>
      </w:r>
    </w:p>
    <w:p w14:paraId="47FE8AFF" w14:textId="5E795D3C" w:rsidR="007D61ED" w:rsidRPr="0071568F" w:rsidRDefault="007D61ED" w:rsidP="007D61ED">
      <w:pPr>
        <w:pStyle w:val="Consultationtext"/>
        <w:rPr>
          <w:color w:val="auto"/>
        </w:rPr>
      </w:pPr>
      <w:bookmarkStart w:id="3" w:name="_Hlk82437914"/>
      <w:r>
        <w:rPr>
          <w:rStyle w:val="Emphasis"/>
          <w:color w:val="auto"/>
        </w:rPr>
        <w:t xml:space="preserve">Grevillea banyabba </w:t>
      </w:r>
      <w:r w:rsidRPr="0071568F">
        <w:rPr>
          <w:color w:val="auto"/>
        </w:rPr>
        <w:t xml:space="preserve">is proposed to be transferred from the </w:t>
      </w:r>
      <w:sdt>
        <w:sdtPr>
          <w:rPr>
            <w:color w:val="auto"/>
          </w:rPr>
          <w:id w:val="-669555546"/>
          <w:placeholder>
            <w:docPart w:val="14D16EBF5A1242A088CDCCB033B19F8D"/>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Pr>
              <w:color w:val="auto"/>
            </w:rPr>
            <w:t>Vulnerable</w:t>
          </w:r>
        </w:sdtContent>
      </w:sdt>
      <w:r w:rsidRPr="0071568F">
        <w:rPr>
          <w:color w:val="auto"/>
        </w:rPr>
        <w:t xml:space="preserve"> category to the </w:t>
      </w:r>
      <w:sdt>
        <w:sdtPr>
          <w:rPr>
            <w:color w:val="auto"/>
          </w:rPr>
          <w:id w:val="454379346"/>
          <w:placeholder>
            <w:docPart w:val="154586A5A0B34E3A8956EB5CD6D25FBD"/>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Pr>
              <w:color w:val="auto"/>
            </w:rPr>
            <w:t>Endangered</w:t>
          </w:r>
        </w:sdtContent>
      </w:sdt>
      <w:r w:rsidRPr="0071568F">
        <w:rPr>
          <w:color w:val="auto"/>
        </w:rPr>
        <w:t xml:space="preserve"> category of the threatened species list under the </w:t>
      </w:r>
      <w:r w:rsidRPr="0071568F">
        <w:rPr>
          <w:rStyle w:val="Emphasis"/>
          <w:color w:val="auto"/>
        </w:rPr>
        <w:t>Environment Protection and Biodiversity Conservation Act 1999.</w:t>
      </w:r>
    </w:p>
    <w:bookmarkEnd w:id="3"/>
    <w:p w14:paraId="56FB9B6B" w14:textId="16896D3F" w:rsidR="004D2790" w:rsidRPr="009722E4" w:rsidRDefault="00BD2E26" w:rsidP="004D2790">
      <w:r w:rsidRPr="007D61ED">
        <w:rPr>
          <w:rStyle w:val="Emphasis"/>
        </w:rPr>
        <w:t xml:space="preserve">Grevillea banyabba </w:t>
      </w:r>
      <w:r w:rsidR="004D2790" w:rsidRPr="007D61ED">
        <w:t>was assessed by the Threatened Species Scientific Committee</w:t>
      </w:r>
      <w:r w:rsidR="005306BA" w:rsidRPr="007D61ED">
        <w:t xml:space="preserve"> </w:t>
      </w:r>
      <w:r w:rsidR="007D61ED" w:rsidRPr="007D61ED">
        <w:t>to be eligible for listing</w:t>
      </w:r>
      <w:r w:rsidR="007D61ED" w:rsidRPr="00FC28B2">
        <w:t xml:space="preserve"> as Endangered </w:t>
      </w:r>
      <w:r w:rsidR="007D61ED" w:rsidRPr="00366CEC">
        <w:t>under</w:t>
      </w:r>
      <w:r w:rsidR="007D61ED" w:rsidRPr="00BF6C2C">
        <w:t xml:space="preserve"> </w:t>
      </w:r>
      <w:r w:rsidR="007D61ED" w:rsidRPr="00544AF2">
        <w:t>Criterion</w:t>
      </w:r>
      <w:r w:rsidR="007D61ED" w:rsidRPr="007D61ED">
        <w:t xml:space="preserve"> 2.</w:t>
      </w:r>
      <w:bookmarkStart w:id="4" w:name="_Hlk82437966"/>
      <w:r w:rsidR="004D2790" w:rsidRPr="00E57091">
        <w:t xml:space="preserve"> </w:t>
      </w:r>
      <w:bookmarkEnd w:id="4"/>
      <w:r w:rsidR="004D2790" w:rsidRPr="00E57091">
        <w:t>The Committee’s assessment is at Attachment A</w:t>
      </w:r>
      <w:r w:rsidR="00972E40" w:rsidRPr="00E57091">
        <w:t xml:space="preserve">. </w:t>
      </w:r>
      <w:r w:rsidR="004D2790" w:rsidRPr="00E57091">
        <w:t>The Committee</w:t>
      </w:r>
      <w:r w:rsidR="003B2A51" w:rsidRPr="00E57091">
        <w:t>’s</w:t>
      </w:r>
      <w:r w:rsidR="004D2790" w:rsidRPr="00E57091">
        <w:t xml:space="preserve"> assessment of the species</w:t>
      </w:r>
      <w:r w:rsidR="009468FD" w:rsidRPr="00E57091">
        <w:t>’</w:t>
      </w:r>
      <w:r w:rsidR="004D2790" w:rsidRPr="00E57091">
        <w:t xml:space="preserve"> eligibility against each of the listing criteria is:</w:t>
      </w:r>
    </w:p>
    <w:p w14:paraId="62829E0D" w14:textId="600B846B" w:rsidR="00BD2E26" w:rsidRPr="009722E4" w:rsidRDefault="00BD2E26" w:rsidP="00BD2E26">
      <w:pPr>
        <w:pStyle w:val="ListBullet"/>
      </w:pPr>
      <w:r w:rsidRPr="009722E4">
        <w:t xml:space="preserve">Criterion 1: </w:t>
      </w:r>
      <w:sdt>
        <w:sdtPr>
          <w:id w:val="77107183"/>
          <w:placeholder>
            <w:docPart w:val="34B6E45C5EDD4C3FBEFE2E26F0A3C8D8"/>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9722E4">
            <w:t>Insufficient data</w:t>
          </w:r>
        </w:sdtContent>
      </w:sdt>
    </w:p>
    <w:p w14:paraId="47F63D47" w14:textId="3130BC51" w:rsidR="00BD2E26" w:rsidRPr="009722E4" w:rsidRDefault="00BD2E26" w:rsidP="00BD2E26">
      <w:pPr>
        <w:pStyle w:val="ListBullet"/>
      </w:pPr>
      <w:r w:rsidRPr="009722E4">
        <w:t>Criterion 2</w:t>
      </w:r>
      <w:r w:rsidR="00C752FF" w:rsidRPr="009722E4">
        <w:t xml:space="preserve">: </w:t>
      </w:r>
      <w:r w:rsidR="00F95142" w:rsidRPr="000A5719">
        <w:t>B1ab(</w:t>
      </w:r>
      <w:proofErr w:type="spellStart"/>
      <w:proofErr w:type="gramStart"/>
      <w:r w:rsidR="00F95142" w:rsidRPr="000A5719">
        <w:t>iii</w:t>
      </w:r>
      <w:r w:rsidR="00F95142">
        <w:t>,v</w:t>
      </w:r>
      <w:proofErr w:type="spellEnd"/>
      <w:proofErr w:type="gramEnd"/>
      <w:r w:rsidR="00F95142" w:rsidRPr="000A5719">
        <w:t>)</w:t>
      </w:r>
      <w:r w:rsidR="00B57293">
        <w:t>+2ab(</w:t>
      </w:r>
      <w:proofErr w:type="spellStart"/>
      <w:r w:rsidR="00B57293">
        <w:t>iii,v</w:t>
      </w:r>
      <w:proofErr w:type="spellEnd"/>
      <w:r w:rsidR="00B57293">
        <w:t>)</w:t>
      </w:r>
      <w:r w:rsidR="00F95142">
        <w:t xml:space="preserve">: </w:t>
      </w:r>
      <w:sdt>
        <w:sdtPr>
          <w:id w:val="439414951"/>
          <w:placeholder>
            <w:docPart w:val="7584B147BD564E67836C912AF29ED8C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F95142">
            <w:t>Endangered</w:t>
          </w:r>
        </w:sdtContent>
      </w:sdt>
    </w:p>
    <w:p w14:paraId="4C999D7E" w14:textId="1AA38B76" w:rsidR="00BD2E26" w:rsidRPr="009722E4" w:rsidRDefault="00BD2E26" w:rsidP="00091DB9">
      <w:pPr>
        <w:pStyle w:val="ListBullet"/>
      </w:pPr>
      <w:r w:rsidRPr="009722E4">
        <w:t>Criterion 3</w:t>
      </w:r>
      <w:r w:rsidR="000A54EC" w:rsidRPr="009722E4">
        <w:t>:</w:t>
      </w:r>
      <w:r w:rsidR="001B3109" w:rsidRPr="001B3109">
        <w:t xml:space="preserve"> </w:t>
      </w:r>
      <w:r w:rsidR="001B3109" w:rsidRPr="009722E4">
        <w:t>Ineligible</w:t>
      </w:r>
    </w:p>
    <w:p w14:paraId="3C3BB64D" w14:textId="77777777" w:rsidR="00BD2E26" w:rsidRPr="009722E4" w:rsidRDefault="00BD2E26" w:rsidP="00091DB9">
      <w:pPr>
        <w:pStyle w:val="ListBullet"/>
      </w:pPr>
      <w:r w:rsidRPr="009722E4">
        <w:t>Criterion 4: Ineligible</w:t>
      </w:r>
    </w:p>
    <w:p w14:paraId="59CD8568" w14:textId="77777777" w:rsidR="00BD2E26" w:rsidRPr="009722E4" w:rsidRDefault="00BD2E26" w:rsidP="00BD2E26">
      <w:pPr>
        <w:pStyle w:val="ListBullet"/>
      </w:pPr>
      <w:r w:rsidRPr="009722E4">
        <w:t xml:space="preserve">Criterion 5: </w:t>
      </w:r>
      <w:sdt>
        <w:sdtPr>
          <w:id w:val="1205373663"/>
          <w:placeholder>
            <w:docPart w:val="D660E852D6194D728FC97FDEFECDE800"/>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Pr="009722E4">
            <w:t>Insufficient data</w:t>
          </w:r>
        </w:sdtContent>
      </w:sdt>
    </w:p>
    <w:p w14:paraId="5B4D7FA3" w14:textId="77777777" w:rsidR="007D5167" w:rsidRDefault="004D2790" w:rsidP="004D2790">
      <w:bookmarkStart w:id="5" w:name="_Hlk82437980"/>
      <w:r w:rsidRPr="00642745">
        <w:t>The main factors</w:t>
      </w:r>
      <w:r w:rsidR="005863C1" w:rsidRPr="00642745">
        <w:t xml:space="preserve"> </w:t>
      </w:r>
      <w:r w:rsidR="00642745" w:rsidRPr="00612DAE">
        <w:t xml:space="preserve">that make the species eligible for listing in the </w:t>
      </w:r>
      <w:sdt>
        <w:sdtPr>
          <w:id w:val="-775248640"/>
          <w:placeholder>
            <w:docPart w:val="241E32C4DEE24D87B540B580F5B7E74A"/>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642745">
            <w:t>Endangered</w:t>
          </w:r>
        </w:sdtContent>
      </w:sdt>
      <w:r w:rsidR="00642745" w:rsidRPr="00612DAE">
        <w:t xml:space="preserve"> category </w:t>
      </w:r>
      <w:proofErr w:type="gramStart"/>
      <w:r w:rsidR="00642745" w:rsidRPr="00612DAE">
        <w:t>are</w:t>
      </w:r>
      <w:proofErr w:type="gramEnd"/>
      <w:r w:rsidR="00642745" w:rsidRPr="00612DAE">
        <w:t xml:space="preserve"> restricted distribution and locations;</w:t>
      </w:r>
      <w:r w:rsidR="00642745">
        <w:t xml:space="preserve"> and</w:t>
      </w:r>
      <w:r w:rsidR="00642745" w:rsidRPr="00612DAE">
        <w:t xml:space="preserve"> </w:t>
      </w:r>
      <w:r w:rsidR="00642745">
        <w:t xml:space="preserve">projected </w:t>
      </w:r>
      <w:r w:rsidR="00642745" w:rsidRPr="00612DAE">
        <w:t xml:space="preserve">continuing decline in </w:t>
      </w:r>
      <w:r w:rsidR="00642745">
        <w:t xml:space="preserve">area, extent and </w:t>
      </w:r>
      <w:r w:rsidR="00642745" w:rsidRPr="00612DAE">
        <w:t>quality of habitat</w:t>
      </w:r>
      <w:r w:rsidR="00642745">
        <w:t xml:space="preserve"> and </w:t>
      </w:r>
      <w:r w:rsidR="00642745" w:rsidRPr="00612DAE">
        <w:t>the number of mature individuals</w:t>
      </w:r>
      <w:r w:rsidR="00453A55">
        <w:t>,</w:t>
      </w:r>
      <w:r w:rsidR="008C3382">
        <w:t xml:space="preserve"> </w:t>
      </w:r>
      <w:r w:rsidR="008C3382" w:rsidRPr="008C3382">
        <w:t>due to changes to fire weather conditions, rainfall patterns and temperatures, and more time in drought.</w:t>
      </w:r>
    </w:p>
    <w:p w14:paraId="6C9DA63E" w14:textId="452298D2" w:rsidR="00266026" w:rsidRDefault="008C3382" w:rsidP="004D2790">
      <w:r w:rsidRPr="008C3382">
        <w:t>There are estimated to be &lt;10,000 mature individuals, which all occur within reserved tenure and are primarily threatened by inappropriate fire regimes and the impacts of climate change</w:t>
      </w:r>
      <w:r w:rsidR="00453A55">
        <w:t>, with no other major current threats</w:t>
      </w:r>
      <w:r w:rsidRPr="008C3382">
        <w:t>.</w:t>
      </w:r>
    </w:p>
    <w:bookmarkEnd w:id="5"/>
    <w:p w14:paraId="3B92153E"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7" w:history="1">
        <w:r w:rsidR="00624A10" w:rsidRPr="00624A10">
          <w:rPr>
            <w:rStyle w:val="Hyperlink"/>
          </w:rPr>
          <w:t>Species Profile and Threat Database</w:t>
        </w:r>
      </w:hyperlink>
      <w:r w:rsidR="00624A10">
        <w:t>.</w:t>
      </w:r>
    </w:p>
    <w:p w14:paraId="6E45B7CC" w14:textId="77777777" w:rsidR="006D3581" w:rsidRDefault="006D3581" w:rsidP="007D5167">
      <w:pPr>
        <w:pStyle w:val="Heading2"/>
        <w:keepLines/>
      </w:pPr>
      <w:r>
        <w:lastRenderedPageBreak/>
        <w:t>Species information</w:t>
      </w:r>
    </w:p>
    <w:p w14:paraId="03A909DE" w14:textId="77777777" w:rsidR="006D3581" w:rsidRDefault="006D3581" w:rsidP="007D5167">
      <w:pPr>
        <w:pStyle w:val="Heading3"/>
      </w:pPr>
      <w:r>
        <w:t>Taxonomy</w:t>
      </w:r>
    </w:p>
    <w:p w14:paraId="06EC4DC3" w14:textId="4A5B1799" w:rsidR="006D3581" w:rsidRDefault="006D3581" w:rsidP="007D5167">
      <w:pPr>
        <w:keepNext/>
        <w:keepLines/>
      </w:pPr>
      <w:bookmarkStart w:id="6" w:name="_Hlk46319676"/>
      <w:r>
        <w:t xml:space="preserve">Conventionally accepted as </w:t>
      </w:r>
      <w:r w:rsidR="00496D45" w:rsidRPr="00803392">
        <w:rPr>
          <w:rStyle w:val="Emphasis"/>
        </w:rPr>
        <w:t>Grevillea banyabba</w:t>
      </w:r>
      <w:r w:rsidR="00496D45" w:rsidRPr="00803392">
        <w:t xml:space="preserve"> Olde &amp; Marriott (1994).</w:t>
      </w:r>
    </w:p>
    <w:p w14:paraId="0A60FEBB" w14:textId="77777777" w:rsidR="008064B3" w:rsidRPr="008064B3" w:rsidRDefault="008064B3" w:rsidP="007D5167">
      <w:pPr>
        <w:pStyle w:val="Heading3"/>
      </w:pPr>
      <w:bookmarkStart w:id="7" w:name="_Ref445985062"/>
      <w:bookmarkStart w:id="8" w:name="_Toc409769199"/>
      <w:bookmarkStart w:id="9" w:name="_Toc454439316"/>
      <w:bookmarkEnd w:id="6"/>
      <w:r w:rsidRPr="008064B3">
        <w:t>Description</w:t>
      </w:r>
    </w:p>
    <w:p w14:paraId="28A6E337" w14:textId="401F402F" w:rsidR="00496D45" w:rsidRPr="0064609E" w:rsidRDefault="00496D45" w:rsidP="00E57091">
      <w:pPr>
        <w:keepLines/>
      </w:pPr>
      <w:r w:rsidRPr="0064609E">
        <w:t xml:space="preserve">The Banyabba </w:t>
      </w:r>
      <w:r w:rsidR="004F7964">
        <w:t>g</w:t>
      </w:r>
      <w:r w:rsidRPr="0064609E">
        <w:t xml:space="preserve">revillea </w:t>
      </w:r>
      <w:r w:rsidR="003677E4">
        <w:t>(family</w:t>
      </w:r>
      <w:r w:rsidR="00E07F51">
        <w:t xml:space="preserve"> Proteaceae</w:t>
      </w:r>
      <w:r w:rsidR="003677E4">
        <w:t xml:space="preserve">) </w:t>
      </w:r>
      <w:r w:rsidRPr="0064609E">
        <w:t>is an open, few-branched shrub, which grows to 0.8</w:t>
      </w:r>
      <w:r>
        <w:t>–</w:t>
      </w:r>
      <w:r w:rsidRPr="0064609E">
        <w:t xml:space="preserve">1.5 m tall. </w:t>
      </w:r>
      <w:r>
        <w:t>The b</w:t>
      </w:r>
      <w:r w:rsidRPr="0064609E">
        <w:t>ranchlets are covered with long fine hairs. Leaves are 2.5</w:t>
      </w:r>
      <w:r>
        <w:t>–</w:t>
      </w:r>
      <w:r w:rsidRPr="0064609E">
        <w:t>3.8 cm long and 0.5</w:t>
      </w:r>
      <w:r>
        <w:t>–</w:t>
      </w:r>
      <w:r w:rsidRPr="0064609E">
        <w:t xml:space="preserve">1 cm wide, with slightly curved back edges, finely pointed tips and sparse silky hairs on the lower surface. </w:t>
      </w:r>
      <w:r>
        <w:t>The f</w:t>
      </w:r>
      <w:r w:rsidRPr="0064609E">
        <w:t xml:space="preserve">lowers are red with a yellow-green base and fine silver hairs on most surfaces. Flowers usually occur in loose clusters of three to thirteen flowers. </w:t>
      </w:r>
      <w:r>
        <w:t>The f</w:t>
      </w:r>
      <w:r w:rsidRPr="0064609E">
        <w:t xml:space="preserve">lower buds have pointed tips. </w:t>
      </w:r>
      <w:r>
        <w:t>The f</w:t>
      </w:r>
      <w:r w:rsidRPr="0064609E">
        <w:t xml:space="preserve">ruits are oval capsules with sparse hairs. They split down one side to release flat rectangular seeds with a wing on one side. This description is drawn from </w:t>
      </w:r>
      <w:r>
        <w:rPr>
          <w:noProof/>
        </w:rPr>
        <w:t>Olde &amp; Marriott (1994)</w:t>
      </w:r>
      <w:r w:rsidRPr="0064609E">
        <w:t xml:space="preserve">, </w:t>
      </w:r>
      <w:r>
        <w:rPr>
          <w:noProof/>
        </w:rPr>
        <w:t>Makinson (2000)</w:t>
      </w:r>
      <w:r>
        <w:t xml:space="preserve"> </w:t>
      </w:r>
      <w:r w:rsidRPr="0064609E">
        <w:t xml:space="preserve">and </w:t>
      </w:r>
      <w:r>
        <w:rPr>
          <w:noProof/>
        </w:rPr>
        <w:t>Harden (2002)</w:t>
      </w:r>
      <w:r>
        <w:t>.</w:t>
      </w:r>
    </w:p>
    <w:p w14:paraId="25676E74" w14:textId="2357EC24" w:rsidR="00496D45" w:rsidRPr="0064609E" w:rsidRDefault="00496D45" w:rsidP="00496D45">
      <w:pPr>
        <w:keepLines/>
      </w:pPr>
      <w:r w:rsidRPr="0064609E">
        <w:t xml:space="preserve">The Banyabba </w:t>
      </w:r>
      <w:r w:rsidR="004F7964">
        <w:t>g</w:t>
      </w:r>
      <w:r w:rsidRPr="0064609E">
        <w:t xml:space="preserve">revillea can be distinguished from </w:t>
      </w:r>
      <w:r w:rsidR="00A14FDB">
        <w:t xml:space="preserve">the related </w:t>
      </w:r>
      <w:r w:rsidRPr="0064609E">
        <w:rPr>
          <w:i/>
          <w:iCs/>
        </w:rPr>
        <w:t xml:space="preserve">Grevillea </w:t>
      </w:r>
      <w:proofErr w:type="spellStart"/>
      <w:r w:rsidRPr="0064609E">
        <w:rPr>
          <w:i/>
          <w:iCs/>
        </w:rPr>
        <w:t>quadricauda</w:t>
      </w:r>
      <w:proofErr w:type="spellEnd"/>
      <w:r w:rsidRPr="0064609E">
        <w:rPr>
          <w:i/>
          <w:iCs/>
        </w:rPr>
        <w:t xml:space="preserve"> </w:t>
      </w:r>
      <w:r w:rsidRPr="0064609E">
        <w:t>(</w:t>
      </w:r>
      <w:r w:rsidR="0042770D">
        <w:t>f</w:t>
      </w:r>
      <w:r w:rsidRPr="0064609E">
        <w:t xml:space="preserve">our-tailed </w:t>
      </w:r>
      <w:r w:rsidR="003A631F">
        <w:t>g</w:t>
      </w:r>
      <w:r w:rsidRPr="0064609E">
        <w:t>revillea) by</w:t>
      </w:r>
      <w:r>
        <w:t xml:space="preserve"> its</w:t>
      </w:r>
      <w:r w:rsidRPr="0064609E">
        <w:t xml:space="preserve"> longer leaves and an erect style on the fruit </w:t>
      </w:r>
      <w:r>
        <w:rPr>
          <w:noProof/>
        </w:rPr>
        <w:t>(Makinson 2000)</w:t>
      </w:r>
      <w:r w:rsidRPr="0064609E">
        <w:t xml:space="preserve">. It can be distinguished from </w:t>
      </w:r>
      <w:r w:rsidRPr="0064609E">
        <w:rPr>
          <w:i/>
          <w:iCs/>
        </w:rPr>
        <w:t xml:space="preserve">Grevillea </w:t>
      </w:r>
      <w:proofErr w:type="spellStart"/>
      <w:r w:rsidRPr="0064609E">
        <w:rPr>
          <w:i/>
          <w:iCs/>
        </w:rPr>
        <w:t>masonii</w:t>
      </w:r>
      <w:proofErr w:type="spellEnd"/>
      <w:r w:rsidRPr="0064609E">
        <w:rPr>
          <w:i/>
          <w:iCs/>
        </w:rPr>
        <w:t xml:space="preserve"> </w:t>
      </w:r>
      <w:r w:rsidRPr="0064609E">
        <w:t xml:space="preserve">(Mason’s </w:t>
      </w:r>
      <w:r w:rsidR="003A631F">
        <w:t>g</w:t>
      </w:r>
      <w:r w:rsidRPr="0064609E">
        <w:t xml:space="preserve">revillea) by </w:t>
      </w:r>
      <w:r>
        <w:t xml:space="preserve">its </w:t>
      </w:r>
      <w:r w:rsidRPr="0064609E">
        <w:t xml:space="preserve">longer leaves, smaller </w:t>
      </w:r>
      <w:proofErr w:type="gramStart"/>
      <w:r w:rsidRPr="0064609E">
        <w:t>flowers</w:t>
      </w:r>
      <w:proofErr w:type="gramEnd"/>
      <w:r w:rsidRPr="0064609E">
        <w:t xml:space="preserve"> and less oblique fruit </w:t>
      </w:r>
      <w:r>
        <w:rPr>
          <w:noProof/>
        </w:rPr>
        <w:t>(Makinson 2000)</w:t>
      </w:r>
      <w:r w:rsidRPr="0064609E">
        <w:t>.</w:t>
      </w:r>
    </w:p>
    <w:p w14:paraId="4744D9BD" w14:textId="77777777" w:rsidR="008064B3" w:rsidRPr="008064B3" w:rsidRDefault="008064B3" w:rsidP="00306B16">
      <w:pPr>
        <w:pStyle w:val="Heading3"/>
      </w:pPr>
      <w:r w:rsidRPr="008064B3">
        <w:t>Distribution</w:t>
      </w:r>
    </w:p>
    <w:p w14:paraId="188858F1" w14:textId="1E4C3FCC" w:rsidR="00496D45" w:rsidRPr="000D5965" w:rsidRDefault="00496D45" w:rsidP="00306B16">
      <w:pPr>
        <w:keepNext/>
        <w:keepLines/>
        <w:rPr>
          <w:i/>
          <w:iCs/>
        </w:rPr>
      </w:pPr>
      <w:r>
        <w:rPr>
          <w:i/>
          <w:iCs/>
        </w:rPr>
        <w:t>Current distribution</w:t>
      </w:r>
    </w:p>
    <w:p w14:paraId="44F4BBF8" w14:textId="6F79F149" w:rsidR="002B0D81" w:rsidRDefault="00496D45" w:rsidP="00306B16">
      <w:pPr>
        <w:keepNext/>
        <w:keepLines/>
      </w:pPr>
      <w:r w:rsidRPr="008B584D">
        <w:t xml:space="preserve">The Banyabba </w:t>
      </w:r>
      <w:r w:rsidR="004F7964">
        <w:t>g</w:t>
      </w:r>
      <w:r w:rsidRPr="008B584D">
        <w:t xml:space="preserve">revillea is endemic to north-eastern </w:t>
      </w:r>
      <w:r w:rsidR="00866EBA">
        <w:t>NSW</w:t>
      </w:r>
      <w:r w:rsidRPr="008B584D">
        <w:t xml:space="preserve"> in the Clarence Lowlands and Clarence Sandstones subregions</w:t>
      </w:r>
      <w:r>
        <w:t xml:space="preserve"> of</w:t>
      </w:r>
      <w:r w:rsidRPr="008B584D">
        <w:t xml:space="preserve"> the South Eastern Queensland bioregion (IBRA7) </w:t>
      </w:r>
      <w:r>
        <w:rPr>
          <w:noProof/>
        </w:rPr>
        <w:t>(DPIE 2020b)</w:t>
      </w:r>
      <w:r w:rsidRPr="008B584D">
        <w:t>. The species is only known from</w:t>
      </w:r>
      <w:r w:rsidR="002238DB">
        <w:t xml:space="preserve"> three </w:t>
      </w:r>
      <w:r w:rsidR="00C3666F">
        <w:t>sub</w:t>
      </w:r>
      <w:r w:rsidR="002238DB">
        <w:t>populations</w:t>
      </w:r>
      <w:r w:rsidR="002B0D81">
        <w:t xml:space="preserve"> </w:t>
      </w:r>
      <w:r w:rsidRPr="008B584D">
        <w:t>between</w:t>
      </w:r>
      <w:r>
        <w:t> </w:t>
      </w:r>
      <w:r w:rsidRPr="008B584D">
        <w:t>Grafton and Whiporie</w:t>
      </w:r>
      <w:r>
        <w:t xml:space="preserve"> (Map 1</w:t>
      </w:r>
      <w:r w:rsidR="007B269A">
        <w:t>; Table 1</w:t>
      </w:r>
      <w:r>
        <w:t>)</w:t>
      </w:r>
      <w:r w:rsidRPr="008B584D">
        <w:t xml:space="preserve"> </w:t>
      </w:r>
      <w:r w:rsidR="007B269A" w:rsidRPr="002B0D81">
        <w:rPr>
          <w:noProof/>
        </w:rPr>
        <w:t>(Olde &amp; Marriott 1994; DPIE 2021. pers comm 24 June; Sheringham &amp; Westaway 1995; Makinson 2000; DPIE 2020a)</w:t>
      </w:r>
      <w:r w:rsidRPr="002B0D81">
        <w:rPr>
          <w:noProof/>
        </w:rPr>
        <w:t>.</w:t>
      </w:r>
      <w:r w:rsidR="00620C62">
        <w:rPr>
          <w:noProof/>
        </w:rPr>
        <w:t xml:space="preserve"> All subpopulations occur within Nature Reserve, State Conservation Areas or National Park (Table 1).</w:t>
      </w:r>
    </w:p>
    <w:p w14:paraId="19770942" w14:textId="086C7C99" w:rsidR="002B0D81" w:rsidRPr="004B652A" w:rsidRDefault="002B0D81" w:rsidP="002B0D81">
      <w:pPr>
        <w:keepNext/>
        <w:rPr>
          <w:i/>
          <w:iCs/>
        </w:rPr>
      </w:pPr>
      <w:r w:rsidRPr="004B652A">
        <w:rPr>
          <w:i/>
          <w:iCs/>
        </w:rPr>
        <w:t>Population size</w:t>
      </w:r>
    </w:p>
    <w:p w14:paraId="305B775D" w14:textId="488D5E84" w:rsidR="001312F6" w:rsidRDefault="002B0D81" w:rsidP="001312F6">
      <w:pPr>
        <w:keepLines/>
      </w:pPr>
      <w:bookmarkStart w:id="10" w:name="_Hlk82598301"/>
      <w:r w:rsidRPr="008F354B">
        <w:t>Knowledge of the species</w:t>
      </w:r>
      <w:r w:rsidRPr="0044343A">
        <w:t>’</w:t>
      </w:r>
      <w:r w:rsidRPr="009722E4">
        <w:t xml:space="preserve"> population size </w:t>
      </w:r>
      <w:r w:rsidRPr="00324AE6">
        <w:t xml:space="preserve">requires further survey work. </w:t>
      </w:r>
      <w:r w:rsidR="00440313" w:rsidRPr="00324AE6">
        <w:t>However, based</w:t>
      </w:r>
      <w:r w:rsidR="0074251B" w:rsidRPr="00324AE6">
        <w:t xml:space="preserve"> on surveys in </w:t>
      </w:r>
      <w:r w:rsidR="00440313" w:rsidRPr="00324AE6">
        <w:t>2019</w:t>
      </w:r>
      <w:r w:rsidR="00516FCB" w:rsidRPr="00324AE6">
        <w:t>–</w:t>
      </w:r>
      <w:r w:rsidR="00440313" w:rsidRPr="00324AE6">
        <w:t xml:space="preserve">2021, </w:t>
      </w:r>
      <w:r w:rsidR="00A33F3D" w:rsidRPr="00324AE6">
        <w:t xml:space="preserve">local </w:t>
      </w:r>
      <w:r w:rsidR="00F53D1E" w:rsidRPr="00324AE6">
        <w:t>experts</w:t>
      </w:r>
      <w:r w:rsidR="00A33F3D" w:rsidRPr="00324AE6">
        <w:t xml:space="preserve"> from the NSW </w:t>
      </w:r>
      <w:r w:rsidR="00864C4F" w:rsidRPr="00324AE6">
        <w:t>DPIE</w:t>
      </w:r>
      <w:r w:rsidR="00F53D1E" w:rsidRPr="00324AE6">
        <w:t xml:space="preserve"> estimate</w:t>
      </w:r>
      <w:r w:rsidR="00A14FDB">
        <w:t>d</w:t>
      </w:r>
      <w:r w:rsidR="00F53D1E" w:rsidRPr="00324AE6">
        <w:t xml:space="preserve"> </w:t>
      </w:r>
      <w:r w:rsidR="00263952" w:rsidRPr="00324AE6">
        <w:t xml:space="preserve">a </w:t>
      </w:r>
      <w:r w:rsidR="005B452A" w:rsidRPr="00324AE6">
        <w:t>total</w:t>
      </w:r>
      <w:r w:rsidR="008616F3" w:rsidRPr="00324AE6">
        <w:t xml:space="preserve"> </w:t>
      </w:r>
      <w:r w:rsidR="00263952" w:rsidRPr="00324AE6">
        <w:t>population size of</w:t>
      </w:r>
      <w:r w:rsidR="00AB365A" w:rsidRPr="00064960">
        <w:t xml:space="preserve"> </w:t>
      </w:r>
      <w:r w:rsidR="00AB365A" w:rsidRPr="008F354B">
        <w:t>≥</w:t>
      </w:r>
      <w:r w:rsidR="00D755B2" w:rsidRPr="0044343A">
        <w:t> </w:t>
      </w:r>
      <w:r w:rsidR="00263952" w:rsidRPr="00324AE6">
        <w:t>1</w:t>
      </w:r>
      <w:r w:rsidR="006E518F" w:rsidRPr="00324AE6">
        <w:t>0</w:t>
      </w:r>
      <w:r w:rsidR="003A631F">
        <w:t>,</w:t>
      </w:r>
      <w:r w:rsidR="00263952" w:rsidRPr="00324AE6">
        <w:t>000 individuals (DPIE</w:t>
      </w:r>
      <w:r w:rsidR="00B83E33" w:rsidRPr="00324AE6">
        <w:t xml:space="preserve"> 2021. pers comm </w:t>
      </w:r>
      <w:r w:rsidR="00720C27">
        <w:t>8</w:t>
      </w:r>
      <w:r w:rsidR="006E518F" w:rsidRPr="008F354B">
        <w:t xml:space="preserve"> September</w:t>
      </w:r>
      <w:r w:rsidR="00B83E33" w:rsidRPr="00324AE6">
        <w:t>)</w:t>
      </w:r>
      <w:r w:rsidR="00C95060" w:rsidRPr="00064960">
        <w:t xml:space="preserve">, </w:t>
      </w:r>
      <w:r w:rsidR="00A14FDB">
        <w:t xml:space="preserve">while </w:t>
      </w:r>
      <w:r w:rsidR="00C95060" w:rsidRPr="00064960">
        <w:t xml:space="preserve">suggesting the number of mature individuals </w:t>
      </w:r>
      <w:r w:rsidR="00612BC9">
        <w:t>may</w:t>
      </w:r>
      <w:r w:rsidR="00AB365A" w:rsidRPr="00064960">
        <w:t xml:space="preserve"> be </w:t>
      </w:r>
      <w:r w:rsidR="006C4F2F" w:rsidRPr="00064960">
        <w:t>fewer</w:t>
      </w:r>
      <w:r w:rsidR="00AB365A" w:rsidRPr="00064960">
        <w:t xml:space="preserve"> than 10</w:t>
      </w:r>
      <w:r w:rsidR="003A631F">
        <w:t>,</w:t>
      </w:r>
      <w:r w:rsidR="00AB365A" w:rsidRPr="00064960">
        <w:t>000 (Table 1).</w:t>
      </w:r>
    </w:p>
    <w:bookmarkEnd w:id="10"/>
    <w:p w14:paraId="18E3B6F7" w14:textId="737E2F3A" w:rsidR="005F35AA" w:rsidRDefault="005F35AA" w:rsidP="005F35AA">
      <w:pPr>
        <w:keepLines/>
      </w:pPr>
      <w:r w:rsidRPr="008F354B">
        <w:t>I</w:t>
      </w:r>
      <w:r w:rsidRPr="0044343A">
        <w:t xml:space="preserve">n addition to </w:t>
      </w:r>
      <w:r w:rsidRPr="009722E4">
        <w:t>the recent estimates (above; Table 1)</w:t>
      </w:r>
      <w:r w:rsidRPr="00064960">
        <w:t xml:space="preserve">, </w:t>
      </w:r>
      <w:r w:rsidR="00720C27" w:rsidRPr="00F827AD">
        <w:rPr>
          <w:noProof/>
        </w:rPr>
        <w:t>Bailey (2019)</w:t>
      </w:r>
      <w:r w:rsidR="00720C27" w:rsidRPr="00F827AD">
        <w:t xml:space="preserve"> also estimated a total population size of at least approximately 5000 individuals from field surveys in 2018–2019. </w:t>
      </w:r>
      <w:r w:rsidR="008C6375">
        <w:rPr>
          <w:noProof/>
        </w:rPr>
        <w:t>Makinson &amp; Olde (2020)</w:t>
      </w:r>
      <w:r w:rsidR="008C6375">
        <w:t xml:space="preserve"> </w:t>
      </w:r>
      <w:r w:rsidRPr="00064960">
        <w:t>inferred that the total population included approximately 800–2000 mature individuals from limited field observations. In 1997, the total population size was estimated at approximately 14</w:t>
      </w:r>
      <w:r w:rsidR="003A631F">
        <w:t>,</w:t>
      </w:r>
      <w:r w:rsidRPr="00064960">
        <w:t xml:space="preserve">000 individuals </w:t>
      </w:r>
      <w:r w:rsidRPr="00064960">
        <w:rPr>
          <w:noProof/>
        </w:rPr>
        <w:t>(NPWS 1999)</w:t>
      </w:r>
      <w:r w:rsidRPr="00064960">
        <w:t>.</w:t>
      </w:r>
    </w:p>
    <w:p w14:paraId="26EC0EF0" w14:textId="73591BC8" w:rsidR="00B7597C" w:rsidRPr="0044343A" w:rsidRDefault="00B7597C" w:rsidP="00064960">
      <w:pPr>
        <w:pStyle w:val="Caption"/>
        <w:keepLines/>
      </w:pPr>
      <w:bookmarkStart w:id="11" w:name="_Hlk82598339"/>
      <w:r w:rsidRPr="008F354B">
        <w:lastRenderedPageBreak/>
        <w:t xml:space="preserve">Table </w:t>
      </w:r>
      <w:r w:rsidRPr="0044343A">
        <w:rPr>
          <w:noProof/>
        </w:rPr>
        <w:fldChar w:fldCharType="begin"/>
      </w:r>
      <w:r w:rsidRPr="00064960">
        <w:rPr>
          <w:noProof/>
        </w:rPr>
        <w:instrText xml:space="preserve"> SEQ Table \* ARABIC </w:instrText>
      </w:r>
      <w:r w:rsidRPr="0044343A">
        <w:rPr>
          <w:noProof/>
        </w:rPr>
        <w:fldChar w:fldCharType="separate"/>
      </w:r>
      <w:r w:rsidRPr="0044343A">
        <w:rPr>
          <w:noProof/>
        </w:rPr>
        <w:t>1</w:t>
      </w:r>
      <w:r w:rsidRPr="0044343A">
        <w:rPr>
          <w:noProof/>
        </w:rPr>
        <w:fldChar w:fldCharType="end"/>
      </w:r>
      <w:r w:rsidRPr="008F354B">
        <w:t xml:space="preserve"> Population information for the Banyabba </w:t>
      </w:r>
      <w:r w:rsidR="004F7964">
        <w:t>g</w:t>
      </w:r>
      <w:r w:rsidRPr="008F354B">
        <w:t>revillea</w:t>
      </w:r>
    </w:p>
    <w:tbl>
      <w:tblPr>
        <w:tblStyle w:val="TableGrid"/>
        <w:tblW w:w="912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098"/>
        <w:gridCol w:w="2098"/>
        <w:gridCol w:w="2098"/>
      </w:tblGrid>
      <w:tr w:rsidR="00B7597C" w:rsidRPr="002719FC" w14:paraId="374AB6C1" w14:textId="77777777" w:rsidTr="008B4324">
        <w:tc>
          <w:tcPr>
            <w:tcW w:w="2830" w:type="dxa"/>
            <w:tcBorders>
              <w:top w:val="single" w:sz="4" w:space="0" w:color="auto"/>
              <w:bottom w:val="single" w:sz="4" w:space="0" w:color="auto"/>
            </w:tcBorders>
          </w:tcPr>
          <w:p w14:paraId="4905E2D5" w14:textId="0D0C3EB6" w:rsidR="00B7597C" w:rsidRPr="009722E4" w:rsidRDefault="00C3666F" w:rsidP="00064960">
            <w:pPr>
              <w:pStyle w:val="TableHeading"/>
              <w:keepLines/>
              <w:jc w:val="center"/>
            </w:pPr>
            <w:bookmarkStart w:id="12" w:name="_Hlk81996121"/>
            <w:r w:rsidRPr="009722E4">
              <w:t>Subp</w:t>
            </w:r>
            <w:r w:rsidR="00B7597C" w:rsidRPr="009722E4">
              <w:t>opulation</w:t>
            </w:r>
          </w:p>
        </w:tc>
        <w:tc>
          <w:tcPr>
            <w:tcW w:w="2098" w:type="dxa"/>
            <w:tcBorders>
              <w:top w:val="single" w:sz="4" w:space="0" w:color="auto"/>
              <w:bottom w:val="single" w:sz="4" w:space="0" w:color="auto"/>
            </w:tcBorders>
          </w:tcPr>
          <w:p w14:paraId="01DBD076" w14:textId="77777777" w:rsidR="00B7597C" w:rsidRPr="00064960" w:rsidRDefault="00B7597C" w:rsidP="00064960">
            <w:pPr>
              <w:pStyle w:val="TableText"/>
              <w:keepNext/>
              <w:keepLines/>
              <w:jc w:val="center"/>
              <w:rPr>
                <w:b/>
                <w:bCs/>
              </w:rPr>
            </w:pPr>
            <w:r w:rsidRPr="00064960">
              <w:rPr>
                <w:b/>
                <w:bCs/>
              </w:rPr>
              <w:t>Surveyed number of individuals</w:t>
            </w:r>
          </w:p>
        </w:tc>
        <w:tc>
          <w:tcPr>
            <w:tcW w:w="2098" w:type="dxa"/>
            <w:tcBorders>
              <w:top w:val="single" w:sz="4" w:space="0" w:color="auto"/>
              <w:bottom w:val="single" w:sz="4" w:space="0" w:color="auto"/>
            </w:tcBorders>
          </w:tcPr>
          <w:p w14:paraId="68D8F27E" w14:textId="77777777" w:rsidR="00B7597C" w:rsidRPr="00064960" w:rsidRDefault="00B7597C" w:rsidP="00064960">
            <w:pPr>
              <w:pStyle w:val="TableText"/>
              <w:keepNext/>
              <w:keepLines/>
              <w:jc w:val="center"/>
              <w:rPr>
                <w:b/>
                <w:bCs/>
              </w:rPr>
            </w:pPr>
            <w:r w:rsidRPr="00064960">
              <w:rPr>
                <w:b/>
                <w:bCs/>
              </w:rPr>
              <w:t>Estimated number of individuals</w:t>
            </w:r>
          </w:p>
        </w:tc>
        <w:tc>
          <w:tcPr>
            <w:tcW w:w="2098" w:type="dxa"/>
            <w:tcBorders>
              <w:top w:val="single" w:sz="4" w:space="0" w:color="auto"/>
              <w:bottom w:val="single" w:sz="4" w:space="0" w:color="auto"/>
            </w:tcBorders>
          </w:tcPr>
          <w:p w14:paraId="65DBAB62" w14:textId="77777777" w:rsidR="00B7597C" w:rsidRPr="00064960" w:rsidRDefault="00B7597C" w:rsidP="00064960">
            <w:pPr>
              <w:pStyle w:val="TableHeading"/>
              <w:keepLines/>
              <w:jc w:val="center"/>
            </w:pPr>
            <w:r w:rsidRPr="00064960">
              <w:t>Estimated number of mature individuals</w:t>
            </w:r>
          </w:p>
        </w:tc>
      </w:tr>
      <w:tr w:rsidR="00B7597C" w:rsidRPr="002719FC" w14:paraId="1346CCC0" w14:textId="77777777" w:rsidTr="008B4324">
        <w:tc>
          <w:tcPr>
            <w:tcW w:w="2830" w:type="dxa"/>
            <w:tcBorders>
              <w:top w:val="single" w:sz="4" w:space="0" w:color="auto"/>
            </w:tcBorders>
            <w:vAlign w:val="center"/>
          </w:tcPr>
          <w:p w14:paraId="4851D005" w14:textId="77777777" w:rsidR="00B7597C" w:rsidRPr="0044343A" w:rsidRDefault="00B7597C" w:rsidP="00064960">
            <w:pPr>
              <w:pStyle w:val="TableText"/>
              <w:keepNext/>
              <w:keepLines/>
              <w:jc w:val="center"/>
            </w:pPr>
            <w:r w:rsidRPr="008F354B">
              <w:t>Banyabba Nature Reserve/Banyabba State Conservation Area</w:t>
            </w:r>
          </w:p>
        </w:tc>
        <w:tc>
          <w:tcPr>
            <w:tcW w:w="2098" w:type="dxa"/>
            <w:tcBorders>
              <w:top w:val="single" w:sz="4" w:space="0" w:color="auto"/>
            </w:tcBorders>
            <w:vAlign w:val="center"/>
          </w:tcPr>
          <w:p w14:paraId="05A63BB8" w14:textId="342A6958" w:rsidR="00B7597C" w:rsidRPr="009722E4" w:rsidRDefault="00550481" w:rsidP="00064960">
            <w:pPr>
              <w:pStyle w:val="TableText"/>
              <w:keepNext/>
              <w:keepLines/>
              <w:jc w:val="center"/>
            </w:pPr>
            <w:r>
              <w:t>1071</w:t>
            </w:r>
          </w:p>
        </w:tc>
        <w:tc>
          <w:tcPr>
            <w:tcW w:w="2098" w:type="dxa"/>
            <w:tcBorders>
              <w:top w:val="single" w:sz="4" w:space="0" w:color="auto"/>
            </w:tcBorders>
            <w:vAlign w:val="center"/>
          </w:tcPr>
          <w:p w14:paraId="554DA489" w14:textId="3A54C2C0" w:rsidR="00B7597C" w:rsidRPr="00C95060" w:rsidRDefault="00B7597C" w:rsidP="00064960">
            <w:pPr>
              <w:pStyle w:val="TableText"/>
              <w:keepNext/>
              <w:keepLines/>
              <w:jc w:val="center"/>
            </w:pPr>
            <w:r w:rsidRPr="00064960">
              <w:t>5</w:t>
            </w:r>
            <w:r w:rsidR="00987265">
              <w:t>,</w:t>
            </w:r>
            <w:r w:rsidRPr="00064960">
              <w:t>000</w:t>
            </w:r>
          </w:p>
        </w:tc>
        <w:tc>
          <w:tcPr>
            <w:tcW w:w="2098" w:type="dxa"/>
            <w:tcBorders>
              <w:top w:val="single" w:sz="4" w:space="0" w:color="auto"/>
            </w:tcBorders>
            <w:vAlign w:val="center"/>
          </w:tcPr>
          <w:p w14:paraId="1EADF96F" w14:textId="391637AE" w:rsidR="00B7597C" w:rsidRPr="0044343A" w:rsidRDefault="00C95060" w:rsidP="00064960">
            <w:pPr>
              <w:pStyle w:val="TableText"/>
              <w:keepNext/>
              <w:keepLines/>
              <w:jc w:val="center"/>
            </w:pPr>
            <w:r>
              <w:t>&lt;</w:t>
            </w:r>
            <w:r w:rsidRPr="008F354B">
              <w:t>5000</w:t>
            </w:r>
          </w:p>
        </w:tc>
      </w:tr>
      <w:tr w:rsidR="00B7597C" w:rsidRPr="002719FC" w14:paraId="718D0C5B" w14:textId="77777777" w:rsidTr="008B4324">
        <w:tc>
          <w:tcPr>
            <w:tcW w:w="2830" w:type="dxa"/>
            <w:vAlign w:val="center"/>
          </w:tcPr>
          <w:p w14:paraId="1E29A8C9" w14:textId="77777777" w:rsidR="00B7597C" w:rsidRPr="0044343A" w:rsidRDefault="00B7597C" w:rsidP="00064960">
            <w:pPr>
              <w:pStyle w:val="TableText"/>
              <w:keepNext/>
              <w:keepLines/>
              <w:jc w:val="center"/>
            </w:pPr>
            <w:r w:rsidRPr="008F354B">
              <w:t>Fortis Creek National Park</w:t>
            </w:r>
          </w:p>
        </w:tc>
        <w:tc>
          <w:tcPr>
            <w:tcW w:w="2098" w:type="dxa"/>
            <w:vAlign w:val="center"/>
          </w:tcPr>
          <w:p w14:paraId="3F3CE1FD" w14:textId="5A181721" w:rsidR="00B7597C" w:rsidRPr="009722E4" w:rsidRDefault="00550481" w:rsidP="00064960">
            <w:pPr>
              <w:pStyle w:val="TableText"/>
              <w:keepNext/>
              <w:keepLines/>
              <w:jc w:val="center"/>
            </w:pPr>
            <w:r>
              <w:t>1597</w:t>
            </w:r>
          </w:p>
        </w:tc>
        <w:tc>
          <w:tcPr>
            <w:tcW w:w="2098" w:type="dxa"/>
            <w:vAlign w:val="center"/>
          </w:tcPr>
          <w:p w14:paraId="1DB67EE1" w14:textId="632F0963" w:rsidR="00B7597C" w:rsidRPr="00064960" w:rsidRDefault="00B7597C" w:rsidP="00064960">
            <w:pPr>
              <w:pStyle w:val="TableText"/>
              <w:keepNext/>
              <w:keepLines/>
              <w:jc w:val="center"/>
            </w:pPr>
            <w:r w:rsidRPr="00064960">
              <w:t>5</w:t>
            </w:r>
            <w:r w:rsidR="00987265">
              <w:t>,</w:t>
            </w:r>
            <w:r w:rsidRPr="00064960">
              <w:t>000</w:t>
            </w:r>
          </w:p>
        </w:tc>
        <w:tc>
          <w:tcPr>
            <w:tcW w:w="2098" w:type="dxa"/>
            <w:vAlign w:val="center"/>
          </w:tcPr>
          <w:p w14:paraId="7D2E3AA7" w14:textId="6EF7F245" w:rsidR="00B7597C" w:rsidRPr="0044343A" w:rsidRDefault="00C95060" w:rsidP="00064960">
            <w:pPr>
              <w:pStyle w:val="TableText"/>
              <w:keepNext/>
              <w:keepLines/>
              <w:jc w:val="center"/>
            </w:pPr>
            <w:r>
              <w:t>&lt;</w:t>
            </w:r>
            <w:r w:rsidRPr="008F354B">
              <w:t>5000</w:t>
            </w:r>
          </w:p>
        </w:tc>
      </w:tr>
      <w:tr w:rsidR="00B7597C" w:rsidRPr="002719FC" w14:paraId="6A686A47" w14:textId="77777777" w:rsidTr="008B4324">
        <w:tc>
          <w:tcPr>
            <w:tcW w:w="2830" w:type="dxa"/>
            <w:vAlign w:val="center"/>
          </w:tcPr>
          <w:p w14:paraId="4B1FEA48" w14:textId="77777777" w:rsidR="00B7597C" w:rsidRPr="0044343A" w:rsidRDefault="00B7597C" w:rsidP="00064960">
            <w:pPr>
              <w:pStyle w:val="TableText"/>
              <w:keepNext/>
              <w:keepLines/>
              <w:jc w:val="center"/>
            </w:pPr>
            <w:r w:rsidRPr="008F354B">
              <w:t>Wombat Creek State Conservation Area</w:t>
            </w:r>
          </w:p>
        </w:tc>
        <w:tc>
          <w:tcPr>
            <w:tcW w:w="2098" w:type="dxa"/>
            <w:vAlign w:val="center"/>
          </w:tcPr>
          <w:p w14:paraId="226BA34D" w14:textId="77777777" w:rsidR="00B7597C" w:rsidRPr="009722E4" w:rsidRDefault="00B7597C" w:rsidP="00064960">
            <w:pPr>
              <w:pStyle w:val="TableText"/>
              <w:keepNext/>
              <w:keepLines/>
              <w:jc w:val="center"/>
            </w:pPr>
            <w:r w:rsidRPr="009722E4">
              <w:t>Unknown</w:t>
            </w:r>
          </w:p>
        </w:tc>
        <w:tc>
          <w:tcPr>
            <w:tcW w:w="2098" w:type="dxa"/>
            <w:vAlign w:val="center"/>
          </w:tcPr>
          <w:p w14:paraId="16647DF8" w14:textId="77777777" w:rsidR="00B7597C" w:rsidRPr="00064960" w:rsidRDefault="00B7597C" w:rsidP="00064960">
            <w:pPr>
              <w:pStyle w:val="TableText"/>
              <w:keepNext/>
              <w:keepLines/>
              <w:jc w:val="center"/>
            </w:pPr>
            <w:r w:rsidRPr="00064960">
              <w:t>Unknown</w:t>
            </w:r>
          </w:p>
        </w:tc>
        <w:tc>
          <w:tcPr>
            <w:tcW w:w="2098" w:type="dxa"/>
            <w:vAlign w:val="center"/>
          </w:tcPr>
          <w:p w14:paraId="28414107" w14:textId="77777777" w:rsidR="00B7597C" w:rsidRPr="00064960" w:rsidRDefault="00B7597C" w:rsidP="00064960">
            <w:pPr>
              <w:pStyle w:val="TableText"/>
              <w:keepNext/>
              <w:keepLines/>
              <w:jc w:val="center"/>
            </w:pPr>
            <w:r w:rsidRPr="00064960">
              <w:t>Unknown</w:t>
            </w:r>
          </w:p>
        </w:tc>
      </w:tr>
      <w:tr w:rsidR="00B7597C" w:rsidRPr="002719FC" w14:paraId="11640114" w14:textId="77777777" w:rsidTr="008B4324">
        <w:tc>
          <w:tcPr>
            <w:tcW w:w="2830" w:type="dxa"/>
            <w:vAlign w:val="center"/>
          </w:tcPr>
          <w:p w14:paraId="42C22399" w14:textId="77777777" w:rsidR="00B7597C" w:rsidRPr="0044343A" w:rsidRDefault="00B7597C" w:rsidP="00064960">
            <w:pPr>
              <w:pStyle w:val="TableText"/>
              <w:keepNext/>
              <w:keepLines/>
              <w:jc w:val="center"/>
              <w:rPr>
                <w:b/>
                <w:bCs/>
              </w:rPr>
            </w:pPr>
            <w:r w:rsidRPr="008F354B">
              <w:rPr>
                <w:b/>
                <w:bCs/>
              </w:rPr>
              <w:t>Total</w:t>
            </w:r>
          </w:p>
        </w:tc>
        <w:tc>
          <w:tcPr>
            <w:tcW w:w="2098" w:type="dxa"/>
            <w:vAlign w:val="center"/>
          </w:tcPr>
          <w:p w14:paraId="2CDC7D73" w14:textId="693C35BC" w:rsidR="00B7597C" w:rsidRPr="009722E4" w:rsidRDefault="00550481" w:rsidP="00064960">
            <w:pPr>
              <w:pStyle w:val="TableText"/>
              <w:keepNext/>
              <w:keepLines/>
              <w:jc w:val="center"/>
            </w:pPr>
            <w:r>
              <w:t>2641</w:t>
            </w:r>
          </w:p>
        </w:tc>
        <w:tc>
          <w:tcPr>
            <w:tcW w:w="2098" w:type="dxa"/>
            <w:vAlign w:val="center"/>
          </w:tcPr>
          <w:p w14:paraId="21C56897" w14:textId="78A23181" w:rsidR="00B7597C" w:rsidRPr="00C95060" w:rsidRDefault="00C95060" w:rsidP="00064960">
            <w:pPr>
              <w:pStyle w:val="TableText"/>
              <w:keepNext/>
              <w:keepLines/>
              <w:jc w:val="center"/>
            </w:pPr>
            <w:r w:rsidRPr="00064960">
              <w:t>≥</w:t>
            </w:r>
            <w:r w:rsidR="00516FCB" w:rsidRPr="00064960">
              <w:t>10</w:t>
            </w:r>
            <w:r w:rsidR="003A631F">
              <w:t>,</w:t>
            </w:r>
            <w:r w:rsidR="00516FCB" w:rsidRPr="00064960">
              <w:t>000</w:t>
            </w:r>
          </w:p>
        </w:tc>
        <w:tc>
          <w:tcPr>
            <w:tcW w:w="2098" w:type="dxa"/>
            <w:vAlign w:val="center"/>
          </w:tcPr>
          <w:p w14:paraId="2D4A2B18" w14:textId="01521B7A" w:rsidR="00B7597C" w:rsidRPr="009722E4" w:rsidRDefault="00C95060" w:rsidP="00064960">
            <w:pPr>
              <w:pStyle w:val="TableText"/>
              <w:keepNext/>
              <w:keepLines/>
              <w:jc w:val="center"/>
            </w:pPr>
            <w:r>
              <w:t>&lt;</w:t>
            </w:r>
            <w:r w:rsidR="00516FCB" w:rsidRPr="008F354B">
              <w:t>1</w:t>
            </w:r>
            <w:r w:rsidR="00516FCB" w:rsidRPr="0044343A">
              <w:t>0</w:t>
            </w:r>
            <w:r w:rsidR="003A631F">
              <w:t>,</w:t>
            </w:r>
            <w:r w:rsidR="00516FCB" w:rsidRPr="009722E4">
              <w:t>000</w:t>
            </w:r>
          </w:p>
        </w:tc>
      </w:tr>
    </w:tbl>
    <w:bookmarkEnd w:id="12"/>
    <w:p w14:paraId="448A0913" w14:textId="0996B836" w:rsidR="00B7597C" w:rsidRPr="00064960" w:rsidRDefault="00B7597C" w:rsidP="00064960">
      <w:pPr>
        <w:pStyle w:val="FigureTableNoteSource"/>
        <w:keepLines/>
      </w:pPr>
      <w:r w:rsidRPr="00324AE6">
        <w:t>Note: Population information provided by DPIE (</w:t>
      </w:r>
      <w:r w:rsidRPr="008F354B">
        <w:t xml:space="preserve">2021. pers comm </w:t>
      </w:r>
      <w:r w:rsidR="00550481">
        <w:t>1 November</w:t>
      </w:r>
      <w:r w:rsidRPr="0044343A">
        <w:t xml:space="preserve">) based on surveys conducted in </w:t>
      </w:r>
      <w:r w:rsidRPr="009722E4">
        <w:t>2019-202</w:t>
      </w:r>
      <w:r w:rsidR="000259C7" w:rsidRPr="009722E4">
        <w:t xml:space="preserve">1. Surveys did not </w:t>
      </w:r>
      <w:r w:rsidR="00D82221" w:rsidRPr="009722E4">
        <w:t xml:space="preserve">cover the entire species’ distribution, </w:t>
      </w:r>
      <w:r w:rsidR="00A673C9" w:rsidRPr="00064960">
        <w:t>so</w:t>
      </w:r>
      <w:r w:rsidR="00D82221" w:rsidRPr="00064960">
        <w:t xml:space="preserve"> </w:t>
      </w:r>
      <w:r w:rsidR="0061399C" w:rsidRPr="00064960">
        <w:t>DPIE has</w:t>
      </w:r>
      <w:r w:rsidR="00A673C9" w:rsidRPr="00064960">
        <w:t xml:space="preserve"> factored </w:t>
      </w:r>
      <w:r w:rsidR="0061399C" w:rsidRPr="00064960">
        <w:t>this into</w:t>
      </w:r>
      <w:r w:rsidR="00A673C9" w:rsidRPr="00064960">
        <w:t xml:space="preserve"> the estimated </w:t>
      </w:r>
      <w:r w:rsidR="00D82221" w:rsidRPr="00064960">
        <w:t>number</w:t>
      </w:r>
      <w:r w:rsidR="008E63CA" w:rsidRPr="00064960">
        <w:t xml:space="preserve"> of individuals</w:t>
      </w:r>
      <w:r w:rsidR="0061399C" w:rsidRPr="00064960">
        <w:t>.</w:t>
      </w:r>
    </w:p>
    <w:bookmarkEnd w:id="11"/>
    <w:p w14:paraId="18F9FC7F" w14:textId="681F863E" w:rsidR="00C80769" w:rsidRDefault="002B0D81" w:rsidP="00496D45">
      <w:r>
        <w:rPr>
          <w:noProof/>
          <w:shd w:val="clear" w:color="auto" w:fill="FFFFFF"/>
        </w:rPr>
        <w:t>Environment Australia (1999)</w:t>
      </w:r>
      <w:r>
        <w:rPr>
          <w:shd w:val="clear" w:color="auto" w:fill="FFFFFF"/>
        </w:rPr>
        <w:t xml:space="preserve"> estimated </w:t>
      </w:r>
      <w:r w:rsidRPr="0049018F">
        <w:rPr>
          <w:shd w:val="clear" w:color="auto" w:fill="FFFFFF"/>
        </w:rPr>
        <w:t xml:space="preserve">the population size required </w:t>
      </w:r>
      <w:r w:rsidR="00A14FDB">
        <w:rPr>
          <w:shd w:val="clear" w:color="auto" w:fill="FFFFFF"/>
        </w:rPr>
        <w:t xml:space="preserve">for the Banyabba grevillea </w:t>
      </w:r>
      <w:r w:rsidRPr="0049018F">
        <w:rPr>
          <w:shd w:val="clear" w:color="auto" w:fill="FFFFFF"/>
        </w:rPr>
        <w:t>to withstand the influences of demographic/environmental uncertainty in the absence of additional disturbance (i.e., the population size required to ensure there is less than one percent chance of the population declining to 50 individuals at least once over the next 50 years) was approximately 7780</w:t>
      </w:r>
      <w:r>
        <w:rPr>
          <w:shd w:val="clear" w:color="auto" w:fill="FFFFFF"/>
        </w:rPr>
        <w:t> </w:t>
      </w:r>
      <w:r w:rsidRPr="0049018F">
        <w:rPr>
          <w:shd w:val="clear" w:color="auto" w:fill="FFFFFF"/>
        </w:rPr>
        <w:t>individuals.</w:t>
      </w:r>
    </w:p>
    <w:p w14:paraId="518F63CA" w14:textId="63B981D6" w:rsidR="00496D45" w:rsidRPr="00B85AE1" w:rsidRDefault="00496D45" w:rsidP="00120AEE">
      <w:pPr>
        <w:keepNext/>
        <w:spacing w:before="240"/>
        <w:rPr>
          <w:i/>
          <w:iCs/>
        </w:rPr>
      </w:pPr>
      <w:r w:rsidRPr="00B85AE1">
        <w:rPr>
          <w:i/>
          <w:iCs/>
        </w:rPr>
        <w:t>Past distribution</w:t>
      </w:r>
      <w:r w:rsidR="00200CB3">
        <w:rPr>
          <w:i/>
          <w:iCs/>
        </w:rPr>
        <w:t xml:space="preserve"> and erroneous </w:t>
      </w:r>
      <w:r w:rsidR="002B0D81">
        <w:rPr>
          <w:i/>
          <w:iCs/>
        </w:rPr>
        <w:t>records</w:t>
      </w:r>
    </w:p>
    <w:p w14:paraId="04F411CE" w14:textId="7EEFABDE" w:rsidR="00496D45" w:rsidRDefault="00496D45" w:rsidP="00496D45">
      <w:pPr>
        <w:keepLines/>
      </w:pPr>
      <w:r w:rsidRPr="00C166AA">
        <w:t xml:space="preserve">The </w:t>
      </w:r>
      <w:r w:rsidRPr="00B85AE1">
        <w:t xml:space="preserve">historical distribution of the Banyabba </w:t>
      </w:r>
      <w:r w:rsidR="004F7964">
        <w:t>g</w:t>
      </w:r>
      <w:r w:rsidRPr="00B85AE1">
        <w:t xml:space="preserve">revillea is likely to be </w:t>
      </w:r>
      <w:proofErr w:type="gramStart"/>
      <w:r w:rsidRPr="00B85AE1">
        <w:t>similar to</w:t>
      </w:r>
      <w:proofErr w:type="gramEnd"/>
      <w:r w:rsidRPr="00B85AE1">
        <w:t xml:space="preserve"> its current distribution </w:t>
      </w:r>
      <w:r w:rsidRPr="00B85AE1">
        <w:rPr>
          <w:noProof/>
        </w:rPr>
        <w:t>(NPWS 1999)</w:t>
      </w:r>
      <w:r w:rsidRPr="00B85AE1">
        <w:t>. However</w:t>
      </w:r>
      <w:r>
        <w:t xml:space="preserve">, similar </w:t>
      </w:r>
      <w:r w:rsidR="00F834E6">
        <w:t>vegetation</w:t>
      </w:r>
      <w:r>
        <w:t xml:space="preserve"> adjoining known </w:t>
      </w:r>
      <w:r w:rsidR="00C3666F">
        <w:t>sub</w:t>
      </w:r>
      <w:r>
        <w:t xml:space="preserve">populations has been moderately cleared for agriculture or </w:t>
      </w:r>
      <w:r w:rsidRPr="003F0048">
        <w:t xml:space="preserve">used for forestry activities, </w:t>
      </w:r>
      <w:r>
        <w:t>which is likely to have reduced t</w:t>
      </w:r>
      <w:r w:rsidRPr="003F0048">
        <w:t xml:space="preserve">he number of individuals and opportunities for recolonisation </w:t>
      </w:r>
      <w:r w:rsidRPr="003F0048">
        <w:rPr>
          <w:noProof/>
        </w:rPr>
        <w:t>(NPWS 1999)</w:t>
      </w:r>
      <w:r w:rsidRPr="003F0048">
        <w:t>.</w:t>
      </w:r>
    </w:p>
    <w:p w14:paraId="2ABB71C7" w14:textId="5CF778BB" w:rsidR="00F57756" w:rsidRDefault="004D5834" w:rsidP="00496D45">
      <w:pPr>
        <w:keepLines/>
      </w:pPr>
      <w:r w:rsidRPr="004D5834">
        <w:t xml:space="preserve">An outlying record </w:t>
      </w:r>
      <w:r w:rsidR="00726600">
        <w:t xml:space="preserve">for the species </w:t>
      </w:r>
      <w:r w:rsidRPr="004D5834">
        <w:t xml:space="preserve">from </w:t>
      </w:r>
      <w:proofErr w:type="spellStart"/>
      <w:r w:rsidRPr="004D5834">
        <w:t>Gibberagee</w:t>
      </w:r>
      <w:proofErr w:type="spellEnd"/>
      <w:r w:rsidRPr="004D5834">
        <w:t xml:space="preserve"> State Forest was checked in the field and reassigned to </w:t>
      </w:r>
      <w:r w:rsidR="00726600">
        <w:t xml:space="preserve">Mason’s </w:t>
      </w:r>
      <w:r w:rsidR="003A631F">
        <w:t>g</w:t>
      </w:r>
      <w:r w:rsidR="00726600">
        <w:t>revillea (</w:t>
      </w:r>
      <w:r w:rsidR="006E2013">
        <w:t>DPIE 2021. pers comm 24 June)</w:t>
      </w:r>
      <w:r w:rsidRPr="004D5834">
        <w:t>.</w:t>
      </w:r>
    </w:p>
    <w:bookmarkEnd w:id="7"/>
    <w:bookmarkEnd w:id="8"/>
    <w:bookmarkEnd w:id="9"/>
    <w:p w14:paraId="318C8990" w14:textId="450B2CB4" w:rsidR="00496D45" w:rsidRDefault="00496D45" w:rsidP="00496D45">
      <w:pPr>
        <w:pStyle w:val="Caption"/>
      </w:pPr>
      <w:r>
        <w:lastRenderedPageBreak/>
        <w:t xml:space="preserve">Map </w:t>
      </w:r>
      <w:r>
        <w:rPr>
          <w:noProof/>
        </w:rPr>
        <w:fldChar w:fldCharType="begin"/>
      </w:r>
      <w:r>
        <w:rPr>
          <w:noProof/>
        </w:rPr>
        <w:instrText xml:space="preserve"> SEQ Map \* ARABIC </w:instrText>
      </w:r>
      <w:r>
        <w:rPr>
          <w:noProof/>
        </w:rPr>
        <w:fldChar w:fldCharType="separate"/>
      </w:r>
      <w:r>
        <w:rPr>
          <w:noProof/>
        </w:rPr>
        <w:t>1</w:t>
      </w:r>
      <w:r>
        <w:rPr>
          <w:noProof/>
        </w:rPr>
        <w:fldChar w:fldCharType="end"/>
      </w:r>
      <w:r>
        <w:t xml:space="preserve"> Modelled distribution of the Banyabba </w:t>
      </w:r>
      <w:r w:rsidR="004F7964">
        <w:t>g</w:t>
      </w:r>
      <w:r>
        <w:t>revillea</w:t>
      </w:r>
    </w:p>
    <w:p w14:paraId="491C54FF" w14:textId="2C1B32FB" w:rsidR="00496D45" w:rsidRDefault="00001A53" w:rsidP="00496D45">
      <w:pPr>
        <w:pStyle w:val="FigureTableNoteSource"/>
        <w:spacing w:after="0"/>
        <w:contextualSpacing w:val="0"/>
        <w:rPr>
          <w:b/>
          <w:bCs/>
        </w:rPr>
      </w:pPr>
      <w:r>
        <w:rPr>
          <w:noProof/>
        </w:rPr>
        <w:drawing>
          <wp:inline distT="0" distB="0" distL="0" distR="0" wp14:anchorId="6E31D7A1" wp14:editId="39A943A2">
            <wp:extent cx="5187221" cy="3667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15966" cy="3687446"/>
                    </a:xfrm>
                    <a:prstGeom prst="rect">
                      <a:avLst/>
                    </a:prstGeom>
                    <a:noFill/>
                    <a:ln>
                      <a:noFill/>
                    </a:ln>
                  </pic:spPr>
                </pic:pic>
              </a:graphicData>
            </a:graphic>
          </wp:inline>
        </w:drawing>
      </w:r>
    </w:p>
    <w:p w14:paraId="513C9EA5" w14:textId="18D54748" w:rsidR="00496D45" w:rsidRDefault="00496D45" w:rsidP="00496D45">
      <w:pPr>
        <w:pStyle w:val="FigureTableNoteSource"/>
        <w:spacing w:after="120"/>
        <w:contextualSpacing w:val="0"/>
      </w:pPr>
      <w:r w:rsidRPr="00D971F5">
        <w:rPr>
          <w:b/>
          <w:bCs/>
        </w:rPr>
        <w:t>Source:</w:t>
      </w:r>
      <w:r>
        <w:t xml:space="preserve"> Base map Geoscience Australia; species distribution data </w:t>
      </w:r>
      <w:hyperlink r:id="rId29" w:history="1">
        <w:r w:rsidRPr="008064B3">
          <w:rPr>
            <w:rStyle w:val="Hyperlink"/>
          </w:rPr>
          <w:t>Species of National Environmental Significance</w:t>
        </w:r>
      </w:hyperlink>
      <w:r>
        <w:t xml:space="preserve"> database.</w:t>
      </w:r>
    </w:p>
    <w:p w14:paraId="1D9EF5BD" w14:textId="2A7F9363" w:rsidR="00496D45" w:rsidRDefault="00496D45" w:rsidP="00496D45">
      <w:pPr>
        <w:pStyle w:val="FigureTableNoteSource"/>
        <w:spacing w:after="120"/>
        <w:contextualSpacing w:val="0"/>
      </w:pPr>
      <w:r w:rsidRPr="00E54F94">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anything containing herein.</w:t>
      </w:r>
    </w:p>
    <w:p w14:paraId="7646064F" w14:textId="77777777" w:rsidR="00496D45" w:rsidRPr="009328B8" w:rsidRDefault="00496D45" w:rsidP="00496D45">
      <w:pPr>
        <w:pStyle w:val="FigureTableNoteSource"/>
      </w:pPr>
      <w:r w:rsidRPr="00E54F94">
        <w:rPr>
          <w:b/>
          <w:bCs/>
        </w:rPr>
        <w:t>Species distribution mapping</w:t>
      </w:r>
      <w:r>
        <w:t xml:space="preserve">: The species distribution mapping categories are indicative only and aim to capture (a) the specific habitat type or geographic feature that represents to recent observed locations of the species (known to occur) or preferred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p>
    <w:p w14:paraId="0CBB0D6A" w14:textId="77777777" w:rsidR="00C304AA" w:rsidRDefault="00C304AA" w:rsidP="0046213C">
      <w:pPr>
        <w:pStyle w:val="Heading3"/>
        <w:ind w:left="964" w:hanging="964"/>
      </w:pPr>
      <w:r>
        <w:lastRenderedPageBreak/>
        <w:t>Cultural and community significance</w:t>
      </w:r>
    </w:p>
    <w:p w14:paraId="5426EB8F" w14:textId="1B8471B0" w:rsidR="0046213C" w:rsidRDefault="0046213C" w:rsidP="0046213C">
      <w:pPr>
        <w:keepNext/>
        <w:keepLines/>
      </w:pPr>
      <w:r w:rsidRPr="64F7238B">
        <w:rPr>
          <w:rFonts w:eastAsia="Cambria" w:cs="Cambria"/>
          <w:color w:val="000000" w:themeColor="text1"/>
        </w:rPr>
        <w:t xml:space="preserve">This section describes some published examples of this significance but is not intended to be comprehensive, applicable to, or speak for, all </w:t>
      </w:r>
      <w:r w:rsidR="00A14FDB">
        <w:rPr>
          <w:rFonts w:eastAsia="Cambria" w:cs="Cambria"/>
          <w:color w:val="000000" w:themeColor="text1"/>
        </w:rPr>
        <w:t>Indigenous</w:t>
      </w:r>
      <w:r w:rsidRPr="64F7238B">
        <w:rPr>
          <w:rFonts w:eastAsia="Cambria" w:cs="Cambria"/>
          <w:color w:val="000000" w:themeColor="text1"/>
        </w:rPr>
        <w:t xml:space="preserve"> </w:t>
      </w:r>
      <w:r>
        <w:rPr>
          <w:rFonts w:eastAsia="Cambria" w:cs="Cambria"/>
          <w:color w:val="000000" w:themeColor="text1"/>
        </w:rPr>
        <w:t>Australians</w:t>
      </w:r>
      <w:r w:rsidRPr="64F7238B">
        <w:rPr>
          <w:rFonts w:eastAsia="Cambria" w:cs="Cambria"/>
          <w:color w:val="000000" w:themeColor="text1"/>
        </w:rPr>
        <w:t xml:space="preserve">. Such knowledge may be only held by </w:t>
      </w:r>
      <w:r w:rsidR="00A14FDB">
        <w:rPr>
          <w:rFonts w:eastAsia="Cambria" w:cs="Cambria"/>
          <w:color w:val="000000" w:themeColor="text1"/>
        </w:rPr>
        <w:t>Indigenous</w:t>
      </w:r>
      <w:r w:rsidR="00306CA1">
        <w:rPr>
          <w:rFonts w:eastAsia="Cambria" w:cs="Cambria"/>
          <w:color w:val="000000" w:themeColor="text1"/>
        </w:rPr>
        <w:t xml:space="preserve"> Australians</w:t>
      </w:r>
      <w:r w:rsidR="00306CA1" w:rsidRPr="64F7238B">
        <w:rPr>
          <w:rFonts w:eastAsia="Cambria" w:cs="Cambria"/>
          <w:color w:val="000000" w:themeColor="text1"/>
        </w:rPr>
        <w:t xml:space="preserve"> </w:t>
      </w:r>
      <w:r w:rsidRPr="64F7238B">
        <w:rPr>
          <w:rFonts w:eastAsia="Cambria" w:cs="Cambria"/>
          <w:color w:val="000000" w:themeColor="text1"/>
        </w:rPr>
        <w:t>who are the custodians of this knowledge</w:t>
      </w:r>
      <w:r>
        <w:rPr>
          <w:rFonts w:eastAsia="Cambria" w:cs="Cambria"/>
          <w:color w:val="000000" w:themeColor="text1"/>
        </w:rPr>
        <w:t>.</w:t>
      </w:r>
    </w:p>
    <w:p w14:paraId="6BBD3C65" w14:textId="430A347F" w:rsidR="00496D45" w:rsidRPr="004C6767" w:rsidRDefault="00496D45" w:rsidP="0046213C">
      <w:pPr>
        <w:keepNext/>
        <w:keepLines/>
      </w:pPr>
      <w:r w:rsidRPr="004C6767">
        <w:t xml:space="preserve">Grevilleas are a culturally significant plant for </w:t>
      </w:r>
      <w:r w:rsidR="00804517">
        <w:rPr>
          <w:rFonts w:eastAsia="Cambria" w:cs="Cambria"/>
          <w:color w:val="000000" w:themeColor="text1"/>
        </w:rPr>
        <w:t>Indigenous</w:t>
      </w:r>
      <w:r w:rsidR="00306CA1">
        <w:rPr>
          <w:rFonts w:eastAsia="Cambria" w:cs="Cambria"/>
          <w:color w:val="000000" w:themeColor="text1"/>
        </w:rPr>
        <w:t xml:space="preserve"> Australians</w:t>
      </w:r>
      <w:r w:rsidR="00306CA1" w:rsidRPr="64F7238B">
        <w:rPr>
          <w:rFonts w:eastAsia="Cambria" w:cs="Cambria"/>
          <w:color w:val="000000" w:themeColor="text1"/>
        </w:rPr>
        <w:t xml:space="preserve"> </w:t>
      </w:r>
      <w:r w:rsidRPr="004C6767">
        <w:rPr>
          <w:noProof/>
        </w:rPr>
        <w:t>(Royal Botanic Gardens Victoria 2014)</w:t>
      </w:r>
      <w:r w:rsidRPr="004C6767">
        <w:t xml:space="preserve">. Grevillea flowers are bush tucker and can be sucked or soaked in water to produce a sweet drink </w:t>
      </w:r>
      <w:r w:rsidRPr="004C6767">
        <w:rPr>
          <w:noProof/>
        </w:rPr>
        <w:t>(Flood 1980; Australian National Botanic Gardens 2007).</w:t>
      </w:r>
      <w:r>
        <w:rPr>
          <w:noProof/>
        </w:rPr>
        <w:t xml:space="preserve"> </w:t>
      </w:r>
      <w:r w:rsidRPr="007B6185">
        <w:t>Ascert</w:t>
      </w:r>
      <w:r>
        <w:t xml:space="preserve">aining the cultural significance of this species is an information/research priority identified in the </w:t>
      </w:r>
      <w:r w:rsidRPr="00FD2F7A">
        <w:t>Conservation and Recovery Actions</w:t>
      </w:r>
      <w:r>
        <w:rPr>
          <w:i/>
          <w:iCs/>
        </w:rPr>
        <w:t>.</w:t>
      </w:r>
    </w:p>
    <w:p w14:paraId="55C2ECCB" w14:textId="2B36FB66" w:rsidR="00496D45" w:rsidRDefault="00496D45" w:rsidP="00496D45">
      <w:pPr>
        <w:keepLines/>
      </w:pPr>
      <w:r>
        <w:t xml:space="preserve">The Banyabba </w:t>
      </w:r>
      <w:r w:rsidR="004F7964">
        <w:t>g</w:t>
      </w:r>
      <w:r>
        <w:t xml:space="preserve">revillea and its habitat occur on </w:t>
      </w:r>
      <w:r w:rsidR="004965FB">
        <w:t>C</w:t>
      </w:r>
      <w:r>
        <w:t>ountry belonging to the B</w:t>
      </w:r>
      <w:r w:rsidR="00BA5512">
        <w:t>u</w:t>
      </w:r>
      <w:r>
        <w:t>ndjalung People. The B</w:t>
      </w:r>
      <w:r w:rsidR="00BA5512">
        <w:t>u</w:t>
      </w:r>
      <w:r>
        <w:t xml:space="preserve">ndjalung </w:t>
      </w:r>
      <w:r w:rsidRPr="007B6185">
        <w:t xml:space="preserve">People have lived on </w:t>
      </w:r>
      <w:r w:rsidR="004965FB">
        <w:t>C</w:t>
      </w:r>
      <w:r w:rsidRPr="007B6185">
        <w:t xml:space="preserve">ountry since the beginning of the Dreaming. Native title rights of the </w:t>
      </w:r>
      <w:r w:rsidR="00BA5512" w:rsidRPr="007B6185">
        <w:t>B</w:t>
      </w:r>
      <w:r w:rsidR="00BA5512">
        <w:t>u</w:t>
      </w:r>
      <w:r w:rsidR="00BA5512" w:rsidRPr="007B6185">
        <w:t>ndjalung</w:t>
      </w:r>
      <w:r w:rsidRPr="007B6185">
        <w:t xml:space="preserve"> People over Banyabba Nature Reserve have been legally recognised by the Federal Court of Australia (2013). This reserve is part of a landscape of cultural importance to the B</w:t>
      </w:r>
      <w:r w:rsidR="00BA5512">
        <w:t>u</w:t>
      </w:r>
      <w:r w:rsidRPr="007B6185">
        <w:t xml:space="preserve">ndjalung People and these lands will continue to be places of ceremony, learning and inspiration for generations to come. The </w:t>
      </w:r>
      <w:r>
        <w:t xml:space="preserve">NSW </w:t>
      </w:r>
      <w:r w:rsidRPr="007B6185">
        <w:t xml:space="preserve">National Parks and Wildlife Service (NPWS) is working with the </w:t>
      </w:r>
      <w:r w:rsidR="00BA5512" w:rsidRPr="007B6185">
        <w:t>B</w:t>
      </w:r>
      <w:r w:rsidR="00BA5512">
        <w:t>u</w:t>
      </w:r>
      <w:r w:rsidR="00BA5512" w:rsidRPr="007B6185">
        <w:t>ndjalung</w:t>
      </w:r>
      <w:r w:rsidRPr="007B6185">
        <w:t xml:space="preserve"> People to help promote culture and reconciliation within the Banyabba Nature Reserve </w:t>
      </w:r>
      <w:r>
        <w:rPr>
          <w:noProof/>
        </w:rPr>
        <w:t>(NPWS 2020)</w:t>
      </w:r>
      <w:r w:rsidRPr="007B6185">
        <w:t>.</w:t>
      </w:r>
    </w:p>
    <w:p w14:paraId="515FCDA2" w14:textId="77777777" w:rsidR="00C304AA" w:rsidRDefault="00C304AA" w:rsidP="00C304AA">
      <w:pPr>
        <w:pStyle w:val="Heading3"/>
        <w:ind w:left="964" w:hanging="964"/>
      </w:pPr>
      <w:r>
        <w:t>Relevant biology and ecology</w:t>
      </w:r>
    </w:p>
    <w:p w14:paraId="416575B5" w14:textId="77777777" w:rsidR="00496D45" w:rsidRPr="00446E2A" w:rsidRDefault="00496D45" w:rsidP="00496D45">
      <w:pPr>
        <w:rPr>
          <w:i/>
          <w:iCs/>
        </w:rPr>
      </w:pPr>
      <w:r w:rsidRPr="00446E2A">
        <w:rPr>
          <w:i/>
          <w:iCs/>
        </w:rPr>
        <w:t>Habitat ecology</w:t>
      </w:r>
    </w:p>
    <w:p w14:paraId="6C617C64" w14:textId="640C69DD" w:rsidR="00496D45" w:rsidRPr="00CF398B" w:rsidRDefault="00496D45" w:rsidP="00496D45">
      <w:r w:rsidRPr="00CF398B">
        <w:t xml:space="preserve">The Banyabba </w:t>
      </w:r>
      <w:r w:rsidR="004F7964">
        <w:t>g</w:t>
      </w:r>
      <w:r w:rsidRPr="00CF398B">
        <w:t xml:space="preserve">revillea grows in dry sclerophyll forests on low </w:t>
      </w:r>
      <w:r w:rsidR="0091468D">
        <w:t xml:space="preserve">sandstone </w:t>
      </w:r>
      <w:r w:rsidRPr="00CF398B">
        <w:t xml:space="preserve">ridges in well-drained, sandy soils, and on rocky cliffs or major rocky outcrops </w:t>
      </w:r>
      <w:r>
        <w:rPr>
          <w:noProof/>
        </w:rPr>
        <w:t>(Makinson 2000; DPIE 2020b)</w:t>
      </w:r>
      <w:r w:rsidRPr="00CF398B">
        <w:t xml:space="preserve">. </w:t>
      </w:r>
      <w:bookmarkStart w:id="13" w:name="_Hlk82598913"/>
      <w:r w:rsidRPr="00CF398B">
        <w:t xml:space="preserve">It often grows in association with </w:t>
      </w:r>
      <w:r w:rsidRPr="00CF398B">
        <w:rPr>
          <w:i/>
          <w:iCs/>
        </w:rPr>
        <w:t xml:space="preserve">Eucalyptus </w:t>
      </w:r>
      <w:proofErr w:type="spellStart"/>
      <w:r w:rsidRPr="00CF398B">
        <w:rPr>
          <w:i/>
          <w:iCs/>
        </w:rPr>
        <w:t>planchoniana</w:t>
      </w:r>
      <w:proofErr w:type="spellEnd"/>
      <w:r w:rsidRPr="00CF398B">
        <w:rPr>
          <w:i/>
          <w:iCs/>
        </w:rPr>
        <w:t xml:space="preserve"> </w:t>
      </w:r>
      <w:r w:rsidRPr="00CF398B">
        <w:t>(</w:t>
      </w:r>
      <w:proofErr w:type="spellStart"/>
      <w:r w:rsidR="003A631F">
        <w:t>n</w:t>
      </w:r>
      <w:r w:rsidRPr="00CF398B">
        <w:t>eedlebark</w:t>
      </w:r>
      <w:proofErr w:type="spellEnd"/>
      <w:r w:rsidRPr="00CF398B">
        <w:t xml:space="preserve"> </w:t>
      </w:r>
      <w:r w:rsidR="003A631F">
        <w:t>s</w:t>
      </w:r>
      <w:r w:rsidRPr="00CF398B">
        <w:t xml:space="preserve">tringybark), </w:t>
      </w:r>
      <w:r w:rsidRPr="00CF398B">
        <w:rPr>
          <w:i/>
          <w:iCs/>
        </w:rPr>
        <w:t xml:space="preserve">Eucalyptus </w:t>
      </w:r>
      <w:proofErr w:type="spellStart"/>
      <w:r w:rsidRPr="00CF398B">
        <w:rPr>
          <w:i/>
          <w:iCs/>
        </w:rPr>
        <w:t>psammitica</w:t>
      </w:r>
      <w:proofErr w:type="spellEnd"/>
      <w:r w:rsidRPr="00CF398B">
        <w:rPr>
          <w:i/>
          <w:iCs/>
        </w:rPr>
        <w:t xml:space="preserve"> </w:t>
      </w:r>
      <w:r w:rsidRPr="00CF398B">
        <w:t>(</w:t>
      </w:r>
      <w:proofErr w:type="gramStart"/>
      <w:r w:rsidR="003A631F">
        <w:t>b</w:t>
      </w:r>
      <w:r w:rsidRPr="00CF398B">
        <w:t>astard</w:t>
      </w:r>
      <w:proofErr w:type="gramEnd"/>
      <w:r w:rsidRPr="00CF398B">
        <w:t xml:space="preserve"> </w:t>
      </w:r>
      <w:r w:rsidR="003A631F">
        <w:t>w</w:t>
      </w:r>
      <w:r w:rsidRPr="00CF398B">
        <w:t xml:space="preserve">hite </w:t>
      </w:r>
      <w:r w:rsidR="003A631F">
        <w:t>m</w:t>
      </w:r>
      <w:r w:rsidRPr="00CF398B">
        <w:t xml:space="preserve">ahogany), </w:t>
      </w:r>
      <w:r w:rsidRPr="00CF398B">
        <w:rPr>
          <w:i/>
          <w:iCs/>
        </w:rPr>
        <w:t xml:space="preserve">Angophora </w:t>
      </w:r>
      <w:proofErr w:type="spellStart"/>
      <w:r w:rsidRPr="00CF398B">
        <w:rPr>
          <w:i/>
          <w:iCs/>
        </w:rPr>
        <w:t>robur</w:t>
      </w:r>
      <w:proofErr w:type="spellEnd"/>
      <w:r w:rsidRPr="00CF398B">
        <w:t xml:space="preserve"> (</w:t>
      </w:r>
      <w:r w:rsidR="003A631F">
        <w:t>s</w:t>
      </w:r>
      <w:r w:rsidRPr="00CF398B">
        <w:t xml:space="preserve">andstone </w:t>
      </w:r>
      <w:r w:rsidR="003A631F">
        <w:t>r</w:t>
      </w:r>
      <w:r w:rsidRPr="00CF398B">
        <w:t xml:space="preserve">ough-barked </w:t>
      </w:r>
      <w:r w:rsidR="003A631F">
        <w:t>a</w:t>
      </w:r>
      <w:r w:rsidRPr="00CF398B">
        <w:t>pple)</w:t>
      </w:r>
      <w:r>
        <w:t xml:space="preserve">, </w:t>
      </w:r>
      <w:proofErr w:type="spellStart"/>
      <w:r w:rsidRPr="00CF398B">
        <w:rPr>
          <w:i/>
          <w:iCs/>
        </w:rPr>
        <w:t>Corymbia</w:t>
      </w:r>
      <w:proofErr w:type="spellEnd"/>
      <w:r w:rsidRPr="00CF398B">
        <w:rPr>
          <w:i/>
          <w:iCs/>
        </w:rPr>
        <w:t xml:space="preserve"> </w:t>
      </w:r>
      <w:proofErr w:type="spellStart"/>
      <w:r w:rsidRPr="00CF398B">
        <w:rPr>
          <w:i/>
          <w:iCs/>
        </w:rPr>
        <w:t>gummifera</w:t>
      </w:r>
      <w:proofErr w:type="spellEnd"/>
      <w:r w:rsidRPr="00CF398B">
        <w:rPr>
          <w:i/>
          <w:iCs/>
        </w:rPr>
        <w:t xml:space="preserve"> </w:t>
      </w:r>
      <w:r w:rsidRPr="00CF398B">
        <w:t>(</w:t>
      </w:r>
      <w:r w:rsidR="003A631F">
        <w:t>r</w:t>
      </w:r>
      <w:r w:rsidRPr="00CF398B">
        <w:t xml:space="preserve">ed </w:t>
      </w:r>
      <w:r w:rsidR="003A631F">
        <w:t>b</w:t>
      </w:r>
      <w:r w:rsidRPr="00CF398B">
        <w:t>loodwood) and</w:t>
      </w:r>
      <w:r w:rsidRPr="00CF398B">
        <w:rPr>
          <w:i/>
          <w:iCs/>
        </w:rPr>
        <w:t xml:space="preserve"> </w:t>
      </w:r>
      <w:proofErr w:type="spellStart"/>
      <w:r w:rsidRPr="00CF398B">
        <w:rPr>
          <w:i/>
          <w:iCs/>
        </w:rPr>
        <w:t>Corymbia</w:t>
      </w:r>
      <w:proofErr w:type="spellEnd"/>
      <w:r w:rsidRPr="00CF398B">
        <w:rPr>
          <w:i/>
          <w:iCs/>
        </w:rPr>
        <w:t xml:space="preserve"> intermedia</w:t>
      </w:r>
      <w:r w:rsidRPr="00CF398B">
        <w:t xml:space="preserve"> (</w:t>
      </w:r>
      <w:r w:rsidR="003A631F">
        <w:t>p</w:t>
      </w:r>
      <w:r w:rsidRPr="00CF398B">
        <w:t xml:space="preserve">ink </w:t>
      </w:r>
      <w:r w:rsidR="003A631F">
        <w:t>b</w:t>
      </w:r>
      <w:r w:rsidRPr="00CF398B">
        <w:t xml:space="preserve">loodwood) </w:t>
      </w:r>
      <w:r>
        <w:rPr>
          <w:noProof/>
        </w:rPr>
        <w:t>(NPWS 2002; DPIE 2020a; DPIE 2021. pers comm 15 April)</w:t>
      </w:r>
      <w:r w:rsidRPr="00CF398B">
        <w:t>.</w:t>
      </w:r>
    </w:p>
    <w:bookmarkEnd w:id="13"/>
    <w:p w14:paraId="72EDE7C9" w14:textId="16C9F9D8" w:rsidR="00496D45" w:rsidRPr="00CF398B" w:rsidRDefault="00496D45" w:rsidP="00496D45">
      <w:pPr>
        <w:keepNext/>
        <w:rPr>
          <w:i/>
          <w:iCs/>
        </w:rPr>
      </w:pPr>
      <w:r w:rsidRPr="00CF398B">
        <w:rPr>
          <w:i/>
          <w:iCs/>
        </w:rPr>
        <w:t>Reproductive ecology</w:t>
      </w:r>
    </w:p>
    <w:p w14:paraId="7341B0D9" w14:textId="497EC82B" w:rsidR="00C460CF" w:rsidRPr="00BA5512" w:rsidRDefault="00496D45" w:rsidP="00C460CF">
      <w:r>
        <w:t xml:space="preserve">The reproductive ecology of the Banyabba </w:t>
      </w:r>
      <w:r w:rsidR="004F7964">
        <w:t>g</w:t>
      </w:r>
      <w:r>
        <w:t xml:space="preserve">revillea is not well understood and requires further investigation. </w:t>
      </w:r>
      <w:r w:rsidRPr="00361626">
        <w:t xml:space="preserve">The </w:t>
      </w:r>
      <w:r>
        <w:t xml:space="preserve">species </w:t>
      </w:r>
      <w:r w:rsidRPr="00361626">
        <w:t xml:space="preserve">flowers from August to October </w:t>
      </w:r>
      <w:r>
        <w:rPr>
          <w:noProof/>
        </w:rPr>
        <w:t>(Makinson 2000)</w:t>
      </w:r>
      <w:r w:rsidRPr="00361626">
        <w:t xml:space="preserve">. </w:t>
      </w:r>
      <w:r w:rsidR="00E516CD">
        <w:t xml:space="preserve">The primary and secondary juvenile periods are </w:t>
      </w:r>
      <w:r w:rsidR="00952A8C">
        <w:t>unknown</w:t>
      </w:r>
      <w:r w:rsidR="00E5013B">
        <w:t xml:space="preserve">. However, Environment Australia </w:t>
      </w:r>
      <w:r w:rsidR="00E5013B">
        <w:rPr>
          <w:noProof/>
          <w:shd w:val="clear" w:color="auto" w:fill="FFFFFF"/>
        </w:rPr>
        <w:t>(1999)</w:t>
      </w:r>
      <w:r w:rsidR="00E5013B">
        <w:rPr>
          <w:shd w:val="clear" w:color="auto" w:fill="FFFFFF"/>
        </w:rPr>
        <w:t xml:space="preserve"> estimate a three-year </w:t>
      </w:r>
      <w:r w:rsidR="00E5013B" w:rsidRPr="003A6F4B">
        <w:rPr>
          <w:shd w:val="clear" w:color="auto" w:fill="FFFFFF"/>
        </w:rPr>
        <w:t xml:space="preserve">recovery time </w:t>
      </w:r>
      <w:r w:rsidR="00E5013B">
        <w:rPr>
          <w:shd w:val="clear" w:color="auto" w:fill="FFFFFF"/>
        </w:rPr>
        <w:t xml:space="preserve">for the Banyabba grevillea </w:t>
      </w:r>
      <w:r w:rsidR="00E5013B" w:rsidRPr="003A6F4B">
        <w:rPr>
          <w:shd w:val="clear" w:color="auto" w:fill="FFFFFF"/>
        </w:rPr>
        <w:t>(i.e., the time between disturbance and the point when the species has developed sufficiently to reproduce</w:t>
      </w:r>
      <w:r w:rsidR="00E5013B" w:rsidRPr="0049018F">
        <w:rPr>
          <w:shd w:val="clear" w:color="auto" w:fill="FFFFFF"/>
        </w:rPr>
        <w:t>, including the time required to reach reproductive maturity)</w:t>
      </w:r>
      <w:r w:rsidR="00E5013B" w:rsidRPr="00487AC0">
        <w:rPr>
          <w:shd w:val="clear" w:color="auto" w:fill="FFFFFF"/>
        </w:rPr>
        <w:t>.</w:t>
      </w:r>
      <w:r w:rsidR="00E5013B">
        <w:t xml:space="preserve"> </w:t>
      </w:r>
      <w:bookmarkStart w:id="14" w:name="_Hlk82598980"/>
      <w:r w:rsidR="00E5013B">
        <w:t>T</w:t>
      </w:r>
      <w:r w:rsidR="00F600D4">
        <w:t>he</w:t>
      </w:r>
      <w:r w:rsidR="00AE5254">
        <w:t xml:space="preserve"> species is suspected to be long-lived (</w:t>
      </w:r>
      <w:r w:rsidR="00EF0BF0">
        <w:t>up to 50 years)</w:t>
      </w:r>
      <w:r w:rsidR="005856DD">
        <w:t xml:space="preserve"> (</w:t>
      </w:r>
      <w:r w:rsidR="00BB18F5">
        <w:t>DPIE 2021. pers comm 24 June</w:t>
      </w:r>
      <w:r w:rsidR="00AE5254">
        <w:t>)</w:t>
      </w:r>
      <w:r w:rsidR="00E516CD">
        <w:t>.</w:t>
      </w:r>
      <w:bookmarkEnd w:id="14"/>
      <w:r w:rsidR="00E516CD">
        <w:t xml:space="preserve"> </w:t>
      </w:r>
      <w:r w:rsidR="00952A8C">
        <w:t>T</w:t>
      </w:r>
      <w:r w:rsidRPr="00361626">
        <w:t>he pollinators and seed dispersal methods are also unknown.</w:t>
      </w:r>
    </w:p>
    <w:p w14:paraId="3ACBB000" w14:textId="279B736C" w:rsidR="00C460CF" w:rsidRDefault="00496D45" w:rsidP="00243267">
      <w:pPr>
        <w:keepNext/>
        <w:keepLines/>
      </w:pPr>
      <w:r>
        <w:rPr>
          <w:i/>
          <w:iCs/>
        </w:rPr>
        <w:lastRenderedPageBreak/>
        <w:t>Fire and disturbance ecology</w:t>
      </w:r>
      <w:bookmarkStart w:id="15" w:name="_Hlk70323037"/>
    </w:p>
    <w:p w14:paraId="78BB0531" w14:textId="1E3DCC32" w:rsidR="00D6431F" w:rsidRDefault="00596DAB" w:rsidP="00243267">
      <w:pPr>
        <w:keepNext/>
        <w:keepLines/>
      </w:pPr>
      <w:r>
        <w:t>In m</w:t>
      </w:r>
      <w:r w:rsidRPr="000D4C56">
        <w:t>any plants in family Proteaceae</w:t>
      </w:r>
      <w:r w:rsidR="008B756A">
        <w:t xml:space="preserve"> (i</w:t>
      </w:r>
      <w:r>
        <w:t>ncluding</w:t>
      </w:r>
      <w:r w:rsidRPr="000D4C56">
        <w:t xml:space="preserve"> </w:t>
      </w:r>
      <w:r w:rsidRPr="00240FBB">
        <w:rPr>
          <w:i/>
          <w:iCs/>
        </w:rPr>
        <w:t>Grevillea</w:t>
      </w:r>
      <w:r>
        <w:t xml:space="preserve"> </w:t>
      </w:r>
      <w:r w:rsidRPr="000D4C56">
        <w:t>s</w:t>
      </w:r>
      <w:r>
        <w:t>pp</w:t>
      </w:r>
      <w:r w:rsidR="008B756A">
        <w:t>.),</w:t>
      </w:r>
      <w:r w:rsidR="00496D45" w:rsidRPr="00CA30B1">
        <w:t xml:space="preserve"> germination of dormant seeds is triggered by fire-related cues, including heat, </w:t>
      </w:r>
      <w:proofErr w:type="gramStart"/>
      <w:r w:rsidR="00496D45" w:rsidRPr="00CA30B1">
        <w:t>smoke</w:t>
      </w:r>
      <w:proofErr w:type="gramEnd"/>
      <w:r w:rsidR="00496D45" w:rsidRPr="00CA30B1">
        <w:t xml:space="preserve"> and scarification </w:t>
      </w:r>
      <w:r w:rsidR="00496D45" w:rsidRPr="00CA30B1">
        <w:rPr>
          <w:noProof/>
        </w:rPr>
        <w:t>(Edwards &amp; Whelan 1995; Bradstock et al. 1996; Morris 2000)</w:t>
      </w:r>
      <w:r w:rsidR="00496D45" w:rsidRPr="00CA30B1">
        <w:t>.</w:t>
      </w:r>
      <w:r w:rsidR="00496D45" w:rsidRPr="000D5305">
        <w:t xml:space="preserve"> </w:t>
      </w:r>
      <w:bookmarkStart w:id="16" w:name="_Hlk82599091"/>
      <w:r w:rsidR="00496D45" w:rsidRPr="00FC28B2">
        <w:t xml:space="preserve">The Banyabba </w:t>
      </w:r>
      <w:r w:rsidR="004F7964" w:rsidRPr="00FC28B2">
        <w:t>g</w:t>
      </w:r>
      <w:r w:rsidR="00496D45" w:rsidRPr="00FC28B2">
        <w:t>revillea is predominately an obligate-seeding species</w:t>
      </w:r>
      <w:r w:rsidR="00E71C1B" w:rsidRPr="00FC28B2">
        <w:t xml:space="preserve"> </w:t>
      </w:r>
      <w:r w:rsidR="002D18AD" w:rsidRPr="00FC28B2">
        <w:rPr>
          <w:noProof/>
        </w:rPr>
        <w:t>(Richards 1999; Makinson 2000; Auld et al. 2020; Gallagher et al. 2021)</w:t>
      </w:r>
      <w:r w:rsidR="00496D45" w:rsidRPr="00FC28B2">
        <w:t xml:space="preserve">. </w:t>
      </w:r>
      <w:r w:rsidR="00242EE4" w:rsidRPr="00FC28B2">
        <w:t>F</w:t>
      </w:r>
      <w:r w:rsidR="00496D45" w:rsidRPr="00FC28B2">
        <w:t xml:space="preserve">ollowing the 2019-20 bushfires, </w:t>
      </w:r>
      <w:r w:rsidR="00A5390B" w:rsidRPr="00FC28B2">
        <w:t>regeneration was</w:t>
      </w:r>
      <w:r w:rsidR="00242EE4" w:rsidRPr="00FC28B2">
        <w:t xml:space="preserve"> mostly</w:t>
      </w:r>
      <w:r w:rsidR="00A5390B" w:rsidRPr="00FC28B2">
        <w:t xml:space="preserve"> observed from</w:t>
      </w:r>
      <w:r w:rsidR="00B55BCF" w:rsidRPr="00FC28B2">
        <w:t xml:space="preserve"> </w:t>
      </w:r>
      <w:r w:rsidR="00A5390B" w:rsidRPr="00FC28B2">
        <w:t xml:space="preserve">seed </w:t>
      </w:r>
      <w:r w:rsidR="00B55BCF" w:rsidRPr="00FC28B2">
        <w:t>germination</w:t>
      </w:r>
      <w:r w:rsidR="00FC28B2">
        <w:t>, however</w:t>
      </w:r>
      <w:r w:rsidR="00A5390B" w:rsidRPr="00FC28B2">
        <w:t xml:space="preserve"> resprouting</w:t>
      </w:r>
      <w:r w:rsidR="00FC28B2">
        <w:t xml:space="preserve"> was </w:t>
      </w:r>
      <w:r w:rsidR="000339AB">
        <w:t xml:space="preserve">also </w:t>
      </w:r>
      <w:r w:rsidR="00FC28B2">
        <w:t xml:space="preserve">observed in plants </w:t>
      </w:r>
      <w:r w:rsidR="00544AF2">
        <w:t xml:space="preserve">in a small patch (along </w:t>
      </w:r>
      <w:proofErr w:type="spellStart"/>
      <w:r w:rsidR="00FC28B2">
        <w:t>Dilkoon</w:t>
      </w:r>
      <w:proofErr w:type="spellEnd"/>
      <w:r w:rsidR="00FC28B2">
        <w:t xml:space="preserve"> Trail</w:t>
      </w:r>
      <w:r w:rsidR="00544AF2">
        <w:t>)</w:t>
      </w:r>
      <w:r w:rsidR="00FC28B2">
        <w:t xml:space="preserve"> in Fortis Creek </w:t>
      </w:r>
      <w:r w:rsidR="00366CEC">
        <w:t>National Park</w:t>
      </w:r>
      <w:r w:rsidR="00A5390B" w:rsidRPr="00FC28B2">
        <w:t xml:space="preserve"> (</w:t>
      </w:r>
      <w:r w:rsidR="00496D45" w:rsidRPr="00FC28B2">
        <w:t>DPIE 2021. pers comm 15 April</w:t>
      </w:r>
      <w:r w:rsidR="00496D45" w:rsidRPr="00FC28B2">
        <w:rPr>
          <w:noProof/>
        </w:rPr>
        <w:t>)</w:t>
      </w:r>
      <w:r w:rsidR="00496D45" w:rsidRPr="00FC28B2">
        <w:t>.</w:t>
      </w:r>
      <w:bookmarkEnd w:id="15"/>
      <w:r w:rsidR="000339AB">
        <w:t xml:space="preserve"> The reason for </w:t>
      </w:r>
      <w:r w:rsidR="004635A3">
        <w:t>this</w:t>
      </w:r>
      <w:r w:rsidR="000339AB">
        <w:t xml:space="preserve"> resprouting fire response in this small patch is </w:t>
      </w:r>
      <w:r w:rsidR="001C7945">
        <w:t>un</w:t>
      </w:r>
      <w:r w:rsidR="000339AB">
        <w:t xml:space="preserve">known. </w:t>
      </w:r>
    </w:p>
    <w:bookmarkEnd w:id="16"/>
    <w:p w14:paraId="2EE0714D" w14:textId="16561F2B" w:rsidR="00496D45" w:rsidRDefault="00496D45" w:rsidP="00D6431F">
      <w:pPr>
        <w:keepLines/>
        <w:rPr>
          <w:shd w:val="clear" w:color="auto" w:fill="FFFFFF"/>
        </w:rPr>
      </w:pPr>
      <w:r w:rsidRPr="00F103ED">
        <w:t xml:space="preserve">As the mature plants of obligate-seeding species are usually killed by fire, </w:t>
      </w:r>
      <w:r w:rsidR="008C04EB">
        <w:t xml:space="preserve">they can undergo </w:t>
      </w:r>
      <w:r w:rsidR="00A84D4B">
        <w:t xml:space="preserve">natural </w:t>
      </w:r>
      <w:r w:rsidR="008C04EB">
        <w:t xml:space="preserve">fluctuations in </w:t>
      </w:r>
      <w:r w:rsidR="009B6050">
        <w:t xml:space="preserve">the number of mature individuals, and accordingly, </w:t>
      </w:r>
      <w:r w:rsidRPr="00F103ED">
        <w:t>there must be</w:t>
      </w:r>
      <w:r>
        <w:t xml:space="preserve"> s</w:t>
      </w:r>
      <w:r w:rsidRPr="00F103ED">
        <w:t>ufficient intervals between fires</w:t>
      </w:r>
      <w:r>
        <w:t xml:space="preserve"> to allow</w:t>
      </w:r>
      <w:r w:rsidRPr="00F103ED">
        <w:t xml:space="preserve"> new seedlings to reach maturity and replenish the seedbank </w:t>
      </w:r>
      <w:r w:rsidRPr="004E1BDE">
        <w:rPr>
          <w:noProof/>
        </w:rPr>
        <w:t>(Edwards &amp; Whelan 1995; Auld et al. 2007)</w:t>
      </w:r>
      <w:r w:rsidRPr="004E1BDE">
        <w:t>.</w:t>
      </w:r>
      <w:r>
        <w:t xml:space="preserve"> Typically, </w:t>
      </w:r>
      <w:r w:rsidR="00243267">
        <w:t>populations of</w:t>
      </w:r>
      <w:r>
        <w:t xml:space="preserve"> woody </w:t>
      </w:r>
      <w:r w:rsidR="00243267">
        <w:t xml:space="preserve">plant </w:t>
      </w:r>
      <w:r>
        <w:t xml:space="preserve">species </w:t>
      </w:r>
      <w:r w:rsidR="00243267">
        <w:t xml:space="preserve">can be sustained under mean fire return intervals of </w:t>
      </w:r>
      <w:r>
        <w:t xml:space="preserve">approximately 15 years </w:t>
      </w:r>
      <w:r>
        <w:rPr>
          <w:noProof/>
        </w:rPr>
        <w:t>(Keith 1996)</w:t>
      </w:r>
      <w:r w:rsidR="003A5345">
        <w:t xml:space="preserve">. However, the Banyabba </w:t>
      </w:r>
      <w:r w:rsidR="004F7964">
        <w:t>g</w:t>
      </w:r>
      <w:r w:rsidR="008F3C7B">
        <w:t xml:space="preserve">revillea </w:t>
      </w:r>
      <w:r w:rsidR="00243267">
        <w:t>may</w:t>
      </w:r>
      <w:r w:rsidR="008F3C7B">
        <w:t xml:space="preserve"> be </w:t>
      </w:r>
      <w:r w:rsidR="00243267">
        <w:t xml:space="preserve">able to tolerate fire-free intervals as short as </w:t>
      </w:r>
      <w:r w:rsidR="008F3C7B">
        <w:t>approximately 5</w:t>
      </w:r>
      <w:r w:rsidR="007662AA">
        <w:t>–7</w:t>
      </w:r>
      <w:r w:rsidR="008F3C7B">
        <w:t xml:space="preserve"> years (pending further research)</w:t>
      </w:r>
      <w:r w:rsidR="00DE3AAE">
        <w:t xml:space="preserve"> </w:t>
      </w:r>
      <w:r w:rsidR="00490DC3">
        <w:rPr>
          <w:noProof/>
        </w:rPr>
        <w:t>(NSW RFS 2013; DPIE 2021. pers comm 24 June)</w:t>
      </w:r>
      <w:r w:rsidR="008F3C7B">
        <w:t>.</w:t>
      </w:r>
    </w:p>
    <w:p w14:paraId="064D5030" w14:textId="00F66780" w:rsidR="00B55BCF" w:rsidRPr="00B55BCF" w:rsidRDefault="00B55BCF" w:rsidP="00D6431F">
      <w:pPr>
        <w:keepLines/>
      </w:pPr>
      <w:r w:rsidRPr="00487AC0">
        <w:t xml:space="preserve">The Banyabba </w:t>
      </w:r>
      <w:r w:rsidR="004F7964">
        <w:t>g</w:t>
      </w:r>
      <w:r w:rsidRPr="00487AC0">
        <w:t xml:space="preserve">revillea is likely to have a soil-stored seedbank </w:t>
      </w:r>
      <w:r w:rsidRPr="00487AC0">
        <w:rPr>
          <w:noProof/>
        </w:rPr>
        <w:t>(NPWS 1999)</w:t>
      </w:r>
      <w:r w:rsidRPr="00487AC0">
        <w:t xml:space="preserve">. In species with soil-stored seed, some residual seed </w:t>
      </w:r>
      <w:r w:rsidR="00243267">
        <w:t>may</w:t>
      </w:r>
      <w:r w:rsidRPr="00487AC0">
        <w:t xml:space="preserve"> remain in the soil following fire </w:t>
      </w:r>
      <w:r w:rsidRPr="00487AC0">
        <w:rPr>
          <w:noProof/>
        </w:rPr>
        <w:t>(Auld &amp; Denham 2006)</w:t>
      </w:r>
      <w:r w:rsidRPr="00487AC0">
        <w:t>. However</w:t>
      </w:r>
      <w:r>
        <w:t xml:space="preserve">, this is not always the case, as little to no residual seedbank was reported in a </w:t>
      </w:r>
      <w:r w:rsidR="00E60AE7">
        <w:t>g</w:t>
      </w:r>
      <w:r>
        <w:t xml:space="preserve">revillea species in south-eastern Australia after a low-moderate intensity fire </w:t>
      </w:r>
      <w:r>
        <w:rPr>
          <w:noProof/>
        </w:rPr>
        <w:t>(Auld &amp; Denham 2006)</w:t>
      </w:r>
      <w:r>
        <w:t>.</w:t>
      </w:r>
    </w:p>
    <w:p w14:paraId="6B37B73B" w14:textId="77777777" w:rsidR="00C304AA" w:rsidRDefault="00C304AA" w:rsidP="001556F2">
      <w:pPr>
        <w:pStyle w:val="Heading3"/>
        <w:ind w:left="964" w:hanging="964"/>
      </w:pPr>
      <w:r>
        <w:t>Habitat critical to the survival</w:t>
      </w:r>
    </w:p>
    <w:p w14:paraId="11C95C97" w14:textId="07ED59CB" w:rsidR="000A501B" w:rsidRDefault="000A501B" w:rsidP="000A501B">
      <w:r w:rsidRPr="000A501B">
        <w:t>The Banyabba grevillea grows in dry sclerophyll forests on low sandstone ridges in well-drained, sandy soils, and on rocky cliffs or major rocky outcrops (</w:t>
      </w:r>
      <w:proofErr w:type="spellStart"/>
      <w:r w:rsidRPr="000A501B">
        <w:t>Makinson</w:t>
      </w:r>
      <w:proofErr w:type="spellEnd"/>
      <w:r w:rsidRPr="000A501B">
        <w:t xml:space="preserve"> 2000; DPIE 2020b). Within the distribution of the Banyabba Grevillea in north-eastern NS</w:t>
      </w:r>
      <w:r>
        <w:t>W</w:t>
      </w:r>
      <w:r w:rsidRPr="003369F1">
        <w:t xml:space="preserve">, such habitat is likely to be necessary for dispersal activities, long-term </w:t>
      </w:r>
      <w:proofErr w:type="gramStart"/>
      <w:r w:rsidRPr="003369F1">
        <w:t>maintenance</w:t>
      </w:r>
      <w:proofErr w:type="gramEnd"/>
      <w:r w:rsidRPr="003369F1">
        <w:t xml:space="preserve"> and evolutionary development </w:t>
      </w:r>
      <w:r>
        <w:t>of the species</w:t>
      </w:r>
      <w:r w:rsidRPr="003369F1">
        <w:t>.</w:t>
      </w:r>
    </w:p>
    <w:p w14:paraId="74F1B7DD" w14:textId="50BDCF76" w:rsidR="000A501B" w:rsidRPr="001A3C77" w:rsidRDefault="000A501B" w:rsidP="000A501B">
      <w:pPr>
        <w:keepNext/>
        <w:keepLines/>
      </w:pPr>
      <w:r>
        <w:t xml:space="preserve">The habitat critical to the survival of the Banyabba grevillea includes the </w:t>
      </w:r>
      <w:r w:rsidRPr="0032575D">
        <w:t xml:space="preserve">area of occupancy of known </w:t>
      </w:r>
      <w:r>
        <w:t>sub</w:t>
      </w:r>
      <w:r w:rsidRPr="0032575D">
        <w:t xml:space="preserve">populations; areas of similar habitat </w:t>
      </w:r>
      <w:r>
        <w:t>adjoining</w:t>
      </w:r>
      <w:r w:rsidRPr="0032575D">
        <w:t xml:space="preserve"> known </w:t>
      </w:r>
      <w:r>
        <w:t>sub</w:t>
      </w:r>
      <w:r w:rsidRPr="0032575D">
        <w:t>populations</w:t>
      </w:r>
      <w:r>
        <w:t xml:space="preserve"> (as described above)</w:t>
      </w:r>
      <w:r w:rsidRPr="0032575D">
        <w:t xml:space="preserve">, which provide potential habitat for natural range extension; areas of similar habitat that may contain the </w:t>
      </w:r>
      <w:r>
        <w:t>species</w:t>
      </w:r>
      <w:r w:rsidRPr="0032575D">
        <w:t xml:space="preserve"> or be suitable for translocations</w:t>
      </w:r>
      <w:r>
        <w:t xml:space="preserve"> (as described above); and the local catchment for the surface and/or groundwater that maintains the habitat of the species.</w:t>
      </w:r>
    </w:p>
    <w:p w14:paraId="1AEF8A66" w14:textId="53BD59D3" w:rsidR="00C304AA" w:rsidRDefault="008A18B0" w:rsidP="000A501B">
      <w:pPr>
        <w:keepLines/>
      </w:pPr>
      <w:r w:rsidRPr="008A18B0">
        <w:t xml:space="preserve">No </w:t>
      </w:r>
      <w:r w:rsidR="00C304AA" w:rsidRPr="008A18B0">
        <w:t>Critical Habitat as defined under section 207A of the EPBC Act has been identified or included in the Register of Critical Habitat.</w:t>
      </w:r>
    </w:p>
    <w:p w14:paraId="729D1C21" w14:textId="77777777" w:rsidR="00B54C08" w:rsidRDefault="00C304AA" w:rsidP="00476948">
      <w:pPr>
        <w:pStyle w:val="Heading3"/>
      </w:pPr>
      <w:r w:rsidRPr="00476948">
        <w:rPr>
          <w:rFonts w:eastAsiaTheme="minorHAnsi"/>
        </w:rPr>
        <w:t>Important populations</w:t>
      </w:r>
    </w:p>
    <w:p w14:paraId="6AE3A9A0" w14:textId="77777777" w:rsidR="00C3666F" w:rsidRDefault="00C3666F" w:rsidP="00C3666F">
      <w:r>
        <w:t>In</w:t>
      </w:r>
      <w:r w:rsidRPr="003E71DC">
        <w:t xml:space="preserve"> this section, the word population is used to refer to subpopulation, in keeping with the terminology used in the EPBC Act and state/territory environmental legislation.</w:t>
      </w:r>
    </w:p>
    <w:p w14:paraId="1630E862" w14:textId="16BB34F0" w:rsidR="00496D45" w:rsidRDefault="00496D45" w:rsidP="00496D45">
      <w:r>
        <w:t xml:space="preserve">All populations of the Banyabba </w:t>
      </w:r>
      <w:r w:rsidR="004F7964">
        <w:t>g</w:t>
      </w:r>
      <w:r>
        <w:t>revillea are important for the long-term recovery and survival of this s</w:t>
      </w:r>
      <w:r w:rsidRPr="0032575D">
        <w:t>pecies</w:t>
      </w:r>
      <w:r>
        <w:t>.</w:t>
      </w:r>
    </w:p>
    <w:p w14:paraId="73ACCD82" w14:textId="77777777" w:rsidR="00C304AA" w:rsidRDefault="00C304AA" w:rsidP="001E5131">
      <w:pPr>
        <w:pStyle w:val="Heading3"/>
        <w:ind w:left="964" w:hanging="964"/>
      </w:pPr>
      <w:r>
        <w:lastRenderedPageBreak/>
        <w:t>Threats</w:t>
      </w:r>
    </w:p>
    <w:p w14:paraId="37FA0BE6" w14:textId="1FE22269" w:rsidR="00A57F7D" w:rsidRDefault="00496D45" w:rsidP="00BF4D25">
      <w:pPr>
        <w:keepLines/>
      </w:pPr>
      <w:bookmarkStart w:id="17" w:name="_Ref40886856"/>
      <w:r w:rsidRPr="004B3B33">
        <w:t xml:space="preserve">The Banyabba </w:t>
      </w:r>
      <w:r w:rsidR="004F7964">
        <w:t>g</w:t>
      </w:r>
      <w:r w:rsidRPr="004B3B33">
        <w:t xml:space="preserve">revillea is </w:t>
      </w:r>
      <w:r w:rsidR="0069780C">
        <w:t xml:space="preserve">predominately </w:t>
      </w:r>
      <w:r w:rsidRPr="004B3B33">
        <w:t xml:space="preserve">threatened by </w:t>
      </w:r>
      <w:r w:rsidR="0043725B">
        <w:t>fire and climate change</w:t>
      </w:r>
      <w:r w:rsidRPr="004B3B33">
        <w:t xml:space="preserve"> (Table </w:t>
      </w:r>
      <w:r w:rsidR="00311CFF">
        <w:t>2</w:t>
      </w:r>
      <w:r w:rsidRPr="004B3B33">
        <w:t>).</w:t>
      </w:r>
      <w:r>
        <w:t xml:space="preserve"> </w:t>
      </w:r>
      <w:r w:rsidR="00343459">
        <w:t>The species</w:t>
      </w:r>
      <w:r w:rsidR="007C2AFF">
        <w:t>’</w:t>
      </w:r>
      <w:r w:rsidR="00343459">
        <w:t xml:space="preserve"> </w:t>
      </w:r>
      <w:r w:rsidR="0043725B">
        <w:t>restricted distribution</w:t>
      </w:r>
      <w:r w:rsidR="0069780C">
        <w:t xml:space="preserve"> may increase its’ risk of </w:t>
      </w:r>
      <w:r w:rsidRPr="00B75115">
        <w:t>extinction via stochastic processes</w:t>
      </w:r>
      <w:r>
        <w:t xml:space="preserve"> </w:t>
      </w:r>
      <w:r>
        <w:rPr>
          <w:noProof/>
        </w:rPr>
        <w:t>(DPIE 2020a)</w:t>
      </w:r>
      <w:r w:rsidRPr="00B75115">
        <w:t>.</w:t>
      </w:r>
    </w:p>
    <w:p w14:paraId="64AE573B" w14:textId="4B45910B" w:rsidR="00957A21" w:rsidRDefault="00957A21" w:rsidP="009502E2">
      <w:pPr>
        <w:pStyle w:val="Caption"/>
      </w:pPr>
      <w:r>
        <w:t xml:space="preserve">Table </w:t>
      </w:r>
      <w:r w:rsidR="003A06CA">
        <w:rPr>
          <w:noProof/>
        </w:rPr>
        <w:fldChar w:fldCharType="begin"/>
      </w:r>
      <w:r w:rsidR="003A06CA">
        <w:rPr>
          <w:noProof/>
        </w:rPr>
        <w:instrText xml:space="preserve"> SEQ Table \* ARABIC </w:instrText>
      </w:r>
      <w:r w:rsidR="003A06CA">
        <w:rPr>
          <w:noProof/>
        </w:rPr>
        <w:fldChar w:fldCharType="separate"/>
      </w:r>
      <w:r w:rsidR="00311CFF">
        <w:rPr>
          <w:noProof/>
        </w:rPr>
        <w:t>2</w:t>
      </w:r>
      <w:r w:rsidR="003A06CA">
        <w:rPr>
          <w:noProof/>
        </w:rPr>
        <w:fldChar w:fldCharType="end"/>
      </w:r>
      <w:bookmarkEnd w:id="17"/>
      <w:r>
        <w:t xml:space="preserve"> Threats </w:t>
      </w:r>
      <w:r w:rsidR="00496D45">
        <w:t xml:space="preserve">impacting the Banyabba </w:t>
      </w:r>
      <w:r w:rsidR="004F7964">
        <w:t>g</w:t>
      </w:r>
      <w:r w:rsidR="00496D45">
        <w:t>revillea</w:t>
      </w:r>
    </w:p>
    <w:tbl>
      <w:tblPr>
        <w:tblStyle w:val="TableGrid"/>
        <w:tblW w:w="0" w:type="auto"/>
        <w:tblLook w:val="04A0" w:firstRow="1" w:lastRow="0" w:firstColumn="1" w:lastColumn="0" w:noHBand="0" w:noVBand="1"/>
      </w:tblPr>
      <w:tblGrid>
        <w:gridCol w:w="2122"/>
        <w:gridCol w:w="2551"/>
        <w:gridCol w:w="4387"/>
      </w:tblGrid>
      <w:tr w:rsidR="00496D45" w14:paraId="77B1FA56" w14:textId="77777777" w:rsidTr="00A1653E">
        <w:trPr>
          <w:cantSplit/>
          <w:tblHeader/>
        </w:trPr>
        <w:tc>
          <w:tcPr>
            <w:tcW w:w="2122" w:type="dxa"/>
          </w:tcPr>
          <w:p w14:paraId="030CCA77" w14:textId="77777777" w:rsidR="00496D45" w:rsidRDefault="00496D45" w:rsidP="008B4324">
            <w:pPr>
              <w:pStyle w:val="TableHeading"/>
            </w:pPr>
            <w:r>
              <w:t>Threat</w:t>
            </w:r>
          </w:p>
        </w:tc>
        <w:tc>
          <w:tcPr>
            <w:tcW w:w="2551" w:type="dxa"/>
          </w:tcPr>
          <w:p w14:paraId="1CBFF4C0" w14:textId="77777777" w:rsidR="00496D45" w:rsidRDefault="00496D45" w:rsidP="008B4324">
            <w:pPr>
              <w:pStyle w:val="TableHeading"/>
            </w:pPr>
            <w:r>
              <w:t xml:space="preserve">Status and severity </w:t>
            </w:r>
            <w:r w:rsidRPr="006E5CC3">
              <w:rPr>
                <w:rStyle w:val="Strong"/>
                <w:vertAlign w:val="superscript"/>
              </w:rPr>
              <w:t>a</w:t>
            </w:r>
          </w:p>
        </w:tc>
        <w:tc>
          <w:tcPr>
            <w:tcW w:w="4387" w:type="dxa"/>
          </w:tcPr>
          <w:p w14:paraId="0B1D221A" w14:textId="02DFD732" w:rsidR="00496D45" w:rsidRDefault="00496D45" w:rsidP="008B4324">
            <w:pPr>
              <w:pStyle w:val="TableHeading"/>
            </w:pPr>
            <w:r>
              <w:t>Evidence</w:t>
            </w:r>
          </w:p>
        </w:tc>
      </w:tr>
      <w:tr w:rsidR="00496D45" w:rsidRPr="004C4E16" w14:paraId="3033776C" w14:textId="77777777" w:rsidTr="008B4324">
        <w:tc>
          <w:tcPr>
            <w:tcW w:w="9060" w:type="dxa"/>
            <w:gridSpan w:val="3"/>
          </w:tcPr>
          <w:p w14:paraId="01DDAC9B" w14:textId="2CEDB047" w:rsidR="00496D45" w:rsidRPr="004C4E16" w:rsidRDefault="00045065" w:rsidP="008B4324">
            <w:pPr>
              <w:pStyle w:val="TableText"/>
              <w:keepNext/>
            </w:pPr>
            <w:r>
              <w:t xml:space="preserve">Habitat loss, </w:t>
            </w:r>
            <w:proofErr w:type="gramStart"/>
            <w:r>
              <w:t>disturbance</w:t>
            </w:r>
            <w:proofErr w:type="gramEnd"/>
            <w:r>
              <w:t xml:space="preserve"> and modification</w:t>
            </w:r>
          </w:p>
        </w:tc>
      </w:tr>
      <w:tr w:rsidR="00496D45" w:rsidRPr="00286C16" w14:paraId="03645455" w14:textId="77777777" w:rsidTr="00A1653E">
        <w:trPr>
          <w:cantSplit/>
        </w:trPr>
        <w:tc>
          <w:tcPr>
            <w:tcW w:w="2122" w:type="dxa"/>
          </w:tcPr>
          <w:p w14:paraId="41793E28" w14:textId="77777777" w:rsidR="00496D45" w:rsidRPr="008A24A1" w:rsidRDefault="00496D45" w:rsidP="008B4324">
            <w:pPr>
              <w:pStyle w:val="TableText"/>
            </w:pPr>
            <w:r>
              <w:t>Inappropriate fire regimes</w:t>
            </w:r>
          </w:p>
        </w:tc>
        <w:tc>
          <w:tcPr>
            <w:tcW w:w="2551" w:type="dxa"/>
          </w:tcPr>
          <w:p w14:paraId="63525FCB" w14:textId="77777777" w:rsidR="00496D45" w:rsidRPr="00286C16" w:rsidRDefault="00496D45" w:rsidP="008B4324">
            <w:pPr>
              <w:pStyle w:val="TableBullet1"/>
              <w:keepNext/>
            </w:pPr>
            <w:r w:rsidRPr="00286C16">
              <w:t>Timing: current</w:t>
            </w:r>
          </w:p>
          <w:p w14:paraId="6A31D1B9" w14:textId="416686DD" w:rsidR="00496D45" w:rsidRPr="00286C16" w:rsidRDefault="00496D45" w:rsidP="008B4324">
            <w:pPr>
              <w:pStyle w:val="TableBullet1"/>
              <w:keepNext/>
            </w:pPr>
            <w:r w:rsidRPr="00286C16">
              <w:t xml:space="preserve">Confidence: </w:t>
            </w:r>
            <w:r w:rsidR="00E33DBB">
              <w:t>observed</w:t>
            </w:r>
          </w:p>
          <w:p w14:paraId="1447A464" w14:textId="77777777" w:rsidR="00496D45" w:rsidRPr="00286C16" w:rsidRDefault="00496D45" w:rsidP="008B4324">
            <w:pPr>
              <w:pStyle w:val="TableBullet1"/>
              <w:keepNext/>
            </w:pPr>
            <w:r w:rsidRPr="00286C16">
              <w:t>Consequence: major</w:t>
            </w:r>
          </w:p>
          <w:p w14:paraId="1B7A3F50" w14:textId="77777777" w:rsidR="00496D45" w:rsidRPr="00286C16" w:rsidRDefault="00496D45" w:rsidP="008B4324">
            <w:pPr>
              <w:pStyle w:val="TableBullet1"/>
              <w:keepNext/>
            </w:pPr>
            <w:r w:rsidRPr="00286C16">
              <w:t>Trend: increasing</w:t>
            </w:r>
          </w:p>
          <w:p w14:paraId="3BDB8F45" w14:textId="77777777" w:rsidR="00496D45" w:rsidRPr="00286C16" w:rsidRDefault="00496D45" w:rsidP="008B4324">
            <w:pPr>
              <w:pStyle w:val="TableBullet1"/>
              <w:keepNext/>
            </w:pPr>
            <w:r w:rsidRPr="00286C16">
              <w:t>Extent: across the entire range</w:t>
            </w:r>
          </w:p>
        </w:tc>
        <w:tc>
          <w:tcPr>
            <w:tcW w:w="4387" w:type="dxa"/>
          </w:tcPr>
          <w:p w14:paraId="71140E2C" w14:textId="41A5FC0C" w:rsidR="00496D45" w:rsidRPr="00E309E0" w:rsidRDefault="00496D45" w:rsidP="008B4324">
            <w:pPr>
              <w:pStyle w:val="TableText"/>
              <w:rPr>
                <w:highlight w:val="yellow"/>
              </w:rPr>
            </w:pPr>
            <w:r w:rsidRPr="00286C16">
              <w:t xml:space="preserve">The Banyabba </w:t>
            </w:r>
            <w:r w:rsidR="004F7964" w:rsidRPr="00E309E0">
              <w:t>g</w:t>
            </w:r>
            <w:r w:rsidRPr="00E309E0">
              <w:t xml:space="preserve">revillea is predominately an obligate-seeding species </w:t>
            </w:r>
            <w:r w:rsidR="002D18AD" w:rsidRPr="00E309E0">
              <w:rPr>
                <w:noProof/>
              </w:rPr>
              <w:t>(Richards 1999; Makinson 2000; Auld et al. 2020; Gallagher et al. 2021)</w:t>
            </w:r>
            <w:r w:rsidRPr="00E309E0">
              <w:t xml:space="preserve">. The mature plants of obligate-seeding species are usually killed by fire, so </w:t>
            </w:r>
            <w:r w:rsidR="009A2D78" w:rsidRPr="00E309E0">
              <w:t xml:space="preserve">a </w:t>
            </w:r>
            <w:r w:rsidRPr="00E309E0">
              <w:t xml:space="preserve">fire-free interval is required to allow new seedlings to reach maturity and replenish the seedbank </w:t>
            </w:r>
            <w:r w:rsidRPr="00E309E0">
              <w:rPr>
                <w:noProof/>
              </w:rPr>
              <w:t>(Edwards &amp; Whelan 1995; Auld et al. 2007)</w:t>
            </w:r>
            <w:r w:rsidRPr="00E309E0">
              <w:t>. Accordingly, a high-frequency fire regime (&lt;</w:t>
            </w:r>
            <w:r w:rsidR="00F05AF0" w:rsidRPr="00E309E0">
              <w:t>5-7</w:t>
            </w:r>
            <w:r w:rsidRPr="00E309E0">
              <w:t xml:space="preserve"> years) is likely to reduce the population size and </w:t>
            </w:r>
            <w:r w:rsidR="000A501B" w:rsidRPr="00E309E0">
              <w:t xml:space="preserve">health </w:t>
            </w:r>
            <w:r w:rsidRPr="00E309E0">
              <w:t xml:space="preserve">of the Banyabba </w:t>
            </w:r>
            <w:r w:rsidR="004F7964" w:rsidRPr="00E309E0">
              <w:t>g</w:t>
            </w:r>
            <w:r w:rsidRPr="00E309E0">
              <w:t xml:space="preserve">revillea </w:t>
            </w:r>
            <w:r w:rsidR="003F5C58" w:rsidRPr="00E309E0">
              <w:rPr>
                <w:noProof/>
              </w:rPr>
              <w:t>(Sheringham &amp; Westaway 1995; DPIE 2020a; Makinson &amp; Olde 2020)</w:t>
            </w:r>
            <w:r w:rsidRPr="00E309E0">
              <w:t xml:space="preserve">. </w:t>
            </w:r>
            <w:r w:rsidR="002177A1" w:rsidRPr="00E309E0">
              <w:t>This could be exacerbated by interval squeeze</w:t>
            </w:r>
            <w:r w:rsidR="008F7FC3" w:rsidRPr="00E309E0">
              <w:t xml:space="preserve"> (Gallagher et al. 2021) or</w:t>
            </w:r>
            <w:r w:rsidR="002177A1" w:rsidRPr="00E309E0">
              <w:t xml:space="preserve"> earlier fire season </w:t>
            </w:r>
            <w:r w:rsidR="008F7FC3" w:rsidRPr="00E57091">
              <w:t>(</w:t>
            </w:r>
            <w:r w:rsidR="00FA445B" w:rsidRPr="00E57091">
              <w:rPr>
                <w:noProof/>
              </w:rPr>
              <w:t>Miller et al. 2019)</w:t>
            </w:r>
            <w:r w:rsidR="00FA445B" w:rsidRPr="00E57091">
              <w:t>.</w:t>
            </w:r>
            <w:r w:rsidR="00E309E0" w:rsidRPr="00E309E0">
              <w:t xml:space="preserve"> Interactions between fire and seed predators may also elevate risks of decline, especially under small or patchy fires </w:t>
            </w:r>
            <w:r w:rsidR="00E309E0" w:rsidRPr="00E309E0">
              <w:rPr>
                <w:noProof/>
              </w:rPr>
              <w:t>(Regan et al. 2003)</w:t>
            </w:r>
            <w:r w:rsidR="00E309E0" w:rsidRPr="00E309E0">
              <w:t>.</w:t>
            </w:r>
          </w:p>
          <w:p w14:paraId="03905560" w14:textId="54322316" w:rsidR="00496D45" w:rsidRDefault="00496D45" w:rsidP="00E2075F">
            <w:pPr>
              <w:pStyle w:val="TableText"/>
            </w:pPr>
            <w:r w:rsidRPr="00E309E0">
              <w:t>Fires</w:t>
            </w:r>
            <w:r w:rsidRPr="00286C16">
              <w:t xml:space="preserve"> can also alter habitat structure, by favouring the invasion and establishment of weeds </w:t>
            </w:r>
            <w:r w:rsidRPr="00286C16">
              <w:rPr>
                <w:noProof/>
              </w:rPr>
              <w:t>(D'Antonio &amp; Vitousek 1992; Grigulis et al. 2005)</w:t>
            </w:r>
            <w:r w:rsidRPr="00286C16">
              <w:t>.</w:t>
            </w:r>
            <w:r w:rsidR="006942EA">
              <w:t xml:space="preserve"> </w:t>
            </w:r>
          </w:p>
          <w:p w14:paraId="637B11BC" w14:textId="2278EBAB" w:rsidR="00E2075F" w:rsidRPr="00286C16" w:rsidRDefault="00E2075F" w:rsidP="00E2075F">
            <w:pPr>
              <w:pStyle w:val="TableText"/>
            </w:pPr>
            <w:r w:rsidRPr="00286C16">
              <w:t xml:space="preserve">The species’ restricted distribution may increase its extinction risk, following stochastic events, such as fire </w:t>
            </w:r>
            <w:r w:rsidRPr="00286C16">
              <w:rPr>
                <w:noProof/>
              </w:rPr>
              <w:t>(DPIE 2020a)</w:t>
            </w:r>
            <w:r w:rsidR="000A501B">
              <w:rPr>
                <w:noProof/>
              </w:rPr>
              <w:t>, especially when they interact with post-fire drought</w:t>
            </w:r>
            <w:r w:rsidRPr="00286C16">
              <w:t>.</w:t>
            </w:r>
          </w:p>
        </w:tc>
      </w:tr>
      <w:tr w:rsidR="00045065" w:rsidRPr="00286C16" w14:paraId="12B13FE8" w14:textId="77777777" w:rsidTr="00A1653E">
        <w:trPr>
          <w:cantSplit/>
        </w:trPr>
        <w:tc>
          <w:tcPr>
            <w:tcW w:w="2122" w:type="dxa"/>
          </w:tcPr>
          <w:p w14:paraId="0533A83A" w14:textId="7B67A8EC" w:rsidR="00045065" w:rsidRDefault="00045065" w:rsidP="00045065">
            <w:pPr>
              <w:pStyle w:val="TableText"/>
            </w:pPr>
            <w:r>
              <w:t>Land clearing</w:t>
            </w:r>
          </w:p>
        </w:tc>
        <w:tc>
          <w:tcPr>
            <w:tcW w:w="2551" w:type="dxa"/>
          </w:tcPr>
          <w:p w14:paraId="52C87166" w14:textId="77777777" w:rsidR="00045065" w:rsidRPr="00F60439" w:rsidRDefault="00045065" w:rsidP="00045065">
            <w:pPr>
              <w:pStyle w:val="TableBullet1"/>
              <w:keepNext/>
            </w:pPr>
            <w:r>
              <w:t>Timing</w:t>
            </w:r>
            <w:r w:rsidRPr="00F60439">
              <w:t>: historical</w:t>
            </w:r>
          </w:p>
          <w:p w14:paraId="6EB34612" w14:textId="77777777" w:rsidR="00045065" w:rsidRPr="00F60439" w:rsidRDefault="00045065" w:rsidP="00045065">
            <w:pPr>
              <w:pStyle w:val="TableBullet1"/>
              <w:keepNext/>
            </w:pPr>
            <w:r w:rsidRPr="00F60439">
              <w:t>Confidence: inferred</w:t>
            </w:r>
          </w:p>
          <w:p w14:paraId="6E940F95" w14:textId="77777777" w:rsidR="00045065" w:rsidRPr="00F60439" w:rsidRDefault="00045065" w:rsidP="00045065">
            <w:pPr>
              <w:pStyle w:val="TableBullet1"/>
              <w:keepNext/>
            </w:pPr>
            <w:r w:rsidRPr="00F60439">
              <w:t xml:space="preserve">Consequence: </w:t>
            </w:r>
            <w:r>
              <w:t>moderate</w:t>
            </w:r>
          </w:p>
          <w:p w14:paraId="4126A876" w14:textId="77777777" w:rsidR="00045065" w:rsidRPr="00F60439" w:rsidRDefault="00045065" w:rsidP="00045065">
            <w:pPr>
              <w:pStyle w:val="TableBullet1"/>
              <w:keepNext/>
            </w:pPr>
            <w:r w:rsidRPr="00F60439">
              <w:t>Trend: unknown</w:t>
            </w:r>
          </w:p>
          <w:p w14:paraId="29C967AD" w14:textId="03198EE9" w:rsidR="00045065" w:rsidRPr="00286C16" w:rsidRDefault="00045065" w:rsidP="00045065">
            <w:pPr>
              <w:pStyle w:val="TableBullet1"/>
              <w:keepNext/>
            </w:pPr>
            <w:r w:rsidRPr="00F60439">
              <w:t>Extent: across part of its range</w:t>
            </w:r>
          </w:p>
        </w:tc>
        <w:tc>
          <w:tcPr>
            <w:tcW w:w="4387" w:type="dxa"/>
          </w:tcPr>
          <w:p w14:paraId="2E9B30F0" w14:textId="364A91BF" w:rsidR="00045065" w:rsidRPr="00286C16" w:rsidRDefault="0083506F" w:rsidP="00045065">
            <w:pPr>
              <w:pStyle w:val="TableText"/>
            </w:pPr>
            <w:r>
              <w:rPr>
                <w:noProof/>
              </w:rPr>
              <w:t>All known subpopulations occur within reserved tenure (Table 1)</w:t>
            </w:r>
            <w:r w:rsidR="00045065" w:rsidRPr="003F0048">
              <w:t xml:space="preserve">, with most </w:t>
            </w:r>
            <w:r w:rsidR="00045065">
              <w:t xml:space="preserve">individuals </w:t>
            </w:r>
            <w:r w:rsidR="00045065" w:rsidRPr="00BE185F">
              <w:t>occu</w:t>
            </w:r>
            <w:r w:rsidR="00045065">
              <w:t>r</w:t>
            </w:r>
            <w:r w:rsidR="00045065" w:rsidRPr="00BE185F">
              <w:t>r</w:t>
            </w:r>
            <w:r w:rsidR="00045065">
              <w:t>ing</w:t>
            </w:r>
            <w:r w:rsidR="00045065" w:rsidRPr="00BE185F">
              <w:t xml:space="preserve"> within Banyabba Nature Reserve </w:t>
            </w:r>
            <w:r w:rsidR="00045065" w:rsidRPr="003F0048">
              <w:rPr>
                <w:noProof/>
              </w:rPr>
              <w:t>(DPIE 2020a)</w:t>
            </w:r>
            <w:r w:rsidR="00045065" w:rsidRPr="003F0048">
              <w:t xml:space="preserve">. </w:t>
            </w:r>
            <w:r w:rsidR="00045065">
              <w:t>This area was</w:t>
            </w:r>
            <w:r w:rsidR="00045065" w:rsidRPr="003F0048">
              <w:t xml:space="preserve"> declared wilderness and protected under the Wilderness Act </w:t>
            </w:r>
            <w:r w:rsidR="00045065" w:rsidRPr="003F0048">
              <w:rPr>
                <w:noProof/>
              </w:rPr>
              <w:t>(NPWS 2001)</w:t>
            </w:r>
            <w:r w:rsidR="00045065" w:rsidRPr="003F0048">
              <w:t xml:space="preserve">, so land clearing is prohibited. However, </w:t>
            </w:r>
            <w:r w:rsidR="00064975">
              <w:t xml:space="preserve">some areas of </w:t>
            </w:r>
            <w:r w:rsidR="00045065" w:rsidRPr="003F0048">
              <w:t xml:space="preserve">similar habitat adjoining known </w:t>
            </w:r>
            <w:r w:rsidR="00045065">
              <w:t>sub</w:t>
            </w:r>
            <w:r w:rsidR="00045065" w:rsidRPr="003F0048">
              <w:t xml:space="preserve">populations has been cleared for agriculture or used for forestry activities, which is likely to have reduced the number of individuals and opportunities for recolonisation </w:t>
            </w:r>
            <w:r w:rsidR="00045065" w:rsidRPr="003F0048">
              <w:rPr>
                <w:noProof/>
              </w:rPr>
              <w:t>(NPWS 1999)</w:t>
            </w:r>
            <w:r w:rsidR="00045065" w:rsidRPr="003F0048">
              <w:t>.</w:t>
            </w:r>
          </w:p>
        </w:tc>
      </w:tr>
      <w:tr w:rsidR="00045065" w:rsidRPr="00286C16" w14:paraId="3A2D13DF" w14:textId="77777777" w:rsidTr="00A1653E">
        <w:trPr>
          <w:cantSplit/>
        </w:trPr>
        <w:tc>
          <w:tcPr>
            <w:tcW w:w="2122" w:type="dxa"/>
          </w:tcPr>
          <w:p w14:paraId="235A9921" w14:textId="4E2DDE9D" w:rsidR="00045065" w:rsidRDefault="00045065" w:rsidP="00045065">
            <w:pPr>
              <w:pStyle w:val="TableText"/>
            </w:pPr>
            <w:r>
              <w:t>Damage associated with timber harvesting</w:t>
            </w:r>
          </w:p>
        </w:tc>
        <w:tc>
          <w:tcPr>
            <w:tcW w:w="2551" w:type="dxa"/>
          </w:tcPr>
          <w:p w14:paraId="50C20943" w14:textId="65C6277F" w:rsidR="00045065" w:rsidRPr="00A81AF3" w:rsidRDefault="00045065" w:rsidP="00045065">
            <w:pPr>
              <w:pStyle w:val="TableBullet1"/>
              <w:keepNext/>
            </w:pPr>
            <w:r>
              <w:t>Timing</w:t>
            </w:r>
            <w:r w:rsidRPr="00A81AF3">
              <w:t xml:space="preserve">: </w:t>
            </w:r>
            <w:r>
              <w:t>historical</w:t>
            </w:r>
          </w:p>
          <w:p w14:paraId="3EEA30E6" w14:textId="77777777" w:rsidR="00045065" w:rsidRPr="00A81AF3" w:rsidRDefault="00045065" w:rsidP="00045065">
            <w:pPr>
              <w:pStyle w:val="TableBullet1"/>
              <w:keepNext/>
            </w:pPr>
            <w:r w:rsidRPr="00A81AF3">
              <w:t>Confidence: suspected</w:t>
            </w:r>
          </w:p>
          <w:p w14:paraId="3962AE10" w14:textId="77777777" w:rsidR="00045065" w:rsidRPr="00A81AF3" w:rsidRDefault="00045065" w:rsidP="00045065">
            <w:pPr>
              <w:pStyle w:val="TableBullet1"/>
              <w:keepNext/>
            </w:pPr>
            <w:r w:rsidRPr="00A81AF3">
              <w:t>Consequence: low</w:t>
            </w:r>
          </w:p>
          <w:p w14:paraId="19BC72BB" w14:textId="77777777" w:rsidR="00045065" w:rsidRPr="00A81AF3" w:rsidRDefault="00045065" w:rsidP="00045065">
            <w:pPr>
              <w:pStyle w:val="TableBullet1"/>
              <w:keepNext/>
            </w:pPr>
            <w:r w:rsidRPr="00A81AF3">
              <w:t>Trend: static</w:t>
            </w:r>
          </w:p>
          <w:p w14:paraId="65B156DC" w14:textId="6D8A3E62" w:rsidR="00045065" w:rsidRPr="00286C16" w:rsidRDefault="00045065" w:rsidP="00045065">
            <w:pPr>
              <w:pStyle w:val="TableBullet1"/>
              <w:keepNext/>
            </w:pPr>
            <w:r w:rsidRPr="00A81AF3">
              <w:t>Extent: across part of its range</w:t>
            </w:r>
          </w:p>
        </w:tc>
        <w:tc>
          <w:tcPr>
            <w:tcW w:w="4387" w:type="dxa"/>
          </w:tcPr>
          <w:p w14:paraId="6B881642" w14:textId="6E1A6123" w:rsidR="00045065" w:rsidRDefault="00045065" w:rsidP="00045065">
            <w:pPr>
              <w:pStyle w:val="TableText"/>
            </w:pPr>
            <w:r w:rsidRPr="00BA282E">
              <w:t xml:space="preserve">The Banyabba State Conservation Area was created in 2003 </w:t>
            </w:r>
            <w:r>
              <w:rPr>
                <w:noProof/>
              </w:rPr>
              <w:t>(NPWS 2021)</w:t>
            </w:r>
            <w:r w:rsidRPr="00BA282E">
              <w:t xml:space="preserve">. Prior to gazettal, the area was part of the Banyabba State Forest </w:t>
            </w:r>
            <w:r>
              <w:rPr>
                <w:noProof/>
              </w:rPr>
              <w:t>(NPWS 2021)</w:t>
            </w:r>
            <w:r w:rsidRPr="00BA282E">
              <w:t xml:space="preserve">. </w:t>
            </w:r>
            <w:r>
              <w:t xml:space="preserve">Historically, individuals occurring in this area may have been </w:t>
            </w:r>
            <w:r w:rsidRPr="005E1897">
              <w:t xml:space="preserve">accidentally destroyed during timber harvesting from Banyabba State Forest </w:t>
            </w:r>
            <w:r w:rsidRPr="005E1897">
              <w:rPr>
                <w:noProof/>
              </w:rPr>
              <w:t>(DECCW 2010; DPIE 2020a)</w:t>
            </w:r>
            <w:r w:rsidRPr="005E1897">
              <w:t xml:space="preserve">. </w:t>
            </w:r>
            <w:r>
              <w:t>However, this is no longer considered a threat as the area is now reserved for conservation.</w:t>
            </w:r>
          </w:p>
          <w:p w14:paraId="5F5E27E3" w14:textId="719CB503" w:rsidR="00045065" w:rsidRPr="00286C16" w:rsidRDefault="009D2408" w:rsidP="00045065">
            <w:pPr>
              <w:pStyle w:val="TableText"/>
            </w:pPr>
            <w:r>
              <w:t>I</w:t>
            </w:r>
            <w:r w:rsidR="00045065" w:rsidRPr="005E1897">
              <w:t xml:space="preserve">llegal timber harvesting has been reported within Southern Richmond Range Parks and may impact the Banyabba </w:t>
            </w:r>
            <w:r w:rsidR="004F7964">
              <w:t>g</w:t>
            </w:r>
            <w:r w:rsidR="00045065" w:rsidRPr="005E1897">
              <w:t xml:space="preserve">revillea </w:t>
            </w:r>
            <w:r w:rsidR="00045065" w:rsidRPr="005E1897">
              <w:rPr>
                <w:noProof/>
              </w:rPr>
              <w:t>(OEH 2016)</w:t>
            </w:r>
            <w:r w:rsidR="00045065" w:rsidRPr="005E1897">
              <w:t>.</w:t>
            </w:r>
            <w:r w:rsidR="00045065">
              <w:t xml:space="preserve"> However, </w:t>
            </w:r>
            <w:bookmarkStart w:id="18" w:name="_Hlk82599210"/>
            <w:r w:rsidR="00045065">
              <w:t>the species occurs on low fertility soils, which are unlikely to be substantially impacted by illegal timber harvesting (DPIE 2021. pers comm 24 June).</w:t>
            </w:r>
            <w:bookmarkEnd w:id="18"/>
          </w:p>
        </w:tc>
      </w:tr>
      <w:tr w:rsidR="00045065" w:rsidRPr="00286C16" w14:paraId="6925634C" w14:textId="77777777" w:rsidTr="00A1653E">
        <w:trPr>
          <w:cantSplit/>
        </w:trPr>
        <w:tc>
          <w:tcPr>
            <w:tcW w:w="2122" w:type="dxa"/>
          </w:tcPr>
          <w:p w14:paraId="0CE27198" w14:textId="246B7D77" w:rsidR="00045065" w:rsidRDefault="00045065" w:rsidP="00045065">
            <w:pPr>
              <w:pStyle w:val="TableText"/>
            </w:pPr>
            <w:r>
              <w:lastRenderedPageBreak/>
              <w:t>Damage associated with road maintenance</w:t>
            </w:r>
          </w:p>
        </w:tc>
        <w:tc>
          <w:tcPr>
            <w:tcW w:w="2551" w:type="dxa"/>
          </w:tcPr>
          <w:p w14:paraId="4AB906E9" w14:textId="77777777" w:rsidR="00045065" w:rsidRPr="0084446D" w:rsidRDefault="00045065" w:rsidP="00045065">
            <w:pPr>
              <w:pStyle w:val="TableBullet1"/>
              <w:keepNext/>
            </w:pPr>
            <w:r>
              <w:t xml:space="preserve">Timing: </w:t>
            </w:r>
            <w:r w:rsidRPr="0084446D">
              <w:t>current</w:t>
            </w:r>
          </w:p>
          <w:p w14:paraId="374AF9D4" w14:textId="77777777" w:rsidR="00045065" w:rsidRPr="0084446D" w:rsidRDefault="00045065" w:rsidP="00045065">
            <w:pPr>
              <w:pStyle w:val="TableBullet1"/>
              <w:keepNext/>
            </w:pPr>
            <w:r w:rsidRPr="0084446D">
              <w:t>Confidence: suspected</w:t>
            </w:r>
          </w:p>
          <w:p w14:paraId="525F040B" w14:textId="77777777" w:rsidR="00045065" w:rsidRPr="0084446D" w:rsidRDefault="00045065" w:rsidP="00045065">
            <w:pPr>
              <w:pStyle w:val="TableBullet1"/>
              <w:keepNext/>
            </w:pPr>
            <w:r w:rsidRPr="0084446D">
              <w:t>Consequence: low</w:t>
            </w:r>
          </w:p>
          <w:p w14:paraId="222B0585" w14:textId="77777777" w:rsidR="00045065" w:rsidRPr="0084446D" w:rsidRDefault="00045065" w:rsidP="00045065">
            <w:pPr>
              <w:pStyle w:val="TableBullet1"/>
              <w:keepNext/>
            </w:pPr>
            <w:r w:rsidRPr="0084446D">
              <w:t>Trend: static</w:t>
            </w:r>
          </w:p>
          <w:p w14:paraId="662C9F38" w14:textId="677F8BE4" w:rsidR="00045065" w:rsidRPr="00286C16" w:rsidRDefault="00045065" w:rsidP="00045065">
            <w:pPr>
              <w:pStyle w:val="TableBullet1"/>
              <w:keepNext/>
            </w:pPr>
            <w:r w:rsidRPr="0084446D">
              <w:t>Extent: across part of its range</w:t>
            </w:r>
          </w:p>
        </w:tc>
        <w:tc>
          <w:tcPr>
            <w:tcW w:w="4387" w:type="dxa"/>
          </w:tcPr>
          <w:p w14:paraId="58E520BA" w14:textId="03563279" w:rsidR="00045065" w:rsidRPr="00286C16" w:rsidRDefault="00045065" w:rsidP="00045065">
            <w:pPr>
              <w:pStyle w:val="TableText"/>
            </w:pPr>
            <w:r w:rsidRPr="005F73C9">
              <w:t xml:space="preserve">The Banyabba </w:t>
            </w:r>
            <w:r w:rsidR="004F7964">
              <w:t>g</w:t>
            </w:r>
            <w:r w:rsidRPr="005F73C9">
              <w:t xml:space="preserve">revillea may be damaged accidentally during construction of drainage channels, grading and other road maintenance activities </w:t>
            </w:r>
            <w:r w:rsidRPr="005F73C9">
              <w:rPr>
                <w:noProof/>
              </w:rPr>
              <w:t>(DPIE 2020a)</w:t>
            </w:r>
            <w:r w:rsidRPr="005F73C9">
              <w:t xml:space="preserve">. Such activities may also promote weed invasion </w:t>
            </w:r>
            <w:r w:rsidRPr="005F73C9">
              <w:rPr>
                <w:noProof/>
              </w:rPr>
              <w:t>(Sindel et al. 2009)</w:t>
            </w:r>
            <w:r w:rsidRPr="005F73C9">
              <w:t>.</w:t>
            </w:r>
          </w:p>
        </w:tc>
      </w:tr>
      <w:tr w:rsidR="00045065" w:rsidRPr="005F73C9" w14:paraId="31797EC3" w14:textId="77777777" w:rsidTr="008B4324">
        <w:tc>
          <w:tcPr>
            <w:tcW w:w="9060" w:type="dxa"/>
            <w:gridSpan w:val="3"/>
          </w:tcPr>
          <w:p w14:paraId="339D37FC" w14:textId="77777777" w:rsidR="00045065" w:rsidRPr="005F73C9" w:rsidRDefault="00045065" w:rsidP="00045065">
            <w:pPr>
              <w:pStyle w:val="TableText"/>
              <w:keepNext/>
            </w:pPr>
            <w:r w:rsidRPr="00722F45">
              <w:t>Disease</w:t>
            </w:r>
          </w:p>
        </w:tc>
      </w:tr>
      <w:tr w:rsidR="00045065" w:rsidRPr="005F73C9" w14:paraId="65EA966F" w14:textId="77777777" w:rsidTr="00A1653E">
        <w:trPr>
          <w:cantSplit/>
        </w:trPr>
        <w:tc>
          <w:tcPr>
            <w:tcW w:w="2122" w:type="dxa"/>
          </w:tcPr>
          <w:p w14:paraId="1D00CBDE" w14:textId="77777777" w:rsidR="00045065" w:rsidRDefault="00045065" w:rsidP="00045065">
            <w:pPr>
              <w:pStyle w:val="TableText"/>
            </w:pPr>
            <w:r>
              <w:t xml:space="preserve">Dieback caused by </w:t>
            </w:r>
            <w:r w:rsidRPr="00A36AB5">
              <w:rPr>
                <w:i/>
                <w:iCs/>
              </w:rPr>
              <w:t>Phytophthora cinnamomi</w:t>
            </w:r>
          </w:p>
        </w:tc>
        <w:tc>
          <w:tcPr>
            <w:tcW w:w="2551" w:type="dxa"/>
          </w:tcPr>
          <w:p w14:paraId="4299D2FF" w14:textId="77777777" w:rsidR="00045065" w:rsidRPr="00681DFF" w:rsidRDefault="00045065" w:rsidP="00045065">
            <w:pPr>
              <w:pStyle w:val="TableBullet1"/>
              <w:keepNext/>
            </w:pPr>
            <w:r>
              <w:t xml:space="preserve">Timing: </w:t>
            </w:r>
            <w:r w:rsidRPr="00681DFF">
              <w:t>future</w:t>
            </w:r>
          </w:p>
          <w:p w14:paraId="22406831" w14:textId="77777777" w:rsidR="00045065" w:rsidRPr="00681DFF" w:rsidRDefault="00045065" w:rsidP="00045065">
            <w:pPr>
              <w:pStyle w:val="TableBullet1"/>
              <w:keepNext/>
            </w:pPr>
            <w:r w:rsidRPr="00681DFF">
              <w:t>Confidence: suspected</w:t>
            </w:r>
          </w:p>
          <w:p w14:paraId="1BE9D454" w14:textId="77777777" w:rsidR="00045065" w:rsidRPr="00681DFF" w:rsidRDefault="00045065" w:rsidP="00045065">
            <w:pPr>
              <w:pStyle w:val="TableBullet1"/>
              <w:keepNext/>
            </w:pPr>
            <w:r w:rsidRPr="00681DFF">
              <w:t xml:space="preserve">Consequence: </w:t>
            </w:r>
            <w:r>
              <w:t>major</w:t>
            </w:r>
          </w:p>
          <w:p w14:paraId="74835AA7" w14:textId="77777777" w:rsidR="00045065" w:rsidRPr="00681DFF" w:rsidRDefault="00045065" w:rsidP="00045065">
            <w:pPr>
              <w:pStyle w:val="TableBullet1"/>
              <w:keepNext/>
            </w:pPr>
            <w:r w:rsidRPr="00681DFF">
              <w:t>Trend: unknown</w:t>
            </w:r>
          </w:p>
          <w:p w14:paraId="6E39A516" w14:textId="77777777" w:rsidR="00045065" w:rsidRDefault="00045065" w:rsidP="00045065">
            <w:pPr>
              <w:pStyle w:val="TableBullet1"/>
              <w:keepNext/>
            </w:pPr>
            <w:r w:rsidRPr="00681DFF">
              <w:t>Extent: across the entire range</w:t>
            </w:r>
          </w:p>
        </w:tc>
        <w:tc>
          <w:tcPr>
            <w:tcW w:w="4387" w:type="dxa"/>
          </w:tcPr>
          <w:p w14:paraId="347F36E7" w14:textId="7DE62E8A" w:rsidR="00045065" w:rsidRPr="000D25E5" w:rsidRDefault="00045065" w:rsidP="00045065">
            <w:pPr>
              <w:pStyle w:val="TableText"/>
              <w:keepNext/>
            </w:pPr>
            <w:r w:rsidRPr="00F452C9">
              <w:rPr>
                <w:i/>
                <w:iCs/>
              </w:rPr>
              <w:t>Phytophthora cinnamomi</w:t>
            </w:r>
            <w:r w:rsidRPr="00F452C9">
              <w:t xml:space="preserve"> is an introduced soil-borne pathogen, which infects a large range of plant species and may contribute to plant death, </w:t>
            </w:r>
            <w:r>
              <w:t xml:space="preserve">especially </w:t>
            </w:r>
            <w:r w:rsidRPr="00F452C9">
              <w:t xml:space="preserve">when other stresses </w:t>
            </w:r>
            <w:r w:rsidR="009D2408" w:rsidRPr="00F452C9">
              <w:t xml:space="preserve">are </w:t>
            </w:r>
            <w:r w:rsidRPr="00F452C9">
              <w:t>present, such as waterlogging, drought and</w:t>
            </w:r>
            <w:r>
              <w:t xml:space="preserve"> </w:t>
            </w:r>
            <w:r w:rsidRPr="00F452C9">
              <w:t>fire</w:t>
            </w:r>
            <w:r>
              <w:t xml:space="preserve"> </w:t>
            </w:r>
            <w:r>
              <w:rPr>
                <w:noProof/>
              </w:rPr>
              <w:t>(DOEE 2018)</w:t>
            </w:r>
            <w:r>
              <w:t xml:space="preserve">. </w:t>
            </w:r>
            <w:r w:rsidRPr="00F452C9">
              <w:rPr>
                <w:i/>
                <w:iCs/>
              </w:rPr>
              <w:t>Phytophthora cinnamomi</w:t>
            </w:r>
            <w:r w:rsidRPr="00F452C9">
              <w:t xml:space="preserve"> can disperse in water flowing from roots of infected plants to roots of healthy plants and mud clinging to vehicles, </w:t>
            </w:r>
            <w:proofErr w:type="gramStart"/>
            <w:r w:rsidRPr="00F452C9">
              <w:t>animals</w:t>
            </w:r>
            <w:proofErr w:type="gramEnd"/>
            <w:r w:rsidRPr="00F452C9">
              <w:t xml:space="preserve"> and walkers </w:t>
            </w:r>
            <w:r>
              <w:rPr>
                <w:noProof/>
              </w:rPr>
              <w:t>(DOEE 2018)</w:t>
            </w:r>
            <w:r>
              <w:t xml:space="preserve">. </w:t>
            </w:r>
            <w:r w:rsidRPr="00F452C9">
              <w:t xml:space="preserve">Dieback caused by </w:t>
            </w:r>
            <w:r w:rsidRPr="00F452C9">
              <w:rPr>
                <w:i/>
                <w:iCs/>
              </w:rPr>
              <w:t>P. cinnamomi</w:t>
            </w:r>
            <w:r w:rsidRPr="00F452C9">
              <w:t xml:space="preserve"> is listed as </w:t>
            </w:r>
            <w:r w:rsidRPr="000D25E5">
              <w:t xml:space="preserve">a </w:t>
            </w:r>
            <w:r w:rsidR="00F92662">
              <w:t>k</w:t>
            </w:r>
            <w:r>
              <w:t xml:space="preserve">ey </w:t>
            </w:r>
            <w:r w:rsidR="00F92662">
              <w:t>t</w:t>
            </w:r>
            <w:r>
              <w:t xml:space="preserve">hreatening </w:t>
            </w:r>
            <w:r w:rsidR="00F92662">
              <w:t>p</w:t>
            </w:r>
            <w:r>
              <w:t>rocess</w:t>
            </w:r>
            <w:r w:rsidRPr="000D25E5">
              <w:t xml:space="preserve"> under the EPBC Act </w:t>
            </w:r>
            <w:r w:rsidRPr="000D25E5">
              <w:rPr>
                <w:noProof/>
              </w:rPr>
              <w:t>(DOEE 2018)</w:t>
            </w:r>
            <w:r w:rsidRPr="000D25E5">
              <w:t>.</w:t>
            </w:r>
          </w:p>
          <w:p w14:paraId="0F6A03C7" w14:textId="7577EE35" w:rsidR="00045065" w:rsidRPr="001C433A" w:rsidRDefault="00045065" w:rsidP="00045065">
            <w:pPr>
              <w:pStyle w:val="TableText"/>
            </w:pPr>
            <w:r w:rsidRPr="000D25E5">
              <w:t xml:space="preserve">The disease has been detected in the nearby </w:t>
            </w:r>
            <w:r w:rsidR="00E60AE7">
              <w:t>n</w:t>
            </w:r>
            <w:r w:rsidRPr="000D25E5">
              <w:t xml:space="preserve">orth </w:t>
            </w:r>
            <w:r w:rsidR="00E60AE7">
              <w:t>c</w:t>
            </w:r>
            <w:r w:rsidRPr="000D25E5">
              <w:t xml:space="preserve">oast </w:t>
            </w:r>
            <w:r w:rsidR="00E60AE7">
              <w:t>w</w:t>
            </w:r>
            <w:r w:rsidRPr="000D25E5">
              <w:t xml:space="preserve">et </w:t>
            </w:r>
            <w:r w:rsidR="00E60AE7">
              <w:t>s</w:t>
            </w:r>
            <w:r w:rsidRPr="000D25E5">
              <w:t xml:space="preserve">clerophyll and </w:t>
            </w:r>
            <w:r w:rsidR="00E60AE7">
              <w:t>n</w:t>
            </w:r>
            <w:r w:rsidRPr="000D25E5">
              <w:t>orthern</w:t>
            </w:r>
            <w:r w:rsidR="00E60AE7">
              <w:t xml:space="preserve"> e</w:t>
            </w:r>
            <w:r w:rsidRPr="000D25E5">
              <w:t xml:space="preserve">scarpment </w:t>
            </w:r>
            <w:r w:rsidR="00E60AE7">
              <w:t>d</w:t>
            </w:r>
            <w:r w:rsidRPr="000D25E5">
              <w:t xml:space="preserve">ry </w:t>
            </w:r>
            <w:r w:rsidR="00E60AE7">
              <w:t>s</w:t>
            </w:r>
            <w:r w:rsidRPr="000D25E5">
              <w:t xml:space="preserve">clerophyll </w:t>
            </w:r>
            <w:r w:rsidR="00E60AE7">
              <w:t>f</w:t>
            </w:r>
            <w:r w:rsidRPr="000D25E5">
              <w:t xml:space="preserve">orests </w:t>
            </w:r>
            <w:r>
              <w:rPr>
                <w:noProof/>
              </w:rPr>
              <w:t>(DPIE 2020d)</w:t>
            </w:r>
            <w:r w:rsidRPr="000D25E5">
              <w:t xml:space="preserve">, but not in </w:t>
            </w:r>
            <w:r w:rsidR="008B4B3B">
              <w:t>n</w:t>
            </w:r>
            <w:r w:rsidRPr="000D25E5">
              <w:t xml:space="preserve">orth </w:t>
            </w:r>
            <w:r w:rsidR="008B4B3B">
              <w:t>c</w:t>
            </w:r>
            <w:r w:rsidRPr="000D25E5">
              <w:t xml:space="preserve">oast </w:t>
            </w:r>
            <w:r w:rsidR="008B4B3B">
              <w:t>d</w:t>
            </w:r>
            <w:r w:rsidRPr="000D25E5">
              <w:t xml:space="preserve">ry </w:t>
            </w:r>
            <w:r w:rsidR="008B4B3B">
              <w:t>s</w:t>
            </w:r>
            <w:r w:rsidRPr="000D25E5">
              <w:t xml:space="preserve">clerophyll </w:t>
            </w:r>
            <w:r w:rsidR="008B4B3B">
              <w:t>f</w:t>
            </w:r>
            <w:r w:rsidRPr="000D25E5">
              <w:t xml:space="preserve">orest or the Banyabba Nature Reserve </w:t>
            </w:r>
            <w:r>
              <w:rPr>
                <w:noProof/>
              </w:rPr>
              <w:t>(OEH 2016; DPIE 2020d)</w:t>
            </w:r>
            <w:r w:rsidRPr="000D25E5">
              <w:t xml:space="preserve">. The nearest occurrence record of </w:t>
            </w:r>
            <w:r w:rsidRPr="000D25E5">
              <w:rPr>
                <w:i/>
                <w:iCs/>
              </w:rPr>
              <w:t xml:space="preserve">P. </w:t>
            </w:r>
            <w:proofErr w:type="spellStart"/>
            <w:r w:rsidRPr="000D25E5">
              <w:rPr>
                <w:i/>
                <w:iCs/>
              </w:rPr>
              <w:t>cinnamomi</w:t>
            </w:r>
            <w:proofErr w:type="spellEnd"/>
            <w:r w:rsidRPr="000D25E5">
              <w:rPr>
                <w:i/>
                <w:iCs/>
              </w:rPr>
              <w:t xml:space="preserve"> </w:t>
            </w:r>
            <w:r w:rsidRPr="000D25E5">
              <w:t xml:space="preserve">is near </w:t>
            </w:r>
            <w:proofErr w:type="spellStart"/>
            <w:r w:rsidRPr="000D25E5">
              <w:t>Booyong</w:t>
            </w:r>
            <w:proofErr w:type="spellEnd"/>
            <w:r w:rsidRPr="000D25E5">
              <w:t xml:space="preserve">, NSW, approximately 80 kilometres from the border of Banyabba Nature Reserve </w:t>
            </w:r>
            <w:r w:rsidRPr="000D25E5">
              <w:rPr>
                <w:noProof/>
              </w:rPr>
              <w:t>(ALA 2020)</w:t>
            </w:r>
            <w:r w:rsidRPr="000D25E5">
              <w:t xml:space="preserve">. Soil samples tested for </w:t>
            </w:r>
            <w:proofErr w:type="spellStart"/>
            <w:r w:rsidRPr="000D25E5">
              <w:rPr>
                <w:i/>
                <w:iCs/>
              </w:rPr>
              <w:t>Olax</w:t>
            </w:r>
            <w:proofErr w:type="spellEnd"/>
            <w:r w:rsidRPr="000D25E5">
              <w:rPr>
                <w:i/>
                <w:iCs/>
              </w:rPr>
              <w:t xml:space="preserve"> </w:t>
            </w:r>
            <w:proofErr w:type="spellStart"/>
            <w:r w:rsidRPr="000D25E5">
              <w:rPr>
                <w:i/>
                <w:iCs/>
              </w:rPr>
              <w:t>angulata</w:t>
            </w:r>
            <w:proofErr w:type="spellEnd"/>
            <w:r w:rsidRPr="000D25E5">
              <w:rPr>
                <w:i/>
                <w:iCs/>
              </w:rPr>
              <w:t xml:space="preserve"> </w:t>
            </w:r>
            <w:r w:rsidRPr="000D25E5">
              <w:t>(</w:t>
            </w:r>
            <w:r w:rsidR="008B4B3B">
              <w:t>s</w:t>
            </w:r>
            <w:r w:rsidRPr="000D25E5">
              <w:t xml:space="preserve">quare-stemmed </w:t>
            </w:r>
            <w:proofErr w:type="spellStart"/>
            <w:r w:rsidR="008B4B3B">
              <w:t>o</w:t>
            </w:r>
            <w:r w:rsidRPr="000D25E5">
              <w:t>lax</w:t>
            </w:r>
            <w:proofErr w:type="spellEnd"/>
            <w:r w:rsidRPr="000D25E5">
              <w:t xml:space="preserve">), which co-occurs with the Banyabba </w:t>
            </w:r>
            <w:r w:rsidR="004F7964">
              <w:t>g</w:t>
            </w:r>
            <w:r w:rsidRPr="000D25E5">
              <w:t xml:space="preserve">revillea in Banyabba Nature Reserve, were negative for </w:t>
            </w:r>
            <w:r w:rsidRPr="000D25E5">
              <w:rPr>
                <w:i/>
                <w:iCs/>
              </w:rPr>
              <w:t xml:space="preserve">P. cinnamomi </w:t>
            </w:r>
            <w:r w:rsidRPr="000D25E5">
              <w:t xml:space="preserve">in 2019 (DPIE 2021. pers </w:t>
            </w:r>
            <w:r w:rsidRPr="001C433A">
              <w:t>comm 15 April).</w:t>
            </w:r>
          </w:p>
          <w:p w14:paraId="711FA42F" w14:textId="4B2759CF" w:rsidR="00045065" w:rsidRPr="005F73C9" w:rsidRDefault="00045065" w:rsidP="00045065">
            <w:pPr>
              <w:pStyle w:val="TableText"/>
            </w:pPr>
            <w:r w:rsidRPr="001C433A">
              <w:t xml:space="preserve">Proteaceae are one of the most susceptible plant families to </w:t>
            </w:r>
            <w:r w:rsidRPr="001C433A">
              <w:rPr>
                <w:i/>
                <w:iCs/>
              </w:rPr>
              <w:t>P. cinnamomi</w:t>
            </w:r>
            <w:r w:rsidRPr="001C433A">
              <w:t xml:space="preserve"> </w:t>
            </w:r>
            <w:r w:rsidRPr="001C433A">
              <w:rPr>
                <w:noProof/>
              </w:rPr>
              <w:t>(DSE 2009)</w:t>
            </w:r>
            <w:r w:rsidRPr="001C433A">
              <w:t xml:space="preserve">. So, the Banyabba </w:t>
            </w:r>
            <w:r w:rsidR="004F7964">
              <w:t>g</w:t>
            </w:r>
            <w:r w:rsidRPr="001C433A">
              <w:t xml:space="preserve">revillea is likely to be severely impacted if </w:t>
            </w:r>
            <w:r w:rsidRPr="001C433A">
              <w:rPr>
                <w:i/>
                <w:iCs/>
              </w:rPr>
              <w:t xml:space="preserve">P. cinnamomi </w:t>
            </w:r>
            <w:r w:rsidRPr="001C433A">
              <w:t xml:space="preserve">spreads to the Banyabba Nature Reserve. Additionally, the small population size and restricted distribution of the species may increase its extinction risk, following stochastic events, such as disease </w:t>
            </w:r>
            <w:r w:rsidRPr="001C433A">
              <w:rPr>
                <w:noProof/>
              </w:rPr>
              <w:t>(DPIE 2020a)</w:t>
            </w:r>
            <w:r w:rsidRPr="001C433A">
              <w:t>.</w:t>
            </w:r>
          </w:p>
        </w:tc>
      </w:tr>
      <w:tr w:rsidR="00045065" w:rsidRPr="005F73C9" w14:paraId="7285D0B0" w14:textId="77777777" w:rsidTr="008B4324">
        <w:trPr>
          <w:cantSplit/>
        </w:trPr>
        <w:tc>
          <w:tcPr>
            <w:tcW w:w="9060" w:type="dxa"/>
            <w:gridSpan w:val="3"/>
          </w:tcPr>
          <w:p w14:paraId="5F9BAE97" w14:textId="2D024947" w:rsidR="00045065" w:rsidRPr="006F4C61" w:rsidRDefault="00045065" w:rsidP="00045065">
            <w:pPr>
              <w:pStyle w:val="TableText"/>
              <w:keepNext/>
            </w:pPr>
            <w:r>
              <w:lastRenderedPageBreak/>
              <w:t>Climate change</w:t>
            </w:r>
          </w:p>
        </w:tc>
      </w:tr>
      <w:tr w:rsidR="00045065" w:rsidRPr="005F73C9" w14:paraId="0ED56F8A" w14:textId="77777777" w:rsidTr="00A1653E">
        <w:trPr>
          <w:cantSplit/>
        </w:trPr>
        <w:tc>
          <w:tcPr>
            <w:tcW w:w="2122" w:type="dxa"/>
          </w:tcPr>
          <w:p w14:paraId="1B8530ED" w14:textId="5793E022" w:rsidR="00045065" w:rsidRDefault="00045065" w:rsidP="00045065">
            <w:pPr>
              <w:pStyle w:val="TableText"/>
            </w:pPr>
            <w:r>
              <w:t>I</w:t>
            </w:r>
            <w:r w:rsidRPr="002060B1">
              <w:t>ncreased temperature</w:t>
            </w:r>
            <w:r>
              <w:t>s</w:t>
            </w:r>
            <w:r w:rsidRPr="002060B1">
              <w:t xml:space="preserve"> and change to precipitation patterns</w:t>
            </w:r>
          </w:p>
        </w:tc>
        <w:tc>
          <w:tcPr>
            <w:tcW w:w="2551" w:type="dxa"/>
          </w:tcPr>
          <w:p w14:paraId="5F0A6EF6" w14:textId="77777777" w:rsidR="00045065" w:rsidRPr="003230B1" w:rsidRDefault="00045065" w:rsidP="00045065">
            <w:pPr>
              <w:pStyle w:val="TableBullet1"/>
              <w:keepNext/>
            </w:pPr>
            <w:r>
              <w:t>Timing</w:t>
            </w:r>
            <w:r w:rsidRPr="003230B1">
              <w:t>: current</w:t>
            </w:r>
          </w:p>
          <w:p w14:paraId="2E4FC1D0" w14:textId="42A261DE" w:rsidR="00045065" w:rsidRPr="003230B1" w:rsidRDefault="00045065" w:rsidP="00045065">
            <w:pPr>
              <w:pStyle w:val="TableBullet1"/>
              <w:keepNext/>
            </w:pPr>
            <w:r w:rsidRPr="003230B1">
              <w:t xml:space="preserve">Confidence: </w:t>
            </w:r>
            <w:r w:rsidR="002772A9">
              <w:t>observed/</w:t>
            </w:r>
            <w:r w:rsidR="00E33DBB">
              <w:t>projected</w:t>
            </w:r>
          </w:p>
          <w:p w14:paraId="44CB185C" w14:textId="77777777" w:rsidR="00045065" w:rsidRPr="003230B1" w:rsidRDefault="00045065" w:rsidP="00045065">
            <w:pPr>
              <w:pStyle w:val="TableBullet1"/>
              <w:keepNext/>
            </w:pPr>
            <w:r w:rsidRPr="003230B1">
              <w:t xml:space="preserve">Consequence: </w:t>
            </w:r>
            <w:r>
              <w:t>moderate</w:t>
            </w:r>
          </w:p>
          <w:p w14:paraId="3E726C6B" w14:textId="77777777" w:rsidR="00045065" w:rsidRPr="003230B1" w:rsidRDefault="00045065" w:rsidP="00045065">
            <w:pPr>
              <w:pStyle w:val="TableBullet1"/>
              <w:keepNext/>
            </w:pPr>
            <w:r w:rsidRPr="003230B1">
              <w:t>Trend: increasing</w:t>
            </w:r>
          </w:p>
          <w:p w14:paraId="5FB2BB47" w14:textId="46B62D65" w:rsidR="00045065" w:rsidRDefault="00045065" w:rsidP="00045065">
            <w:pPr>
              <w:pStyle w:val="TableBullet1"/>
              <w:keepNext/>
            </w:pPr>
            <w:r w:rsidRPr="003230B1">
              <w:t>Extent: across the entire range</w:t>
            </w:r>
          </w:p>
        </w:tc>
        <w:tc>
          <w:tcPr>
            <w:tcW w:w="4387" w:type="dxa"/>
          </w:tcPr>
          <w:p w14:paraId="6E127BAB" w14:textId="015F739E" w:rsidR="00045065" w:rsidRDefault="00045065" w:rsidP="00045065">
            <w:pPr>
              <w:pStyle w:val="TableText"/>
            </w:pPr>
            <w:r>
              <w:t>From</w:t>
            </w:r>
            <w:r w:rsidRPr="00F76F67">
              <w:t xml:space="preserve"> 2017</w:t>
            </w:r>
            <w:r>
              <w:t>-1</w:t>
            </w:r>
            <w:r w:rsidRPr="00F76F67">
              <w:t xml:space="preserve">9, </w:t>
            </w:r>
            <w:r>
              <w:t xml:space="preserve">north-eastern NSW </w:t>
            </w:r>
            <w:r w:rsidRPr="00F76F67">
              <w:t xml:space="preserve">experienced severe drought </w:t>
            </w:r>
            <w:r>
              <w:rPr>
                <w:noProof/>
              </w:rPr>
              <w:t>(Bureau of Meteorology 2020; DPI 2020),</w:t>
            </w:r>
            <w:r w:rsidRPr="005A0731">
              <w:rPr>
                <w:noProof/>
              </w:rPr>
              <w:t xml:space="preserve"> which overlapped with approximately 53</w:t>
            </w:r>
            <w:r>
              <w:rPr>
                <w:noProof/>
              </w:rPr>
              <w:t xml:space="preserve">% </w:t>
            </w:r>
            <w:r w:rsidRPr="005A0731">
              <w:rPr>
                <w:noProof/>
              </w:rPr>
              <w:t xml:space="preserve">of the Banyabba </w:t>
            </w:r>
            <w:r w:rsidR="004F7964">
              <w:rPr>
                <w:noProof/>
              </w:rPr>
              <w:t>g</w:t>
            </w:r>
            <w:r w:rsidRPr="005A0731">
              <w:rPr>
                <w:noProof/>
              </w:rPr>
              <w:t>revillea’s modelled distribution in the six months preceeding the 2019-20 bushfires (Gallagher 2020)</w:t>
            </w:r>
            <w:r w:rsidRPr="005A0731">
              <w:t>.</w:t>
            </w:r>
            <w:r>
              <w:t xml:space="preserve"> This drought is suspected to have caused</w:t>
            </w:r>
            <w:r w:rsidRPr="00B92E75">
              <w:t xml:space="preserve"> dieback of leaves and branches in mature </w:t>
            </w:r>
            <w:r>
              <w:t>individuals</w:t>
            </w:r>
            <w:r w:rsidRPr="00B92E75">
              <w:t xml:space="preserve"> (DPIE 2021. pers comm 24 June).</w:t>
            </w:r>
          </w:p>
          <w:p w14:paraId="5E296CE5" w14:textId="65C9BF3C" w:rsidR="00045065" w:rsidRDefault="00045065" w:rsidP="00045065">
            <w:pPr>
              <w:pStyle w:val="TableText"/>
            </w:pPr>
            <w:r w:rsidRPr="0004290D">
              <w:t xml:space="preserve">Such events are increasingly likely to </w:t>
            </w:r>
            <w:r>
              <w:t>occur</w:t>
            </w:r>
            <w:r w:rsidRPr="0004290D">
              <w:t xml:space="preserve"> due to climate change</w:t>
            </w:r>
            <w:r>
              <w:t xml:space="preserve"> </w:t>
            </w:r>
            <w:r>
              <w:rPr>
                <w:noProof/>
              </w:rPr>
              <w:t>(CSIRO &amp; Bureau of Meteorology 2015)</w:t>
            </w:r>
            <w:r w:rsidR="00A222D1">
              <w:rPr>
                <w:noProof/>
              </w:rPr>
              <w:t xml:space="preserve">. </w:t>
            </w:r>
            <w:r w:rsidR="00A222D1">
              <w:rPr>
                <w:lang w:eastAsia="ja-JP"/>
              </w:rPr>
              <w:t>D</w:t>
            </w:r>
            <w:r w:rsidR="00A222D1" w:rsidRPr="009F5106">
              <w:t xml:space="preserve">rought may cause widespread plant mortality in forest ecosystems, as many plants are vulnerable to drought stress and hydraulic  failure of their vascular system </w:t>
            </w:r>
            <w:r w:rsidR="00A222D1" w:rsidRPr="009F5106">
              <w:fldChar w:fldCharType="begin" w:fldLock="1"/>
            </w:r>
            <w:r w:rsidR="00A222D1" w:rsidRPr="009F5106">
              <w:instrText>ADDIN CSL_CITATION {"citationItems":[{"id":"ITEM-1","itemData":{"DOI":"10.1016/j.foreco.2009.09.001","ISSN":"03781127","abstract":"Greenhouse gas emissions have significantly altered global climate, and will continue to do so in the future. Increases in the frequency, duration, and/or severity of drought and heat stress associated with climate change could fundamentally alter the composition, structure, and biogeography of forests in many regions. Of particular concern are potential increases in tree mortality associated with climate-induced physiological stress and interactions with other climate-mediated processes such as insect outbreaks and wildfire. Despite this risk, existing projections of tree mortality are based on models that lack functionally realistic mortality mechanisms, and there has been no attempt to track observations of climate-driven tree mortality globally. Here we present the first global assessment of recent tree mortality attributed to drought and heat stress. Although episodic mortality occurs in the absence of climate change, studies compiled here suggest that at least some of the world's forested ecosystems already may be responding to climate change and raise concern that forests may become increasingly vulnerable to higher background tree mortality rates and die-off in response to future warming and drought, even in environments that are not normally considered water-limited. This further suggests risks to ecosystem services, including the loss of sequestered forest carbon and associated atmospheric feedbacks. Our review also identifies key information gaps and scientific uncertainties that currently hinder our ability to predict tree mortality in response to climate change and emphasizes the need for a globally coordinated observation system. Overall, our review reveals the potential for amplified tree mortality due to drought and heat in forests worldwide.","author":[{"dropping-particle":"","family":"Allen","given":"Craig D.","non-dropping-particle":"","parse-names":false,"suffix":""},{"dropping-particle":"","family":"Macalady","given":"Alison K.","non-dropping-particle":"","parse-names":false,"suffix":""},{"dropping-particle":"","family":"Chenchouni","given":"Haroun","non-dropping-particle":"","parse-names":false,"suffix":""},{"dropping-particle":"","family":"Bachelet","given":"Dominique","non-dropping-particle":"","parse-names":false,"suffix":""},{"dropping-particle":"","family":"McDowell","given":"Nate","non-dropping-particle":"","parse-names":false,"suffix":""},{"dropping-particle":"","family":"Vennetier","given":"Michel","non-dropping-particle":"","parse-names":false,"suffix":""},{"dropping-particle":"","family":"Kitzberger","given":"Thomas","non-dropping-particle":"","parse-names":false,"suffix":""},{"dropping-particle":"","family":"Rigling","given":"Andreas","non-dropping-particle":"","parse-names":false,"suffix":""},{"dropping-particle":"","family":"Breshears","given":"David D.","non-dropping-particle":"","parse-names":false,"suffix":""},{"dropping-particle":"","family":"Hogg","given":"E. H.(Ted)","non-dropping-particle":"","parse-names":false,"suffix":""},{"dropping-particle":"","family":"Gonzalez","given":"Patrick","non-dropping-particle":"","parse-names":false,"suffix":""},{"dropping-particle":"","family":"Fensham","given":"Rod","non-dropping-particle":"","parse-names":false,"suffix":""},{"dropping-particle":"","family":"Zhang","given":"Zhen","non-dropping-particle":"","parse-names":false,"suffix":""},{"dropping-particle":"","family":"Castro","given":"Jorge","non-dropping-particle":"","parse-names":false,"suffix":""},{"dropping-particle":"","family":"Demidova","given":"Natalia","non-dropping-particle":"","parse-names":false,"suffix":""},{"dropping-particle":"","family":"Lim","given":"Jong Hwan","non-dropping-particle":"","parse-names":false,"suffix":""},{"dropping-particle":"","family":"Allard","given":"Gillian","non-dropping-particle":"","parse-names":false,"suffix":""},{"dropping-particle":"","family":"Running","given":"Steven W.","non-dropping-particle":"","parse-names":false,"suffix":""},{"dropping-particle":"","family":"Semerci","given":"Akkin","non-dropping-particle":"","parse-names":false,"suffix":""},{"dropping-particle":"","family":"Cobb","given":"Neil","non-dropping-particle":"","parse-names":false,"suffix":""}],"container-title":"Forest Ecology and Management","id":"ITEM-1","issue":"4","issued":{"date-parts":[["2010"]]},"page":"660-684","title":"A global overview of drought and heat-induced tree mortality reveals emerging climate change risks for forests","type":"article-journal","volume":"259"},"uris":["http://www.mendeley.com/documents/?uuid=ea1f3fe1-c8b5-4b7a-8492-73a75f9ac3fa"]},{"id":"ITEM-2","itemData":{"DOI":"10.1038/nature11688","ISSN":"00280836","PMID":"23172141","abstract":"Shifts in rainfall patterns and increasing temperatures associated with climate change are likely to cause widespread forest decline in regions where droughts are predicted to increase in duration and severity. One primary cause of productivity loss and plant mortality during drought is hydraulic failure. Drought stress creates trapped gas emboli in the water transport system, which reduces the ability of plants to supply water to leaves for photosynthetic gas exchange and can ultimately result in desiccation and mortality. At present we lack a clear picture of how thresholds to hydraulic failure vary across a broad range of species and environments, despite many individual experiments. Here we draw together published and unpublished data on the vulnerability of the transport system to drought-induced embolism for a large number of woody species, with a view to examining the likely consequences of climate change for forest biomes. We show that 70% of 226 forest species from 81 sites worldwide operate with narrow (&lt;1a megapascal) hydraulic safety margins against injurious levels of drought stress and therefore potentially face long-term reductions in productivity and survival if temperature and aridity increase as predicted for many regions across the globe. Safety margins are largely independent of mean annual precipitation, showing that there is global convergence in the vulnerability of forests to drought, with all forest biomes equally vulnerable to hydraulic failure regardless of their current rainfall environment. These findings provide insight into why drought-induced forest decline is occurring not only in arid regions but also in wet forests not normally considered at drought risk. © 2012 Macmillan Publishers Limited. All rights reserved.","author":[{"dropping-particle":"","family":"Choat","given":"Brendan","non-dropping-particle":"","parse-names":false,"suffix":""},{"dropping-particle":"","family":"Jansen","given":"Steven","non-dropping-particle":"","parse-names":false,"suffix":""},{"dropping-particle":"","family":"Brodribb","given":"Tim J.","non-dropping-particle":"","parse-names":false,"suffix":""},{"dropping-particle":"","family":"Cochard","given":"Hervé","non-dropping-particle":"","parse-names":false,"suffix":""},{"dropping-particle":"","family":"Delzon","given":"Sylvain","non-dropping-particle":"","parse-names":false,"suffix":""},{"dropping-particle":"","family":"Bhaskar","given":"Radika","non-dropping-particle":"","parse-names":false,"suffix":""},{"dropping-particle":"","family":"Bucci","given":"Sandra J.","non-dropping-particle":"","parse-names":false,"suffix":""},{"dropping-particle":"","family":"Feild","given":"Taylor S.","non-dropping-particle":"","parse-names":false,"suffix":""},{"dropping-particle":"","family":"Gleason","given":"Sean M.","non-dropping-particle":"","parse-names":false,"suffix":""},{"dropping-particle":"","family":"Hacke","given":"Uwe G.","non-dropping-particle":"","parse-names":false,"suffix":""},{"dropping-particle":"","family":"Jacobsen","given":"Anna L.","non-dropping-particle":"","parse-names":false,"suffix":""},{"dropping-particle":"","family":"Lens","given":"Frederic","non-dropping-particle":"","parse-names":false,"suffix":""},{"dropping-particle":"","family":"Maherali","given":"Hafiz","non-dropping-particle":"","parse-names":false,"suffix":""},{"dropping-particle":"","family":"Martínez-Vilalta","given":"Jordi","non-dropping-particle":"","parse-names":false,"suffix":""},{"dropping-particle":"","family":"Mayr","given":"Stefan","non-dropping-particle":"","parse-names":false,"suffix":""},{"dropping-particle":"","family":"Mencuccini","given":"Maurizio","non-dropping-particle":"","parse-names":false,"suffix":""},{"dropping-particle":"","family":"Mitchell","given":"Patrick J.","non-dropping-particle":"","parse-names":false,"suffix":""},{"dropping-particle":"","family":"Nardini","given":"Andrea","non-dropping-particle":"","parse-names":false,"suffix":""},{"dropping-particle":"","family":"Pittermann","given":"Jarmila","non-dropping-particle":"","parse-names":false,"suffix":""},{"dropping-particle":"","family":"Pratt","given":"R. Brandon","non-dropping-particle":"","parse-names":false,"suffix":""},{"dropping-particle":"","family":"Sperry","given":"John S.","non-dropping-particle":"","parse-names":false,"suffix":""},{"dropping-particle":"","family":"Westoby","given":"Mark","non-dropping-particle":"","parse-names":false,"suffix":""},{"dropping-particle":"","family":"Wright","given":"Ian J.","non-dropping-particle":"","parse-names":false,"suffix":""},{"dropping-particle":"","family":"Zanne","given":"Amy E.","non-dropping-particle":"","parse-names":false,"suffix":""}],"container-title":"Nature","id":"ITEM-2","issue":"7426","issued":{"date-parts":[["2012"]]},"page":"752-755","title":"Global convergence in the vulnerability of forests to drought","type":"article-journal","volume":"491"},"uris":["http://www.mendeley.com/documents/?uuid=baca1928-082b-4281-88d0-825aed380605"]}],"mendeley":{"formattedCitation":"(Allen et al. 2010, Choat et al. 2012)","plainTextFormattedCitation":"(Allen et al. 2010, Choat et al. 2012)","previouslyFormattedCitation":"(Allen et al. 2010, Choat et al. 2012)"},"properties":{"noteIndex":0},"schema":"https://github.com/citation-style-language/schema/raw/master/csl-citation.json"}</w:instrText>
            </w:r>
            <w:r w:rsidR="00A222D1" w:rsidRPr="009F5106">
              <w:fldChar w:fldCharType="separate"/>
            </w:r>
            <w:r w:rsidR="00A222D1" w:rsidRPr="009F5106">
              <w:rPr>
                <w:noProof/>
              </w:rPr>
              <w:t>(Allen et al. 2010; Choat et al. 2012; De Kauwe et al. 2020)</w:t>
            </w:r>
            <w:r w:rsidR="00A222D1" w:rsidRPr="009F5106">
              <w:fldChar w:fldCharType="end"/>
            </w:r>
            <w:r w:rsidR="00A222D1" w:rsidRPr="009F5106">
              <w:t>.</w:t>
            </w:r>
            <w:r w:rsidR="00A222D1" w:rsidRPr="009F5106">
              <w:rPr>
                <w:lang w:eastAsia="ja-JP"/>
              </w:rPr>
              <w:t xml:space="preserve"> </w:t>
            </w:r>
            <w:r>
              <w:t>M</w:t>
            </w:r>
            <w:r w:rsidRPr="000D4C56">
              <w:t xml:space="preserve">any plants in family Proteaceae, </w:t>
            </w:r>
            <w:r>
              <w:t>including</w:t>
            </w:r>
            <w:r w:rsidRPr="000D4C56">
              <w:t xml:space="preserve"> </w:t>
            </w:r>
            <w:r w:rsidRPr="00240FBB">
              <w:rPr>
                <w:i/>
                <w:iCs/>
              </w:rPr>
              <w:t>Grevillea</w:t>
            </w:r>
            <w:r>
              <w:t xml:space="preserve"> </w:t>
            </w:r>
            <w:r w:rsidRPr="000D4C56">
              <w:t>s</w:t>
            </w:r>
            <w:r>
              <w:t>pp.</w:t>
            </w:r>
            <w:r w:rsidRPr="000D4C56">
              <w:t xml:space="preserve">, are expected to decline in range and population size, primarily </w:t>
            </w:r>
            <w:proofErr w:type="gramStart"/>
            <w:r w:rsidRPr="000D4C56">
              <w:t xml:space="preserve">due to </w:t>
            </w:r>
            <w:r>
              <w:t>the effect</w:t>
            </w:r>
            <w:proofErr w:type="gramEnd"/>
            <w:r>
              <w:t xml:space="preserve"> of declining </w:t>
            </w:r>
            <w:r w:rsidRPr="000D4C56">
              <w:t>rainfall</w:t>
            </w:r>
            <w:r>
              <w:t xml:space="preserve"> on seed </w:t>
            </w:r>
            <w:r w:rsidRPr="0004290D">
              <w:t xml:space="preserve">production and seedling survival </w:t>
            </w:r>
            <w:r w:rsidRPr="0004290D">
              <w:rPr>
                <w:noProof/>
              </w:rPr>
              <w:t>(Midgley et al. 2006; Fitzpatrick et al. 2008; Shimizu-Kimura et al. 2017)</w:t>
            </w:r>
            <w:r w:rsidRPr="0004290D">
              <w:t xml:space="preserve">. Given the Banyabba </w:t>
            </w:r>
            <w:r w:rsidR="004F7964">
              <w:t>g</w:t>
            </w:r>
            <w:r w:rsidRPr="0004290D">
              <w:t xml:space="preserve">revillea already has very restricted distribution and small population size, it may be at risk of extinction following intense or frequent droughts </w:t>
            </w:r>
            <w:r w:rsidRPr="0004290D">
              <w:rPr>
                <w:noProof/>
              </w:rPr>
              <w:t>(DPIE 2020a)</w:t>
            </w:r>
            <w:r w:rsidRPr="0004290D">
              <w:t>.</w:t>
            </w:r>
          </w:p>
          <w:p w14:paraId="72EFCC27" w14:textId="07BA5D1B" w:rsidR="00045065" w:rsidRDefault="00045065" w:rsidP="00045065">
            <w:pPr>
              <w:pStyle w:val="TableText"/>
            </w:pPr>
            <w:r>
              <w:t xml:space="preserve">Additionally, following severe drought, </w:t>
            </w:r>
            <w:r>
              <w:rPr>
                <w:noProof/>
              </w:rPr>
              <w:t>c</w:t>
            </w:r>
            <w:r w:rsidRPr="00D2528A">
              <w:t xml:space="preserve">atastrophic bushfire conditions resulted in unprecedented, extensive bushfires across Australia in 2019-20. Initial estimates suggest the 2019-20 bushfires overlapped with approximately </w:t>
            </w:r>
            <w:r>
              <w:t xml:space="preserve">80% </w:t>
            </w:r>
            <w:r w:rsidRPr="00D2528A">
              <w:t xml:space="preserve">of the Banyabba </w:t>
            </w:r>
            <w:r w:rsidR="004F7964">
              <w:t>g</w:t>
            </w:r>
            <w:r w:rsidRPr="00D2528A">
              <w:t xml:space="preserve">revillea’s </w:t>
            </w:r>
            <w:r>
              <w:t xml:space="preserve">modelled </w:t>
            </w:r>
            <w:r w:rsidRPr="00D2528A">
              <w:t>distribution</w:t>
            </w:r>
            <w:r>
              <w:t xml:space="preserve"> </w:t>
            </w:r>
            <w:r>
              <w:rPr>
                <w:noProof/>
              </w:rPr>
              <w:t>(Auld et al. 2020; Gallagher 2020; Gallagher et al. 2021)</w:t>
            </w:r>
            <w:r>
              <w:t xml:space="preserve"> with approximately 50-60% of individuals burnt (DPIE 2021. pers comm 24 June). H</w:t>
            </w:r>
            <w:r w:rsidRPr="00AF2BB6">
              <w:t xml:space="preserve">owever, </w:t>
            </w:r>
            <w:r>
              <w:t xml:space="preserve">fire is likely to be required for germination, </w:t>
            </w:r>
            <w:r w:rsidRPr="00AF2BB6">
              <w:t xml:space="preserve">post-fire seedling recruitment </w:t>
            </w:r>
            <w:r>
              <w:t>is</w:t>
            </w:r>
            <w:r w:rsidRPr="00AF2BB6">
              <w:t xml:space="preserve"> high, and both seedlings and resprouts are healthy (DPIE 2021. pers comm 24 June). Accordingly, the loss of mature individuals following the 2019-20 bushfires is considered part of a natural fluctuation. However, as fire frequency and severity are predicted to continue to increase due to climate change </w:t>
            </w:r>
            <w:r>
              <w:rPr>
                <w:noProof/>
              </w:rPr>
              <w:t>(Dowdy et al. 2019; Bureau of Meteorology &amp; CSIRO 2020; van Oldenborgh et al. 2021)</w:t>
            </w:r>
            <w:r w:rsidRPr="00AF2BB6">
              <w:t xml:space="preserve">, the Banyabba </w:t>
            </w:r>
            <w:r w:rsidR="004F7964">
              <w:t>g</w:t>
            </w:r>
            <w:r w:rsidRPr="00AF2BB6">
              <w:t xml:space="preserve">revillea may decline in the future as fire-free intervals continue to shorten (i.e., through interval squeeze) </w:t>
            </w:r>
            <w:r w:rsidRPr="00AF2BB6">
              <w:rPr>
                <w:noProof/>
              </w:rPr>
              <w:t>(Enright et al. 2015)</w:t>
            </w:r>
            <w:r w:rsidRPr="00AF2BB6">
              <w:t>.</w:t>
            </w:r>
          </w:p>
          <w:p w14:paraId="66C7820F" w14:textId="54778A24" w:rsidR="00045065" w:rsidRPr="00F452C9" w:rsidRDefault="00045065" w:rsidP="00045065">
            <w:pPr>
              <w:pStyle w:val="TableText"/>
              <w:rPr>
                <w:i/>
                <w:iCs/>
              </w:rPr>
            </w:pPr>
            <w:r w:rsidRPr="00FF48E7">
              <w:t>Warmer temperatures and changes to precipitation patterns may also favour the spread of weeds</w:t>
            </w:r>
            <w:r w:rsidRPr="00FF48E7">
              <w:rPr>
                <w:color w:val="000000" w:themeColor="text1"/>
              </w:rPr>
              <w:t xml:space="preserve"> </w:t>
            </w:r>
            <w:r w:rsidRPr="00FF48E7">
              <w:rPr>
                <w:noProof/>
                <w:color w:val="000000" w:themeColor="text1"/>
              </w:rPr>
              <w:t>(Scott et al. 2014)</w:t>
            </w:r>
            <w:r w:rsidRPr="00FF48E7">
              <w:rPr>
                <w:color w:val="000000" w:themeColor="text1"/>
              </w:rPr>
              <w:t xml:space="preserve"> </w:t>
            </w:r>
            <w:r w:rsidRPr="00FF48E7">
              <w:rPr>
                <w:noProof/>
              </w:rPr>
              <w:t>and</w:t>
            </w:r>
            <w:r w:rsidRPr="00FF48E7">
              <w:rPr>
                <w:i/>
                <w:iCs/>
              </w:rPr>
              <w:t xml:space="preserve"> P. cinnamomi</w:t>
            </w:r>
            <w:r w:rsidRPr="00FF48E7">
              <w:t xml:space="preserve"> </w:t>
            </w:r>
            <w:r w:rsidRPr="00FF48E7">
              <w:rPr>
                <w:noProof/>
              </w:rPr>
              <w:t>(Thompson et al. 2014; Homet et al. 2019)</w:t>
            </w:r>
            <w:r w:rsidRPr="00FF48E7">
              <w:t>.</w:t>
            </w:r>
          </w:p>
        </w:tc>
      </w:tr>
      <w:tr w:rsidR="00045065" w14:paraId="772A1764" w14:textId="77777777" w:rsidTr="008B4324">
        <w:tc>
          <w:tcPr>
            <w:tcW w:w="9060" w:type="dxa"/>
            <w:gridSpan w:val="3"/>
          </w:tcPr>
          <w:p w14:paraId="739A07CC" w14:textId="77777777" w:rsidR="00045065" w:rsidRDefault="00045065" w:rsidP="00045065">
            <w:pPr>
              <w:pStyle w:val="TableText"/>
              <w:keepNext/>
              <w:rPr>
                <w:color w:val="1F497D" w:themeColor="text2"/>
                <w:highlight w:val="lightGray"/>
              </w:rPr>
            </w:pPr>
            <w:r>
              <w:lastRenderedPageBreak/>
              <w:t>Invasive species</w:t>
            </w:r>
          </w:p>
        </w:tc>
      </w:tr>
      <w:tr w:rsidR="00045065" w:rsidRPr="00953127" w14:paraId="2E628F79" w14:textId="77777777" w:rsidTr="00A1653E">
        <w:trPr>
          <w:cantSplit/>
        </w:trPr>
        <w:tc>
          <w:tcPr>
            <w:tcW w:w="2122" w:type="dxa"/>
          </w:tcPr>
          <w:p w14:paraId="24D041F4" w14:textId="13929566" w:rsidR="00045065" w:rsidRPr="00D945A0" w:rsidRDefault="002E3302" w:rsidP="00045065">
            <w:pPr>
              <w:pStyle w:val="TableText"/>
            </w:pPr>
            <w:r>
              <w:t>Exotic perennial g</w:t>
            </w:r>
            <w:r w:rsidR="00045065">
              <w:t>rass invasion</w:t>
            </w:r>
          </w:p>
        </w:tc>
        <w:tc>
          <w:tcPr>
            <w:tcW w:w="2551" w:type="dxa"/>
          </w:tcPr>
          <w:p w14:paraId="647EF366" w14:textId="77777777" w:rsidR="00045065" w:rsidRPr="008F1DC3" w:rsidRDefault="00045065" w:rsidP="00045065">
            <w:pPr>
              <w:pStyle w:val="TableBullet1"/>
              <w:keepNext/>
            </w:pPr>
            <w:r>
              <w:t>Timing</w:t>
            </w:r>
            <w:r w:rsidRPr="008F1DC3">
              <w:t xml:space="preserve">: </w:t>
            </w:r>
            <w:r>
              <w:t>future</w:t>
            </w:r>
          </w:p>
          <w:p w14:paraId="754C6E03" w14:textId="77777777" w:rsidR="00045065" w:rsidRPr="008F1DC3" w:rsidRDefault="00045065" w:rsidP="00045065">
            <w:pPr>
              <w:pStyle w:val="TableBullet1"/>
              <w:keepNext/>
            </w:pPr>
            <w:r w:rsidRPr="008F1DC3">
              <w:t>Confidence: suspected</w:t>
            </w:r>
          </w:p>
          <w:p w14:paraId="102560C1" w14:textId="3E13B595" w:rsidR="00045065" w:rsidRPr="008F1DC3" w:rsidRDefault="00045065" w:rsidP="00045065">
            <w:pPr>
              <w:pStyle w:val="TableBullet1"/>
              <w:keepNext/>
            </w:pPr>
            <w:r w:rsidRPr="008F1DC3">
              <w:t xml:space="preserve">Consequence: </w:t>
            </w:r>
            <w:r w:rsidR="00772487">
              <w:t>low</w:t>
            </w:r>
          </w:p>
          <w:p w14:paraId="04FD82BD" w14:textId="77777777" w:rsidR="00045065" w:rsidRPr="008F1DC3" w:rsidRDefault="00045065" w:rsidP="00045065">
            <w:pPr>
              <w:pStyle w:val="TableBullet1"/>
              <w:keepNext/>
            </w:pPr>
            <w:r w:rsidRPr="008F1DC3">
              <w:t>Trend: increasing</w:t>
            </w:r>
          </w:p>
          <w:p w14:paraId="0C8D5019" w14:textId="77777777" w:rsidR="00045065" w:rsidRDefault="00045065" w:rsidP="00045065">
            <w:pPr>
              <w:pStyle w:val="TableBullet1"/>
              <w:keepNext/>
            </w:pPr>
            <w:r w:rsidRPr="008F1DC3">
              <w:t>Extent: across the entire range</w:t>
            </w:r>
          </w:p>
        </w:tc>
        <w:tc>
          <w:tcPr>
            <w:tcW w:w="4387" w:type="dxa"/>
          </w:tcPr>
          <w:p w14:paraId="244694D8" w14:textId="013C3FDC" w:rsidR="00045065" w:rsidRDefault="00045065" w:rsidP="00045065">
            <w:pPr>
              <w:pStyle w:val="TableText"/>
              <w:keepNext/>
            </w:pPr>
            <w:r w:rsidRPr="00953127">
              <w:t xml:space="preserve">The invasion of native plant communities by exotic perennial grasses was listed as a </w:t>
            </w:r>
            <w:r w:rsidR="008B4B3B">
              <w:t>k</w:t>
            </w:r>
            <w:r w:rsidRPr="00953127">
              <w:t xml:space="preserve">ey </w:t>
            </w:r>
            <w:r w:rsidR="008B4B3B">
              <w:t>t</w:t>
            </w:r>
            <w:r w:rsidRPr="00953127">
              <w:t xml:space="preserve">hreatening </w:t>
            </w:r>
            <w:r w:rsidR="008B4B3B">
              <w:t>p</w:t>
            </w:r>
            <w:r w:rsidRPr="00953127">
              <w:t xml:space="preserve">rocess under the Threatened Species Conservation Act in NSW </w:t>
            </w:r>
            <w:r w:rsidRPr="00953127">
              <w:rPr>
                <w:noProof/>
              </w:rPr>
              <w:t>(NSW Scientific Committee 2003)</w:t>
            </w:r>
            <w:r w:rsidRPr="00953127">
              <w:t xml:space="preserve">. </w:t>
            </w:r>
            <w:r w:rsidRPr="00F4500E">
              <w:t xml:space="preserve">Weeds can invade, establish </w:t>
            </w:r>
            <w:proofErr w:type="gramStart"/>
            <w:r w:rsidRPr="00F4500E">
              <w:t>in</w:t>
            </w:r>
            <w:proofErr w:type="gramEnd"/>
            <w:r w:rsidRPr="00F4500E">
              <w:t xml:space="preserve"> and outcompete native vegetation, particularly following disturbance events, such as </w:t>
            </w:r>
            <w:r>
              <w:t>fires</w:t>
            </w:r>
            <w:r w:rsidRPr="00F4500E">
              <w:t xml:space="preserve"> </w:t>
            </w:r>
            <w:r w:rsidRPr="00F4500E">
              <w:rPr>
                <w:noProof/>
              </w:rPr>
              <w:t>(Hobbs 1991; Hobbs 2002; Brown et al. 2016)</w:t>
            </w:r>
            <w:r w:rsidRPr="00F4500E">
              <w:t xml:space="preserve">. </w:t>
            </w:r>
            <w:proofErr w:type="gramStart"/>
            <w:r w:rsidRPr="00F4500E">
              <w:t>In particular, grassy</w:t>
            </w:r>
            <w:proofErr w:type="gramEnd"/>
            <w:r w:rsidRPr="00F4500E">
              <w:t xml:space="preserve"> weeds can increase fuel load and alter fire regimes </w:t>
            </w:r>
            <w:r w:rsidRPr="00F4500E">
              <w:rPr>
                <w:noProof/>
              </w:rPr>
              <w:t>(Milberg &amp; Lamont 1995; Setterfield et al. 2013)</w:t>
            </w:r>
            <w:r w:rsidRPr="00F4500E">
              <w:t xml:space="preserve">. These altered fire regimes can create conditions that are detrimental to the maintenance of native species and favourable to the establishment and spread of weeds </w:t>
            </w:r>
            <w:r>
              <w:rPr>
                <w:noProof/>
              </w:rPr>
              <w:t>(D'Antonio &amp; Vitousek 1992; Grigulis et al. 2005)</w:t>
            </w:r>
            <w:r>
              <w:t>.</w:t>
            </w:r>
          </w:p>
          <w:p w14:paraId="42C8DA11" w14:textId="797A338E" w:rsidR="00045065" w:rsidRPr="00953127" w:rsidRDefault="00002C4B" w:rsidP="00045065">
            <w:pPr>
              <w:pStyle w:val="TableText"/>
              <w:keepNext/>
            </w:pPr>
            <w:r w:rsidRPr="00002C4B">
              <w:t xml:space="preserve">Grasses occur in low density with sparse cover </w:t>
            </w:r>
            <w:r w:rsidR="00876B8F" w:rsidRPr="00876B8F">
              <w:t xml:space="preserve">in the Banyabba grevillea’s low fertility habitat (DPIE 2021. pers comm 15 September). There is no evidence that grasses are </w:t>
            </w:r>
            <w:r w:rsidR="002E3302">
              <w:t xml:space="preserve">currently </w:t>
            </w:r>
            <w:r w:rsidR="00876B8F" w:rsidRPr="00876B8F">
              <w:t>outcompeting seedlings (DPIE 2021. pers comm 15 September).</w:t>
            </w:r>
            <w:bookmarkStart w:id="19" w:name="_Hlk82599345"/>
            <w:r w:rsidR="00DF593B">
              <w:t xml:space="preserve"> </w:t>
            </w:r>
            <w:bookmarkEnd w:id="19"/>
            <w:r w:rsidR="00DF593B">
              <w:t xml:space="preserve">However, </w:t>
            </w:r>
            <w:r w:rsidR="00045065" w:rsidRPr="00953127">
              <w:t xml:space="preserve">introduced grasses have potential to invade native vegetation in the Northern Rivers region and may threaten the Banyabba </w:t>
            </w:r>
            <w:r w:rsidR="004F7964">
              <w:t>g</w:t>
            </w:r>
            <w:r w:rsidR="00045065" w:rsidRPr="00953127">
              <w:t>revillea</w:t>
            </w:r>
            <w:r w:rsidR="00045065">
              <w:t>, particularly following fires</w:t>
            </w:r>
            <w:r w:rsidR="00045065" w:rsidRPr="00953127">
              <w:t xml:space="preserve"> </w:t>
            </w:r>
            <w:r w:rsidR="00045065">
              <w:rPr>
                <w:noProof/>
              </w:rPr>
              <w:t>(DECCW 2010; DPIE 2020a)</w:t>
            </w:r>
            <w:r w:rsidR="00045065">
              <w:t>.</w:t>
            </w:r>
          </w:p>
        </w:tc>
      </w:tr>
      <w:tr w:rsidR="00045065" w:rsidRPr="009C2AFD" w14:paraId="539718B9" w14:textId="77777777" w:rsidTr="00A1653E">
        <w:trPr>
          <w:cantSplit/>
        </w:trPr>
        <w:tc>
          <w:tcPr>
            <w:tcW w:w="2122" w:type="dxa"/>
          </w:tcPr>
          <w:p w14:paraId="1626F1DF" w14:textId="77777777" w:rsidR="00045065" w:rsidRPr="00D945A0" w:rsidRDefault="00045065" w:rsidP="00045065">
            <w:pPr>
              <w:pStyle w:val="TableText"/>
            </w:pPr>
            <w:r>
              <w:t>Pine invasion</w:t>
            </w:r>
          </w:p>
        </w:tc>
        <w:tc>
          <w:tcPr>
            <w:tcW w:w="2551" w:type="dxa"/>
          </w:tcPr>
          <w:p w14:paraId="6F19B47A" w14:textId="77777777" w:rsidR="00045065" w:rsidRPr="00582AC8" w:rsidRDefault="00045065" w:rsidP="00045065">
            <w:pPr>
              <w:pStyle w:val="TableBullet1"/>
              <w:keepNext/>
            </w:pPr>
            <w:r>
              <w:t>Timing</w:t>
            </w:r>
            <w:r w:rsidRPr="00582AC8">
              <w:t>: future</w:t>
            </w:r>
          </w:p>
          <w:p w14:paraId="482D9C90" w14:textId="77777777" w:rsidR="00045065" w:rsidRPr="00582AC8" w:rsidRDefault="00045065" w:rsidP="00045065">
            <w:pPr>
              <w:pStyle w:val="TableBullet1"/>
              <w:keepNext/>
            </w:pPr>
            <w:r w:rsidRPr="00582AC8">
              <w:t>Confidence: suspected</w:t>
            </w:r>
          </w:p>
          <w:p w14:paraId="18DC1E0D" w14:textId="77777777" w:rsidR="00045065" w:rsidRPr="00582AC8" w:rsidRDefault="00045065" w:rsidP="00045065">
            <w:pPr>
              <w:pStyle w:val="TableBullet1"/>
              <w:keepNext/>
            </w:pPr>
            <w:r w:rsidRPr="00582AC8">
              <w:t>Consequence: moderate</w:t>
            </w:r>
          </w:p>
          <w:p w14:paraId="4F79951D" w14:textId="77777777" w:rsidR="00045065" w:rsidRPr="00582AC8" w:rsidRDefault="00045065" w:rsidP="00045065">
            <w:pPr>
              <w:pStyle w:val="TableBullet1"/>
              <w:keepNext/>
            </w:pPr>
            <w:r w:rsidRPr="00582AC8">
              <w:t>Trend: unknown</w:t>
            </w:r>
          </w:p>
          <w:p w14:paraId="065A62D0" w14:textId="77777777" w:rsidR="00045065" w:rsidRDefault="00045065" w:rsidP="00045065">
            <w:pPr>
              <w:pStyle w:val="TableBullet1"/>
              <w:keepNext/>
            </w:pPr>
            <w:r w:rsidRPr="00582AC8">
              <w:t>Extent: across the entire range</w:t>
            </w:r>
          </w:p>
        </w:tc>
        <w:tc>
          <w:tcPr>
            <w:tcW w:w="4387" w:type="dxa"/>
          </w:tcPr>
          <w:p w14:paraId="548D80E8" w14:textId="104AB342" w:rsidR="00045065" w:rsidRPr="009C2AFD" w:rsidRDefault="004F00FD" w:rsidP="00045065">
            <w:pPr>
              <w:pStyle w:val="TableText"/>
            </w:pPr>
            <w:r>
              <w:t>T</w:t>
            </w:r>
            <w:r w:rsidR="00045065" w:rsidRPr="00CE6886">
              <w:t xml:space="preserve">he </w:t>
            </w:r>
            <w:r w:rsidR="00340AED">
              <w:t>s</w:t>
            </w:r>
            <w:r w:rsidR="00045065" w:rsidRPr="00CE6886">
              <w:t xml:space="preserve">lash </w:t>
            </w:r>
            <w:r w:rsidR="00340AED">
              <w:t>p</w:t>
            </w:r>
            <w:r w:rsidR="00045065" w:rsidRPr="00CE6886">
              <w:t>ine (</w:t>
            </w:r>
            <w:r w:rsidR="00045065" w:rsidRPr="00CE6886">
              <w:rPr>
                <w:i/>
                <w:iCs/>
              </w:rPr>
              <w:t xml:space="preserve">Pinus </w:t>
            </w:r>
            <w:proofErr w:type="spellStart"/>
            <w:r w:rsidR="00045065" w:rsidRPr="00CE6886">
              <w:rPr>
                <w:i/>
                <w:iCs/>
              </w:rPr>
              <w:t>elliottii</w:t>
            </w:r>
            <w:proofErr w:type="spellEnd"/>
            <w:r w:rsidR="00045065" w:rsidRPr="00CE6886">
              <w:t>) and the</w:t>
            </w:r>
            <w:r w:rsidR="00340AED">
              <w:t xml:space="preserve"> l</w:t>
            </w:r>
            <w:r w:rsidR="00045065" w:rsidRPr="00CE6886">
              <w:t xml:space="preserve">oblolly </w:t>
            </w:r>
            <w:r w:rsidR="00340AED">
              <w:t>p</w:t>
            </w:r>
            <w:r w:rsidR="00045065" w:rsidRPr="00CE6886">
              <w:t>ine (</w:t>
            </w:r>
            <w:r w:rsidR="00045065" w:rsidRPr="00CE6886">
              <w:rPr>
                <w:i/>
                <w:iCs/>
              </w:rPr>
              <w:t xml:space="preserve">Pinus </w:t>
            </w:r>
            <w:proofErr w:type="spellStart"/>
            <w:r w:rsidR="00045065" w:rsidRPr="00CE6886">
              <w:rPr>
                <w:i/>
                <w:iCs/>
              </w:rPr>
              <w:t>taeda</w:t>
            </w:r>
            <w:proofErr w:type="spellEnd"/>
            <w:r w:rsidR="00045065" w:rsidRPr="00CE6886">
              <w:t xml:space="preserve">) are becoming naturalised around plantations in north-eastern NSW </w:t>
            </w:r>
            <w:r w:rsidR="00045065" w:rsidRPr="00CE6886">
              <w:rPr>
                <w:noProof/>
              </w:rPr>
              <w:t>(AVH 2020a, b)</w:t>
            </w:r>
            <w:r w:rsidR="00045065" w:rsidRPr="00CE6886">
              <w:t xml:space="preserve">, including the Banyabba State Forest, adjacent to the area where the Banyabba </w:t>
            </w:r>
            <w:r w:rsidR="004F7964">
              <w:t>g</w:t>
            </w:r>
            <w:r w:rsidR="00045065" w:rsidRPr="00CE6886">
              <w:t xml:space="preserve">revillea occurs </w:t>
            </w:r>
            <w:r w:rsidR="00045065" w:rsidRPr="00CE6886">
              <w:rPr>
                <w:noProof/>
              </w:rPr>
              <w:t>(DPIE 2020a)</w:t>
            </w:r>
            <w:r w:rsidR="00045065" w:rsidRPr="00CE6886">
              <w:t xml:space="preserve">. These species may threaten the Banyabba </w:t>
            </w:r>
            <w:r w:rsidR="004F7964">
              <w:t>g</w:t>
            </w:r>
            <w:r w:rsidR="00045065" w:rsidRPr="00CE6886">
              <w:t xml:space="preserve">revillea by shading out </w:t>
            </w:r>
            <w:r w:rsidR="00087E45">
              <w:t xml:space="preserve">the </w:t>
            </w:r>
            <w:r w:rsidR="00045065" w:rsidRPr="00206135">
              <w:t xml:space="preserve">understorey and changing soil chemistry </w:t>
            </w:r>
            <w:r w:rsidR="00045065" w:rsidRPr="00206135">
              <w:rPr>
                <w:noProof/>
              </w:rPr>
              <w:t>(DPIE 2020a)</w:t>
            </w:r>
            <w:r w:rsidR="00045065" w:rsidRPr="00206135">
              <w:t>.</w:t>
            </w:r>
          </w:p>
        </w:tc>
      </w:tr>
    </w:tbl>
    <w:p w14:paraId="63694918" w14:textId="77777777" w:rsidR="00496D45" w:rsidRPr="009A615F" w:rsidRDefault="00496D45" w:rsidP="00496D45">
      <w:pPr>
        <w:pStyle w:val="FigureTableNoteSource"/>
      </w:pPr>
      <w:proofErr w:type="spellStart"/>
      <w:r w:rsidRPr="009F4586">
        <w:rPr>
          <w:vertAlign w:val="superscript"/>
        </w:rPr>
        <w:t>a</w:t>
      </w:r>
      <w:r>
        <w:t>Timing</w:t>
      </w:r>
      <w:proofErr w:type="spellEnd"/>
      <w:r w:rsidRPr="009A615F">
        <w:t xml:space="preserve">—identify the temporal nature of the </w:t>
      </w:r>
      <w:proofErr w:type="gramStart"/>
      <w:r w:rsidRPr="009A615F">
        <w:t>threat;</w:t>
      </w:r>
      <w:proofErr w:type="gramEnd"/>
    </w:p>
    <w:p w14:paraId="5925F90E" w14:textId="77777777" w:rsidR="00496D45" w:rsidRPr="009A615F" w:rsidRDefault="00496D45" w:rsidP="00496D45">
      <w:pPr>
        <w:pStyle w:val="FigureTableNoteSource"/>
      </w:pPr>
      <w:r w:rsidRPr="009A615F">
        <w:t xml:space="preserve">Confidence—identify the extent to which we have confidence about the impact of the threat on the </w:t>
      </w:r>
      <w:proofErr w:type="gramStart"/>
      <w:r w:rsidRPr="009A615F">
        <w:t>species;</w:t>
      </w:r>
      <w:proofErr w:type="gramEnd"/>
    </w:p>
    <w:p w14:paraId="20D07809" w14:textId="77777777" w:rsidR="00496D45" w:rsidRPr="009A615F" w:rsidRDefault="00496D45" w:rsidP="00496D45">
      <w:pPr>
        <w:pStyle w:val="FigureTableNoteSource"/>
      </w:pPr>
      <w:r w:rsidRPr="009A615F">
        <w:t xml:space="preserve">Consequence—identify the severity of the </w:t>
      </w:r>
      <w:proofErr w:type="gramStart"/>
      <w:r w:rsidRPr="009A615F">
        <w:t>threat;</w:t>
      </w:r>
      <w:proofErr w:type="gramEnd"/>
    </w:p>
    <w:p w14:paraId="7899C4F6" w14:textId="77777777" w:rsidR="00496D45" w:rsidRPr="009A615F" w:rsidRDefault="00496D45" w:rsidP="00496D45">
      <w:pPr>
        <w:pStyle w:val="FigureTableNoteSource"/>
      </w:pPr>
      <w:r w:rsidRPr="009A615F">
        <w:t xml:space="preserve">Trend—identify the extent to which it will continue to operate on the </w:t>
      </w:r>
      <w:proofErr w:type="gramStart"/>
      <w:r w:rsidRPr="009A615F">
        <w:t>species;</w:t>
      </w:r>
      <w:proofErr w:type="gramEnd"/>
    </w:p>
    <w:p w14:paraId="3E260D73" w14:textId="77777777" w:rsidR="00496D45" w:rsidRDefault="00496D45" w:rsidP="00496D45">
      <w:pPr>
        <w:pStyle w:val="FigureTableNoteSource"/>
      </w:pPr>
      <w:r w:rsidRPr="009A615F">
        <w:t>Extent—identify its spatial content in terms of the range of the species.</w:t>
      </w:r>
    </w:p>
    <w:p w14:paraId="54DEC6D3" w14:textId="493093D6" w:rsidR="00496D45" w:rsidRDefault="00496D45" w:rsidP="00A1653E">
      <w:pPr>
        <w:pStyle w:val="FigureTableNoteSource"/>
        <w:spacing w:before="240"/>
        <w:contextualSpacing w:val="0"/>
      </w:pPr>
      <w:bookmarkStart w:id="20" w:name="_Hlk82698674"/>
      <w:r w:rsidRPr="00A1653E">
        <w:rPr>
          <w:b/>
          <w:bCs/>
        </w:rPr>
        <w:t>Note</w:t>
      </w:r>
      <w:r>
        <w:t xml:space="preserve">: threats in Table </w:t>
      </w:r>
      <w:r w:rsidR="00AE6ADC">
        <w:t>2</w:t>
      </w:r>
      <w:r>
        <w:t xml:space="preserve"> are noted in approximate order of highest to lowest impact, based on available evidence.</w:t>
      </w:r>
    </w:p>
    <w:p w14:paraId="73CA5209" w14:textId="746EB48F" w:rsidR="00E707AE" w:rsidRDefault="00BD7983" w:rsidP="007A13DB">
      <w:pPr>
        <w:keepLines/>
      </w:pPr>
      <w:bookmarkStart w:id="21" w:name="_Toc430782162"/>
      <w:bookmarkStart w:id="22" w:name="_Toc511376531"/>
      <w:bookmarkEnd w:id="20"/>
      <w:r>
        <w:t xml:space="preserve">Each threat has been described </w:t>
      </w:r>
      <w:r w:rsidR="000E630E">
        <w:t xml:space="preserve">in Table </w:t>
      </w:r>
      <w:r w:rsidR="00311CFF">
        <w:t>2</w:t>
      </w:r>
      <w:r w:rsidR="000E630E">
        <w:t xml:space="preserve"> </w:t>
      </w:r>
      <w:r>
        <w:t xml:space="preserve">in terms of the extent that it is operating on the species. </w:t>
      </w:r>
      <w:r w:rsidR="00F92E66">
        <w:t>The</w:t>
      </w:r>
      <w:r>
        <w:t xml:space="preserve"> risk matrix (</w:t>
      </w:r>
      <w:r w:rsidR="00C64C7F">
        <w:fldChar w:fldCharType="begin"/>
      </w:r>
      <w:r w:rsidR="00C64C7F">
        <w:instrText xml:space="preserve"> REF _Ref43127879 \h </w:instrText>
      </w:r>
      <w:r w:rsidR="00C64C7F">
        <w:fldChar w:fldCharType="separate"/>
      </w:r>
      <w:r w:rsidR="00311CFF">
        <w:t xml:space="preserve">Table </w:t>
      </w:r>
      <w:r w:rsidR="00311CFF">
        <w:rPr>
          <w:noProof/>
        </w:rPr>
        <w:t>3</w:t>
      </w:r>
      <w:r w:rsidR="00C64C7F">
        <w:fldChar w:fldCharType="end"/>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w:t>
      </w:r>
      <w:r w:rsidRPr="00B038DF">
        <w:t>nt management regimes, assuming that management will continu</w:t>
      </w:r>
      <w:r w:rsidR="00774EAA" w:rsidRPr="00B038DF">
        <w:t>e to be applied appropriately.</w:t>
      </w:r>
      <w:r w:rsidRPr="00B038DF">
        <w:t xml:space="preserve"> The risk matrix</w:t>
      </w:r>
      <w:r w:rsidR="001B077B" w:rsidRPr="00B038DF">
        <w:t xml:space="preserve"> </w:t>
      </w:r>
      <w:r w:rsidRPr="00B038DF">
        <w:t>and ranking of threats has been developed in consultation</w:t>
      </w:r>
      <w:r w:rsidR="008D2DCF" w:rsidRPr="00B038DF">
        <w:t xml:space="preserve"> </w:t>
      </w:r>
      <w:r w:rsidRPr="00B038DF">
        <w:t>with expert</w:t>
      </w:r>
      <w:r w:rsidR="008D2DCF" w:rsidRPr="00B038DF">
        <w:t>s</w:t>
      </w:r>
      <w:r w:rsidRPr="00B038DF">
        <w:t xml:space="preserve"> </w:t>
      </w:r>
      <w:r w:rsidR="00B038DF" w:rsidRPr="00B038DF">
        <w:t xml:space="preserve">and </w:t>
      </w:r>
      <w:r w:rsidRPr="00B038DF">
        <w:t>using available literature.</w:t>
      </w:r>
    </w:p>
    <w:p w14:paraId="33BA21F9" w14:textId="67A44D1C" w:rsidR="00774EAA" w:rsidRDefault="00774EAA" w:rsidP="00A1653E">
      <w:pPr>
        <w:pStyle w:val="Caption"/>
        <w:keepLines/>
      </w:pPr>
      <w:bookmarkStart w:id="23" w:name="_Ref43127879"/>
      <w:r>
        <w:lastRenderedPageBreak/>
        <w:t xml:space="preserve">Table </w:t>
      </w:r>
      <w:r w:rsidR="00ED07EC">
        <w:rPr>
          <w:noProof/>
        </w:rPr>
        <w:fldChar w:fldCharType="begin"/>
      </w:r>
      <w:r w:rsidR="00ED07EC">
        <w:rPr>
          <w:noProof/>
        </w:rPr>
        <w:instrText xml:space="preserve"> SEQ Table \* ARABIC </w:instrText>
      </w:r>
      <w:r w:rsidR="00ED07EC">
        <w:rPr>
          <w:noProof/>
        </w:rPr>
        <w:fldChar w:fldCharType="separate"/>
      </w:r>
      <w:r w:rsidR="00311CFF">
        <w:rPr>
          <w:noProof/>
        </w:rPr>
        <w:t>3</w:t>
      </w:r>
      <w:r w:rsidR="00ED07EC">
        <w:rPr>
          <w:noProof/>
        </w:rPr>
        <w:fldChar w:fldCharType="end"/>
      </w:r>
      <w:bookmarkEnd w:id="23"/>
      <w:r>
        <w:t xml:space="preserve"> </w:t>
      </w:r>
      <w:r w:rsidR="00322655">
        <w:t>R</w:t>
      </w:r>
      <w:r>
        <w:t xml:space="preserve">isk </w:t>
      </w:r>
      <w:r w:rsidR="00322655">
        <w:t>M</w:t>
      </w:r>
      <w:r>
        <w:t>atrix</w:t>
      </w:r>
      <w:r w:rsidR="00496D45">
        <w:t xml:space="preserve"> for Ban</w:t>
      </w:r>
      <w:r w:rsidR="009A0C7F">
        <w:t xml:space="preserve">yabba </w:t>
      </w:r>
      <w:r w:rsidR="004F7964">
        <w:t>g</w:t>
      </w:r>
      <w:r w:rsidR="009A0C7F">
        <w:t>revillea</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876812" w14:paraId="39381BC8" w14:textId="77777777" w:rsidTr="008B4324">
        <w:trPr>
          <w:cantSplit/>
          <w:tblHeader/>
        </w:trPr>
        <w:tc>
          <w:tcPr>
            <w:tcW w:w="1510" w:type="dxa"/>
            <w:vMerge w:val="restart"/>
          </w:tcPr>
          <w:p w14:paraId="59405FC4" w14:textId="77777777" w:rsidR="00876812" w:rsidRDefault="00876812" w:rsidP="00A1653E">
            <w:pPr>
              <w:pStyle w:val="TableHeading"/>
              <w:keepLines/>
            </w:pPr>
            <w:r>
              <w:t>Likelihood</w:t>
            </w:r>
          </w:p>
        </w:tc>
        <w:tc>
          <w:tcPr>
            <w:tcW w:w="7550" w:type="dxa"/>
            <w:gridSpan w:val="5"/>
          </w:tcPr>
          <w:p w14:paraId="15A6C09E" w14:textId="77777777" w:rsidR="00876812" w:rsidRDefault="00876812" w:rsidP="00A1653E">
            <w:pPr>
              <w:pStyle w:val="TableHeading"/>
              <w:keepLines/>
            </w:pPr>
            <w:r>
              <w:t>Consequences</w:t>
            </w:r>
          </w:p>
        </w:tc>
      </w:tr>
      <w:tr w:rsidR="00876812" w14:paraId="3D861103" w14:textId="77777777" w:rsidTr="008B4324">
        <w:trPr>
          <w:cantSplit/>
          <w:tblHeader/>
        </w:trPr>
        <w:tc>
          <w:tcPr>
            <w:tcW w:w="1510" w:type="dxa"/>
            <w:vMerge/>
          </w:tcPr>
          <w:p w14:paraId="388E8BD7" w14:textId="77777777" w:rsidR="00876812" w:rsidRDefault="00876812" w:rsidP="00FA6C72">
            <w:pPr>
              <w:pStyle w:val="TableHeading"/>
              <w:keepLines/>
            </w:pPr>
          </w:p>
        </w:tc>
        <w:tc>
          <w:tcPr>
            <w:tcW w:w="1510" w:type="dxa"/>
          </w:tcPr>
          <w:p w14:paraId="4F979C2F" w14:textId="77777777" w:rsidR="00876812" w:rsidRDefault="00876812" w:rsidP="00FA6C72">
            <w:pPr>
              <w:pStyle w:val="TableHeading"/>
              <w:keepLines/>
            </w:pPr>
            <w:r>
              <w:t>Not significant</w:t>
            </w:r>
          </w:p>
        </w:tc>
        <w:tc>
          <w:tcPr>
            <w:tcW w:w="1510" w:type="dxa"/>
          </w:tcPr>
          <w:p w14:paraId="064F9231" w14:textId="77777777" w:rsidR="00876812" w:rsidRDefault="00876812" w:rsidP="00FA6C72">
            <w:pPr>
              <w:pStyle w:val="TableHeading"/>
              <w:keepLines/>
            </w:pPr>
            <w:r>
              <w:t>Minor</w:t>
            </w:r>
          </w:p>
        </w:tc>
        <w:tc>
          <w:tcPr>
            <w:tcW w:w="1510" w:type="dxa"/>
          </w:tcPr>
          <w:p w14:paraId="35A8107B" w14:textId="77777777" w:rsidR="00876812" w:rsidRDefault="00876812" w:rsidP="00FA6C72">
            <w:pPr>
              <w:pStyle w:val="TableHeading"/>
              <w:keepLines/>
            </w:pPr>
            <w:r>
              <w:t>Moderate</w:t>
            </w:r>
          </w:p>
        </w:tc>
        <w:tc>
          <w:tcPr>
            <w:tcW w:w="1510" w:type="dxa"/>
          </w:tcPr>
          <w:p w14:paraId="0B8D1EBF" w14:textId="77777777" w:rsidR="00876812" w:rsidRDefault="00876812" w:rsidP="00FA6C72">
            <w:pPr>
              <w:pStyle w:val="TableHeading"/>
              <w:keepLines/>
            </w:pPr>
            <w:r>
              <w:t>Major</w:t>
            </w:r>
          </w:p>
        </w:tc>
        <w:tc>
          <w:tcPr>
            <w:tcW w:w="1510" w:type="dxa"/>
          </w:tcPr>
          <w:p w14:paraId="3FE1339E" w14:textId="77777777" w:rsidR="00876812" w:rsidRDefault="00876812" w:rsidP="00FA6C72">
            <w:pPr>
              <w:pStyle w:val="TableHeading"/>
              <w:keepLines/>
            </w:pPr>
            <w:r>
              <w:t>Catastrophic</w:t>
            </w:r>
          </w:p>
        </w:tc>
      </w:tr>
      <w:tr w:rsidR="00876812" w14:paraId="11C6F197" w14:textId="77777777" w:rsidTr="008B4324">
        <w:tc>
          <w:tcPr>
            <w:tcW w:w="1510" w:type="dxa"/>
          </w:tcPr>
          <w:p w14:paraId="5B47670C" w14:textId="77777777" w:rsidR="00876812" w:rsidRPr="00774EAA" w:rsidRDefault="00876812" w:rsidP="00A1653E">
            <w:pPr>
              <w:pStyle w:val="TableText"/>
              <w:keepNext/>
              <w:keepLines/>
              <w:rPr>
                <w:rStyle w:val="Strong"/>
              </w:rPr>
            </w:pPr>
            <w:r w:rsidRPr="00774EAA">
              <w:rPr>
                <w:rStyle w:val="Strong"/>
              </w:rPr>
              <w:t>Almost certain</w:t>
            </w:r>
          </w:p>
        </w:tc>
        <w:tc>
          <w:tcPr>
            <w:tcW w:w="1510" w:type="dxa"/>
            <w:shd w:val="clear" w:color="auto" w:fill="C2D69B" w:themeFill="accent3" w:themeFillTint="99"/>
          </w:tcPr>
          <w:p w14:paraId="5D4911B9" w14:textId="77777777" w:rsidR="00876812" w:rsidRDefault="00876812" w:rsidP="00A1653E">
            <w:pPr>
              <w:pStyle w:val="TableText"/>
              <w:keepNext/>
              <w:keepLines/>
            </w:pPr>
            <w:r>
              <w:t>Low risk</w:t>
            </w:r>
          </w:p>
        </w:tc>
        <w:tc>
          <w:tcPr>
            <w:tcW w:w="1510" w:type="dxa"/>
            <w:shd w:val="clear" w:color="auto" w:fill="8DB3E2" w:themeFill="text2" w:themeFillTint="66"/>
          </w:tcPr>
          <w:p w14:paraId="5739C24B" w14:textId="77777777" w:rsidR="00876812" w:rsidRDefault="00876812" w:rsidP="00A1653E">
            <w:pPr>
              <w:pStyle w:val="TableText"/>
              <w:keepNext/>
              <w:keepLines/>
            </w:pPr>
            <w:r>
              <w:t>Moderate risk</w:t>
            </w:r>
          </w:p>
        </w:tc>
        <w:tc>
          <w:tcPr>
            <w:tcW w:w="1510" w:type="dxa"/>
            <w:shd w:val="clear" w:color="auto" w:fill="D99594" w:themeFill="accent2" w:themeFillTint="99"/>
          </w:tcPr>
          <w:p w14:paraId="178E5984" w14:textId="77777777" w:rsidR="00876812" w:rsidRDefault="00876812" w:rsidP="00A1653E">
            <w:pPr>
              <w:pStyle w:val="TableText"/>
              <w:keepNext/>
              <w:keepLines/>
            </w:pPr>
            <w:r>
              <w:t>Very high risk</w:t>
            </w:r>
          </w:p>
          <w:p w14:paraId="5DDF9A26" w14:textId="4B0CD6CC" w:rsidR="0011482C" w:rsidRDefault="0011482C" w:rsidP="00A1653E">
            <w:pPr>
              <w:pStyle w:val="TableText"/>
              <w:keepNext/>
              <w:keepLines/>
            </w:pPr>
            <w:r w:rsidRPr="00ED5DEC">
              <w:rPr>
                <w:b/>
                <w:bCs/>
              </w:rPr>
              <w:t>Increased temperatures and change to precipitation patterns</w:t>
            </w:r>
          </w:p>
        </w:tc>
        <w:tc>
          <w:tcPr>
            <w:tcW w:w="1510" w:type="dxa"/>
            <w:shd w:val="clear" w:color="auto" w:fill="D99594" w:themeFill="accent2" w:themeFillTint="99"/>
          </w:tcPr>
          <w:p w14:paraId="01182992" w14:textId="67FCC141" w:rsidR="00876812" w:rsidRPr="00FA6C72" w:rsidRDefault="00876812" w:rsidP="00A1653E">
            <w:pPr>
              <w:pStyle w:val="TableText"/>
              <w:keepNext/>
              <w:keepLines/>
            </w:pPr>
            <w:r>
              <w:t>Very high risk</w:t>
            </w:r>
          </w:p>
        </w:tc>
        <w:tc>
          <w:tcPr>
            <w:tcW w:w="1510" w:type="dxa"/>
            <w:shd w:val="clear" w:color="auto" w:fill="D99594" w:themeFill="accent2" w:themeFillTint="99"/>
          </w:tcPr>
          <w:p w14:paraId="5F2B0E0D" w14:textId="151166D8" w:rsidR="00876812" w:rsidRPr="00FA6C72" w:rsidRDefault="00876812" w:rsidP="00A1653E">
            <w:pPr>
              <w:pStyle w:val="TableText"/>
              <w:keepNext/>
              <w:keepLines/>
            </w:pPr>
            <w:r>
              <w:t>Very high risk</w:t>
            </w:r>
          </w:p>
        </w:tc>
      </w:tr>
      <w:tr w:rsidR="00876812" w14:paraId="4E92E4FD" w14:textId="77777777" w:rsidTr="008B4324">
        <w:tc>
          <w:tcPr>
            <w:tcW w:w="1510" w:type="dxa"/>
          </w:tcPr>
          <w:p w14:paraId="182ED605" w14:textId="77777777" w:rsidR="00876812" w:rsidRPr="00774EAA" w:rsidRDefault="00876812" w:rsidP="00A1653E">
            <w:pPr>
              <w:pStyle w:val="TableText"/>
              <w:keepNext/>
              <w:keepLines/>
              <w:rPr>
                <w:rStyle w:val="Strong"/>
              </w:rPr>
            </w:pPr>
            <w:r w:rsidRPr="00774EAA">
              <w:rPr>
                <w:rStyle w:val="Strong"/>
              </w:rPr>
              <w:t>Likely</w:t>
            </w:r>
          </w:p>
        </w:tc>
        <w:tc>
          <w:tcPr>
            <w:tcW w:w="1510" w:type="dxa"/>
            <w:shd w:val="clear" w:color="auto" w:fill="C2D69B" w:themeFill="accent3" w:themeFillTint="99"/>
          </w:tcPr>
          <w:p w14:paraId="57D53F14" w14:textId="77777777" w:rsidR="00876812" w:rsidRDefault="00876812" w:rsidP="00A1653E">
            <w:pPr>
              <w:pStyle w:val="TableText"/>
              <w:keepNext/>
              <w:keepLines/>
            </w:pPr>
            <w:r>
              <w:t>Low risk</w:t>
            </w:r>
          </w:p>
        </w:tc>
        <w:tc>
          <w:tcPr>
            <w:tcW w:w="1510" w:type="dxa"/>
            <w:shd w:val="clear" w:color="auto" w:fill="8DB3E2" w:themeFill="text2" w:themeFillTint="66"/>
          </w:tcPr>
          <w:p w14:paraId="322DBBA5" w14:textId="44DD8FCE" w:rsidR="00876812" w:rsidRDefault="00876812" w:rsidP="00A1653E">
            <w:pPr>
              <w:pStyle w:val="TableText"/>
              <w:keepNext/>
              <w:keepLines/>
            </w:pPr>
            <w:r>
              <w:t>Moderate risk</w:t>
            </w:r>
          </w:p>
        </w:tc>
        <w:tc>
          <w:tcPr>
            <w:tcW w:w="1510" w:type="dxa"/>
            <w:shd w:val="clear" w:color="auto" w:fill="FFFF00"/>
          </w:tcPr>
          <w:p w14:paraId="1F846F60" w14:textId="77777777" w:rsidR="00876812" w:rsidRDefault="00876812" w:rsidP="00A1653E">
            <w:pPr>
              <w:pStyle w:val="TableText"/>
              <w:keepNext/>
              <w:keepLines/>
            </w:pPr>
            <w:r>
              <w:t>High risk</w:t>
            </w:r>
          </w:p>
        </w:tc>
        <w:tc>
          <w:tcPr>
            <w:tcW w:w="1510" w:type="dxa"/>
            <w:shd w:val="clear" w:color="auto" w:fill="D99594" w:themeFill="accent2" w:themeFillTint="99"/>
          </w:tcPr>
          <w:p w14:paraId="67B45872" w14:textId="77777777" w:rsidR="00876812" w:rsidRDefault="00876812" w:rsidP="00A1653E">
            <w:pPr>
              <w:pStyle w:val="TableText"/>
              <w:keepNext/>
              <w:keepLines/>
            </w:pPr>
            <w:r>
              <w:t>Very high risk</w:t>
            </w:r>
          </w:p>
          <w:p w14:paraId="36B185D3" w14:textId="345A9BE4" w:rsidR="0085460B" w:rsidRPr="0011482C" w:rsidRDefault="0085460B" w:rsidP="00A1653E">
            <w:pPr>
              <w:pStyle w:val="TableText"/>
              <w:keepNext/>
              <w:keepLines/>
              <w:rPr>
                <w:b/>
                <w:bCs/>
              </w:rPr>
            </w:pPr>
            <w:r>
              <w:rPr>
                <w:b/>
                <w:bCs/>
              </w:rPr>
              <w:t>Inappropriate fire regimes</w:t>
            </w:r>
          </w:p>
        </w:tc>
        <w:tc>
          <w:tcPr>
            <w:tcW w:w="1510" w:type="dxa"/>
            <w:shd w:val="clear" w:color="auto" w:fill="D99594" w:themeFill="accent2" w:themeFillTint="99"/>
          </w:tcPr>
          <w:p w14:paraId="5367C239" w14:textId="77777777" w:rsidR="00876812" w:rsidRDefault="00876812" w:rsidP="00A1653E">
            <w:pPr>
              <w:pStyle w:val="TableText"/>
              <w:keepNext/>
              <w:keepLines/>
            </w:pPr>
            <w:r>
              <w:t>Very high risk</w:t>
            </w:r>
          </w:p>
        </w:tc>
      </w:tr>
      <w:tr w:rsidR="00876812" w14:paraId="637458AB" w14:textId="77777777" w:rsidTr="008B4324">
        <w:tc>
          <w:tcPr>
            <w:tcW w:w="1510" w:type="dxa"/>
          </w:tcPr>
          <w:p w14:paraId="7467A768" w14:textId="77777777" w:rsidR="00876812" w:rsidRPr="00774EAA" w:rsidRDefault="00876812" w:rsidP="00A1653E">
            <w:pPr>
              <w:pStyle w:val="TableText"/>
              <w:keepNext/>
              <w:keepLines/>
              <w:rPr>
                <w:rStyle w:val="Strong"/>
              </w:rPr>
            </w:pPr>
            <w:r w:rsidRPr="00774EAA">
              <w:rPr>
                <w:rStyle w:val="Strong"/>
              </w:rPr>
              <w:t>Possible</w:t>
            </w:r>
          </w:p>
        </w:tc>
        <w:tc>
          <w:tcPr>
            <w:tcW w:w="1510" w:type="dxa"/>
            <w:shd w:val="clear" w:color="auto" w:fill="C2D69B" w:themeFill="accent3" w:themeFillTint="99"/>
          </w:tcPr>
          <w:p w14:paraId="478E3765" w14:textId="77777777" w:rsidR="00876812" w:rsidRDefault="00876812" w:rsidP="00A1653E">
            <w:pPr>
              <w:pStyle w:val="TableText"/>
              <w:keepNext/>
              <w:keepLines/>
            </w:pPr>
            <w:r>
              <w:t>Low risk</w:t>
            </w:r>
          </w:p>
        </w:tc>
        <w:tc>
          <w:tcPr>
            <w:tcW w:w="1510" w:type="dxa"/>
            <w:shd w:val="clear" w:color="auto" w:fill="8DB3E2" w:themeFill="text2" w:themeFillTint="66"/>
          </w:tcPr>
          <w:p w14:paraId="56ADCDCA" w14:textId="77777777" w:rsidR="00121C46" w:rsidRDefault="00876812" w:rsidP="00A1653E">
            <w:pPr>
              <w:pStyle w:val="TableText"/>
              <w:keepNext/>
              <w:keepLines/>
            </w:pPr>
            <w:r>
              <w:t>Moderate risk</w:t>
            </w:r>
          </w:p>
          <w:p w14:paraId="7F25B723" w14:textId="77777777" w:rsidR="0011482C" w:rsidRDefault="0011482C" w:rsidP="00A1653E">
            <w:pPr>
              <w:pStyle w:val="TableText"/>
              <w:keepNext/>
              <w:keepLines/>
              <w:rPr>
                <w:b/>
                <w:bCs/>
              </w:rPr>
            </w:pPr>
            <w:r w:rsidRPr="00F50DA3">
              <w:rPr>
                <w:b/>
                <w:bCs/>
              </w:rPr>
              <w:t>Damage associated with road maintenance</w:t>
            </w:r>
          </w:p>
          <w:p w14:paraId="4F518C99" w14:textId="6018D60E" w:rsidR="00772487" w:rsidRPr="00BA5512" w:rsidRDefault="00087E45" w:rsidP="00A1653E">
            <w:pPr>
              <w:pStyle w:val="TableText"/>
              <w:keepNext/>
              <w:keepLines/>
              <w:rPr>
                <w:b/>
                <w:bCs/>
              </w:rPr>
            </w:pPr>
            <w:r>
              <w:rPr>
                <w:b/>
                <w:bCs/>
              </w:rPr>
              <w:t>Exotic perennial g</w:t>
            </w:r>
            <w:r w:rsidR="00772487" w:rsidRPr="007F156A">
              <w:rPr>
                <w:b/>
                <w:bCs/>
              </w:rPr>
              <w:t>rass invasion</w:t>
            </w:r>
          </w:p>
        </w:tc>
        <w:tc>
          <w:tcPr>
            <w:tcW w:w="1510" w:type="dxa"/>
            <w:shd w:val="clear" w:color="auto" w:fill="FFFF00"/>
          </w:tcPr>
          <w:p w14:paraId="068BB076" w14:textId="77777777" w:rsidR="00876812" w:rsidRDefault="00876812" w:rsidP="00A1653E">
            <w:pPr>
              <w:pStyle w:val="TableText"/>
              <w:keepNext/>
              <w:keepLines/>
            </w:pPr>
            <w:r>
              <w:t>High risk</w:t>
            </w:r>
          </w:p>
          <w:p w14:paraId="0E8E91A6" w14:textId="77777777" w:rsidR="00876812" w:rsidRDefault="00876812" w:rsidP="00A1653E">
            <w:pPr>
              <w:pStyle w:val="TableText"/>
              <w:keepNext/>
              <w:keepLines/>
            </w:pPr>
            <w:r w:rsidRPr="007F156A">
              <w:rPr>
                <w:b/>
                <w:bCs/>
              </w:rPr>
              <w:t>Pine invasion</w:t>
            </w:r>
          </w:p>
        </w:tc>
        <w:tc>
          <w:tcPr>
            <w:tcW w:w="1510" w:type="dxa"/>
            <w:shd w:val="clear" w:color="auto" w:fill="D99594" w:themeFill="accent2" w:themeFillTint="99"/>
          </w:tcPr>
          <w:p w14:paraId="0E764FFF" w14:textId="77777777" w:rsidR="00876812" w:rsidRDefault="00876812" w:rsidP="00A1653E">
            <w:pPr>
              <w:pStyle w:val="TableText"/>
              <w:keepNext/>
              <w:keepLines/>
            </w:pPr>
            <w:r>
              <w:t>Very high risk</w:t>
            </w:r>
          </w:p>
          <w:p w14:paraId="6BE79013" w14:textId="77777777" w:rsidR="00876812" w:rsidRPr="002E1C81" w:rsidRDefault="00876812" w:rsidP="00A1653E">
            <w:pPr>
              <w:pStyle w:val="TableText"/>
              <w:keepNext/>
              <w:keepLines/>
              <w:spacing w:after="120"/>
              <w:rPr>
                <w:b/>
                <w:bCs/>
              </w:rPr>
            </w:pPr>
            <w:r w:rsidRPr="00220032">
              <w:rPr>
                <w:b/>
                <w:bCs/>
              </w:rPr>
              <w:t xml:space="preserve">Dieback caused by </w:t>
            </w:r>
            <w:r w:rsidRPr="00220032">
              <w:rPr>
                <w:b/>
                <w:bCs/>
                <w:i/>
                <w:iCs/>
              </w:rPr>
              <w:t>P. cinnamomi</w:t>
            </w:r>
          </w:p>
        </w:tc>
        <w:tc>
          <w:tcPr>
            <w:tcW w:w="1510" w:type="dxa"/>
            <w:shd w:val="clear" w:color="auto" w:fill="D99594" w:themeFill="accent2" w:themeFillTint="99"/>
          </w:tcPr>
          <w:p w14:paraId="2D8F09B6" w14:textId="77777777" w:rsidR="00876812" w:rsidRDefault="00876812" w:rsidP="00A1653E">
            <w:pPr>
              <w:pStyle w:val="TableText"/>
              <w:keepNext/>
              <w:keepLines/>
            </w:pPr>
            <w:r>
              <w:t>Very high risk</w:t>
            </w:r>
          </w:p>
        </w:tc>
      </w:tr>
      <w:tr w:rsidR="00876812" w14:paraId="3C7DE503" w14:textId="77777777" w:rsidTr="008B4324">
        <w:tc>
          <w:tcPr>
            <w:tcW w:w="1510" w:type="dxa"/>
          </w:tcPr>
          <w:p w14:paraId="017A71E4" w14:textId="77777777" w:rsidR="00876812" w:rsidRPr="00774EAA" w:rsidRDefault="00876812" w:rsidP="00A1653E">
            <w:pPr>
              <w:pStyle w:val="TableText"/>
              <w:keepNext/>
              <w:keepLines/>
              <w:rPr>
                <w:rStyle w:val="Strong"/>
              </w:rPr>
            </w:pPr>
            <w:r w:rsidRPr="00774EAA">
              <w:rPr>
                <w:rStyle w:val="Strong"/>
              </w:rPr>
              <w:t>Unlikely</w:t>
            </w:r>
          </w:p>
        </w:tc>
        <w:tc>
          <w:tcPr>
            <w:tcW w:w="1510" w:type="dxa"/>
            <w:shd w:val="clear" w:color="auto" w:fill="C2D69B" w:themeFill="accent3" w:themeFillTint="99"/>
          </w:tcPr>
          <w:p w14:paraId="516FDC2B" w14:textId="77777777" w:rsidR="00876812" w:rsidRDefault="00876812" w:rsidP="00A1653E">
            <w:pPr>
              <w:pStyle w:val="TableText"/>
              <w:keepNext/>
              <w:keepLines/>
            </w:pPr>
            <w:r>
              <w:t>Low risk</w:t>
            </w:r>
          </w:p>
        </w:tc>
        <w:tc>
          <w:tcPr>
            <w:tcW w:w="1510" w:type="dxa"/>
            <w:shd w:val="clear" w:color="auto" w:fill="C2D69B" w:themeFill="accent3" w:themeFillTint="99"/>
          </w:tcPr>
          <w:p w14:paraId="4EE0D656" w14:textId="77777777" w:rsidR="00876812" w:rsidRDefault="00876812" w:rsidP="00A1653E">
            <w:pPr>
              <w:pStyle w:val="TableText"/>
              <w:keepNext/>
              <w:keepLines/>
            </w:pPr>
            <w:r>
              <w:t>Low risk</w:t>
            </w:r>
          </w:p>
          <w:p w14:paraId="4B5E3B22" w14:textId="228B9396" w:rsidR="00121C46" w:rsidRDefault="00121C46" w:rsidP="00A1653E">
            <w:pPr>
              <w:pStyle w:val="TableText"/>
              <w:keepNext/>
              <w:keepLines/>
            </w:pPr>
            <w:r>
              <w:rPr>
                <w:b/>
                <w:bCs/>
              </w:rPr>
              <w:t>Damage associated with t</w:t>
            </w:r>
            <w:r w:rsidRPr="00F50DA3">
              <w:rPr>
                <w:b/>
                <w:bCs/>
              </w:rPr>
              <w:t>imber harvesting</w:t>
            </w:r>
          </w:p>
        </w:tc>
        <w:tc>
          <w:tcPr>
            <w:tcW w:w="1510" w:type="dxa"/>
            <w:shd w:val="clear" w:color="auto" w:fill="8DB3E2" w:themeFill="text2" w:themeFillTint="66"/>
          </w:tcPr>
          <w:p w14:paraId="72EA5C89" w14:textId="77777777" w:rsidR="00876812" w:rsidRDefault="00876812" w:rsidP="00A1653E">
            <w:pPr>
              <w:pStyle w:val="TableText"/>
              <w:keepNext/>
              <w:keepLines/>
            </w:pPr>
            <w:r>
              <w:t>Moderate risk</w:t>
            </w:r>
          </w:p>
          <w:p w14:paraId="790F60AA" w14:textId="23ECE417" w:rsidR="004773D8" w:rsidRDefault="004773D8" w:rsidP="00A1653E">
            <w:pPr>
              <w:pStyle w:val="TableText"/>
              <w:keepNext/>
              <w:keepLines/>
            </w:pPr>
            <w:r w:rsidRPr="00CC5B66">
              <w:rPr>
                <w:b/>
                <w:bCs/>
              </w:rPr>
              <w:t>Land clearing</w:t>
            </w:r>
          </w:p>
        </w:tc>
        <w:tc>
          <w:tcPr>
            <w:tcW w:w="1510" w:type="dxa"/>
            <w:shd w:val="clear" w:color="auto" w:fill="FFFF00"/>
          </w:tcPr>
          <w:p w14:paraId="324B2430" w14:textId="0D087938" w:rsidR="00876812" w:rsidRDefault="00876812" w:rsidP="00A1653E">
            <w:pPr>
              <w:pStyle w:val="TableText"/>
              <w:keepNext/>
              <w:keepLines/>
            </w:pPr>
            <w:r>
              <w:t>High risk</w:t>
            </w:r>
          </w:p>
        </w:tc>
        <w:tc>
          <w:tcPr>
            <w:tcW w:w="1510" w:type="dxa"/>
            <w:shd w:val="clear" w:color="auto" w:fill="D99594" w:themeFill="accent2" w:themeFillTint="99"/>
          </w:tcPr>
          <w:p w14:paraId="07B81803" w14:textId="77777777" w:rsidR="00876812" w:rsidRDefault="00876812" w:rsidP="00A1653E">
            <w:pPr>
              <w:pStyle w:val="TableText"/>
              <w:keepNext/>
              <w:keepLines/>
            </w:pPr>
            <w:r>
              <w:t>Very high risk</w:t>
            </w:r>
          </w:p>
        </w:tc>
      </w:tr>
      <w:tr w:rsidR="00876812" w14:paraId="60B645B0" w14:textId="77777777" w:rsidTr="008B4324">
        <w:tc>
          <w:tcPr>
            <w:tcW w:w="1510" w:type="dxa"/>
          </w:tcPr>
          <w:p w14:paraId="44C7673A" w14:textId="77777777" w:rsidR="00876812" w:rsidRPr="00774EAA" w:rsidRDefault="00876812" w:rsidP="008B4324">
            <w:pPr>
              <w:pStyle w:val="TableText"/>
              <w:rPr>
                <w:rStyle w:val="Strong"/>
              </w:rPr>
            </w:pPr>
            <w:r w:rsidRPr="00774EAA">
              <w:rPr>
                <w:rStyle w:val="Strong"/>
              </w:rPr>
              <w:t>Unknown</w:t>
            </w:r>
          </w:p>
        </w:tc>
        <w:tc>
          <w:tcPr>
            <w:tcW w:w="1510" w:type="dxa"/>
            <w:shd w:val="clear" w:color="auto" w:fill="C2D69B" w:themeFill="accent3" w:themeFillTint="99"/>
          </w:tcPr>
          <w:p w14:paraId="30CFEC52" w14:textId="77777777" w:rsidR="00876812" w:rsidRDefault="00876812" w:rsidP="008B4324">
            <w:pPr>
              <w:pStyle w:val="TableText"/>
            </w:pPr>
            <w:r>
              <w:t>Low risk</w:t>
            </w:r>
          </w:p>
        </w:tc>
        <w:tc>
          <w:tcPr>
            <w:tcW w:w="1510" w:type="dxa"/>
            <w:shd w:val="clear" w:color="auto" w:fill="C2D69B" w:themeFill="accent3" w:themeFillTint="99"/>
          </w:tcPr>
          <w:p w14:paraId="33A9CDDF" w14:textId="77777777" w:rsidR="00876812" w:rsidRDefault="00876812" w:rsidP="008B4324">
            <w:pPr>
              <w:pStyle w:val="TableText"/>
            </w:pPr>
            <w:r>
              <w:t>Low risk</w:t>
            </w:r>
          </w:p>
        </w:tc>
        <w:tc>
          <w:tcPr>
            <w:tcW w:w="1510" w:type="dxa"/>
            <w:shd w:val="clear" w:color="auto" w:fill="8DB3E2" w:themeFill="text2" w:themeFillTint="66"/>
          </w:tcPr>
          <w:p w14:paraId="144BB3D0" w14:textId="77777777" w:rsidR="00876812" w:rsidRDefault="00876812" w:rsidP="008B4324">
            <w:pPr>
              <w:pStyle w:val="TableText"/>
            </w:pPr>
            <w:r>
              <w:t>Moderate risk</w:t>
            </w:r>
          </w:p>
        </w:tc>
        <w:tc>
          <w:tcPr>
            <w:tcW w:w="1510" w:type="dxa"/>
            <w:shd w:val="clear" w:color="auto" w:fill="FFFF00"/>
          </w:tcPr>
          <w:p w14:paraId="373DF733" w14:textId="77777777" w:rsidR="00876812" w:rsidRDefault="00876812" w:rsidP="008B4324">
            <w:pPr>
              <w:pStyle w:val="TableText"/>
            </w:pPr>
            <w:r>
              <w:t>High risk</w:t>
            </w:r>
          </w:p>
        </w:tc>
        <w:tc>
          <w:tcPr>
            <w:tcW w:w="1510" w:type="dxa"/>
            <w:shd w:val="clear" w:color="auto" w:fill="D99594" w:themeFill="accent2" w:themeFillTint="99"/>
          </w:tcPr>
          <w:p w14:paraId="5F4121B0" w14:textId="77777777" w:rsidR="00876812" w:rsidRDefault="00876812" w:rsidP="008B4324">
            <w:pPr>
              <w:pStyle w:val="TableText"/>
            </w:pPr>
            <w:r>
              <w:t>Very high risk</w:t>
            </w:r>
          </w:p>
        </w:tc>
      </w:tr>
    </w:tbl>
    <w:p w14:paraId="47C746E1" w14:textId="604F460B" w:rsidR="00A1653E" w:rsidRPr="00C33405" w:rsidRDefault="00A1653E" w:rsidP="00A1653E">
      <w:pPr>
        <w:pStyle w:val="FigureTableNoteSource"/>
        <w:rPr>
          <w:b/>
          <w:bCs/>
        </w:rPr>
      </w:pPr>
      <w:r w:rsidRPr="00C33405">
        <w:rPr>
          <w:b/>
          <w:bCs/>
        </w:rPr>
        <w:t>Categories for likelihood are defined as follows:</w:t>
      </w:r>
    </w:p>
    <w:p w14:paraId="42F708CB" w14:textId="77777777" w:rsidR="00A1653E" w:rsidRDefault="00A1653E" w:rsidP="00A1653E">
      <w:pPr>
        <w:pStyle w:val="FigureTableNoteSource"/>
      </w:pPr>
      <w:r>
        <w:t>Almost certain – expected to occur every year</w:t>
      </w:r>
    </w:p>
    <w:p w14:paraId="1A193288" w14:textId="77777777" w:rsidR="00A1653E" w:rsidRDefault="00A1653E" w:rsidP="00A1653E">
      <w:pPr>
        <w:pStyle w:val="FigureTableNoteSource"/>
      </w:pPr>
      <w:r>
        <w:t>Likely – expected to occur at least once every five years</w:t>
      </w:r>
    </w:p>
    <w:p w14:paraId="53B45CA1" w14:textId="77777777" w:rsidR="00A1653E" w:rsidRDefault="00A1653E" w:rsidP="00A1653E">
      <w:pPr>
        <w:pStyle w:val="FigureTableNoteSource"/>
      </w:pPr>
      <w:r>
        <w:t>Possible – might occur at some time</w:t>
      </w:r>
    </w:p>
    <w:p w14:paraId="4952626E" w14:textId="77777777" w:rsidR="00A1653E" w:rsidRDefault="00A1653E" w:rsidP="00A1653E">
      <w:pPr>
        <w:pStyle w:val="FigureTableNoteSource"/>
      </w:pPr>
      <w:r>
        <w:t>Unlikely – such events are known to have occurred on a worldwide bases but only a few ties</w:t>
      </w:r>
    </w:p>
    <w:p w14:paraId="7896FCE9" w14:textId="77777777" w:rsidR="00A1653E" w:rsidRDefault="00A1653E" w:rsidP="00A1653E">
      <w:pPr>
        <w:pStyle w:val="FigureTableNoteSource"/>
        <w:contextualSpacing w:val="0"/>
      </w:pPr>
      <w:r>
        <w:t>Unknown – currently unknown how often the incident will occur</w:t>
      </w:r>
    </w:p>
    <w:p w14:paraId="53716683" w14:textId="77777777" w:rsidR="00A1653E" w:rsidRPr="00C33405" w:rsidRDefault="00A1653E" w:rsidP="00A1653E">
      <w:pPr>
        <w:pStyle w:val="FigureTableNoteSource"/>
        <w:rPr>
          <w:b/>
          <w:bCs/>
        </w:rPr>
      </w:pPr>
      <w:r w:rsidRPr="00C33405">
        <w:rPr>
          <w:b/>
          <w:bCs/>
        </w:rPr>
        <w:t xml:space="preserve">Categories for consequences are defined as follows: </w:t>
      </w:r>
    </w:p>
    <w:p w14:paraId="407690C6" w14:textId="77777777" w:rsidR="00A1653E" w:rsidRDefault="00A1653E" w:rsidP="00A1653E">
      <w:pPr>
        <w:pStyle w:val="FigureTableNoteSource"/>
      </w:pPr>
      <w:r>
        <w:t>Not significant – no long-term effect on individuals or populations</w:t>
      </w:r>
    </w:p>
    <w:p w14:paraId="1F9CC5F6" w14:textId="77777777" w:rsidR="00A1653E" w:rsidRDefault="00A1653E" w:rsidP="00A1653E">
      <w:pPr>
        <w:pStyle w:val="FigureTableNoteSource"/>
      </w:pPr>
      <w:r>
        <w:t>Minor – individuals are adversely affected but no effect at population level</w:t>
      </w:r>
    </w:p>
    <w:p w14:paraId="5C633386" w14:textId="77777777" w:rsidR="00A1653E" w:rsidRDefault="00A1653E" w:rsidP="00A1653E">
      <w:pPr>
        <w:pStyle w:val="FigureTableNoteSource"/>
      </w:pPr>
      <w:r>
        <w:t>Moderate – population recovery stalls or reduces</w:t>
      </w:r>
    </w:p>
    <w:p w14:paraId="64BC8E9E" w14:textId="77777777" w:rsidR="00A1653E" w:rsidRDefault="00A1653E" w:rsidP="00A1653E">
      <w:pPr>
        <w:pStyle w:val="FigureTableNoteSource"/>
      </w:pPr>
      <w:r>
        <w:t>Major – population decreases</w:t>
      </w:r>
    </w:p>
    <w:p w14:paraId="30B835AA" w14:textId="3238B60A" w:rsidR="00A1653E" w:rsidRDefault="00A1653E" w:rsidP="00A1653E">
      <w:pPr>
        <w:pStyle w:val="FigureTableNoteSource"/>
      </w:pPr>
      <w:r>
        <w:t>Catastrophic – population extinction</w:t>
      </w:r>
      <w:r w:rsidR="00622858">
        <w:t>/extirpation</w:t>
      </w:r>
    </w:p>
    <w:p w14:paraId="0783B4C4" w14:textId="77777777" w:rsidR="002B6A3F" w:rsidRDefault="002B6A3F" w:rsidP="009A0C7F">
      <w:pPr>
        <w:spacing w:before="240"/>
      </w:pPr>
      <w:r w:rsidRPr="00876812">
        <w:t>Priority actions have then been developed to manage the threat particularly where the risk was deemed to be ‘very high’</w:t>
      </w:r>
      <w:r w:rsidR="00E93125" w:rsidRPr="00876812">
        <w:t xml:space="preserve"> (red shading)</w:t>
      </w:r>
      <w:r w:rsidRPr="00876812">
        <w:t xml:space="preserve"> or ‘high’</w:t>
      </w:r>
      <w:r w:rsidR="00E93125" w:rsidRPr="00876812">
        <w:t xml:space="preserve"> (yellow shading)</w:t>
      </w:r>
      <w:r w:rsidRPr="00876812">
        <w:t xml:space="preserve">. For those threats with an unknown or low risk outcome </w:t>
      </w:r>
      <w:r w:rsidR="000F6D5A" w:rsidRPr="00876812">
        <w:t xml:space="preserve">(green and blue shading) </w:t>
      </w:r>
      <w:r w:rsidRPr="00876812">
        <w:t>it may be more appropriate to identify further research or maintain a watching brief.</w:t>
      </w:r>
    </w:p>
    <w:p w14:paraId="62BA8584" w14:textId="77777777" w:rsidR="002B6A3F" w:rsidRDefault="002B6A3F" w:rsidP="007A13DB">
      <w:pPr>
        <w:pStyle w:val="Heading2"/>
        <w:ind w:left="720" w:hanging="720"/>
      </w:pPr>
      <w:r>
        <w:lastRenderedPageBreak/>
        <w:t xml:space="preserve">Conservation and recovery </w:t>
      </w:r>
      <w:r w:rsidRPr="002B6A3F">
        <w:t>actions</w:t>
      </w:r>
    </w:p>
    <w:p w14:paraId="28A0F4C8" w14:textId="5885DECE" w:rsidR="002B6A3F" w:rsidRDefault="002B6A3F" w:rsidP="007A13DB">
      <w:pPr>
        <w:pStyle w:val="Heading3"/>
        <w:ind w:left="964" w:hanging="964"/>
      </w:pPr>
      <w:r>
        <w:t xml:space="preserve">Primary conservation </w:t>
      </w:r>
      <w:r w:rsidR="003A6771">
        <w:t>objective</w:t>
      </w:r>
    </w:p>
    <w:p w14:paraId="22C16B6A" w14:textId="1529E60E" w:rsidR="00876812" w:rsidRPr="00876812" w:rsidRDefault="006F4C61" w:rsidP="007A13DB">
      <w:pPr>
        <w:keepNext/>
      </w:pPr>
      <w:r>
        <w:t>Within the next three generations, the</w:t>
      </w:r>
      <w:r w:rsidR="00170BEE">
        <w:t xml:space="preserve"> population </w:t>
      </w:r>
      <w:r w:rsidR="00746B6E">
        <w:t xml:space="preserve">of the Banyabba </w:t>
      </w:r>
      <w:r w:rsidR="004F7964">
        <w:t>g</w:t>
      </w:r>
      <w:r w:rsidR="00746B6E">
        <w:t>revillea</w:t>
      </w:r>
      <w:r w:rsidR="00443EDF">
        <w:t xml:space="preserve"> </w:t>
      </w:r>
      <w:r w:rsidR="001F07CC">
        <w:t xml:space="preserve">will have increased in abundance </w:t>
      </w:r>
      <w:r w:rsidR="00512A71">
        <w:t xml:space="preserve">and </w:t>
      </w:r>
      <w:r w:rsidR="00EB391D">
        <w:t xml:space="preserve">EOO/AOO </w:t>
      </w:r>
      <w:r w:rsidR="00D64A32">
        <w:t>wil</w:t>
      </w:r>
      <w:r w:rsidR="00E030D7">
        <w:t xml:space="preserve">l have increased or remained </w:t>
      </w:r>
      <w:r w:rsidR="00D96DD3">
        <w:t>stable.</w:t>
      </w:r>
    </w:p>
    <w:p w14:paraId="38E95046" w14:textId="77777777" w:rsidR="002B6A3F" w:rsidRDefault="002B6A3F" w:rsidP="007A13DB">
      <w:pPr>
        <w:pStyle w:val="Heading3"/>
        <w:ind w:left="964" w:hanging="964"/>
      </w:pPr>
      <w:r>
        <w:t>Conservation and management priorities</w:t>
      </w:r>
    </w:p>
    <w:p w14:paraId="10C70610" w14:textId="77777777" w:rsidR="00183B66" w:rsidRDefault="00183B66" w:rsidP="007A13DB">
      <w:pPr>
        <w:pStyle w:val="Heading4"/>
        <w:ind w:left="964" w:hanging="964"/>
      </w:pPr>
      <w:r>
        <w:t>Fire</w:t>
      </w:r>
    </w:p>
    <w:p w14:paraId="064341E9" w14:textId="23589AA6" w:rsidR="00FD042E" w:rsidRPr="00014F11" w:rsidRDefault="00FD042E" w:rsidP="00FD042E">
      <w:pPr>
        <w:pStyle w:val="ListBullet"/>
      </w:pPr>
      <w:r>
        <w:t xml:space="preserve">Ensure that planned burns do not occur within Banyabba </w:t>
      </w:r>
      <w:r w:rsidR="004F7964">
        <w:t>g</w:t>
      </w:r>
      <w:r>
        <w:t xml:space="preserve">revillea </w:t>
      </w:r>
      <w:r w:rsidR="00C3666F">
        <w:t>sub</w:t>
      </w:r>
      <w:r>
        <w:t xml:space="preserve">populations before an accumulation of a seedbank large enough to replace the number of fire-killed standing plants. Noting that replacement should incorporate expected post-fire rates of seedling survival </w:t>
      </w:r>
      <w:r w:rsidR="00614B1A">
        <w:rPr>
          <w:noProof/>
        </w:rPr>
        <w:t>(see Regan et al. 2003)</w:t>
      </w:r>
      <w:r w:rsidR="00614B1A">
        <w:t>.</w:t>
      </w:r>
    </w:p>
    <w:p w14:paraId="3E404F4E" w14:textId="2EF6541C" w:rsidR="00183B66" w:rsidRDefault="00183B66" w:rsidP="007A13DB">
      <w:pPr>
        <w:pStyle w:val="ListBullet"/>
        <w:keepNext/>
        <w:keepLines/>
      </w:pPr>
      <w:r>
        <w:t>Develop and implement a</w:t>
      </w:r>
      <w:r w:rsidR="00FD042E">
        <w:t>n evidence-based</w:t>
      </w:r>
      <w:r>
        <w:t xml:space="preserve"> fire management strategy that optimises the survival of the species during planned burns and bushfires. Avoid planned burns and control the impacts of herbivory in recently burnt habitat.</w:t>
      </w:r>
    </w:p>
    <w:p w14:paraId="442F45B8" w14:textId="2C44A460" w:rsidR="00183B66" w:rsidRDefault="00183B66" w:rsidP="007A13DB">
      <w:pPr>
        <w:pStyle w:val="ListBullet"/>
        <w:keepNext/>
        <w:keepLines/>
      </w:pPr>
      <w:r w:rsidRPr="00014F11">
        <w:t>Provide maps of known occurrences to local and state Rural Fire Services and seek inclusion of mitigation measures in fire risk management plan/s, risk register and/or operation maps</w:t>
      </w:r>
      <w:r w:rsidR="00087E45">
        <w:t>, including measures to avoid damage to plants and their habitat during fire suppression and mop-up operations</w:t>
      </w:r>
      <w:r w:rsidRPr="00014F11">
        <w:t>.</w:t>
      </w:r>
    </w:p>
    <w:p w14:paraId="64926A46" w14:textId="77777777" w:rsidR="00183B66" w:rsidRDefault="00183B66" w:rsidP="00183B66">
      <w:pPr>
        <w:pStyle w:val="Heading4"/>
        <w:ind w:left="964" w:hanging="964"/>
      </w:pPr>
      <w:r>
        <w:t>Climate change</w:t>
      </w:r>
    </w:p>
    <w:p w14:paraId="3461E010" w14:textId="409F7937" w:rsidR="00087E45" w:rsidRPr="00EE55C7" w:rsidRDefault="00087E45" w:rsidP="00087E45">
      <w:pPr>
        <w:pStyle w:val="ListBullet"/>
        <w:keepLines/>
      </w:pPr>
      <w:r>
        <w:t>Map the exposure of the species to climate change using distribution modelling and climate change projections, to locate existing habitat patches and identify future habitat that would be suitable for the species.</w:t>
      </w:r>
    </w:p>
    <w:p w14:paraId="29DDA772" w14:textId="77777777" w:rsidR="00087E45" w:rsidRDefault="00087E45" w:rsidP="00087E45">
      <w:pPr>
        <w:pStyle w:val="ListBullet"/>
      </w:pPr>
      <w:r w:rsidRPr="063C85A6">
        <w:rPr>
          <w:rFonts w:eastAsia="Calibri"/>
        </w:rPr>
        <w:t xml:space="preserve">Undertake vulnerability assessments of the species sensitivity and adaptive capacity to changing climate conditions which draw from genetic, </w:t>
      </w:r>
      <w:proofErr w:type="gramStart"/>
      <w:r w:rsidRPr="063C85A6">
        <w:rPr>
          <w:rFonts w:eastAsia="Calibri"/>
        </w:rPr>
        <w:t>physiological</w:t>
      </w:r>
      <w:proofErr w:type="gramEnd"/>
      <w:r w:rsidRPr="063C85A6">
        <w:rPr>
          <w:rFonts w:eastAsia="Calibri"/>
        </w:rPr>
        <w:t xml:space="preserve"> or ecological evidence. </w:t>
      </w:r>
    </w:p>
    <w:p w14:paraId="19D3FDA7" w14:textId="77777777" w:rsidR="00F11DB3" w:rsidRPr="00EE55C7" w:rsidRDefault="00F11DB3" w:rsidP="00F11DB3">
      <w:pPr>
        <w:pStyle w:val="Heading4"/>
        <w:keepLines/>
        <w:ind w:left="964" w:hanging="964"/>
      </w:pPr>
      <w:r w:rsidRPr="00EE55C7">
        <w:t>Habitat loss</w:t>
      </w:r>
      <w:r>
        <w:t>,</w:t>
      </w:r>
      <w:r w:rsidRPr="00EE55C7">
        <w:t xml:space="preserve"> </w:t>
      </w:r>
      <w:proofErr w:type="gramStart"/>
      <w:r w:rsidRPr="00EE55C7">
        <w:t>disturbance</w:t>
      </w:r>
      <w:proofErr w:type="gramEnd"/>
      <w:r w:rsidRPr="00EE55C7">
        <w:t xml:space="preserve"> and modifications</w:t>
      </w:r>
    </w:p>
    <w:p w14:paraId="74B6A743" w14:textId="77777777" w:rsidR="00F11DB3" w:rsidRPr="00233A1C" w:rsidRDefault="00F11DB3" w:rsidP="00F11DB3">
      <w:pPr>
        <w:pStyle w:val="ListBullet"/>
        <w:keepNext/>
        <w:keepLines/>
      </w:pPr>
      <w:r w:rsidRPr="00233A1C">
        <w:t>Avoid or minimise further loss and fragmentation of habitat.</w:t>
      </w:r>
    </w:p>
    <w:p w14:paraId="1E3BAD01" w14:textId="497B0C9A" w:rsidR="00F11DB3" w:rsidRPr="00233A1C" w:rsidRDefault="00F11DB3" w:rsidP="00F11DB3">
      <w:pPr>
        <w:pStyle w:val="ListBullet"/>
        <w:keepNext/>
        <w:keepLines/>
      </w:pPr>
      <w:r w:rsidRPr="00233A1C">
        <w:t xml:space="preserve">Ensure local governments, relevant state agencies and utility service providers have access to adequate distribution information and use best practice methods for roadside and utility corridor maintenance and land management activities to protect the Banyabba </w:t>
      </w:r>
      <w:r w:rsidR="004F7964">
        <w:t>g</w:t>
      </w:r>
      <w:r w:rsidRPr="00233A1C">
        <w:t>revillea and its habitat.</w:t>
      </w:r>
    </w:p>
    <w:p w14:paraId="7268B5FC" w14:textId="77777777" w:rsidR="00F11DB3" w:rsidRPr="00233A1C" w:rsidRDefault="00F11DB3" w:rsidP="00F11DB3">
      <w:pPr>
        <w:pStyle w:val="ListBullet"/>
      </w:pPr>
      <w:r w:rsidRPr="00233A1C">
        <w:t>Maintain protection zones around known sites and assess the effectiveness of current forestry management practices in ameliorating disturbance where the species occurs. Revise management practices if necessary.</w:t>
      </w:r>
    </w:p>
    <w:p w14:paraId="361A6E59" w14:textId="77777777" w:rsidR="00F11DB3" w:rsidRPr="00233A1C" w:rsidRDefault="00F11DB3" w:rsidP="00F11DB3">
      <w:pPr>
        <w:pStyle w:val="Heading4"/>
        <w:ind w:left="964" w:hanging="964"/>
      </w:pPr>
      <w:r w:rsidRPr="00233A1C">
        <w:t>Invasive species (including threats from grazing, trampling, predation)</w:t>
      </w:r>
    </w:p>
    <w:p w14:paraId="2F081217" w14:textId="523B17F0" w:rsidR="00F11DB3" w:rsidRPr="00233A1C" w:rsidRDefault="00835A4E" w:rsidP="00F138C9">
      <w:pPr>
        <w:pStyle w:val="ListBullet"/>
        <w:numPr>
          <w:ilvl w:val="0"/>
          <w:numId w:val="10"/>
        </w:numPr>
      </w:pPr>
      <w:r w:rsidRPr="00014F11">
        <w:t xml:space="preserve">Implement weed management actions in consultation with land managers and community groups, using </w:t>
      </w:r>
      <w:r>
        <w:t>appropriate techniques to</w:t>
      </w:r>
      <w:r w:rsidRPr="00014F11">
        <w:t xml:space="preserve"> minimise the effect of herbicide on native vegetation</w:t>
      </w:r>
      <w:r w:rsidR="00F11DB3" w:rsidRPr="00233A1C">
        <w:t xml:space="preserve">, according to the Australian </w:t>
      </w:r>
      <w:r w:rsidR="0052609F">
        <w:t>W</w:t>
      </w:r>
      <w:r w:rsidR="00F11DB3" w:rsidRPr="00233A1C">
        <w:t xml:space="preserve">eeds </w:t>
      </w:r>
      <w:r w:rsidR="0052609F">
        <w:t>S</w:t>
      </w:r>
      <w:r w:rsidR="00F11DB3" w:rsidRPr="00233A1C">
        <w:t xml:space="preserve">trategy 2017-2027 </w:t>
      </w:r>
      <w:r w:rsidR="00F11DB3" w:rsidRPr="00233A1C">
        <w:rPr>
          <w:noProof/>
        </w:rPr>
        <w:t>(IPAC 2016)</w:t>
      </w:r>
      <w:r w:rsidR="00F11DB3" w:rsidRPr="00233A1C">
        <w:t>.</w:t>
      </w:r>
    </w:p>
    <w:p w14:paraId="63AADA50" w14:textId="77777777" w:rsidR="00F11DB3" w:rsidRPr="00233A1C" w:rsidRDefault="00F11DB3" w:rsidP="00614B1A">
      <w:pPr>
        <w:pStyle w:val="Heading4"/>
        <w:keepLines/>
        <w:ind w:left="964" w:hanging="964"/>
      </w:pPr>
      <w:r w:rsidRPr="00233A1C">
        <w:lastRenderedPageBreak/>
        <w:t>Disease</w:t>
      </w:r>
    </w:p>
    <w:p w14:paraId="2C8626B9" w14:textId="109F5E51" w:rsidR="00F11DB3" w:rsidRPr="00233A1C" w:rsidRDefault="00FD042E" w:rsidP="00614B1A">
      <w:pPr>
        <w:pStyle w:val="ListBullet"/>
        <w:keepNext/>
        <w:keepLines/>
      </w:pPr>
      <w:r>
        <w:t>Determine</w:t>
      </w:r>
      <w:r w:rsidR="00F11DB3" w:rsidRPr="00233A1C">
        <w:t xml:space="preserve"> susceptibility of the Banyabba </w:t>
      </w:r>
      <w:r w:rsidR="004F7964">
        <w:t>g</w:t>
      </w:r>
      <w:r w:rsidR="00F11DB3" w:rsidRPr="00233A1C">
        <w:t xml:space="preserve">revillea to </w:t>
      </w:r>
      <w:r w:rsidR="00F11DB3" w:rsidRPr="00233A1C">
        <w:rPr>
          <w:i/>
          <w:iCs/>
        </w:rPr>
        <w:t>P. cinnamomi.</w:t>
      </w:r>
    </w:p>
    <w:p w14:paraId="3188641F" w14:textId="036E35B5" w:rsidR="00F11DB3" w:rsidRPr="00442BC0" w:rsidRDefault="00F11DB3" w:rsidP="00614B1A">
      <w:pPr>
        <w:pStyle w:val="ListBullet"/>
        <w:keepNext/>
        <w:keepLines/>
        <w:rPr>
          <w:rFonts w:eastAsia="Cambria" w:cs="Cambria"/>
        </w:rPr>
      </w:pPr>
      <w:r w:rsidRPr="00233A1C">
        <w:t xml:space="preserve">Implement a </w:t>
      </w:r>
      <w:r w:rsidRPr="00233A1C">
        <w:rPr>
          <w:i/>
        </w:rPr>
        <w:t>P. cinnamomi</w:t>
      </w:r>
      <w:r w:rsidRPr="00233A1C">
        <w:t xml:space="preserve"> management plan to ensure it is not introduced into known locations of the Banyabba </w:t>
      </w:r>
      <w:r w:rsidR="004F7964">
        <w:t>g</w:t>
      </w:r>
      <w:r w:rsidRPr="00233A1C">
        <w:t xml:space="preserve">revillea and the spread in areas outside of, but adjacent to Banyabba </w:t>
      </w:r>
      <w:r w:rsidR="004F7964">
        <w:t>g</w:t>
      </w:r>
      <w:r w:rsidRPr="00233A1C">
        <w:t xml:space="preserve">revillea </w:t>
      </w:r>
      <w:r w:rsidR="00C3666F">
        <w:t>sub</w:t>
      </w:r>
      <w:r w:rsidRPr="00233A1C">
        <w:t xml:space="preserve">populations is mitigated </w:t>
      </w:r>
      <w:r w:rsidRPr="00233A1C">
        <w:rPr>
          <w:noProof/>
        </w:rPr>
        <w:t>(DOEE 2018)</w:t>
      </w:r>
      <w:r w:rsidRPr="00233A1C">
        <w:t xml:space="preserve">. </w:t>
      </w:r>
      <w:r w:rsidR="00442BC0" w:rsidRPr="13227C9B">
        <w:rPr>
          <w:rFonts w:eastAsia="Cambria" w:cs="Cambria"/>
          <w:color w:val="000000" w:themeColor="text1"/>
        </w:rPr>
        <w:t>Where feasible, close and revegetate roads and tracks to reduce ingress of disease.</w:t>
      </w:r>
    </w:p>
    <w:p w14:paraId="5875B5BA" w14:textId="7DE951AF" w:rsidR="00F11DB3" w:rsidRPr="00233A1C" w:rsidRDefault="00F11DB3" w:rsidP="00F11DB3">
      <w:pPr>
        <w:pStyle w:val="ListBullet"/>
        <w:keepLines/>
      </w:pPr>
      <w:r w:rsidRPr="00233A1C">
        <w:t xml:space="preserve">Ensure that appropriate hygiene protocols are adhered to when entering or exiting the known locations of the Banyabba </w:t>
      </w:r>
      <w:r w:rsidR="004F7964">
        <w:t>g</w:t>
      </w:r>
      <w:r w:rsidRPr="00233A1C">
        <w:t xml:space="preserve">revillea, such as those outlined in </w:t>
      </w:r>
      <w:r w:rsidRPr="00233A1C">
        <w:rPr>
          <w:noProof/>
        </w:rPr>
        <w:t>Podger et al. (2001)</w:t>
      </w:r>
      <w:r w:rsidRPr="00233A1C">
        <w:t>.</w:t>
      </w:r>
    </w:p>
    <w:p w14:paraId="36C990D0" w14:textId="681A3C31" w:rsidR="00F11DB3" w:rsidRPr="00233A1C" w:rsidRDefault="001F7B47" w:rsidP="00F11DB3">
      <w:pPr>
        <w:pStyle w:val="Heading4"/>
        <w:ind w:left="964" w:hanging="964"/>
      </w:pPr>
      <w:r>
        <w:t>E</w:t>
      </w:r>
      <w:r w:rsidR="00F11DB3" w:rsidRPr="00233A1C">
        <w:t>x situ recovery action</w:t>
      </w:r>
      <w:r>
        <w:t>s</w:t>
      </w:r>
    </w:p>
    <w:p w14:paraId="6DC55925" w14:textId="1A3FB58E" w:rsidR="00F11DB3" w:rsidRPr="00233A1C" w:rsidRDefault="00F11DB3" w:rsidP="00F11DB3">
      <w:pPr>
        <w:pStyle w:val="ListBullet"/>
      </w:pPr>
      <w:r w:rsidRPr="00233A1C">
        <w:t>To manage the risk of losing genetic diversity, undertake appropriate seed collection and storage, and determine the viability of stored seeds</w:t>
      </w:r>
      <w:r w:rsidR="009031B9">
        <w:t xml:space="preserve">, according to </w:t>
      </w:r>
      <w:r w:rsidR="00CC5002">
        <w:rPr>
          <w:noProof/>
        </w:rPr>
        <w:t>Martyn Yenson et al. (2021)</w:t>
      </w:r>
      <w:r w:rsidRPr="00233A1C">
        <w:t xml:space="preserve">. If required, investigate the possibility of establishing translocated </w:t>
      </w:r>
      <w:r w:rsidR="00C3666F">
        <w:t>sub</w:t>
      </w:r>
      <w:r w:rsidRPr="00233A1C">
        <w:t xml:space="preserve">populations, according to </w:t>
      </w:r>
      <w:r w:rsidRPr="00233A1C">
        <w:rPr>
          <w:noProof/>
        </w:rPr>
        <w:t>Commander et al. (2018)</w:t>
      </w:r>
      <w:r w:rsidRPr="00233A1C">
        <w:t>.</w:t>
      </w:r>
    </w:p>
    <w:p w14:paraId="46F9DBA0" w14:textId="77777777" w:rsidR="00F11DB3" w:rsidRPr="004879EA" w:rsidRDefault="00F11DB3" w:rsidP="00F11DB3">
      <w:pPr>
        <w:pStyle w:val="Heading3"/>
        <w:ind w:left="964" w:hanging="964"/>
      </w:pPr>
      <w:r w:rsidRPr="004879EA">
        <w:t>Stakeholder engagement/community engagement</w:t>
      </w:r>
    </w:p>
    <w:p w14:paraId="7A6B5446" w14:textId="288A1524" w:rsidR="00F11DB3" w:rsidRPr="004879EA" w:rsidRDefault="00F11DB3" w:rsidP="00F11DB3">
      <w:pPr>
        <w:pStyle w:val="ListBullet"/>
      </w:pPr>
      <w:bookmarkStart w:id="24" w:name="_Hlk55232881"/>
      <w:bookmarkStart w:id="25" w:name="_Hlk55232851"/>
      <w:r w:rsidRPr="004879EA">
        <w:t xml:space="preserve">Engage and involve </w:t>
      </w:r>
      <w:r w:rsidR="00C038A8">
        <w:t>T</w:t>
      </w:r>
      <w:r w:rsidRPr="004879EA">
        <w:t xml:space="preserve">raditional </w:t>
      </w:r>
      <w:r w:rsidR="00C038A8">
        <w:t>O</w:t>
      </w:r>
      <w:r w:rsidRPr="004879EA">
        <w:t>wners in conservation actions, including the implementation of Indigenous fire management and other survey, monitoring and management actions.</w:t>
      </w:r>
      <w:bookmarkEnd w:id="24"/>
    </w:p>
    <w:bookmarkEnd w:id="25"/>
    <w:p w14:paraId="028D08C1" w14:textId="77777777" w:rsidR="00F11DB3" w:rsidRDefault="00F11DB3" w:rsidP="00F11DB3">
      <w:pPr>
        <w:pStyle w:val="ListBullet"/>
      </w:pPr>
      <w:r>
        <w:t xml:space="preserve">Continue to liaise with government agencies, land managers and stakeholder groups to ensure </w:t>
      </w:r>
      <w:r w:rsidRPr="00AD4AD8">
        <w:t>up-to-date population data and scientific knowledge inform the implementation of conservation actions for this species.</w:t>
      </w:r>
    </w:p>
    <w:p w14:paraId="77958962" w14:textId="51840AFA" w:rsidR="00F11DB3" w:rsidRDefault="00F11DB3" w:rsidP="00F11DB3">
      <w:pPr>
        <w:pStyle w:val="ListBullet"/>
      </w:pPr>
      <w:r>
        <w:t xml:space="preserve">Promote community awareness of the Banyabba </w:t>
      </w:r>
      <w:r w:rsidR="004F7964">
        <w:t>g</w:t>
      </w:r>
      <w:r>
        <w:t xml:space="preserve">revillea and </w:t>
      </w:r>
      <w:r w:rsidRPr="00D50E11">
        <w:t>identify opportunities for involvement in conservation</w:t>
      </w:r>
      <w:r>
        <w:t xml:space="preserve"> actions.</w:t>
      </w:r>
    </w:p>
    <w:p w14:paraId="3EC47A6D" w14:textId="51A5F73B" w:rsidR="00F11DB3" w:rsidRPr="00761A98" w:rsidRDefault="00F11DB3" w:rsidP="00F11DB3">
      <w:pPr>
        <w:pStyle w:val="ListBullet"/>
      </w:pPr>
      <w:r w:rsidRPr="00761A98">
        <w:t xml:space="preserve">Contribute to impact assessment and planning processes on measures to protect the </w:t>
      </w:r>
      <w:r>
        <w:t xml:space="preserve">Banyabba </w:t>
      </w:r>
      <w:r w:rsidR="004F7964">
        <w:t>g</w:t>
      </w:r>
      <w:r>
        <w:t xml:space="preserve">revillea </w:t>
      </w:r>
      <w:r w:rsidRPr="00761A98">
        <w:t>and its habitat, including park management plans and environmental impact assessments.</w:t>
      </w:r>
    </w:p>
    <w:p w14:paraId="129981E4" w14:textId="77777777" w:rsidR="00F11DB3" w:rsidRPr="00F849EE" w:rsidRDefault="00F11DB3" w:rsidP="00F11DB3">
      <w:pPr>
        <w:pStyle w:val="Heading3"/>
        <w:ind w:left="964" w:hanging="964"/>
      </w:pPr>
      <w:r w:rsidRPr="00F849EE">
        <w:t>Survey and monitoring priorities</w:t>
      </w:r>
    </w:p>
    <w:p w14:paraId="2618B696" w14:textId="76E9200E" w:rsidR="00F11DB3" w:rsidRPr="00F849EE" w:rsidRDefault="00F11DB3" w:rsidP="00F11DB3">
      <w:pPr>
        <w:pStyle w:val="ListBullet"/>
        <w:rPr>
          <w:bCs/>
        </w:rPr>
      </w:pPr>
      <w:r w:rsidRPr="00F849EE">
        <w:t xml:space="preserve">Undertake annual monitoring of known </w:t>
      </w:r>
      <w:r w:rsidR="00C3666F">
        <w:t>sub</w:t>
      </w:r>
      <w:r w:rsidRPr="00F849EE">
        <w:t xml:space="preserve">populations, potential habitat, </w:t>
      </w:r>
      <w:r w:rsidRPr="00F849EE">
        <w:rPr>
          <w:bCs/>
        </w:rPr>
        <w:t>habitat condition/degradation (including impacts from weed invasion, introduced species and diseases), population stability (expansion or decline), recruitment and longevity.</w:t>
      </w:r>
    </w:p>
    <w:p w14:paraId="1D215928" w14:textId="2D5E212F" w:rsidR="00F11DB3" w:rsidRPr="00F849EE" w:rsidRDefault="00F11DB3" w:rsidP="00F11DB3">
      <w:pPr>
        <w:pStyle w:val="ListBullet"/>
        <w:rPr>
          <w:bCs/>
        </w:rPr>
      </w:pPr>
      <w:r w:rsidRPr="00F849EE">
        <w:rPr>
          <w:bCs/>
        </w:rPr>
        <w:t xml:space="preserve">Monitor the size, </w:t>
      </w:r>
      <w:proofErr w:type="gramStart"/>
      <w:r w:rsidRPr="00F849EE">
        <w:rPr>
          <w:bCs/>
        </w:rPr>
        <w:t>structure</w:t>
      </w:r>
      <w:proofErr w:type="gramEnd"/>
      <w:r w:rsidRPr="00F849EE">
        <w:rPr>
          <w:bCs/>
        </w:rPr>
        <w:t xml:space="preserve"> and reproductive status of </w:t>
      </w:r>
      <w:r w:rsidR="00C3666F">
        <w:rPr>
          <w:bCs/>
        </w:rPr>
        <w:t>sub</w:t>
      </w:r>
      <w:r w:rsidRPr="00F849EE">
        <w:rPr>
          <w:bCs/>
        </w:rPr>
        <w:t>populations at different stages in the fire cycle, taking opportunities to monitor after planned and unplanned fires (where they occur) and improve understanding of the fire response of the species.</w:t>
      </w:r>
    </w:p>
    <w:p w14:paraId="23662402" w14:textId="74BC5745" w:rsidR="00F11DB3" w:rsidRPr="00F849EE" w:rsidRDefault="00F11DB3" w:rsidP="00F11DB3">
      <w:pPr>
        <w:pStyle w:val="ListBullet"/>
        <w:rPr>
          <w:bCs/>
        </w:rPr>
      </w:pPr>
      <w:r w:rsidRPr="00F849EE">
        <w:rPr>
          <w:bCs/>
        </w:rPr>
        <w:t xml:space="preserve">Identify </w:t>
      </w:r>
      <w:r w:rsidR="00C3666F">
        <w:rPr>
          <w:bCs/>
        </w:rPr>
        <w:t>sub</w:t>
      </w:r>
      <w:r w:rsidRPr="00F849EE">
        <w:rPr>
          <w:bCs/>
        </w:rPr>
        <w:t>populations in timber harvesting areas and alongside roads. Protect these populations from disturbance.</w:t>
      </w:r>
    </w:p>
    <w:p w14:paraId="2080175A" w14:textId="77777777" w:rsidR="00F11DB3" w:rsidRPr="00B32F38" w:rsidRDefault="00F11DB3" w:rsidP="00614B1A">
      <w:pPr>
        <w:pStyle w:val="Heading3"/>
        <w:ind w:left="964" w:hanging="964"/>
      </w:pPr>
      <w:r w:rsidRPr="00B32F38">
        <w:lastRenderedPageBreak/>
        <w:t>Information and research priorities</w:t>
      </w:r>
    </w:p>
    <w:p w14:paraId="6D0C9B21" w14:textId="0493BB2D" w:rsidR="00F11DB3" w:rsidRPr="00404EC4" w:rsidRDefault="00F11DB3" w:rsidP="00614B1A">
      <w:pPr>
        <w:pStyle w:val="ListBullet"/>
        <w:keepNext/>
        <w:keepLines/>
        <w:rPr>
          <w:b/>
        </w:rPr>
      </w:pPr>
      <w:r w:rsidRPr="00B32F38">
        <w:t xml:space="preserve">Investigate options for linking, </w:t>
      </w:r>
      <w:proofErr w:type="gramStart"/>
      <w:r w:rsidRPr="00B32F38">
        <w:t>enhancing</w:t>
      </w:r>
      <w:proofErr w:type="gramEnd"/>
      <w:r w:rsidRPr="00B32F38">
        <w:t xml:space="preserve"> or establishing additional </w:t>
      </w:r>
      <w:r w:rsidR="00C3666F">
        <w:t>sub</w:t>
      </w:r>
      <w:r w:rsidRPr="00B32F38">
        <w:t>populations.</w:t>
      </w:r>
    </w:p>
    <w:p w14:paraId="32806266" w14:textId="4E648B32" w:rsidR="00306CA1" w:rsidRPr="00B32F38" w:rsidRDefault="00306CA1" w:rsidP="00614B1A">
      <w:pPr>
        <w:pStyle w:val="ListBullet"/>
        <w:keepNext/>
        <w:keepLines/>
        <w:rPr>
          <w:b/>
        </w:rPr>
      </w:pPr>
      <w:bookmarkStart w:id="26" w:name="_Hlk82512755"/>
      <w:r>
        <w:t>Map habitat critical to the survival of the species</w:t>
      </w:r>
      <w:r w:rsidR="00BF70D9">
        <w:t xml:space="preserve"> and identify any critical habitat on </w:t>
      </w:r>
      <w:r w:rsidR="00333771">
        <w:t>C</w:t>
      </w:r>
      <w:r w:rsidR="00BF70D9">
        <w:t>ommonwealth land.</w:t>
      </w:r>
    </w:p>
    <w:bookmarkEnd w:id="26"/>
    <w:p w14:paraId="17A82D1D" w14:textId="18D983B0" w:rsidR="00F11DB3" w:rsidRPr="00B32F38" w:rsidRDefault="00F11DB3" w:rsidP="00614B1A">
      <w:pPr>
        <w:pStyle w:val="ListBullet"/>
        <w:keepNext/>
        <w:keepLines/>
        <w:rPr>
          <w:b/>
        </w:rPr>
      </w:pPr>
      <w:r w:rsidRPr="00B32F38">
        <w:t xml:space="preserve">Investigate the ecological requirements of the Banyabba </w:t>
      </w:r>
      <w:r w:rsidR="004F7964">
        <w:t>g</w:t>
      </w:r>
      <w:r w:rsidRPr="00B32F38">
        <w:t>revillea, that are relevant to persistence</w:t>
      </w:r>
      <w:r w:rsidR="0052609F">
        <w:t>, particularly in the context of climate change and high fire frequency</w:t>
      </w:r>
      <w:r w:rsidRPr="00B32F38">
        <w:t>:</w:t>
      </w:r>
    </w:p>
    <w:p w14:paraId="55383D19" w14:textId="191F21A7" w:rsidR="00C12F35" w:rsidRPr="00C12F35" w:rsidRDefault="00C12F35" w:rsidP="00614B1A">
      <w:pPr>
        <w:pStyle w:val="ListBullet2"/>
        <w:keepNext/>
        <w:keepLines/>
        <w:rPr>
          <w:b/>
        </w:rPr>
      </w:pPr>
      <w:r>
        <w:t>primary and secondary juvenile periods and longevity,</w:t>
      </w:r>
    </w:p>
    <w:p w14:paraId="29D76935" w14:textId="75623FD8" w:rsidR="00F11DB3" w:rsidRPr="00B32F38" w:rsidRDefault="00F11DB3" w:rsidP="00614B1A">
      <w:pPr>
        <w:pStyle w:val="ListBullet2"/>
        <w:keepNext/>
        <w:keepLines/>
        <w:rPr>
          <w:b/>
        </w:rPr>
      </w:pPr>
      <w:r w:rsidRPr="00B32F38">
        <w:t>population genetic structure, levels of genetic diversity and minimum viable population size,</w:t>
      </w:r>
    </w:p>
    <w:p w14:paraId="47EBEE85" w14:textId="580BEA89" w:rsidR="00F11DB3" w:rsidRPr="00B32F38" w:rsidRDefault="00F11DB3" w:rsidP="00F11DB3">
      <w:pPr>
        <w:pStyle w:val="ListBullet2"/>
      </w:pPr>
      <w:r w:rsidRPr="00B32F38">
        <w:t>soil seedbank dynamics and the role of</w:t>
      </w:r>
      <w:r w:rsidR="003C17CD">
        <w:t xml:space="preserve"> seed predators and</w:t>
      </w:r>
      <w:r w:rsidRPr="00B32F38">
        <w:t xml:space="preserve"> various disturbances (including fire), competition, rainfall and grazing in germination and recruitment,</w:t>
      </w:r>
    </w:p>
    <w:p w14:paraId="412A3D1B" w14:textId="77777777" w:rsidR="00F11DB3" w:rsidRPr="00B32F38" w:rsidRDefault="00F11DB3" w:rsidP="00F11DB3">
      <w:pPr>
        <w:pStyle w:val="ListBullet2"/>
      </w:pPr>
      <w:r w:rsidRPr="00B32F38">
        <w:t xml:space="preserve">reproductive strategies, </w:t>
      </w:r>
      <w:proofErr w:type="gramStart"/>
      <w:r w:rsidRPr="00B32F38">
        <w:t>phenology</w:t>
      </w:r>
      <w:proofErr w:type="gramEnd"/>
      <w:r w:rsidRPr="00B32F38">
        <w:t xml:space="preserve"> and seasonal growth, and</w:t>
      </w:r>
    </w:p>
    <w:p w14:paraId="0C771804" w14:textId="77777777" w:rsidR="00F11DB3" w:rsidRPr="00B32F38" w:rsidRDefault="00F11DB3" w:rsidP="00F11DB3">
      <w:pPr>
        <w:pStyle w:val="ListBullet2"/>
        <w:rPr>
          <w:b/>
        </w:rPr>
      </w:pPr>
      <w:r w:rsidRPr="00B32F38">
        <w:t>pollinator biology and requirements.</w:t>
      </w:r>
    </w:p>
    <w:p w14:paraId="4FE117CF" w14:textId="152513E6" w:rsidR="00F11DB3" w:rsidRPr="00E93339" w:rsidRDefault="00F11DB3" w:rsidP="00F11DB3">
      <w:pPr>
        <w:pStyle w:val="ListBullet"/>
      </w:pPr>
      <w:r w:rsidRPr="00E93339">
        <w:t xml:space="preserve">Avoid any use of managed fire research and other activities that impact upon the persistence of the </w:t>
      </w:r>
      <w:proofErr w:type="gramStart"/>
      <w:r w:rsidRPr="00E93339">
        <w:t>species, unless</w:t>
      </w:r>
      <w:proofErr w:type="gramEnd"/>
      <w:r w:rsidRPr="00E93339">
        <w:t xml:space="preserve"> there is evidence to show there would be a positive and enduring effect on the Banyabba </w:t>
      </w:r>
      <w:r w:rsidR="004F7964">
        <w:t>g</w:t>
      </w:r>
      <w:r w:rsidRPr="00E93339">
        <w:t>revillea’s persistence.</w:t>
      </w:r>
    </w:p>
    <w:p w14:paraId="095B4F8C" w14:textId="77777777" w:rsidR="00F11DB3" w:rsidRPr="00E93339" w:rsidRDefault="00F11DB3" w:rsidP="00F11DB3">
      <w:pPr>
        <w:pStyle w:val="ListBullet"/>
      </w:pPr>
      <w:r>
        <w:t>Ascertain the cultural significance of the species to Traditional Owners.</w:t>
      </w:r>
    </w:p>
    <w:p w14:paraId="0F075E31" w14:textId="77777777" w:rsidR="00F11DB3" w:rsidRDefault="00F11DB3" w:rsidP="00F11DB3">
      <w:pPr>
        <w:pStyle w:val="Heading3"/>
        <w:ind w:left="964" w:hanging="964"/>
      </w:pPr>
      <w:r>
        <w:t>Recovery plan decision</w:t>
      </w:r>
    </w:p>
    <w:p w14:paraId="273413C4" w14:textId="43A2EF4C" w:rsidR="00B32C9A" w:rsidRDefault="00B32C9A" w:rsidP="00F11DB3">
      <w:proofErr w:type="gramStart"/>
      <w:r w:rsidRPr="00732BEA">
        <w:t>A</w:t>
      </w:r>
      <w:proofErr w:type="gramEnd"/>
      <w:r w:rsidRPr="00732BEA">
        <w:t xml:space="preserve"> </w:t>
      </w:r>
      <w:r>
        <w:t xml:space="preserve">NSW </w:t>
      </w:r>
      <w:r w:rsidRPr="00732BEA">
        <w:t xml:space="preserve">Saving Our </w:t>
      </w:r>
      <w:r>
        <w:t>Species</w:t>
      </w:r>
      <w:r w:rsidRPr="00732BEA">
        <w:t xml:space="preserve"> Strategy is in place</w:t>
      </w:r>
      <w:r>
        <w:t xml:space="preserve"> for the species (DPIE 2021).</w:t>
      </w:r>
      <w:r w:rsidRPr="00DD02C4">
        <w:t xml:space="preserve"> </w:t>
      </w:r>
    </w:p>
    <w:p w14:paraId="28B53759" w14:textId="72EA7269" w:rsidR="00F11DB3" w:rsidRDefault="00F11DB3" w:rsidP="00F11DB3">
      <w:r w:rsidRPr="00732BEA">
        <w:t xml:space="preserve">A decision about whether there should be a </w:t>
      </w:r>
      <w:r>
        <w:t>R</w:t>
      </w:r>
      <w:r w:rsidRPr="00732BEA">
        <w:t xml:space="preserve">ecovery </w:t>
      </w:r>
      <w:r>
        <w:t>P</w:t>
      </w:r>
      <w:r w:rsidRPr="00732BEA">
        <w:t>lan for this species has not yet been determined. The purpose of this consultation document is to elicit additional information to help inform this decision.</w:t>
      </w:r>
    </w:p>
    <w:p w14:paraId="4B1917FD" w14:textId="77777777" w:rsidR="00F11DB3" w:rsidRDefault="00F11DB3" w:rsidP="00F11DB3">
      <w:pPr>
        <w:pStyle w:val="Heading2"/>
        <w:ind w:left="720" w:hanging="720"/>
      </w:pPr>
      <w:r>
        <w:t>Links to relevant implementation documents</w:t>
      </w:r>
    </w:p>
    <w:p w14:paraId="2265DFA6" w14:textId="6DE8A5D1" w:rsidR="008C2823" w:rsidRDefault="00B655DF" w:rsidP="00F11DB3">
      <w:hyperlink r:id="rId30" w:history="1">
        <w:r w:rsidR="008C2823" w:rsidRPr="008C2823">
          <w:rPr>
            <w:rStyle w:val="Hyperlink"/>
          </w:rPr>
          <w:t>Banyabba grevillea (</w:t>
        </w:r>
        <w:r w:rsidR="008C2823" w:rsidRPr="008C2823">
          <w:rPr>
            <w:rStyle w:val="Hyperlink"/>
            <w:i/>
            <w:iCs/>
          </w:rPr>
          <w:t>Grevillea banyabba</w:t>
        </w:r>
        <w:r w:rsidR="008C2823" w:rsidRPr="008C2823">
          <w:rPr>
            <w:rStyle w:val="Hyperlink"/>
          </w:rPr>
          <w:t>) Saving our Species Strategy (2021)</w:t>
        </w:r>
      </w:hyperlink>
    </w:p>
    <w:p w14:paraId="2CE10A6A" w14:textId="12E0FCB6" w:rsidR="00F11DB3" w:rsidRDefault="00B655DF" w:rsidP="00F11DB3">
      <w:pPr>
        <w:rPr>
          <w:rStyle w:val="Hyperlink"/>
        </w:rPr>
      </w:pPr>
      <w:hyperlink r:id="rId31" w:history="1">
        <w:r w:rsidR="00F11DB3" w:rsidRPr="00AE5FB1">
          <w:rPr>
            <w:rStyle w:val="Hyperlink"/>
          </w:rPr>
          <w:t>Northern Rivers Regional Biodiversity Management Plan (2010)</w:t>
        </w:r>
      </w:hyperlink>
    </w:p>
    <w:p w14:paraId="2019BE41" w14:textId="77777777" w:rsidR="008C2823" w:rsidRDefault="00B655DF" w:rsidP="008C2823">
      <w:pPr>
        <w:rPr>
          <w:rStyle w:val="Hyperlink"/>
        </w:rPr>
      </w:pPr>
      <w:hyperlink r:id="rId32" w:history="1">
        <w:r w:rsidR="008C2823" w:rsidRPr="00FF5893">
          <w:rPr>
            <w:rStyle w:val="Hyperlink"/>
          </w:rPr>
          <w:t xml:space="preserve">Threat abatement plan for disease in natural ecosystems caused by </w:t>
        </w:r>
        <w:r w:rsidR="008C2823" w:rsidRPr="00FF5893">
          <w:rPr>
            <w:rStyle w:val="Hyperlink"/>
            <w:i/>
            <w:iCs/>
          </w:rPr>
          <w:t>Phytophthora cinnamomi</w:t>
        </w:r>
        <w:r w:rsidR="008C2823" w:rsidRPr="00FF5893">
          <w:rPr>
            <w:rStyle w:val="Hyperlink"/>
          </w:rPr>
          <w:t xml:space="preserve"> (2018)</w:t>
        </w:r>
      </w:hyperlink>
    </w:p>
    <w:p w14:paraId="7B4A701A" w14:textId="03ECD7F0" w:rsidR="005E51F9" w:rsidRDefault="00B32C9A">
      <w:pPr>
        <w:spacing w:after="0" w:line="240" w:lineRule="auto"/>
        <w:rPr>
          <w:rFonts w:ascii="Calibri" w:eastAsiaTheme="minorEastAsia" w:hAnsi="Calibri"/>
          <w:bCs/>
          <w:color w:val="000000"/>
          <w:sz w:val="36"/>
          <w:szCs w:val="28"/>
          <w:lang w:eastAsia="ja-JP"/>
        </w:rPr>
      </w:pPr>
      <w:r w:rsidRPr="00B32C9A">
        <w:rPr>
          <w:rStyle w:val="Hyperlink"/>
        </w:rPr>
        <w:t>Threatened Flora Species of the Glenreagh-Coaldale Sandstone Area Recovery Plan</w:t>
      </w:r>
      <w:r>
        <w:rPr>
          <w:rStyle w:val="Hyperlink"/>
        </w:rPr>
        <w:t xml:space="preserve"> (1999)</w:t>
      </w:r>
      <w:r w:rsidR="005E51F9">
        <w:br w:type="page"/>
      </w:r>
    </w:p>
    <w:p w14:paraId="6E4C10BC" w14:textId="4B4A451E" w:rsidR="002319AB" w:rsidRDefault="002319AB" w:rsidP="002319AB">
      <w:pPr>
        <w:pStyle w:val="Heading2"/>
        <w:spacing w:before="120"/>
        <w:ind w:left="709" w:hanging="709"/>
      </w:pPr>
      <w:r>
        <w:lastRenderedPageBreak/>
        <w:t>Con</w:t>
      </w:r>
      <w:r>
        <w:rPr>
          <w:bCs w:val="0"/>
        </w:rPr>
        <w:t>se</w:t>
      </w:r>
      <w:r>
        <w:t>rva</w:t>
      </w:r>
      <w:r>
        <w:rPr>
          <w:bCs w:val="0"/>
        </w:rPr>
        <w:t>t</w:t>
      </w:r>
      <w:r>
        <w:t>io</w:t>
      </w:r>
      <w:r>
        <w:rPr>
          <w:bCs w:val="0"/>
        </w:rPr>
        <w:t>n</w:t>
      </w:r>
      <w:r>
        <w:t xml:space="preserve"> </w:t>
      </w:r>
      <w:r w:rsidR="00C2128B">
        <w:t>A</w:t>
      </w:r>
      <w:r>
        <w:t>dvi</w:t>
      </w:r>
      <w:r>
        <w:rPr>
          <w:bCs w:val="0"/>
        </w:rPr>
        <w:t>c</w:t>
      </w:r>
      <w:r>
        <w:t xml:space="preserve">e and </w:t>
      </w:r>
      <w:bookmarkEnd w:id="21"/>
      <w:bookmarkEnd w:id="22"/>
      <w:r w:rsidR="0012461E">
        <w:t>L</w:t>
      </w:r>
      <w:r>
        <w:t xml:space="preserve">isting </w:t>
      </w:r>
      <w:r w:rsidR="0012461E">
        <w:t>A</w:t>
      </w:r>
      <w:r>
        <w:t>ssessment references</w:t>
      </w:r>
    </w:p>
    <w:p w14:paraId="64B2A0CB" w14:textId="7436EECC" w:rsidR="002C2E95" w:rsidRPr="002C2E95" w:rsidRDefault="002C2E95" w:rsidP="002C2E95">
      <w:pPr>
        <w:pStyle w:val="EndNoteBibliography"/>
        <w:spacing w:after="240"/>
        <w:ind w:left="720" w:hanging="720"/>
      </w:pPr>
      <w:r w:rsidRPr="002C2E95">
        <w:t xml:space="preserve">Abatzoglou JT &amp; Williams AP (2016) Impact of anthropogenic climate change on wildfire across western US forests. </w:t>
      </w:r>
      <w:r w:rsidRPr="002C2E95">
        <w:rPr>
          <w:i/>
        </w:rPr>
        <w:t>Proceedings of the National Academy of Sciences</w:t>
      </w:r>
      <w:r w:rsidRPr="002C2E95">
        <w:t xml:space="preserve"> 113, 11770.</w:t>
      </w:r>
    </w:p>
    <w:p w14:paraId="07C8E867" w14:textId="09F0F9B5" w:rsidR="002C2E95" w:rsidRPr="002C2E95" w:rsidRDefault="002C2E95" w:rsidP="002C2E95">
      <w:pPr>
        <w:pStyle w:val="EndNoteBibliography"/>
        <w:spacing w:after="240"/>
        <w:ind w:left="720" w:hanging="720"/>
      </w:pPr>
      <w:r w:rsidRPr="002C2E95">
        <w:t xml:space="preserve">ALA </w:t>
      </w:r>
      <w:r w:rsidR="000564C6">
        <w:t>(</w:t>
      </w:r>
      <w:r w:rsidR="000564C6" w:rsidRPr="000564C6">
        <w:t>Atlas of Living Australia</w:t>
      </w:r>
      <w:r w:rsidR="000564C6">
        <w:t xml:space="preserve">) </w:t>
      </w:r>
      <w:r w:rsidRPr="002C2E95">
        <w:t xml:space="preserve">(2020) </w:t>
      </w:r>
      <w:r w:rsidRPr="002C2E95">
        <w:rPr>
          <w:i/>
        </w:rPr>
        <w:t>Phytophthora cinnamomi</w:t>
      </w:r>
      <w:r w:rsidRPr="002C2E95">
        <w:t xml:space="preserve"> Rands. Accessed: 12 October 2020 Available at: </w:t>
      </w:r>
      <w:hyperlink r:id="rId33" w:history="1">
        <w:r w:rsidR="000564C6" w:rsidRPr="0036753F">
          <w:rPr>
            <w:rStyle w:val="Hyperlink"/>
          </w:rPr>
          <w:t>https://bie.ala.org.au/species/b9765dc9-8d1b-4d70-b20d-01aff1edda8d</w:t>
        </w:r>
      </w:hyperlink>
      <w:r w:rsidR="000564C6">
        <w:t xml:space="preserve"> </w:t>
      </w:r>
    </w:p>
    <w:p w14:paraId="5817B461" w14:textId="0C947D03" w:rsidR="002C2E95" w:rsidRPr="002C2E95" w:rsidRDefault="002C2E95" w:rsidP="002C2E95">
      <w:pPr>
        <w:pStyle w:val="EndNoteBibliography"/>
        <w:spacing w:after="240"/>
        <w:ind w:left="720" w:hanging="720"/>
      </w:pPr>
      <w:r w:rsidRPr="002C2E95">
        <w:t xml:space="preserve">Allen CD, Macalady AK, Chenchouni H, Bachelet D, McDowell N, Vennetier M, Kitzberger T, Rigling A, Breshears DD, Hogg EH, Gonzalez P, Fensham R, Zhang Z, Castro J, Demidova N, Lim J-H, Allard G, Running SW, Semerci A &amp; Cobb N (2010) A global overview of drought and heat-induced tree mortality reveals emerging climate change risks for forests. </w:t>
      </w:r>
      <w:r w:rsidRPr="002C2E95">
        <w:rPr>
          <w:i/>
        </w:rPr>
        <w:t>Forest Ecology and Management</w:t>
      </w:r>
      <w:r w:rsidRPr="002C2E95">
        <w:t xml:space="preserve"> 259, 660-684.</w:t>
      </w:r>
    </w:p>
    <w:p w14:paraId="0DC14E0F" w14:textId="531FF8B1" w:rsidR="002C2E95" w:rsidRPr="002C2E95" w:rsidRDefault="002C2E95" w:rsidP="002C2E95">
      <w:pPr>
        <w:pStyle w:val="EndNoteBibliography"/>
        <w:spacing w:after="240"/>
        <w:ind w:left="720" w:hanging="720"/>
      </w:pPr>
      <w:r w:rsidRPr="002C2E95">
        <w:t>Auld TD, Andrew JD &amp; Turner K (2007</w:t>
      </w:r>
      <w:r w:rsidR="000564C6">
        <w:t>)</w:t>
      </w:r>
      <w:r w:rsidRPr="002C2E95">
        <w:t xml:space="preserve"> Dispersal and recruitment dynamics in the fleshy-fruited </w:t>
      </w:r>
      <w:r w:rsidRPr="002C2E95">
        <w:rPr>
          <w:i/>
        </w:rPr>
        <w:t>Persoonia lanceolata</w:t>
      </w:r>
      <w:r w:rsidRPr="002C2E95">
        <w:t xml:space="preserve"> (Proteaceae). </w:t>
      </w:r>
      <w:r w:rsidRPr="002C2E95">
        <w:rPr>
          <w:i/>
        </w:rPr>
        <w:t>Journal of Vegetation Science</w:t>
      </w:r>
      <w:r w:rsidRPr="002C2E95">
        <w:t xml:space="preserve"> 18, 903-910.</w:t>
      </w:r>
    </w:p>
    <w:p w14:paraId="5ED4E786" w14:textId="378CA658" w:rsidR="002C2E95" w:rsidRPr="002C2E95" w:rsidRDefault="002C2E95" w:rsidP="002C2E95">
      <w:pPr>
        <w:pStyle w:val="EndNoteBibliography"/>
        <w:spacing w:after="240"/>
        <w:ind w:left="720" w:hanging="720"/>
      </w:pPr>
      <w:r w:rsidRPr="002C2E95">
        <w:t xml:space="preserve">Auld TD &amp; Denham AJ (2006) How much seed remains in the soil after a fire? </w:t>
      </w:r>
      <w:r w:rsidRPr="002C2E95">
        <w:rPr>
          <w:i/>
        </w:rPr>
        <w:t>Plant Ecology</w:t>
      </w:r>
      <w:r w:rsidRPr="002C2E95">
        <w:t xml:space="preserve"> 187, 15-24.</w:t>
      </w:r>
    </w:p>
    <w:p w14:paraId="70B3E6A7" w14:textId="29D65809" w:rsidR="002C2E95" w:rsidRPr="002C2E95" w:rsidRDefault="002C2E95" w:rsidP="002C2E95">
      <w:pPr>
        <w:pStyle w:val="EndNoteBibliography"/>
        <w:spacing w:after="240"/>
        <w:ind w:left="720" w:hanging="720"/>
      </w:pPr>
      <w:r w:rsidRPr="002C2E95">
        <w:t xml:space="preserve">Auld TD, Mackenzie B, Le Breton T, Keith DA, Ooi MK, Allen S &amp; Gallagher R (2020) </w:t>
      </w:r>
      <w:r w:rsidRPr="002C2E95">
        <w:rPr>
          <w:i/>
        </w:rPr>
        <w:t>A preliminary assessment of the impact of the 2019/2020 fires on NSW plants of national significance</w:t>
      </w:r>
      <w:r w:rsidRPr="002C2E95">
        <w:t>. Department of Planning Industry and Environment (NSW), Parramatta.</w:t>
      </w:r>
    </w:p>
    <w:p w14:paraId="67913A5C" w14:textId="0E3295F7" w:rsidR="002C2E95" w:rsidRPr="002C2E95" w:rsidRDefault="002C2E95" w:rsidP="002C2E95">
      <w:pPr>
        <w:pStyle w:val="EndNoteBibliography"/>
        <w:spacing w:after="240"/>
        <w:ind w:left="720" w:hanging="720"/>
      </w:pPr>
      <w:r w:rsidRPr="002C2E95">
        <w:t xml:space="preserve">Australian National Botanic Gardens (2007). Aboriginal plant use - NSW southern tablelands. Accessed: 2 October 2020 Available at: </w:t>
      </w:r>
      <w:hyperlink r:id="rId34" w:history="1">
        <w:r w:rsidR="000564C6" w:rsidRPr="0036753F">
          <w:rPr>
            <w:rStyle w:val="Hyperlink"/>
          </w:rPr>
          <w:t>http://www.anbg.gov.au/apu/</w:t>
        </w:r>
      </w:hyperlink>
      <w:r w:rsidR="000564C6">
        <w:t xml:space="preserve"> </w:t>
      </w:r>
    </w:p>
    <w:p w14:paraId="3067730D" w14:textId="7C439F28" w:rsidR="002C2E95" w:rsidRPr="002C2E95" w:rsidRDefault="002C2E95" w:rsidP="002C2E95">
      <w:pPr>
        <w:pStyle w:val="EndNoteBibliography"/>
        <w:spacing w:after="240"/>
        <w:ind w:left="720" w:hanging="720"/>
      </w:pPr>
      <w:r w:rsidRPr="002C2E95">
        <w:t xml:space="preserve">AVH </w:t>
      </w:r>
      <w:r w:rsidR="000564C6">
        <w:t>(</w:t>
      </w:r>
      <w:r w:rsidR="000564C6" w:rsidRPr="000564C6">
        <w:t>Australasian Virtual Herbarium</w:t>
      </w:r>
      <w:r w:rsidR="000564C6">
        <w:t xml:space="preserve">) </w:t>
      </w:r>
      <w:r w:rsidRPr="002C2E95">
        <w:t xml:space="preserve">(2020a) Occurrence records for </w:t>
      </w:r>
      <w:r w:rsidRPr="002C2E95">
        <w:rPr>
          <w:i/>
        </w:rPr>
        <w:t>Pinus elliottii</w:t>
      </w:r>
      <w:r w:rsidRPr="002C2E95">
        <w:t xml:space="preserve">. Accessed: 25 September 2020 Available at: </w:t>
      </w:r>
      <w:hyperlink r:id="rId35" w:anchor="tab_mapView" w:history="1">
        <w:r w:rsidR="000564C6" w:rsidRPr="0036753F">
          <w:rPr>
            <w:rStyle w:val="Hyperlink"/>
          </w:rPr>
          <w:t>https://avh.ala.org.au/occurrences/search?taxa=Pinus+elliottii#tab_mapView</w:t>
        </w:r>
      </w:hyperlink>
      <w:r w:rsidR="000564C6">
        <w:t xml:space="preserve"> </w:t>
      </w:r>
    </w:p>
    <w:p w14:paraId="50524854" w14:textId="47CC6651" w:rsidR="002C2E95" w:rsidRPr="002C2E95" w:rsidRDefault="002C2E95" w:rsidP="002C2E95">
      <w:pPr>
        <w:pStyle w:val="EndNoteBibliography"/>
        <w:spacing w:after="240"/>
        <w:ind w:left="720" w:hanging="720"/>
      </w:pPr>
      <w:r w:rsidRPr="002C2E95">
        <w:t xml:space="preserve">AVH </w:t>
      </w:r>
      <w:r w:rsidR="000564C6">
        <w:t>(</w:t>
      </w:r>
      <w:r w:rsidR="000564C6" w:rsidRPr="000564C6">
        <w:t>Australasian Virtual Herbarium</w:t>
      </w:r>
      <w:r w:rsidR="000564C6">
        <w:t xml:space="preserve">) </w:t>
      </w:r>
      <w:r w:rsidRPr="002C2E95">
        <w:t xml:space="preserve">(2020b) Occurrence records for </w:t>
      </w:r>
      <w:r w:rsidRPr="002C2E95">
        <w:rPr>
          <w:i/>
        </w:rPr>
        <w:t>Pinus taeda</w:t>
      </w:r>
      <w:r w:rsidRPr="002C2E95">
        <w:t xml:space="preserve">. Accessed: 25 September 2020 Available at: </w:t>
      </w:r>
      <w:hyperlink r:id="rId36" w:anchor="tab_mapView" w:history="1">
        <w:r w:rsidR="000564C6" w:rsidRPr="0036753F">
          <w:rPr>
            <w:rStyle w:val="Hyperlink"/>
          </w:rPr>
          <w:t>https://avh.ala.org.au/occurrences/search?taxa=Pinus+taeda#tab_mapView</w:t>
        </w:r>
      </w:hyperlink>
      <w:r w:rsidR="000564C6">
        <w:t xml:space="preserve"> </w:t>
      </w:r>
    </w:p>
    <w:p w14:paraId="668F008B" w14:textId="201B75FB" w:rsidR="002C2E95" w:rsidRPr="002C2E95" w:rsidRDefault="002C2E95" w:rsidP="002C2E95">
      <w:pPr>
        <w:pStyle w:val="EndNoteBibliography"/>
        <w:spacing w:after="240"/>
        <w:ind w:left="720" w:hanging="720"/>
      </w:pPr>
      <w:r w:rsidRPr="002C2E95">
        <w:t xml:space="preserve">Bailey D (2019) </w:t>
      </w:r>
      <w:r w:rsidRPr="002C2E95">
        <w:rPr>
          <w:i/>
        </w:rPr>
        <w:t>Olax angulata monitoring. Survey for Square-stemmed Olax 2018-2019</w:t>
      </w:r>
      <w:r w:rsidRPr="002C2E95">
        <w:t>. Unpublished report for the Department of Planning, Industry and Environment (NSW)</w:t>
      </w:r>
      <w:r w:rsidR="000564C6">
        <w:t>.</w:t>
      </w:r>
    </w:p>
    <w:p w14:paraId="537DA31A" w14:textId="63CBB297" w:rsidR="002C2E95" w:rsidRPr="002C2E95" w:rsidRDefault="002C2E95" w:rsidP="002C2E95">
      <w:pPr>
        <w:pStyle w:val="EndNoteBibliography"/>
        <w:spacing w:after="240"/>
        <w:ind w:left="720" w:hanging="720"/>
      </w:pPr>
      <w:r w:rsidRPr="002C2E95">
        <w:t xml:space="preserve">Bradstock RA, Bedward M, Scott J &amp; Keith DA (1996) Simulation on the effect of the spatial and temporal variation in fire regimes on the population viability of a </w:t>
      </w:r>
      <w:r w:rsidRPr="002C2E95">
        <w:rPr>
          <w:i/>
        </w:rPr>
        <w:t xml:space="preserve">Banksia </w:t>
      </w:r>
      <w:r w:rsidRPr="002C2E95">
        <w:t xml:space="preserve">species. </w:t>
      </w:r>
      <w:r w:rsidRPr="002C2E95">
        <w:rPr>
          <w:i/>
        </w:rPr>
        <w:t>Conservation Biology</w:t>
      </w:r>
      <w:r w:rsidRPr="002C2E95">
        <w:t xml:space="preserve"> 10, 776-784.</w:t>
      </w:r>
    </w:p>
    <w:p w14:paraId="03ECB78C" w14:textId="421B96D9" w:rsidR="002C2E95" w:rsidRPr="002C2E95" w:rsidRDefault="002C2E95" w:rsidP="002C2E95">
      <w:pPr>
        <w:pStyle w:val="EndNoteBibliography"/>
        <w:spacing w:after="240"/>
        <w:ind w:left="720" w:hanging="720"/>
      </w:pPr>
      <w:r w:rsidRPr="002C2E95">
        <w:t>Brown K, Paczkowska G &amp; Gibson N (2016)</w:t>
      </w:r>
      <w:r w:rsidR="000564C6">
        <w:t xml:space="preserve"> </w:t>
      </w:r>
      <w:r w:rsidRPr="002C2E95">
        <w:t xml:space="preserve">Mitigating impacts of weeds and kangaroo grazing following prescribed fire in a </w:t>
      </w:r>
      <w:r w:rsidRPr="002C2E95">
        <w:rPr>
          <w:i/>
        </w:rPr>
        <w:t xml:space="preserve">Banksia </w:t>
      </w:r>
      <w:r w:rsidRPr="002C2E95">
        <w:t xml:space="preserve">woodland. </w:t>
      </w:r>
      <w:r w:rsidRPr="002C2E95">
        <w:rPr>
          <w:i/>
        </w:rPr>
        <w:t>Ecological Management &amp; Restoration</w:t>
      </w:r>
      <w:r w:rsidRPr="002C2E95">
        <w:t xml:space="preserve"> 17, 133-139.</w:t>
      </w:r>
    </w:p>
    <w:p w14:paraId="2EC15210" w14:textId="6458D709" w:rsidR="002C2E95" w:rsidRPr="002C2E95" w:rsidRDefault="002C2E95" w:rsidP="002C2E95">
      <w:pPr>
        <w:pStyle w:val="EndNoteBibliography"/>
        <w:spacing w:after="240"/>
        <w:ind w:left="720" w:hanging="720"/>
      </w:pPr>
      <w:r w:rsidRPr="002C2E95">
        <w:t xml:space="preserve">Bureau of Meteorology (2020) </w:t>
      </w:r>
      <w:r w:rsidRPr="002C2E95">
        <w:rPr>
          <w:i/>
        </w:rPr>
        <w:t>Special Climate Statement 70 update—drought conditions in Australia and impact on water resources in the Murray–Darling Basin</w:t>
      </w:r>
      <w:r w:rsidRPr="002C2E95">
        <w:t>. Bureau of Meteorology (Commonwealth)</w:t>
      </w:r>
      <w:r w:rsidR="000564C6">
        <w:t>.</w:t>
      </w:r>
    </w:p>
    <w:p w14:paraId="4F82A72B" w14:textId="372B4860" w:rsidR="002C2E95" w:rsidRPr="002C2E95" w:rsidRDefault="002C2E95" w:rsidP="002C2E95">
      <w:pPr>
        <w:pStyle w:val="EndNoteBibliography"/>
        <w:spacing w:after="240"/>
        <w:ind w:left="720" w:hanging="720"/>
      </w:pPr>
      <w:r w:rsidRPr="002C2E95">
        <w:t xml:space="preserve">Bureau of Meteorology &amp; CSIRO </w:t>
      </w:r>
      <w:r w:rsidR="000564C6">
        <w:t>(</w:t>
      </w:r>
      <w:r w:rsidR="000564C6" w:rsidRPr="000564C6">
        <w:t>Commonwealth Scientific and Industrial Research Organisation</w:t>
      </w:r>
      <w:r w:rsidR="000564C6">
        <w:t xml:space="preserve">) </w:t>
      </w:r>
      <w:r w:rsidRPr="002C2E95">
        <w:t xml:space="preserve">(2020) </w:t>
      </w:r>
      <w:r w:rsidRPr="002C2E95">
        <w:rPr>
          <w:i/>
        </w:rPr>
        <w:t>State of the Climate</w:t>
      </w:r>
      <w:r w:rsidRPr="002C2E95">
        <w:t>. Commonwealth of Australia, Australia.</w:t>
      </w:r>
    </w:p>
    <w:p w14:paraId="06DFABB9" w14:textId="128455BB" w:rsidR="002C2E95" w:rsidRPr="002C2E95" w:rsidRDefault="002C2E95" w:rsidP="002C2E95">
      <w:pPr>
        <w:pStyle w:val="EndNoteBibliography"/>
        <w:spacing w:after="240"/>
        <w:ind w:left="720" w:hanging="720"/>
      </w:pPr>
      <w:r w:rsidRPr="002C2E95">
        <w:lastRenderedPageBreak/>
        <w:t xml:space="preserve">Choat B, Jansen S, Brodribb TJ, Cochard H, Delzon S, Bhaskar R, Bucci SJ, Feild TS, Gleason SM, Hacke UG, Jacobsen AL, Lens F, Maherali H, Martínez-Vilalta J, Mayr S, Mencuccini M, Mitchell PJ, Nardini A, Pittermann J, Pratt RB, Sperry JS, Westoby M, Wright IJ &amp; Zanne AE (2012) Global convergence in the vulnerability of forests to drought. </w:t>
      </w:r>
      <w:r w:rsidRPr="002C2E95">
        <w:rPr>
          <w:i/>
        </w:rPr>
        <w:t>Nature</w:t>
      </w:r>
      <w:r w:rsidRPr="002C2E95">
        <w:t xml:space="preserve"> 491, 752-755.</w:t>
      </w:r>
    </w:p>
    <w:p w14:paraId="17722AF4" w14:textId="3A1731A9" w:rsidR="002C2E95" w:rsidRPr="002C2E95" w:rsidRDefault="002C2E95" w:rsidP="002C2E95">
      <w:pPr>
        <w:pStyle w:val="EndNoteBibliography"/>
        <w:spacing w:after="240"/>
        <w:ind w:left="720" w:hanging="720"/>
      </w:pPr>
      <w:r w:rsidRPr="002C2E95">
        <w:t xml:space="preserve">Clarence Valley Bushfire Management Committee (2008) </w:t>
      </w:r>
      <w:r w:rsidRPr="002C2E95">
        <w:rPr>
          <w:i/>
        </w:rPr>
        <w:t>Clarence Valley Bushfire Management Plan</w:t>
      </w:r>
      <w:r w:rsidRPr="002C2E95">
        <w:t>. Clarence Valley Bushfire Management Committee</w:t>
      </w:r>
      <w:r w:rsidR="00556FC4">
        <w:t>.</w:t>
      </w:r>
    </w:p>
    <w:p w14:paraId="022058DF" w14:textId="26D8F8BD" w:rsidR="002C2E95" w:rsidRPr="002C2E95" w:rsidRDefault="002C2E95" w:rsidP="002C2E95">
      <w:pPr>
        <w:pStyle w:val="EndNoteBibliography"/>
        <w:spacing w:after="240"/>
        <w:ind w:left="720" w:hanging="720"/>
      </w:pPr>
      <w:r w:rsidRPr="002C2E95">
        <w:t xml:space="preserve">Clarke H, Pitman AJ, Kala J, Carouge C, Haverd V &amp; Evans JP (2016) An investigation of future fuel load and fire weather in Australia. </w:t>
      </w:r>
      <w:r w:rsidRPr="002C2E95">
        <w:rPr>
          <w:i/>
        </w:rPr>
        <w:t>Climatic Change</w:t>
      </w:r>
      <w:r w:rsidRPr="002C2E95">
        <w:t xml:space="preserve"> 139, 591-605.</w:t>
      </w:r>
    </w:p>
    <w:p w14:paraId="5F0F3227" w14:textId="6CCB240E" w:rsidR="002C2E95" w:rsidRPr="002C2E95" w:rsidRDefault="002C2E95" w:rsidP="002C2E95">
      <w:pPr>
        <w:pStyle w:val="EndNoteBibliography"/>
        <w:spacing w:after="240"/>
        <w:ind w:left="720" w:hanging="720"/>
      </w:pPr>
      <w:r w:rsidRPr="002C2E95">
        <w:t xml:space="preserve">Commander LE, Coates D, Broadhurst L, Offord CA, Makinson RO &amp; Matthes M (2018) </w:t>
      </w:r>
      <w:r w:rsidRPr="002C2E95">
        <w:rPr>
          <w:i/>
        </w:rPr>
        <w:t>Guidelines for the translocation of threatened plants in Australia</w:t>
      </w:r>
      <w:r w:rsidRPr="002C2E95">
        <w:t>. 3rd edn. Australian Network for Plant Conservation, Canberra.</w:t>
      </w:r>
    </w:p>
    <w:p w14:paraId="646EB89B" w14:textId="490BBAD3" w:rsidR="002C2E95" w:rsidRPr="002C2E95" w:rsidRDefault="002C2E95" w:rsidP="002C2E95">
      <w:pPr>
        <w:pStyle w:val="EndNoteBibliography"/>
        <w:spacing w:after="240"/>
        <w:ind w:left="720" w:hanging="720"/>
      </w:pPr>
      <w:r w:rsidRPr="002C2E95">
        <w:t xml:space="preserve">CSIRO </w:t>
      </w:r>
      <w:r w:rsidR="00556FC4">
        <w:t>(</w:t>
      </w:r>
      <w:r w:rsidR="00556FC4" w:rsidRPr="00556FC4">
        <w:t>Commonwealth Scientific and Industrial Research Organisation</w:t>
      </w:r>
      <w:r w:rsidR="00556FC4">
        <w:t xml:space="preserve">) </w:t>
      </w:r>
      <w:r w:rsidRPr="002C2E95">
        <w:t xml:space="preserve">&amp; Bureau of Meteorology (2015) </w:t>
      </w:r>
      <w:r w:rsidRPr="002C2E95">
        <w:rPr>
          <w:i/>
        </w:rPr>
        <w:t>Climate change in Australia information for Australia’s natural resource management regions: technical report</w:t>
      </w:r>
      <w:r w:rsidRPr="002C2E95">
        <w:t>. CSIRO and Bureau of Meteorology, Australia.</w:t>
      </w:r>
    </w:p>
    <w:p w14:paraId="4F239F65" w14:textId="620B0612" w:rsidR="002C2E95" w:rsidRPr="002C2E95" w:rsidRDefault="002C2E95" w:rsidP="002C2E95">
      <w:pPr>
        <w:pStyle w:val="EndNoteBibliography"/>
        <w:spacing w:after="240"/>
        <w:ind w:left="720" w:hanging="720"/>
      </w:pPr>
      <w:r w:rsidRPr="002C2E95">
        <w:t xml:space="preserve">D'Antonio CM &amp; Vitousek PM (1992) Biological invasions by exotic grasses, the grass/fire cycle, and global change. </w:t>
      </w:r>
      <w:r w:rsidRPr="002C2E95">
        <w:rPr>
          <w:i/>
        </w:rPr>
        <w:t>Annual Review of Ecology and Systematics</w:t>
      </w:r>
      <w:r w:rsidRPr="002C2E95">
        <w:t xml:space="preserve"> 23, 63-87.</w:t>
      </w:r>
    </w:p>
    <w:p w14:paraId="09B8E6F8" w14:textId="691CA8E8" w:rsidR="002C2E95" w:rsidRPr="002C2E95" w:rsidRDefault="002C2E95" w:rsidP="002C2E95">
      <w:pPr>
        <w:pStyle w:val="EndNoteBibliography"/>
        <w:spacing w:after="240"/>
        <w:ind w:left="720" w:hanging="720"/>
      </w:pPr>
      <w:r w:rsidRPr="002C2E95">
        <w:t xml:space="preserve">DECCW </w:t>
      </w:r>
      <w:r w:rsidR="00030ACF">
        <w:t>(</w:t>
      </w:r>
      <w:r w:rsidR="00030ACF" w:rsidRPr="00030ACF">
        <w:t>Department of Environment, Climate Change and Water</w:t>
      </w:r>
      <w:r w:rsidR="00030ACF">
        <w:t xml:space="preserve">) </w:t>
      </w:r>
      <w:r w:rsidRPr="002C2E95">
        <w:t xml:space="preserve">(2010) </w:t>
      </w:r>
      <w:r w:rsidRPr="002C2E95">
        <w:rPr>
          <w:i/>
        </w:rPr>
        <w:t>Northern Rivers regional biodiversity management plan</w:t>
      </w:r>
      <w:r w:rsidRPr="002C2E95">
        <w:t>. Department of Environment, Climate Change and Water (NSW), Sydney.</w:t>
      </w:r>
    </w:p>
    <w:p w14:paraId="65113C77" w14:textId="77777777" w:rsidR="00A222D1" w:rsidRDefault="00A222D1" w:rsidP="00A222D1">
      <w:pPr>
        <w:ind w:left="720" w:hanging="720"/>
      </w:pPr>
      <w:r w:rsidRPr="00BD4332">
        <w:t xml:space="preserve">De </w:t>
      </w:r>
      <w:proofErr w:type="spellStart"/>
      <w:r w:rsidRPr="00BD4332">
        <w:t>Kauwe</w:t>
      </w:r>
      <w:proofErr w:type="spellEnd"/>
      <w:r w:rsidRPr="00BD4332">
        <w:t xml:space="preserve"> MG, </w:t>
      </w:r>
      <w:proofErr w:type="spellStart"/>
      <w:r w:rsidRPr="00BD4332">
        <w:t>Medlyn</w:t>
      </w:r>
      <w:proofErr w:type="spellEnd"/>
      <w:r w:rsidRPr="00BD4332">
        <w:t xml:space="preserve"> BE, </w:t>
      </w:r>
      <w:proofErr w:type="spellStart"/>
      <w:r w:rsidRPr="00BD4332">
        <w:t>Ukkola</w:t>
      </w:r>
      <w:proofErr w:type="spellEnd"/>
      <w:r w:rsidRPr="00BD4332">
        <w:t xml:space="preserve"> AM, Mu M, Sabot ME, Pitman AJ, Meir P, </w:t>
      </w:r>
      <w:proofErr w:type="spellStart"/>
      <w:r w:rsidRPr="00BD4332">
        <w:t>Cernusak</w:t>
      </w:r>
      <w:proofErr w:type="spellEnd"/>
      <w:r w:rsidRPr="00BD4332">
        <w:t xml:space="preserve"> LA, Rifai SW, </w:t>
      </w:r>
      <w:proofErr w:type="spellStart"/>
      <w:r w:rsidRPr="00BD4332">
        <w:t>Choat</w:t>
      </w:r>
      <w:proofErr w:type="spellEnd"/>
      <w:r w:rsidRPr="00BD4332">
        <w:t xml:space="preserve"> B, Tissue DT, Blackman CJ, </w:t>
      </w:r>
      <w:proofErr w:type="spellStart"/>
      <w:r w:rsidRPr="00BD4332">
        <w:t>Ximeng</w:t>
      </w:r>
      <w:proofErr w:type="spellEnd"/>
      <w:r w:rsidRPr="00BD4332">
        <w:t xml:space="preserve"> L, Roderick M, &amp; Briggs PR (2020) Identifying areas at risk of drought‐induced tree mortality across South‐Eastern Australia. </w:t>
      </w:r>
      <w:r w:rsidRPr="00BD4332">
        <w:rPr>
          <w:i/>
          <w:iCs/>
        </w:rPr>
        <w:t>Global Change Biology</w:t>
      </w:r>
      <w:r w:rsidRPr="00BD4332">
        <w:t>, 26, 10, 5716–5733.</w:t>
      </w:r>
    </w:p>
    <w:p w14:paraId="20C674B0" w14:textId="55254B92" w:rsidR="002C2E95" w:rsidRPr="002C2E95" w:rsidRDefault="002C2E95" w:rsidP="002C2E95">
      <w:pPr>
        <w:pStyle w:val="EndNoteBibliography"/>
        <w:spacing w:after="240"/>
        <w:ind w:left="720" w:hanging="720"/>
      </w:pPr>
      <w:r w:rsidRPr="002C2E95">
        <w:t>DOEE</w:t>
      </w:r>
      <w:r w:rsidR="00C97B18">
        <w:t xml:space="preserve"> (</w:t>
      </w:r>
      <w:r w:rsidR="00C97B18" w:rsidRPr="00C97B18">
        <w:t>Department of the Environment and Energy</w:t>
      </w:r>
      <w:r w:rsidR="00C97B18">
        <w:t>)</w:t>
      </w:r>
      <w:r w:rsidRPr="002C2E95">
        <w:t xml:space="preserve"> (2018) </w:t>
      </w:r>
      <w:r w:rsidRPr="002C2E95">
        <w:rPr>
          <w:i/>
        </w:rPr>
        <w:t>Threat abatement plan for disease in natural ecosystems caused by Ph</w:t>
      </w:r>
      <w:r w:rsidRPr="00C97B18">
        <w:rPr>
          <w:iCs/>
        </w:rPr>
        <w:t>ytophthora cinnamomi.</w:t>
      </w:r>
      <w:r w:rsidRPr="002C2E95">
        <w:t xml:space="preserve"> </w:t>
      </w:r>
      <w:r w:rsidR="00C97B18" w:rsidRPr="00C97B18">
        <w:t>Department of the Environment and Energy</w:t>
      </w:r>
      <w:r w:rsidR="00C97B18">
        <w:t xml:space="preserve"> (Commonwealth)</w:t>
      </w:r>
      <w:r w:rsidRPr="002C2E95">
        <w:t>, Canberra.</w:t>
      </w:r>
    </w:p>
    <w:p w14:paraId="1411857C" w14:textId="7878590C" w:rsidR="002C2E95" w:rsidRPr="002C2E95" w:rsidRDefault="002C2E95" w:rsidP="002C2E95">
      <w:pPr>
        <w:pStyle w:val="EndNoteBibliography"/>
        <w:spacing w:after="240"/>
        <w:ind w:left="720" w:hanging="720"/>
      </w:pPr>
      <w:r w:rsidRPr="002C2E95">
        <w:t xml:space="preserve">Dowdy AJ (2018) Climatological variability of fire weather in Australia. </w:t>
      </w:r>
      <w:r w:rsidRPr="002C2E95">
        <w:rPr>
          <w:i/>
        </w:rPr>
        <w:t>Journal of Applied Meteorology and Climatology</w:t>
      </w:r>
      <w:r w:rsidRPr="002C2E95">
        <w:t xml:space="preserve"> 57, 221-234.</w:t>
      </w:r>
    </w:p>
    <w:p w14:paraId="7DA3D56D" w14:textId="3653347A" w:rsidR="002C2E95" w:rsidRPr="002C2E95" w:rsidRDefault="002C2E95" w:rsidP="002C2E95">
      <w:pPr>
        <w:pStyle w:val="EndNoteBibliography"/>
        <w:spacing w:after="240"/>
        <w:ind w:left="720" w:hanging="720"/>
      </w:pPr>
      <w:r w:rsidRPr="002C2E95">
        <w:t xml:space="preserve">Dowdy AJ, Ye H, Pepler A, Thatcher M, Osbrough SL, Evans JP, Di Virgilio G &amp; McCarthy N (2019) Future changes in extreme weather and pyroconvection risk factors for Australian wildfires. </w:t>
      </w:r>
      <w:r w:rsidRPr="002C2E95">
        <w:rPr>
          <w:i/>
        </w:rPr>
        <w:t>Scientific Reports</w:t>
      </w:r>
      <w:r w:rsidRPr="002C2E95">
        <w:t xml:space="preserve"> 9, 10073.</w:t>
      </w:r>
    </w:p>
    <w:p w14:paraId="52E1D8FA" w14:textId="17E88E6A" w:rsidR="002C2E95" w:rsidRPr="002C2E95" w:rsidRDefault="002C2E95" w:rsidP="002C2E95">
      <w:pPr>
        <w:pStyle w:val="EndNoteBibliography"/>
        <w:spacing w:after="240"/>
        <w:ind w:left="720" w:hanging="720"/>
      </w:pPr>
      <w:r w:rsidRPr="002C2E95">
        <w:t xml:space="preserve">DPI </w:t>
      </w:r>
      <w:r w:rsidR="00F94D56">
        <w:t>(</w:t>
      </w:r>
      <w:r w:rsidR="00F94D56" w:rsidRPr="00F94D56">
        <w:t>Department of Primary Industries</w:t>
      </w:r>
      <w:r w:rsidR="00F94D56">
        <w:t xml:space="preserve">) </w:t>
      </w:r>
      <w:r w:rsidRPr="002C2E95">
        <w:t xml:space="preserve">(2020) Drought in NSW. Accessed: 14 Spetember 2020 Available at: </w:t>
      </w:r>
      <w:hyperlink r:id="rId37" w:history="1">
        <w:r w:rsidR="00CA223D" w:rsidRPr="0036753F">
          <w:rPr>
            <w:rStyle w:val="Hyperlink"/>
          </w:rPr>
          <w:t>https://www.dpi.nsw.gov.au/climate-and-emergencies/droughthub/drought-in-nsw</w:t>
        </w:r>
      </w:hyperlink>
      <w:r w:rsidR="00CA223D">
        <w:t xml:space="preserve"> </w:t>
      </w:r>
    </w:p>
    <w:p w14:paraId="7F9120DD" w14:textId="4E11B5B4" w:rsidR="002C2E95" w:rsidRPr="002C2E95" w:rsidRDefault="002C2E95" w:rsidP="002C2E95">
      <w:pPr>
        <w:pStyle w:val="EndNoteBibliography"/>
        <w:spacing w:after="240"/>
        <w:ind w:left="720" w:hanging="720"/>
      </w:pPr>
      <w:r w:rsidRPr="002C2E95">
        <w:t xml:space="preserve">DPIE </w:t>
      </w:r>
      <w:r w:rsidR="00CA223D">
        <w:t>(</w:t>
      </w:r>
      <w:r w:rsidR="00CA223D" w:rsidRPr="002C2E95">
        <w:t>Department of Planning, Industry and Environment</w:t>
      </w:r>
      <w:r w:rsidR="00CA223D">
        <w:t xml:space="preserve">) </w:t>
      </w:r>
      <w:r w:rsidRPr="002C2E95">
        <w:t>(2020a</w:t>
      </w:r>
      <w:r w:rsidR="00CA223D">
        <w:t>)</w:t>
      </w:r>
      <w:r w:rsidRPr="002C2E95">
        <w:t xml:space="preserve"> Banyabba grevillea - profile. Accessed: Available at: </w:t>
      </w:r>
      <w:hyperlink r:id="rId38" w:history="1">
        <w:r w:rsidR="00CA223D" w:rsidRPr="0036753F">
          <w:rPr>
            <w:rStyle w:val="Hyperlink"/>
          </w:rPr>
          <w:t>https://www.environment.nsw.gov.au/threatenedSpeciesApp/profile.aspx?id=10359</w:t>
        </w:r>
      </w:hyperlink>
      <w:r w:rsidR="00CA223D">
        <w:t xml:space="preserve"> </w:t>
      </w:r>
    </w:p>
    <w:p w14:paraId="4C59AC65" w14:textId="4A5C2379" w:rsidR="002C2E95" w:rsidRPr="002C2E95" w:rsidRDefault="002C2E95" w:rsidP="00677BE0">
      <w:pPr>
        <w:pStyle w:val="EndNoteBibliography"/>
        <w:keepLines/>
        <w:spacing w:after="240"/>
        <w:ind w:left="720" w:hanging="720"/>
      </w:pPr>
      <w:r w:rsidRPr="002C2E95">
        <w:lastRenderedPageBreak/>
        <w:t xml:space="preserve">DPIE </w:t>
      </w:r>
      <w:r w:rsidR="00CA223D">
        <w:t>(</w:t>
      </w:r>
      <w:r w:rsidR="00CA223D" w:rsidRPr="002C2E95">
        <w:t>Department of Planning, Industry and Environment</w:t>
      </w:r>
      <w:r w:rsidR="00CA223D">
        <w:t xml:space="preserve">) </w:t>
      </w:r>
      <w:r w:rsidRPr="002C2E95">
        <w:t xml:space="preserve">(2020b) Banyabba grevillea - south eastern Queensland: distribution and vegetation associations. Accessed: 25 September 2020 Available at: </w:t>
      </w:r>
      <w:hyperlink r:id="rId39" w:history="1">
        <w:r w:rsidR="00CA223D" w:rsidRPr="0036753F">
          <w:rPr>
            <w:rStyle w:val="Hyperlink"/>
          </w:rPr>
          <w:t>https://www.environment.nsw.gov.au/threatenedSpeciesApp/profileData.aspx?id=10359&amp;cmaName=South+Eastern+Queensland</w:t>
        </w:r>
      </w:hyperlink>
      <w:r w:rsidR="00CA223D">
        <w:t xml:space="preserve"> </w:t>
      </w:r>
    </w:p>
    <w:p w14:paraId="18E0AB02" w14:textId="4BC9B8B7" w:rsidR="002C2E95" w:rsidRPr="002C2E95" w:rsidRDefault="002C2E95" w:rsidP="002C2E95">
      <w:pPr>
        <w:pStyle w:val="EndNoteBibliography"/>
        <w:spacing w:after="240"/>
        <w:ind w:left="720" w:hanging="720"/>
      </w:pPr>
      <w:r w:rsidRPr="002C2E95">
        <w:t xml:space="preserve">DPIE </w:t>
      </w:r>
      <w:r w:rsidR="00CA223D">
        <w:t>(</w:t>
      </w:r>
      <w:r w:rsidR="00CA223D" w:rsidRPr="002C2E95">
        <w:t>Department of Planning, Industry and Environment</w:t>
      </w:r>
      <w:r w:rsidR="00CA223D">
        <w:t xml:space="preserve">) </w:t>
      </w:r>
      <w:r w:rsidRPr="002C2E95">
        <w:t xml:space="preserve">(2020c) </w:t>
      </w:r>
      <w:r w:rsidRPr="002C2E95">
        <w:rPr>
          <w:i/>
        </w:rPr>
        <w:t xml:space="preserve">DPIE fire extent and severity mapping </w:t>
      </w:r>
      <w:r w:rsidRPr="002C2E95">
        <w:t>Department of Planning, Industry and Environment (NSW), Sydney.</w:t>
      </w:r>
    </w:p>
    <w:p w14:paraId="76ED113D" w14:textId="2A213869" w:rsidR="002C2E95" w:rsidRPr="002C2E95" w:rsidRDefault="002C2E95" w:rsidP="002C2E95">
      <w:pPr>
        <w:pStyle w:val="EndNoteBibliography"/>
        <w:spacing w:after="240"/>
        <w:ind w:left="720" w:hanging="720"/>
      </w:pPr>
      <w:r w:rsidRPr="002C2E95">
        <w:t xml:space="preserve">DPIE </w:t>
      </w:r>
      <w:r w:rsidR="00CA223D">
        <w:t>(</w:t>
      </w:r>
      <w:r w:rsidR="00CA223D" w:rsidRPr="002C2E95">
        <w:t>Department of Planning, Industry and Environment</w:t>
      </w:r>
      <w:r w:rsidR="00CA223D">
        <w:t xml:space="preserve">) </w:t>
      </w:r>
      <w:r w:rsidRPr="002C2E95">
        <w:t xml:space="preserve">(2020d) </w:t>
      </w:r>
      <w:r w:rsidRPr="002C2E95">
        <w:rPr>
          <w:i/>
        </w:rPr>
        <w:t xml:space="preserve">Key threatening process strategy for infection of native plants by </w:t>
      </w:r>
      <w:r w:rsidRPr="00CA223D">
        <w:rPr>
          <w:iCs/>
        </w:rPr>
        <w:t>Phytophthora cinnamomi</w:t>
      </w:r>
      <w:r w:rsidRPr="002C2E95">
        <w:t>. Department of Planning, Industry and Environment (NSW), Sydney.</w:t>
      </w:r>
    </w:p>
    <w:p w14:paraId="72E44D4E" w14:textId="07BA88E9" w:rsidR="002C2E95" w:rsidRPr="002C2E95" w:rsidRDefault="002C2E95" w:rsidP="002C2E95">
      <w:pPr>
        <w:pStyle w:val="EndNoteBibliography"/>
        <w:spacing w:after="240"/>
        <w:ind w:left="720" w:hanging="720"/>
      </w:pPr>
      <w:r w:rsidRPr="002C2E95">
        <w:t xml:space="preserve">DPIE </w:t>
      </w:r>
      <w:r w:rsidR="00CA223D">
        <w:t>(</w:t>
      </w:r>
      <w:r w:rsidR="00CA223D" w:rsidRPr="002C2E95">
        <w:t>Department of Planning, Industry and Environment</w:t>
      </w:r>
      <w:r w:rsidR="00CA223D">
        <w:t xml:space="preserve">) </w:t>
      </w:r>
      <w:r w:rsidRPr="002C2E95">
        <w:t xml:space="preserve">(2021) Banyabba </w:t>
      </w:r>
      <w:r w:rsidR="00CA223D">
        <w:t>g</w:t>
      </w:r>
      <w:r w:rsidRPr="002C2E95">
        <w:t>revillea (</w:t>
      </w:r>
      <w:r w:rsidRPr="002C2E95">
        <w:rPr>
          <w:i/>
        </w:rPr>
        <w:t>Grevillea banyabba</w:t>
      </w:r>
      <w:r w:rsidRPr="002C2E95">
        <w:t xml:space="preserve">): Saving our </w:t>
      </w:r>
      <w:r w:rsidR="00CA223D">
        <w:t>s</w:t>
      </w:r>
      <w:r w:rsidRPr="002C2E95">
        <w:t xml:space="preserve">pecies strategy. Accessed: 1 September 2021 Available at: </w:t>
      </w:r>
      <w:hyperlink r:id="rId40" w:history="1">
        <w:r w:rsidR="00CA223D" w:rsidRPr="0036753F">
          <w:rPr>
            <w:rStyle w:val="Hyperlink"/>
          </w:rPr>
          <w:t>https://www.environment.nsw.gov.au/savingourspeciesapp/project.aspx?ProfileID=10359</w:t>
        </w:r>
      </w:hyperlink>
      <w:r w:rsidR="00CA223D">
        <w:t xml:space="preserve"> </w:t>
      </w:r>
    </w:p>
    <w:p w14:paraId="2ED72444" w14:textId="07B1ACEF" w:rsidR="006318BF" w:rsidRDefault="006318BF" w:rsidP="006318BF">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15 April</w:t>
      </w:r>
      <w:r w:rsidRPr="006318BF">
        <w:t xml:space="preserve"> 2021. </w:t>
      </w:r>
      <w:r>
        <w:t xml:space="preserve">Department of </w:t>
      </w:r>
      <w:r w:rsidRPr="002C2E95">
        <w:rPr>
          <w:noProof/>
        </w:rPr>
        <w:t>Planning, Industry and Environment</w:t>
      </w:r>
      <w:r>
        <w:t xml:space="preserve"> (NSW).</w:t>
      </w:r>
    </w:p>
    <w:p w14:paraId="40E6858C" w14:textId="4F9B0222" w:rsidR="006318BF" w:rsidRDefault="006318BF" w:rsidP="006318BF">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24 June</w:t>
      </w:r>
      <w:r w:rsidRPr="006318BF">
        <w:t xml:space="preserve"> 2021. </w:t>
      </w:r>
      <w:r>
        <w:t xml:space="preserve">Department of </w:t>
      </w:r>
      <w:r w:rsidRPr="002C2E95">
        <w:rPr>
          <w:noProof/>
        </w:rPr>
        <w:t>Planning, Industry and Environment</w:t>
      </w:r>
      <w:r>
        <w:t xml:space="preserve"> (NSW).</w:t>
      </w:r>
    </w:p>
    <w:p w14:paraId="0A435F03" w14:textId="7ABB4921" w:rsidR="006318BF" w:rsidRDefault="006318BF" w:rsidP="006318BF">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6 July</w:t>
      </w:r>
      <w:r w:rsidRPr="006318BF">
        <w:t xml:space="preserve"> 2021. </w:t>
      </w:r>
      <w:r>
        <w:t xml:space="preserve">Department of </w:t>
      </w:r>
      <w:r w:rsidRPr="002C2E95">
        <w:rPr>
          <w:noProof/>
        </w:rPr>
        <w:t>Planning, Industry and Environment</w:t>
      </w:r>
      <w:r>
        <w:t xml:space="preserve"> (NSW).</w:t>
      </w:r>
    </w:p>
    <w:p w14:paraId="3270D03E" w14:textId="4254DDB8" w:rsidR="006318BF" w:rsidRDefault="006318BF" w:rsidP="006318BF">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8 September</w:t>
      </w:r>
      <w:r w:rsidRPr="006318BF">
        <w:t xml:space="preserve"> 2021. </w:t>
      </w:r>
      <w:r>
        <w:t xml:space="preserve">Department of </w:t>
      </w:r>
      <w:r w:rsidRPr="002C2E95">
        <w:rPr>
          <w:noProof/>
        </w:rPr>
        <w:t>Planning, Industry and Environment</w:t>
      </w:r>
      <w:r>
        <w:t xml:space="preserve"> (NSW).</w:t>
      </w:r>
    </w:p>
    <w:p w14:paraId="46440C4A" w14:textId="1B9DCFE0" w:rsidR="006318BF" w:rsidRPr="006318BF" w:rsidRDefault="006318BF" w:rsidP="006318BF">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15 September</w:t>
      </w:r>
      <w:r w:rsidRPr="006318BF">
        <w:t xml:space="preserve"> 2021. </w:t>
      </w:r>
      <w:r>
        <w:t xml:space="preserve">Department of </w:t>
      </w:r>
      <w:r w:rsidRPr="002C2E95">
        <w:rPr>
          <w:noProof/>
        </w:rPr>
        <w:t>Planning, Industry and Environment</w:t>
      </w:r>
      <w:r>
        <w:t xml:space="preserve"> (NSW).</w:t>
      </w:r>
    </w:p>
    <w:p w14:paraId="17E480E8" w14:textId="0C51A16C" w:rsidR="00550481" w:rsidRPr="006318BF" w:rsidRDefault="00550481" w:rsidP="00550481">
      <w:pPr>
        <w:ind w:left="720" w:hanging="720"/>
      </w:pPr>
      <w:r>
        <w:t>DPIE</w:t>
      </w:r>
      <w:r w:rsidRPr="001F1546">
        <w:t xml:space="preserve"> </w:t>
      </w:r>
      <w:r>
        <w:t xml:space="preserve">(Department of </w:t>
      </w:r>
      <w:r w:rsidRPr="002C2E95">
        <w:rPr>
          <w:noProof/>
        </w:rPr>
        <w:t>Planning, Industry and Environment</w:t>
      </w:r>
      <w:r>
        <w:t xml:space="preserve">) (2021) </w:t>
      </w:r>
      <w:r w:rsidRPr="006318BF">
        <w:t xml:space="preserve">Personal communication by email, </w:t>
      </w:r>
      <w:r>
        <w:t>1 November</w:t>
      </w:r>
      <w:r w:rsidRPr="006318BF">
        <w:t xml:space="preserve"> 2021. </w:t>
      </w:r>
      <w:r>
        <w:t xml:space="preserve">Department of </w:t>
      </w:r>
      <w:r w:rsidRPr="002C2E95">
        <w:rPr>
          <w:noProof/>
        </w:rPr>
        <w:t>Planning, Industry and Environment</w:t>
      </w:r>
      <w:r>
        <w:t xml:space="preserve"> (NSW).</w:t>
      </w:r>
    </w:p>
    <w:p w14:paraId="516A0F6E" w14:textId="36C9A3F6" w:rsidR="002C2E95" w:rsidRPr="002C2E95" w:rsidRDefault="002C2E95" w:rsidP="002C2E95">
      <w:pPr>
        <w:pStyle w:val="EndNoteBibliography"/>
        <w:spacing w:after="240"/>
        <w:ind w:left="720" w:hanging="720"/>
      </w:pPr>
      <w:r w:rsidRPr="002C2E95">
        <w:t xml:space="preserve">DSE </w:t>
      </w:r>
      <w:r w:rsidR="00CA223D">
        <w:t>(</w:t>
      </w:r>
      <w:r w:rsidR="00CA223D" w:rsidRPr="002C2E95">
        <w:t>Department of Sustainability and Environment</w:t>
      </w:r>
      <w:r w:rsidR="00CA223D">
        <w:t xml:space="preserve">) </w:t>
      </w:r>
      <w:r w:rsidRPr="002C2E95">
        <w:t xml:space="preserve">(2009) </w:t>
      </w:r>
      <w:r w:rsidRPr="002C2E95">
        <w:rPr>
          <w:i/>
        </w:rPr>
        <w:t xml:space="preserve">Victoria's public land </w:t>
      </w:r>
      <w:r w:rsidRPr="00CA223D">
        <w:rPr>
          <w:iCs/>
        </w:rPr>
        <w:t>Phytophthora cinnamomi</w:t>
      </w:r>
      <w:r w:rsidRPr="002C2E95">
        <w:rPr>
          <w:i/>
        </w:rPr>
        <w:t xml:space="preserve"> management strategy</w:t>
      </w:r>
      <w:r w:rsidRPr="002C2E95">
        <w:t>. Department of Sustainability and Environment (VIC), East Melbourne.</w:t>
      </w:r>
    </w:p>
    <w:p w14:paraId="3E5FB9F4" w14:textId="0F048F07" w:rsidR="002C2E95" w:rsidRPr="002C2E95" w:rsidRDefault="002C2E95" w:rsidP="002C2E95">
      <w:pPr>
        <w:pStyle w:val="EndNoteBibliography"/>
        <w:spacing w:after="240"/>
        <w:ind w:left="720" w:hanging="720"/>
      </w:pPr>
      <w:r w:rsidRPr="002C2E95">
        <w:t xml:space="preserve">Dutta R, Das A &amp; Aryal J (2016) Big data integration shows Australian bush-fire frequency is increasing significantly. </w:t>
      </w:r>
      <w:r w:rsidRPr="002C2E95">
        <w:rPr>
          <w:i/>
        </w:rPr>
        <w:t>Royal Society open science</w:t>
      </w:r>
      <w:r w:rsidRPr="002C2E95">
        <w:t xml:space="preserve"> 3, 150241-150241.</w:t>
      </w:r>
    </w:p>
    <w:p w14:paraId="717DC58A" w14:textId="3CEFADD9" w:rsidR="002C2E95" w:rsidRPr="002C2E95" w:rsidRDefault="002C2E95" w:rsidP="002C2E95">
      <w:pPr>
        <w:pStyle w:val="EndNoteBibliography"/>
        <w:spacing w:after="240"/>
        <w:ind w:left="720" w:hanging="720"/>
      </w:pPr>
      <w:r w:rsidRPr="002C2E95">
        <w:t xml:space="preserve">Edwards W &amp; Whelan R (1995) The size, distribution and germination requirements of the soil-stored seedbank of </w:t>
      </w:r>
      <w:r w:rsidRPr="002C2E95">
        <w:rPr>
          <w:i/>
        </w:rPr>
        <w:t xml:space="preserve">Grevillea barklyana </w:t>
      </w:r>
      <w:r w:rsidRPr="002C2E95">
        <w:t xml:space="preserve">(Proteaceae). </w:t>
      </w:r>
      <w:r w:rsidRPr="002C2E95">
        <w:rPr>
          <w:i/>
        </w:rPr>
        <w:t>Australian Journal of Ecology</w:t>
      </w:r>
      <w:r w:rsidRPr="002C2E95">
        <w:t xml:space="preserve"> 20, 54.</w:t>
      </w:r>
    </w:p>
    <w:p w14:paraId="004F9C04" w14:textId="51ED4169" w:rsidR="002C2E95" w:rsidRPr="002C2E95" w:rsidRDefault="002C2E95" w:rsidP="002C2E95">
      <w:pPr>
        <w:pStyle w:val="EndNoteBibliography"/>
        <w:spacing w:after="240"/>
        <w:ind w:left="720" w:hanging="720"/>
      </w:pPr>
      <w:r w:rsidRPr="002C2E95">
        <w:t xml:space="preserve">Enright NJ, Fontaine JB, Bowman DM, Bradstock RA &amp; Williams RJ (2015) Interval squeeze: altered fire regimes and demographic responses interact to threaten woody species persistence as climate changes. </w:t>
      </w:r>
      <w:r w:rsidRPr="002C2E95">
        <w:rPr>
          <w:i/>
        </w:rPr>
        <w:t>Frontiers in Ecology and the Environment</w:t>
      </w:r>
      <w:r w:rsidRPr="002C2E95">
        <w:t xml:space="preserve"> 13, 265-272.</w:t>
      </w:r>
    </w:p>
    <w:p w14:paraId="45FD9219" w14:textId="636A1DC2" w:rsidR="002C2E95" w:rsidRPr="002C2E95" w:rsidRDefault="002C2E95" w:rsidP="00B32C9A">
      <w:pPr>
        <w:pStyle w:val="EndNoteBibliography"/>
        <w:keepNext/>
        <w:keepLines/>
        <w:spacing w:after="240"/>
        <w:ind w:left="720" w:hanging="720"/>
      </w:pPr>
      <w:r w:rsidRPr="002C2E95">
        <w:lastRenderedPageBreak/>
        <w:t xml:space="preserve">Environment Australia (1999) </w:t>
      </w:r>
      <w:r w:rsidRPr="002C2E95">
        <w:rPr>
          <w:i/>
        </w:rPr>
        <w:t xml:space="preserve">Response to disturbance of forest species in CRA regions in NSW - </w:t>
      </w:r>
      <w:r w:rsidR="00F94D56">
        <w:rPr>
          <w:i/>
        </w:rPr>
        <w:t>u</w:t>
      </w:r>
      <w:r w:rsidRPr="002C2E95">
        <w:rPr>
          <w:i/>
        </w:rPr>
        <w:t xml:space="preserve">pper </w:t>
      </w:r>
      <w:r w:rsidR="00F94D56">
        <w:rPr>
          <w:i/>
        </w:rPr>
        <w:t>n</w:t>
      </w:r>
      <w:r w:rsidRPr="002C2E95">
        <w:rPr>
          <w:i/>
        </w:rPr>
        <w:t xml:space="preserve">orth </w:t>
      </w:r>
      <w:r w:rsidR="00F94D56">
        <w:rPr>
          <w:i/>
        </w:rPr>
        <w:t>e</w:t>
      </w:r>
      <w:r w:rsidRPr="002C2E95">
        <w:rPr>
          <w:i/>
        </w:rPr>
        <w:t xml:space="preserve">ast and </w:t>
      </w:r>
      <w:r w:rsidR="00F94D56">
        <w:rPr>
          <w:i/>
        </w:rPr>
        <w:t>l</w:t>
      </w:r>
      <w:r w:rsidRPr="002C2E95">
        <w:rPr>
          <w:i/>
        </w:rPr>
        <w:t xml:space="preserve">ower </w:t>
      </w:r>
      <w:r w:rsidR="00F94D56">
        <w:rPr>
          <w:i/>
        </w:rPr>
        <w:t>n</w:t>
      </w:r>
      <w:r w:rsidRPr="002C2E95">
        <w:rPr>
          <w:i/>
        </w:rPr>
        <w:t xml:space="preserve">orth </w:t>
      </w:r>
      <w:r w:rsidR="00F94D56">
        <w:rPr>
          <w:i/>
        </w:rPr>
        <w:t>e</w:t>
      </w:r>
      <w:r w:rsidRPr="002C2E95">
        <w:rPr>
          <w:i/>
        </w:rPr>
        <w:t>ast regions. A project undertaken as part of the NSW comprehensive regional assessments. Project number NA 17/EH</w:t>
      </w:r>
      <w:r w:rsidRPr="002C2E95">
        <w:t>. A project undertaken for the Joint Commonwealth NSW Regional Forest Agreement Steering Committee as part of the NSW Comprehensive Regional Assessments, Sydney.</w:t>
      </w:r>
    </w:p>
    <w:p w14:paraId="01C4525F" w14:textId="6BF2BE84" w:rsidR="002C2E95" w:rsidRPr="002C2E95" w:rsidRDefault="002C2E95" w:rsidP="002C2E95">
      <w:pPr>
        <w:pStyle w:val="EndNoteBibliography"/>
        <w:spacing w:after="240"/>
        <w:ind w:left="720" w:hanging="720"/>
      </w:pPr>
      <w:r w:rsidRPr="002C2E95">
        <w:t xml:space="preserve">Fitzpatrick MC, Gove AD, Sanders NJ &amp; Dunn RR (2008) Climate change, plant migration and range collapse in a global biodiversity hotspot: the </w:t>
      </w:r>
      <w:r w:rsidRPr="002C2E95">
        <w:rPr>
          <w:i/>
        </w:rPr>
        <w:t xml:space="preserve">Banksia </w:t>
      </w:r>
      <w:r w:rsidRPr="002C2E95">
        <w:t>(</w:t>
      </w:r>
      <w:r w:rsidR="00F94D56">
        <w:t>P</w:t>
      </w:r>
      <w:r w:rsidRPr="002C2E95">
        <w:t xml:space="preserve">roteaceae) of Western Australia. </w:t>
      </w:r>
      <w:r w:rsidRPr="002C2E95">
        <w:rPr>
          <w:i/>
        </w:rPr>
        <w:t>Global Change Biology</w:t>
      </w:r>
      <w:r w:rsidRPr="002C2E95">
        <w:t xml:space="preserve"> 14, 1337–1352.</w:t>
      </w:r>
    </w:p>
    <w:p w14:paraId="7526DED3" w14:textId="5A83BFB1" w:rsidR="002C2E95" w:rsidRPr="002C2E95" w:rsidRDefault="002C2E95" w:rsidP="002C2E95">
      <w:pPr>
        <w:pStyle w:val="EndNoteBibliography"/>
        <w:spacing w:after="240"/>
        <w:ind w:left="720" w:hanging="720"/>
      </w:pPr>
      <w:r w:rsidRPr="002C2E95">
        <w:t xml:space="preserve">Flood J (1980) </w:t>
      </w:r>
      <w:r w:rsidRPr="002C2E95">
        <w:rPr>
          <w:i/>
        </w:rPr>
        <w:t>The moth hunters</w:t>
      </w:r>
      <w:r w:rsidRPr="002C2E95">
        <w:t>. Australian Institute of Aboriginal Studies, Canberra.</w:t>
      </w:r>
    </w:p>
    <w:p w14:paraId="4A081C7F" w14:textId="48B9D622" w:rsidR="002C2E95" w:rsidRPr="002C2E95" w:rsidRDefault="002C2E95" w:rsidP="002C2E95">
      <w:pPr>
        <w:pStyle w:val="EndNoteBibliography"/>
        <w:spacing w:after="240"/>
        <w:ind w:left="720" w:hanging="720"/>
      </w:pPr>
      <w:r w:rsidRPr="002C2E95">
        <w:t>Gallagher RV (2020) National prioritisation of Australian plants affected by the 2019-2020 bushfire season. Report to Department of Agriculture, Water and Environment</w:t>
      </w:r>
      <w:r w:rsidR="00F94D56">
        <w:t xml:space="preserve"> (Commonwealth)</w:t>
      </w:r>
      <w:r w:rsidRPr="002C2E95">
        <w:t xml:space="preserve">, Canberra. Accessed: 7 January 2021 Available at: </w:t>
      </w:r>
      <w:hyperlink r:id="rId41" w:history="1">
        <w:r w:rsidR="00F94D56" w:rsidRPr="0036753F">
          <w:rPr>
            <w:rStyle w:val="Hyperlink"/>
          </w:rPr>
          <w:t>http://www.environment.gov.au/biodiversity/bushfire-recovery/priority-plants</w:t>
        </w:r>
      </w:hyperlink>
      <w:r w:rsidR="00F94D56">
        <w:t xml:space="preserve"> </w:t>
      </w:r>
    </w:p>
    <w:p w14:paraId="6BB3B8C1" w14:textId="676C6013" w:rsidR="002C2E95" w:rsidRPr="002C2E95" w:rsidRDefault="002C2E95" w:rsidP="002C2E95">
      <w:pPr>
        <w:pStyle w:val="EndNoteBibliography"/>
        <w:spacing w:after="240"/>
        <w:ind w:left="720" w:hanging="720"/>
      </w:pPr>
      <w:r w:rsidRPr="002C2E95">
        <w:t xml:space="preserve">Gallagher RV, Allen S, Mackenzie BDE, Yates CJ, Gosper CR, Keith DA, Merow C, White MD, Wenk E, Maitner BS, He K, Adams VM &amp; Auld TD (2021) High fire frequency and the impact of the 2019–2020 megafires on Australian plant diversity. </w:t>
      </w:r>
      <w:r w:rsidRPr="002C2E95">
        <w:rPr>
          <w:i/>
        </w:rPr>
        <w:t>Diversity and Distributions</w:t>
      </w:r>
      <w:r w:rsidRPr="002C2E95">
        <w:t>, 1-14.</w:t>
      </w:r>
    </w:p>
    <w:p w14:paraId="7289431E" w14:textId="41902CFF" w:rsidR="002C2E95" w:rsidRPr="002C2E95" w:rsidRDefault="002C2E95" w:rsidP="002C2E95">
      <w:pPr>
        <w:pStyle w:val="EndNoteBibliography"/>
        <w:spacing w:after="240"/>
        <w:ind w:left="720" w:hanging="720"/>
      </w:pPr>
      <w:r w:rsidRPr="002C2E95">
        <w:t xml:space="preserve">Grigulis K, Lavorel S, Davies ID, Dossantos A, Lloret F &amp; Vilà M (2005) Landscape-scale positive feedbacks between fire and expansion of the large tussock grass, </w:t>
      </w:r>
      <w:r w:rsidRPr="002C2E95">
        <w:rPr>
          <w:i/>
        </w:rPr>
        <w:t>Ampelodesmos mauritanica</w:t>
      </w:r>
      <w:r w:rsidRPr="002C2E95">
        <w:t xml:space="preserve"> in Catalan shrublands. </w:t>
      </w:r>
      <w:r w:rsidRPr="002C2E95">
        <w:rPr>
          <w:i/>
        </w:rPr>
        <w:t>Global Change Biology</w:t>
      </w:r>
      <w:r w:rsidRPr="002C2E95">
        <w:t xml:space="preserve"> 11, 1042-1053.</w:t>
      </w:r>
    </w:p>
    <w:p w14:paraId="4A09BAA0" w14:textId="531B0E46" w:rsidR="002C2E95" w:rsidRPr="002C2E95" w:rsidRDefault="002C2E95" w:rsidP="002C2E95">
      <w:pPr>
        <w:pStyle w:val="EndNoteBibliography"/>
        <w:spacing w:after="240"/>
        <w:ind w:left="720" w:hanging="720"/>
      </w:pPr>
      <w:r w:rsidRPr="002C2E95">
        <w:t xml:space="preserve">Harden GJ (2002) </w:t>
      </w:r>
      <w:r w:rsidRPr="002C2E95">
        <w:rPr>
          <w:i/>
        </w:rPr>
        <w:t>Flora of New South Wales</w:t>
      </w:r>
      <w:r w:rsidRPr="002C2E95">
        <w:t>. UNSW, Sydney.</w:t>
      </w:r>
    </w:p>
    <w:p w14:paraId="0304FB7D" w14:textId="4FFF72E3" w:rsidR="002C2E95" w:rsidRPr="002C2E95" w:rsidRDefault="002C2E95" w:rsidP="002C2E95">
      <w:pPr>
        <w:pStyle w:val="EndNoteBibliography"/>
        <w:spacing w:after="240"/>
        <w:ind w:left="720" w:hanging="720"/>
      </w:pPr>
      <w:r w:rsidRPr="002C2E95">
        <w:t xml:space="preserve">Hobbs R (1991) Disturbance a precursor to weed invasion in native vegetation. </w:t>
      </w:r>
      <w:r w:rsidRPr="002C2E95">
        <w:rPr>
          <w:i/>
        </w:rPr>
        <w:t>Plant Protection Quarterly</w:t>
      </w:r>
      <w:r w:rsidRPr="002C2E95">
        <w:t xml:space="preserve"> 6, 99-104.</w:t>
      </w:r>
    </w:p>
    <w:p w14:paraId="0E844E2D" w14:textId="36C2C528" w:rsidR="002C2E95" w:rsidRPr="002C2E95" w:rsidRDefault="002C2E95" w:rsidP="002C2E95">
      <w:pPr>
        <w:pStyle w:val="EndNoteBibliography"/>
        <w:spacing w:after="240"/>
        <w:ind w:left="720" w:hanging="720"/>
      </w:pPr>
      <w:r w:rsidRPr="002C2E95">
        <w:t>Hobbs R (2002)</w:t>
      </w:r>
      <w:r w:rsidR="000C0D6A">
        <w:t xml:space="preserve"> </w:t>
      </w:r>
      <w:r w:rsidRPr="002C2E95">
        <w:t xml:space="preserve">Fire regimes and their effects in Australian temperate woodlands. In: Bradstock R, J Williams, A Gill (eds) </w:t>
      </w:r>
      <w:r w:rsidRPr="002C2E95">
        <w:rPr>
          <w:i/>
        </w:rPr>
        <w:t>Flammable Australia: the fire regimes and biodiversity of a continent</w:t>
      </w:r>
      <w:r w:rsidRPr="002C2E95">
        <w:t>. Cambridge University Press, UK. pp 305-326.</w:t>
      </w:r>
    </w:p>
    <w:p w14:paraId="0CD929BB" w14:textId="69125FB4" w:rsidR="002C2E95" w:rsidRPr="002C2E95" w:rsidRDefault="002C2E95" w:rsidP="002C2E95">
      <w:pPr>
        <w:pStyle w:val="EndNoteBibliography"/>
        <w:spacing w:after="240"/>
        <w:ind w:left="720" w:hanging="720"/>
      </w:pPr>
      <w:r w:rsidRPr="002C2E95">
        <w:t xml:space="preserve">Homet P, González M, Matías L, Godoy O, Pérez-Ramos IM, García LV &amp; Gómez-Aparicio L (2019) Exploring interactive effects of climate change and exotic pathogens on </w:t>
      </w:r>
      <w:r w:rsidRPr="002C2E95">
        <w:rPr>
          <w:i/>
        </w:rPr>
        <w:t xml:space="preserve">Quercus suber </w:t>
      </w:r>
      <w:r w:rsidRPr="002C2E95">
        <w:t xml:space="preserve">performance: Damage caused by </w:t>
      </w:r>
      <w:r w:rsidRPr="002C2E95">
        <w:rPr>
          <w:i/>
        </w:rPr>
        <w:t xml:space="preserve">Phytophthora cinnamomi </w:t>
      </w:r>
      <w:r w:rsidRPr="002C2E95">
        <w:t xml:space="preserve">varies across contrasting scenarios of soil moisture. </w:t>
      </w:r>
      <w:r w:rsidRPr="002C2E95">
        <w:rPr>
          <w:i/>
        </w:rPr>
        <w:t>Agricultural and Forest Meteorology</w:t>
      </w:r>
      <w:r w:rsidRPr="002C2E95">
        <w:t xml:space="preserve"> 276-277, 107605.</w:t>
      </w:r>
    </w:p>
    <w:p w14:paraId="04383E6D" w14:textId="1C782DFE" w:rsidR="002C2E95" w:rsidRPr="002C2E95" w:rsidRDefault="002C2E95" w:rsidP="002C2E95">
      <w:pPr>
        <w:pStyle w:val="EndNoteBibliography"/>
        <w:spacing w:after="240"/>
        <w:ind w:left="720" w:hanging="720"/>
      </w:pPr>
      <w:r w:rsidRPr="002C2E95">
        <w:t xml:space="preserve">IPAC </w:t>
      </w:r>
      <w:r w:rsidR="000C0D6A">
        <w:t>(</w:t>
      </w:r>
      <w:r w:rsidR="000C0D6A" w:rsidRPr="000C0D6A">
        <w:t>Invasive Plants and Animals Committee</w:t>
      </w:r>
      <w:r w:rsidR="000C0D6A">
        <w:t xml:space="preserve">) </w:t>
      </w:r>
      <w:r w:rsidRPr="002C2E95">
        <w:t xml:space="preserve">(2016) </w:t>
      </w:r>
      <w:r w:rsidRPr="002C2E95">
        <w:rPr>
          <w:i/>
        </w:rPr>
        <w:t>Australian weeds strategy 2017-2027</w:t>
      </w:r>
      <w:r w:rsidRPr="002C2E95">
        <w:t>. Department of Agriculture, Water and the Environment</w:t>
      </w:r>
      <w:r w:rsidR="000C0D6A">
        <w:t xml:space="preserve"> (Commonwealth)</w:t>
      </w:r>
      <w:r w:rsidRPr="002C2E95">
        <w:t>, Canberra.</w:t>
      </w:r>
    </w:p>
    <w:p w14:paraId="09E10187" w14:textId="1A406A15" w:rsidR="002C2E95" w:rsidRPr="002C2E95" w:rsidRDefault="002C2E95" w:rsidP="002C2E95">
      <w:pPr>
        <w:pStyle w:val="EndNoteBibliography"/>
        <w:spacing w:after="240"/>
        <w:ind w:left="720" w:hanging="720"/>
      </w:pPr>
      <w:r w:rsidRPr="002C2E95">
        <w:t xml:space="preserve">IUCN </w:t>
      </w:r>
      <w:r w:rsidR="000C0D6A">
        <w:t>(</w:t>
      </w:r>
      <w:r w:rsidR="000C0D6A" w:rsidRPr="000C0D6A">
        <w:t>International Union for Conservation of Nature</w:t>
      </w:r>
      <w:r w:rsidR="000C0D6A">
        <w:t xml:space="preserve">) </w:t>
      </w:r>
      <w:r w:rsidRPr="002C2E95">
        <w:t xml:space="preserve">(2019) </w:t>
      </w:r>
      <w:r w:rsidRPr="002C2E95">
        <w:rPr>
          <w:i/>
        </w:rPr>
        <w:t>Guidelines for using the IUCN red list categories and criteria. Version 14.</w:t>
      </w:r>
      <w:r w:rsidRPr="002C2E95">
        <w:t xml:space="preserve"> Prepared by the IUCN Standards and Petitions Committee.</w:t>
      </w:r>
    </w:p>
    <w:p w14:paraId="76D7EA3D" w14:textId="17027446" w:rsidR="002C2E95" w:rsidRPr="002C2E95" w:rsidRDefault="002C2E95" w:rsidP="002C2E95">
      <w:pPr>
        <w:pStyle w:val="EndNoteBibliography"/>
        <w:spacing w:after="240"/>
        <w:ind w:left="720" w:hanging="720"/>
      </w:pPr>
      <w:r w:rsidRPr="002C2E95">
        <w:t>Keith D (1996) Fire-driven extinction of plant populations: A synthesis of theory and review of evidence from Australian vegetation. In: Proceedings-Linnean Society of New South Wales, vol. 116. Linnean Society of New South Wales. pp 37-78.</w:t>
      </w:r>
    </w:p>
    <w:p w14:paraId="400654BF" w14:textId="23DF91B8" w:rsidR="002C2E95" w:rsidRPr="002C2E95" w:rsidRDefault="002C2E95" w:rsidP="002C2E95">
      <w:pPr>
        <w:pStyle w:val="EndNoteBibliography"/>
        <w:spacing w:after="240"/>
        <w:ind w:left="720" w:hanging="720"/>
      </w:pPr>
      <w:r w:rsidRPr="002C2E95">
        <w:t xml:space="preserve">Le Breton TD, Zimmer HC, Gallagher RV, Cox M, Allen S &amp; Auld TD (2019) Using IUCN criteria to perform rapid assessments of at-risk taxa. </w:t>
      </w:r>
      <w:r w:rsidRPr="002C2E95">
        <w:rPr>
          <w:i/>
        </w:rPr>
        <w:t>Biodiversity and Conservation</w:t>
      </w:r>
      <w:r w:rsidRPr="002C2E95">
        <w:t xml:space="preserve"> 28, 863-883.</w:t>
      </w:r>
    </w:p>
    <w:p w14:paraId="66000796" w14:textId="7CE71794" w:rsidR="002C2E95" w:rsidRPr="002C2E95" w:rsidRDefault="002C2E95" w:rsidP="002C2E95">
      <w:pPr>
        <w:pStyle w:val="EndNoteBibliography"/>
        <w:spacing w:after="240"/>
        <w:ind w:left="720" w:hanging="720"/>
      </w:pPr>
      <w:r w:rsidRPr="002C2E95">
        <w:lastRenderedPageBreak/>
        <w:t xml:space="preserve">Makinson R &amp; Olde P (2020) </w:t>
      </w:r>
      <w:r w:rsidRPr="002C2E95">
        <w:rPr>
          <w:i/>
        </w:rPr>
        <w:t>Grevillea banyabba</w:t>
      </w:r>
      <w:r w:rsidRPr="002C2E95">
        <w:t xml:space="preserve">. The IUCN Red List of Threatened Species 2020: e.T112646721A113309215. Accessed: 23 June 2021 Available at: </w:t>
      </w:r>
      <w:hyperlink r:id="rId42" w:history="1">
        <w:r w:rsidR="009A3F4C" w:rsidRPr="0036753F">
          <w:rPr>
            <w:rStyle w:val="Hyperlink"/>
          </w:rPr>
          <w:t>https://dx.doi.org/10.2305/IUCN.UK.2020-2.RLTS.T112646721A113309215.en</w:t>
        </w:r>
      </w:hyperlink>
      <w:r w:rsidR="009A3F4C">
        <w:t xml:space="preserve"> </w:t>
      </w:r>
    </w:p>
    <w:p w14:paraId="0F5A2F36" w14:textId="55A18A7D" w:rsidR="002C2E95" w:rsidRPr="002C2E95" w:rsidRDefault="002C2E95" w:rsidP="002C2E95">
      <w:pPr>
        <w:pStyle w:val="EndNoteBibliography"/>
        <w:spacing w:after="240"/>
        <w:ind w:left="720" w:hanging="720"/>
      </w:pPr>
      <w:r w:rsidRPr="002C2E95">
        <w:t>Makinson RO (2000) Proteaceae 2 -</w:t>
      </w:r>
      <w:r w:rsidRPr="002C2E95">
        <w:rPr>
          <w:i/>
        </w:rPr>
        <w:t xml:space="preserve"> Grevillea</w:t>
      </w:r>
      <w:r w:rsidRPr="002C2E95">
        <w:t xml:space="preserve">. In: </w:t>
      </w:r>
      <w:r w:rsidRPr="002C2E95">
        <w:rPr>
          <w:i/>
        </w:rPr>
        <w:t>Flora of Australia</w:t>
      </w:r>
      <w:r w:rsidRPr="002C2E95">
        <w:t>. vol 17A. ABRS/CSIRO, Melbourne</w:t>
      </w:r>
    </w:p>
    <w:p w14:paraId="29B46A64" w14:textId="5778D21A" w:rsidR="002C2E95" w:rsidRPr="002C2E95" w:rsidRDefault="002C2E95" w:rsidP="002C2E95">
      <w:pPr>
        <w:pStyle w:val="EndNoteBibliography"/>
        <w:spacing w:after="240"/>
        <w:ind w:left="720" w:hanging="720"/>
      </w:pPr>
      <w:r w:rsidRPr="002C2E95">
        <w:t xml:space="preserve">Martyn Yenson AJ, Offord CA, Meagher PF, Auld T, Bush D, Coates DJ, Commander LE, Guja LK, Norton SL, Makinson RO, Stanley R, Walsh N, Wrigley D &amp; Broadhurst L (2021) </w:t>
      </w:r>
      <w:r w:rsidRPr="002C2E95">
        <w:rPr>
          <w:i/>
        </w:rPr>
        <w:t xml:space="preserve">Plant </w:t>
      </w:r>
      <w:r w:rsidR="009A3F4C">
        <w:rPr>
          <w:i/>
        </w:rPr>
        <w:t>g</w:t>
      </w:r>
      <w:r w:rsidRPr="002C2E95">
        <w:rPr>
          <w:i/>
        </w:rPr>
        <w:t xml:space="preserve">ermplasm </w:t>
      </w:r>
      <w:r w:rsidR="009A3F4C">
        <w:rPr>
          <w:i/>
        </w:rPr>
        <w:t>c</w:t>
      </w:r>
      <w:r w:rsidRPr="002C2E95">
        <w:rPr>
          <w:i/>
        </w:rPr>
        <w:t xml:space="preserve">onservation in Australia: </w:t>
      </w:r>
      <w:r w:rsidR="009A3F4C">
        <w:rPr>
          <w:i/>
        </w:rPr>
        <w:t>S</w:t>
      </w:r>
      <w:r w:rsidRPr="002C2E95">
        <w:rPr>
          <w:i/>
        </w:rPr>
        <w:t>trategies and guidelines for developing, managing and utilising ex situ collection</w:t>
      </w:r>
      <w:r w:rsidRPr="002C2E95">
        <w:t>. 3rd edn. Australian Network for Plant Conservation, Canberra.</w:t>
      </w:r>
    </w:p>
    <w:p w14:paraId="47B23FEE" w14:textId="23391711" w:rsidR="002C2E95" w:rsidRPr="002C2E95" w:rsidRDefault="002C2E95" w:rsidP="002C2E95">
      <w:pPr>
        <w:pStyle w:val="EndNoteBibliography"/>
        <w:spacing w:after="240"/>
        <w:ind w:left="720" w:hanging="720"/>
      </w:pPr>
      <w:r w:rsidRPr="002C2E95">
        <w:t>Midgley G, Hughes G, Thuiller W &amp; Rebelo AG (2006)</w:t>
      </w:r>
      <w:r w:rsidR="009A3F4C">
        <w:t xml:space="preserve"> </w:t>
      </w:r>
      <w:r w:rsidRPr="002C2E95">
        <w:t xml:space="preserve">Migration rate limitations on climate change-induced range shifts in </w:t>
      </w:r>
      <w:r w:rsidR="009A3F4C">
        <w:t>C</w:t>
      </w:r>
      <w:r w:rsidRPr="002C2E95">
        <w:t xml:space="preserve">ape </w:t>
      </w:r>
      <w:r w:rsidR="009A3F4C">
        <w:t>P</w:t>
      </w:r>
      <w:r w:rsidRPr="002C2E95">
        <w:t xml:space="preserve">roteaceae. </w:t>
      </w:r>
      <w:r w:rsidRPr="002C2E95">
        <w:rPr>
          <w:i/>
        </w:rPr>
        <w:t>Diversity and Distributions</w:t>
      </w:r>
      <w:r w:rsidRPr="002C2E95">
        <w:t xml:space="preserve"> 12, 555-562.</w:t>
      </w:r>
    </w:p>
    <w:p w14:paraId="06A0EFDB" w14:textId="6036AD88" w:rsidR="002C2E95" w:rsidRPr="002C2E95" w:rsidRDefault="002C2E95" w:rsidP="002C2E95">
      <w:pPr>
        <w:pStyle w:val="EndNoteBibliography"/>
        <w:spacing w:after="240"/>
        <w:ind w:left="720" w:hanging="720"/>
      </w:pPr>
      <w:r w:rsidRPr="002C2E95">
        <w:t xml:space="preserve">Milberg P &amp; Lamont BB (1995) Fire enhances weed invasion of roadside vegetation in southwestern Australia. </w:t>
      </w:r>
      <w:r w:rsidRPr="002C2E95">
        <w:rPr>
          <w:i/>
        </w:rPr>
        <w:t>Biological Conservation</w:t>
      </w:r>
      <w:r w:rsidRPr="002C2E95">
        <w:t xml:space="preserve"> 73, 45-49.</w:t>
      </w:r>
    </w:p>
    <w:p w14:paraId="108BF54F" w14:textId="2CAC29C0" w:rsidR="002C2E95" w:rsidRPr="002C2E95" w:rsidRDefault="002C2E95" w:rsidP="002C2E95">
      <w:pPr>
        <w:pStyle w:val="EndNoteBibliography"/>
        <w:spacing w:after="240"/>
        <w:ind w:left="720" w:hanging="720"/>
      </w:pPr>
      <w:r w:rsidRPr="002C2E95">
        <w:t xml:space="preserve">Miller RG, Tangney R, Enright NJ, Fontaine JB, Merritt DJ, Ooi MKJ, Ruthrof KX &amp; Miller BP (2019) Mechanisms of fire seasonality effects on plant populations. </w:t>
      </w:r>
      <w:r w:rsidRPr="002C2E95">
        <w:rPr>
          <w:i/>
        </w:rPr>
        <w:t>Trends in Ecology &amp; Evolution</w:t>
      </w:r>
      <w:r w:rsidRPr="002C2E95">
        <w:t xml:space="preserve"> 34, 1104-1117.</w:t>
      </w:r>
    </w:p>
    <w:p w14:paraId="35EE56A6" w14:textId="63CA8171" w:rsidR="002C2E95" w:rsidRPr="002C2E95" w:rsidRDefault="002C2E95" w:rsidP="002C2E95">
      <w:pPr>
        <w:pStyle w:val="EndNoteBibliography"/>
        <w:spacing w:after="240"/>
        <w:ind w:left="720" w:hanging="720"/>
      </w:pPr>
      <w:r w:rsidRPr="002C2E95">
        <w:t xml:space="preserve">Morris E (2000) Germination response of seven east Australian </w:t>
      </w:r>
      <w:r w:rsidRPr="002C2E95">
        <w:rPr>
          <w:i/>
        </w:rPr>
        <w:t xml:space="preserve">Grevillea </w:t>
      </w:r>
      <w:r w:rsidRPr="002C2E95">
        <w:t xml:space="preserve">species (Proteaceae) to smoke, heat exposure and scarification. </w:t>
      </w:r>
      <w:r w:rsidRPr="002C2E95">
        <w:rPr>
          <w:i/>
        </w:rPr>
        <w:t>Australian Journal of Botany</w:t>
      </w:r>
      <w:r w:rsidRPr="002C2E95">
        <w:t xml:space="preserve"> 48, 179-189.</w:t>
      </w:r>
    </w:p>
    <w:p w14:paraId="7F66420F" w14:textId="7A818EAE" w:rsidR="002C2E95" w:rsidRPr="002C2E95" w:rsidRDefault="002C2E95" w:rsidP="002C2E95">
      <w:pPr>
        <w:pStyle w:val="EndNoteBibliography"/>
        <w:spacing w:after="240"/>
        <w:ind w:left="720" w:hanging="720"/>
      </w:pPr>
      <w:r w:rsidRPr="002C2E95">
        <w:t xml:space="preserve">NPWS </w:t>
      </w:r>
      <w:r w:rsidR="009A3F4C">
        <w:t>(</w:t>
      </w:r>
      <w:r w:rsidR="009A3F4C" w:rsidRPr="002C2E95">
        <w:t>National Parks and Wildlife Service</w:t>
      </w:r>
      <w:r w:rsidR="009A3F4C">
        <w:t xml:space="preserve">) </w:t>
      </w:r>
      <w:r w:rsidRPr="002C2E95">
        <w:t>(1999)</w:t>
      </w:r>
      <w:r w:rsidR="009A3F4C">
        <w:t xml:space="preserve"> </w:t>
      </w:r>
      <w:r w:rsidRPr="002C2E95">
        <w:rPr>
          <w:i/>
        </w:rPr>
        <w:t>Threatened flora species of the Glenreagh-Coaldale sandstone area recovery plan. NSW NPWS recovery planning program.</w:t>
      </w:r>
      <w:r w:rsidRPr="002C2E95">
        <w:t xml:space="preserve"> National Parks and Wildlife Service (NSW), Sydney.</w:t>
      </w:r>
    </w:p>
    <w:p w14:paraId="786C3DA2" w14:textId="66B42CE9" w:rsidR="002C2E95" w:rsidRPr="002C2E95" w:rsidRDefault="002C2E95" w:rsidP="002C2E95">
      <w:pPr>
        <w:pStyle w:val="EndNoteBibliography"/>
        <w:spacing w:after="240"/>
        <w:ind w:left="720" w:hanging="720"/>
      </w:pPr>
      <w:r w:rsidRPr="002C2E95">
        <w:t>NPWS</w:t>
      </w:r>
      <w:r w:rsidR="009A3F4C">
        <w:t xml:space="preserve"> (</w:t>
      </w:r>
      <w:r w:rsidR="009A3F4C" w:rsidRPr="002C2E95">
        <w:t>National Parks and Wildlife Service</w:t>
      </w:r>
      <w:r w:rsidR="009A3F4C">
        <w:t>)</w:t>
      </w:r>
      <w:r w:rsidRPr="002C2E95">
        <w:t xml:space="preserve"> (2001) </w:t>
      </w:r>
      <w:r w:rsidRPr="002C2E95">
        <w:rPr>
          <w:i/>
        </w:rPr>
        <w:t xml:space="preserve">Northern </w:t>
      </w:r>
      <w:r w:rsidR="009A3F4C">
        <w:rPr>
          <w:i/>
        </w:rPr>
        <w:t>w</w:t>
      </w:r>
      <w:r w:rsidRPr="002C2E95">
        <w:rPr>
          <w:i/>
        </w:rPr>
        <w:t xml:space="preserve">ilderness </w:t>
      </w:r>
      <w:r w:rsidR="009A3F4C">
        <w:rPr>
          <w:i/>
        </w:rPr>
        <w:t>a</w:t>
      </w:r>
      <w:r w:rsidRPr="002C2E95">
        <w:rPr>
          <w:i/>
        </w:rPr>
        <w:t xml:space="preserve">ssessment </w:t>
      </w:r>
      <w:r w:rsidR="009A3F4C">
        <w:rPr>
          <w:i/>
        </w:rPr>
        <w:t>r</w:t>
      </w:r>
      <w:r w:rsidRPr="002C2E95">
        <w:rPr>
          <w:i/>
        </w:rPr>
        <w:t>eport</w:t>
      </w:r>
      <w:r w:rsidRPr="002C2E95">
        <w:t>. National Parks and Wildlife Service (NSW), Coffs Harbour.</w:t>
      </w:r>
    </w:p>
    <w:p w14:paraId="5CD98455" w14:textId="3FD3D7CA" w:rsidR="002C2E95" w:rsidRPr="002C2E95" w:rsidRDefault="002C2E95" w:rsidP="002C2E95">
      <w:pPr>
        <w:pStyle w:val="EndNoteBibliography"/>
        <w:spacing w:after="240"/>
        <w:ind w:left="720" w:hanging="720"/>
      </w:pPr>
      <w:r w:rsidRPr="002C2E95">
        <w:t xml:space="preserve">NPWS </w:t>
      </w:r>
      <w:r w:rsidR="009A3F4C">
        <w:t>(</w:t>
      </w:r>
      <w:r w:rsidR="009A3F4C" w:rsidRPr="002C2E95">
        <w:t>National Parks and Wildlife Service</w:t>
      </w:r>
      <w:r w:rsidR="009A3F4C">
        <w:t>)</w:t>
      </w:r>
      <w:r w:rsidR="009A3F4C" w:rsidRPr="002C2E95">
        <w:t xml:space="preserve"> </w:t>
      </w:r>
      <w:r w:rsidRPr="002C2E95">
        <w:t xml:space="preserve">(2002) </w:t>
      </w:r>
      <w:r w:rsidRPr="002C2E95">
        <w:rPr>
          <w:i/>
        </w:rPr>
        <w:t>Threatened species of the upper north coast of NSW: flora</w:t>
      </w:r>
      <w:r w:rsidRPr="002C2E95">
        <w:t>. National Parks and Wildlife Service (NSW), Coffs Harbour.</w:t>
      </w:r>
    </w:p>
    <w:p w14:paraId="3A1F7911" w14:textId="0E486D2B" w:rsidR="002C2E95" w:rsidRPr="002C2E95" w:rsidRDefault="002C2E95" w:rsidP="002C2E95">
      <w:pPr>
        <w:pStyle w:val="EndNoteBibliography"/>
        <w:spacing w:after="240"/>
        <w:ind w:left="720" w:hanging="720"/>
      </w:pPr>
      <w:r w:rsidRPr="002C2E95">
        <w:t xml:space="preserve">NPWS </w:t>
      </w:r>
      <w:r w:rsidR="009A3F4C">
        <w:t>(</w:t>
      </w:r>
      <w:r w:rsidR="009A3F4C" w:rsidRPr="002C2E95">
        <w:t>National Parks and Wildlife Service</w:t>
      </w:r>
      <w:r w:rsidR="009A3F4C">
        <w:t>)</w:t>
      </w:r>
      <w:r w:rsidR="009A3F4C" w:rsidRPr="002C2E95">
        <w:t xml:space="preserve"> </w:t>
      </w:r>
      <w:r w:rsidRPr="002C2E95">
        <w:t xml:space="preserve">(2007) </w:t>
      </w:r>
      <w:r w:rsidRPr="002C2E95">
        <w:rPr>
          <w:i/>
        </w:rPr>
        <w:t>Southern Richmond Range Reserves fire management strategy (type 2)</w:t>
      </w:r>
      <w:r w:rsidRPr="002C2E95">
        <w:t>. National Parks and Wildlife Service (NSW)</w:t>
      </w:r>
      <w:r w:rsidR="009A3F4C">
        <w:t>.</w:t>
      </w:r>
    </w:p>
    <w:p w14:paraId="1A83154B" w14:textId="1F60B045" w:rsidR="002C2E95" w:rsidRPr="002C2E95" w:rsidRDefault="002C2E95" w:rsidP="002C2E95">
      <w:pPr>
        <w:pStyle w:val="EndNoteBibliography"/>
        <w:spacing w:after="240"/>
        <w:ind w:left="720" w:hanging="720"/>
      </w:pPr>
      <w:r w:rsidRPr="002C2E95">
        <w:t xml:space="preserve">NPWS </w:t>
      </w:r>
      <w:r w:rsidR="009A3F4C">
        <w:t>(</w:t>
      </w:r>
      <w:r w:rsidR="009A3F4C" w:rsidRPr="002C2E95">
        <w:t>National Parks and Wildlife Service</w:t>
      </w:r>
      <w:r w:rsidR="009A3F4C">
        <w:t>)</w:t>
      </w:r>
      <w:r w:rsidR="009A3F4C" w:rsidRPr="002C2E95">
        <w:t xml:space="preserve"> </w:t>
      </w:r>
      <w:r w:rsidRPr="002C2E95">
        <w:t xml:space="preserve">(2020) Banyabba Nature Reserve. Accessed: 2 October 2020 Available at: </w:t>
      </w:r>
      <w:hyperlink r:id="rId43" w:history="1">
        <w:r w:rsidR="009A3F4C" w:rsidRPr="0036753F">
          <w:rPr>
            <w:rStyle w:val="Hyperlink"/>
          </w:rPr>
          <w:t>https://www.nationalparks.nsw.gov.au/visit-a-park/parks/banyabba-nature-reserve</w:t>
        </w:r>
      </w:hyperlink>
      <w:r w:rsidR="009A3F4C">
        <w:t xml:space="preserve"> </w:t>
      </w:r>
    </w:p>
    <w:p w14:paraId="1B169681" w14:textId="47374233" w:rsidR="002C2E95" w:rsidRPr="002C2E95" w:rsidRDefault="002C2E95" w:rsidP="002C2E95">
      <w:pPr>
        <w:pStyle w:val="EndNoteBibliography"/>
        <w:spacing w:after="240"/>
        <w:ind w:left="720" w:hanging="720"/>
      </w:pPr>
      <w:r w:rsidRPr="002C2E95">
        <w:t xml:space="preserve">NPWS </w:t>
      </w:r>
      <w:r w:rsidR="009A3F4C">
        <w:t>(</w:t>
      </w:r>
      <w:r w:rsidR="009A3F4C" w:rsidRPr="002C2E95">
        <w:t>National Parks and Wildlife Service</w:t>
      </w:r>
      <w:r w:rsidR="009A3F4C">
        <w:t>)</w:t>
      </w:r>
      <w:r w:rsidR="009A3F4C" w:rsidRPr="002C2E95">
        <w:t xml:space="preserve"> </w:t>
      </w:r>
      <w:r w:rsidRPr="002C2E95">
        <w:t xml:space="preserve">(2021) Banyabba State Conservation Area. Accessed: 7 July 2021 Available at: </w:t>
      </w:r>
      <w:hyperlink r:id="rId44" w:history="1">
        <w:r w:rsidR="009A3F4C" w:rsidRPr="0036753F">
          <w:rPr>
            <w:rStyle w:val="Hyperlink"/>
          </w:rPr>
          <w:t>https://www.nationalparks.nsw.gov.au/visit-a-park/parks/banyabba-state-conservation-area</w:t>
        </w:r>
      </w:hyperlink>
      <w:r w:rsidR="009A3F4C">
        <w:t xml:space="preserve"> </w:t>
      </w:r>
    </w:p>
    <w:p w14:paraId="15D061F7" w14:textId="61C4A7EB" w:rsidR="002C2E95" w:rsidRPr="002C2E95" w:rsidRDefault="002C2E95" w:rsidP="002C2E95">
      <w:pPr>
        <w:pStyle w:val="EndNoteBibliography"/>
        <w:spacing w:after="240"/>
        <w:ind w:left="720" w:hanging="720"/>
      </w:pPr>
      <w:r w:rsidRPr="002C2E95">
        <w:t xml:space="preserve">NSW RFS </w:t>
      </w:r>
      <w:r w:rsidR="009E702E">
        <w:t>(</w:t>
      </w:r>
      <w:r w:rsidR="009E702E" w:rsidRPr="009E702E">
        <w:t>New South Wales Rural Fire Service</w:t>
      </w:r>
      <w:r w:rsidR="009E702E">
        <w:t xml:space="preserve">) </w:t>
      </w:r>
      <w:r w:rsidRPr="002C2E95">
        <w:t xml:space="preserve">(2013) Threatened species hazard reduction list - Part 1 - Plants. Accessed: 7 July 2021 Available at: </w:t>
      </w:r>
      <w:hyperlink r:id="rId45" w:history="1">
        <w:r w:rsidR="009A3F4C" w:rsidRPr="0036753F">
          <w:rPr>
            <w:rStyle w:val="Hyperlink"/>
          </w:rPr>
          <w:t>https://www.rfs.nsw.gov.au/__data/assets/pdf_file/0017/24335/Web-Version-ThreatenedSpeciesHazardReductionList-Part1-Plants-06-04-2017.pdf</w:t>
        </w:r>
      </w:hyperlink>
      <w:r w:rsidR="009A3F4C">
        <w:t xml:space="preserve"> </w:t>
      </w:r>
    </w:p>
    <w:p w14:paraId="0446BCE7" w14:textId="1B1176B3" w:rsidR="002C2E95" w:rsidRPr="002C2E95" w:rsidRDefault="002C2E95" w:rsidP="002C2E95">
      <w:pPr>
        <w:pStyle w:val="EndNoteBibliography"/>
        <w:spacing w:after="240"/>
        <w:ind w:left="720" w:hanging="720"/>
      </w:pPr>
      <w:r w:rsidRPr="002C2E95">
        <w:t>NSW Scientific Committee (2003)</w:t>
      </w:r>
      <w:r w:rsidR="009A3F4C">
        <w:t xml:space="preserve"> </w:t>
      </w:r>
      <w:r w:rsidRPr="002C2E95">
        <w:rPr>
          <w:i/>
        </w:rPr>
        <w:t>Final determination to list ‘invasion of native plant communities by exotic perennial grasses‘ as a key threatening process</w:t>
      </w:r>
      <w:r w:rsidRPr="002C2E95">
        <w:t>. Schedule 3 of the Threatened Species Conservation Act</w:t>
      </w:r>
      <w:r w:rsidR="009A3F4C">
        <w:t>.</w:t>
      </w:r>
    </w:p>
    <w:p w14:paraId="7105642A" w14:textId="6930926A" w:rsidR="002C2E95" w:rsidRPr="002C2E95" w:rsidRDefault="002C2E95" w:rsidP="002C2E95">
      <w:pPr>
        <w:pStyle w:val="EndNoteBibliography"/>
        <w:spacing w:after="240"/>
        <w:ind w:left="720" w:hanging="720"/>
      </w:pPr>
      <w:r w:rsidRPr="002C2E95">
        <w:lastRenderedPageBreak/>
        <w:t>OEH (</w:t>
      </w:r>
      <w:r w:rsidR="009A3F4C" w:rsidRPr="002C2E95">
        <w:t>Office of Environment and Heritage</w:t>
      </w:r>
      <w:r w:rsidR="009A3F4C">
        <w:t>) (</w:t>
      </w:r>
      <w:r w:rsidRPr="002C2E95">
        <w:t xml:space="preserve">2014) </w:t>
      </w:r>
      <w:r w:rsidRPr="002C2E95">
        <w:rPr>
          <w:i/>
        </w:rPr>
        <w:t>Adapt NRM: North coast climate change snapshot</w:t>
      </w:r>
      <w:r w:rsidRPr="002C2E95">
        <w:t>. Office of Environment and Heritage (NSW), Sydney.</w:t>
      </w:r>
    </w:p>
    <w:p w14:paraId="105B8B56" w14:textId="7C6B51B3" w:rsidR="002C2E95" w:rsidRPr="002C2E95" w:rsidRDefault="002C2E95" w:rsidP="002C2E95">
      <w:pPr>
        <w:pStyle w:val="EndNoteBibliography"/>
        <w:spacing w:after="240"/>
        <w:ind w:left="720" w:hanging="720"/>
      </w:pPr>
      <w:r w:rsidRPr="002C2E95">
        <w:t>OEH (</w:t>
      </w:r>
      <w:r w:rsidR="009A3F4C" w:rsidRPr="002C2E95">
        <w:t>Office of Environment and Heritage</w:t>
      </w:r>
      <w:r w:rsidR="009A3F4C">
        <w:t>) (</w:t>
      </w:r>
      <w:r w:rsidRPr="002C2E95">
        <w:t xml:space="preserve">2016) </w:t>
      </w:r>
      <w:r w:rsidRPr="002C2E95">
        <w:rPr>
          <w:i/>
        </w:rPr>
        <w:t xml:space="preserve">Plan of management: </w:t>
      </w:r>
      <w:r w:rsidR="009A3F4C">
        <w:rPr>
          <w:i/>
        </w:rPr>
        <w:t>S</w:t>
      </w:r>
      <w:r w:rsidRPr="002C2E95">
        <w:rPr>
          <w:i/>
        </w:rPr>
        <w:t xml:space="preserve">outhern </w:t>
      </w:r>
      <w:r w:rsidR="009A3F4C">
        <w:rPr>
          <w:i/>
        </w:rPr>
        <w:t>R</w:t>
      </w:r>
      <w:r w:rsidRPr="002C2E95">
        <w:rPr>
          <w:i/>
        </w:rPr>
        <w:t xml:space="preserve">ichmond </w:t>
      </w:r>
      <w:r w:rsidR="009A3F4C">
        <w:rPr>
          <w:i/>
        </w:rPr>
        <w:t>R</w:t>
      </w:r>
      <w:r w:rsidRPr="002C2E95">
        <w:rPr>
          <w:i/>
        </w:rPr>
        <w:t>ange parks, incorporating Fortis Creek and Mount Pikapene National Parks; Banyabba, Chapmans Peak and Mount Neville Nature Reserves; and Banyabba, Corymbia, Gurranang, Kooyong, Lawrence Road, Mount Pikapene and Wombat Creek State Conservation Areas</w:t>
      </w:r>
      <w:r w:rsidRPr="002C2E95">
        <w:t>. Office of Enviroment and Heritage (NSW), Sydney.</w:t>
      </w:r>
    </w:p>
    <w:p w14:paraId="19166585" w14:textId="02955D29" w:rsidR="002C2E95" w:rsidRPr="002C2E95" w:rsidRDefault="002C2E95" w:rsidP="002C2E95">
      <w:pPr>
        <w:pStyle w:val="EndNoteBibliography"/>
        <w:spacing w:after="240"/>
        <w:ind w:left="720" w:hanging="720"/>
      </w:pPr>
      <w:r w:rsidRPr="002C2E95">
        <w:t>Olde PM &amp; Marriott NR (1994) A taxonomic revision of</w:t>
      </w:r>
      <w:r w:rsidRPr="002C2E95">
        <w:rPr>
          <w:i/>
        </w:rPr>
        <w:t xml:space="preserve"> Grevillea arenaria</w:t>
      </w:r>
      <w:r w:rsidRPr="002C2E95">
        <w:t xml:space="preserve"> and </w:t>
      </w:r>
      <w:r w:rsidRPr="002C2E95">
        <w:rPr>
          <w:i/>
        </w:rPr>
        <w:t>Grevillea obtusiflora</w:t>
      </w:r>
      <w:r w:rsidRPr="002C2E95">
        <w:t xml:space="preserve"> (</w:t>
      </w:r>
      <w:r w:rsidR="009A3F4C">
        <w:t>P</w:t>
      </w:r>
      <w:r w:rsidRPr="002C2E95">
        <w:t xml:space="preserve">roteaceae: </w:t>
      </w:r>
      <w:r w:rsidR="009A3F4C">
        <w:t>G</w:t>
      </w:r>
      <w:r w:rsidRPr="002C2E95">
        <w:t xml:space="preserve">revilleoideae). </w:t>
      </w:r>
      <w:r w:rsidRPr="002C2E95">
        <w:rPr>
          <w:i/>
        </w:rPr>
        <w:t>Telopea</w:t>
      </w:r>
      <w:r w:rsidRPr="002C2E95">
        <w:t xml:space="preserve"> 5, 711-733.</w:t>
      </w:r>
    </w:p>
    <w:p w14:paraId="67E35B72" w14:textId="37239DA0" w:rsidR="002C2E95" w:rsidRPr="002C2E95" w:rsidRDefault="002C2E95" w:rsidP="002C2E95">
      <w:pPr>
        <w:pStyle w:val="EndNoteBibliography"/>
        <w:spacing w:after="240"/>
        <w:ind w:left="720" w:hanging="720"/>
      </w:pPr>
      <w:r w:rsidRPr="002C2E95">
        <w:t xml:space="preserve">Palmer HD, Denham AJ &amp; Ooi MKJ (2018) Fire severity drives variation in post-fire recruitment and residual seed bank size of </w:t>
      </w:r>
      <w:r w:rsidRPr="002C2E95">
        <w:rPr>
          <w:i/>
        </w:rPr>
        <w:t xml:space="preserve">Acacia </w:t>
      </w:r>
      <w:r w:rsidRPr="002C2E95">
        <w:t xml:space="preserve">species. </w:t>
      </w:r>
      <w:r w:rsidRPr="002C2E95">
        <w:rPr>
          <w:i/>
        </w:rPr>
        <w:t>Plant Ecology</w:t>
      </w:r>
      <w:r w:rsidRPr="002C2E95">
        <w:t xml:space="preserve"> 219, 527-537.</w:t>
      </w:r>
    </w:p>
    <w:p w14:paraId="2D769CE3" w14:textId="6C62D1A6" w:rsidR="002C2E95" w:rsidRPr="002C2E95" w:rsidRDefault="002C2E95" w:rsidP="002C2E95">
      <w:pPr>
        <w:pStyle w:val="EndNoteBibliography"/>
        <w:spacing w:after="240"/>
        <w:ind w:left="720" w:hanging="720"/>
      </w:pPr>
      <w:r w:rsidRPr="002C2E95">
        <w:t xml:space="preserve">Podger FD, James SH &amp; Mulcahly MJ (2001) </w:t>
      </w:r>
      <w:r w:rsidRPr="009A3F4C">
        <w:rPr>
          <w:iCs/>
        </w:rPr>
        <w:t>Phytophthora cinnamomi</w:t>
      </w:r>
      <w:r w:rsidRPr="002C2E95">
        <w:rPr>
          <w:i/>
        </w:rPr>
        <w:t xml:space="preserve"> and disease caused by it - a protocol for identifying ‘protectable areas’ and their priority for management</w:t>
      </w:r>
      <w:r w:rsidRPr="002C2E95">
        <w:t>. Draft report prepared for Department of Parks and Wildlife (WA), Perth.</w:t>
      </w:r>
    </w:p>
    <w:p w14:paraId="082A46EB" w14:textId="506ABA43" w:rsidR="002C2E95" w:rsidRPr="002C2E95" w:rsidRDefault="002C2E95" w:rsidP="002C2E95">
      <w:pPr>
        <w:pStyle w:val="EndNoteBibliography"/>
        <w:spacing w:after="240"/>
        <w:ind w:left="720" w:hanging="720"/>
      </w:pPr>
      <w:r w:rsidRPr="002C2E95">
        <w:t>Regan HM, Auld TD, Keith DA &amp; Burgman MA (2003) The effects of fire and predators on the long-term persistence of an endangered shrub,</w:t>
      </w:r>
      <w:r w:rsidRPr="002C2E95">
        <w:rPr>
          <w:i/>
        </w:rPr>
        <w:t xml:space="preserve"> Grevillea caleyi</w:t>
      </w:r>
      <w:r w:rsidRPr="002C2E95">
        <w:t xml:space="preserve">. </w:t>
      </w:r>
      <w:r w:rsidRPr="002C2E95">
        <w:rPr>
          <w:i/>
        </w:rPr>
        <w:t>Biological Conservation</w:t>
      </w:r>
      <w:r w:rsidRPr="002C2E95">
        <w:t xml:space="preserve"> 109, 73-83.</w:t>
      </w:r>
    </w:p>
    <w:p w14:paraId="2D4F2BA3" w14:textId="297878A7" w:rsidR="002C2E95" w:rsidRPr="002C2E95" w:rsidRDefault="002C2E95" w:rsidP="002C2E95">
      <w:pPr>
        <w:pStyle w:val="EndNoteBibliography"/>
        <w:spacing w:after="240"/>
        <w:ind w:left="720" w:hanging="720"/>
      </w:pPr>
      <w:r w:rsidRPr="002C2E95">
        <w:t xml:space="preserve">Richards P (1999) </w:t>
      </w:r>
      <w:r w:rsidRPr="002C2E95">
        <w:rPr>
          <w:i/>
        </w:rPr>
        <w:t>Threatened plants project: a project undertaken for the joint Commonwealth NSW Regional Forest Agreement Steering Committee as part of the NSW Comprehensive Regional Assessments project number NA 22/EH incorporating NU 03/EH targeted flora survey project</w:t>
      </w:r>
      <w:r w:rsidRPr="002C2E95">
        <w:t>. Department of Urban Affairs and Planning (NSW) and Department of the Prime Minister and Cabinet (Commonwealth), Sydney &amp; Barton.</w:t>
      </w:r>
    </w:p>
    <w:p w14:paraId="3E163C05" w14:textId="6C046219" w:rsidR="002C2E95" w:rsidRPr="002C2E95" w:rsidRDefault="002C2E95" w:rsidP="002C2E95">
      <w:pPr>
        <w:pStyle w:val="EndNoteBibliography"/>
        <w:spacing w:after="240"/>
        <w:ind w:left="720" w:hanging="720"/>
      </w:pPr>
      <w:r w:rsidRPr="002C2E95">
        <w:t xml:space="preserve">Royal Botanic Gardens Victoria (2014) Essence of Australia garden: </w:t>
      </w:r>
      <w:r w:rsidR="009E702E">
        <w:t>T</w:t>
      </w:r>
      <w:r w:rsidRPr="002C2E95">
        <w:t xml:space="preserve">op 10 Australian bush tucker and culturally significant plants. Accessed: 2 October 2020 Available at: </w:t>
      </w:r>
      <w:hyperlink r:id="rId46" w:history="1">
        <w:r w:rsidR="009E702E" w:rsidRPr="0036753F">
          <w:rPr>
            <w:rStyle w:val="Hyperlink"/>
          </w:rPr>
          <w:t>https://www.rbg.vic.gov.au/documents/Top_10_Australian_bush_tucker_plants_FINAL.pdf</w:t>
        </w:r>
      </w:hyperlink>
      <w:r w:rsidR="009E702E">
        <w:t xml:space="preserve"> </w:t>
      </w:r>
    </w:p>
    <w:p w14:paraId="36CF57F0" w14:textId="7F3450AA" w:rsidR="002C2E95" w:rsidRPr="002C2E95" w:rsidRDefault="002C2E95" w:rsidP="002C2E95">
      <w:pPr>
        <w:pStyle w:val="EndNoteBibliography"/>
        <w:spacing w:after="240"/>
        <w:ind w:left="720" w:hanging="720"/>
      </w:pPr>
      <w:r w:rsidRPr="002C2E95">
        <w:t xml:space="preserve">Scott JK, Webber BL, Murphy H, Ota N, Kriticos DJ &amp; Loechel B (2014) </w:t>
      </w:r>
      <w:r w:rsidRPr="002C2E95">
        <w:rPr>
          <w:i/>
        </w:rPr>
        <w:t>AdaptNRM: weeds and climate change: supporting weed management adaptation</w:t>
      </w:r>
      <w:r w:rsidRPr="002C2E95">
        <w:t>. CSIRO and NCCARF Australia.</w:t>
      </w:r>
    </w:p>
    <w:p w14:paraId="04A085F8" w14:textId="15078611" w:rsidR="002C2E95" w:rsidRPr="002C2E95" w:rsidRDefault="002C2E95" w:rsidP="002C2E95">
      <w:pPr>
        <w:pStyle w:val="EndNoteBibliography"/>
        <w:spacing w:after="240"/>
        <w:ind w:left="720" w:hanging="720"/>
      </w:pPr>
      <w:r w:rsidRPr="002C2E95">
        <w:t xml:space="preserve">Setterfield SA, Rossiter-Rachor NA, Douglas MM, Wainger L, Petty AM, Barrow P, Shepherd IJ &amp; Ferdinands KB (2013) Adding fuel to the fire: the impacts of non-native grass invasion on fire management at a regional scale. </w:t>
      </w:r>
      <w:r w:rsidRPr="002C2E95">
        <w:rPr>
          <w:i/>
        </w:rPr>
        <w:t>PLoS One</w:t>
      </w:r>
      <w:r w:rsidRPr="002C2E95">
        <w:t xml:space="preserve"> 8, e59144.</w:t>
      </w:r>
    </w:p>
    <w:p w14:paraId="6BBDD982" w14:textId="5CAEFAD6" w:rsidR="002C2E95" w:rsidRPr="002C2E95" w:rsidRDefault="002C2E95" w:rsidP="002C2E95">
      <w:pPr>
        <w:pStyle w:val="EndNoteBibliography"/>
        <w:spacing w:after="240"/>
        <w:ind w:left="720" w:hanging="720"/>
      </w:pPr>
      <w:r w:rsidRPr="002C2E95">
        <w:t xml:space="preserve">Sheringham P &amp; Westaway J (1995) </w:t>
      </w:r>
      <w:r w:rsidRPr="002C2E95">
        <w:rPr>
          <w:i/>
        </w:rPr>
        <w:t>Significant vascular plants of upper north east NSW</w:t>
      </w:r>
      <w:r w:rsidRPr="002C2E95">
        <w:t>. A report by the NSW NPWS for the Natural Resources Audit Council.</w:t>
      </w:r>
    </w:p>
    <w:p w14:paraId="0057BE46" w14:textId="485E7B8C" w:rsidR="002C2E95" w:rsidRPr="002C2E95" w:rsidRDefault="002C2E95" w:rsidP="002C2E95">
      <w:pPr>
        <w:pStyle w:val="EndNoteBibliography"/>
        <w:spacing w:after="240"/>
        <w:ind w:left="720" w:hanging="720"/>
      </w:pPr>
      <w:r w:rsidRPr="002C2E95">
        <w:t>Shimizu-Kimura Y, Accad A &amp; Shapcott A (2017) The relationship between climate change and the endangered rainforest shrub</w:t>
      </w:r>
      <w:r w:rsidRPr="002C2E95">
        <w:rPr>
          <w:i/>
        </w:rPr>
        <w:t xml:space="preserve"> Triunia robusta</w:t>
      </w:r>
      <w:r w:rsidRPr="002C2E95">
        <w:t xml:space="preserve"> (</w:t>
      </w:r>
      <w:r w:rsidR="009E702E">
        <w:t>P</w:t>
      </w:r>
      <w:r w:rsidRPr="002C2E95">
        <w:t xml:space="preserve">roteaceae) endemic to southeast Queensland, Australia. </w:t>
      </w:r>
      <w:r w:rsidRPr="002C2E95">
        <w:rPr>
          <w:i/>
        </w:rPr>
        <w:t>Scientific Reports</w:t>
      </w:r>
      <w:r w:rsidRPr="002C2E95">
        <w:t xml:space="preserve"> 7, 46399.</w:t>
      </w:r>
    </w:p>
    <w:p w14:paraId="2FB2CD4E" w14:textId="6BB695FB" w:rsidR="002C2E95" w:rsidRPr="002C2E95" w:rsidRDefault="002C2E95" w:rsidP="002C2E95">
      <w:pPr>
        <w:pStyle w:val="EndNoteBibliography"/>
        <w:spacing w:after="240"/>
        <w:ind w:left="720" w:hanging="720"/>
      </w:pPr>
      <w:r w:rsidRPr="002C2E95">
        <w:t xml:space="preserve">Sindel B, van der Meulen A, Coleman M, Reeve I &amp; Moss J (2009) </w:t>
      </w:r>
      <w:r w:rsidRPr="002C2E95">
        <w:rPr>
          <w:i/>
        </w:rPr>
        <w:t>Pathway risk analysis for weed spread within Australia: implications for policy makers</w:t>
      </w:r>
      <w:r w:rsidRPr="002C2E95">
        <w:t>. University of New England, Armidale.</w:t>
      </w:r>
    </w:p>
    <w:p w14:paraId="6A5E00C9" w14:textId="1CECD751" w:rsidR="002C2E95" w:rsidRPr="002C2E95" w:rsidRDefault="002C2E95" w:rsidP="002C2E95">
      <w:pPr>
        <w:pStyle w:val="EndNoteBibliography"/>
        <w:spacing w:after="240"/>
        <w:ind w:left="720" w:hanging="720"/>
      </w:pPr>
      <w:r w:rsidRPr="002C2E95">
        <w:t>Thompson SE, Levin S &amp; Rodriguez-Iturbe I (2014)</w:t>
      </w:r>
      <w:r w:rsidR="009E702E">
        <w:t xml:space="preserve"> </w:t>
      </w:r>
      <w:r w:rsidRPr="002C2E95">
        <w:t xml:space="preserve">Rainfall and temperatures changes have confounding impacts on </w:t>
      </w:r>
      <w:r w:rsidRPr="002C2E95">
        <w:rPr>
          <w:i/>
        </w:rPr>
        <w:t>Phytophthora cinnamomi</w:t>
      </w:r>
      <w:r w:rsidRPr="002C2E95">
        <w:t xml:space="preserve"> occurrence risk in the southwestern USA under climate change scenarios. </w:t>
      </w:r>
      <w:r w:rsidRPr="002C2E95">
        <w:rPr>
          <w:i/>
        </w:rPr>
        <w:t>Global Change Biology</w:t>
      </w:r>
      <w:r w:rsidRPr="002C2E95">
        <w:t xml:space="preserve"> 20, 1299-1312.</w:t>
      </w:r>
    </w:p>
    <w:p w14:paraId="6765796F" w14:textId="23D6FD0A" w:rsidR="002C2E95" w:rsidRPr="002C2E95" w:rsidRDefault="002C2E95" w:rsidP="002C2E95">
      <w:pPr>
        <w:pStyle w:val="EndNoteBibliography"/>
        <w:spacing w:after="240"/>
        <w:ind w:left="720" w:hanging="720"/>
      </w:pPr>
      <w:r w:rsidRPr="002C2E95">
        <w:lastRenderedPageBreak/>
        <w:t xml:space="preserve">van Oldenborgh GJ, Krikken F, Lewis S, Leach NJ, Lehner F, Saunders KR, van Weele M, Haustein K, Li S &amp; Wallom D (2021) Attribution of the Australian bushfire risk to anthropogenic climate change. </w:t>
      </w:r>
      <w:r w:rsidRPr="002C2E95">
        <w:rPr>
          <w:i/>
        </w:rPr>
        <w:t xml:space="preserve">Natural </w:t>
      </w:r>
      <w:r w:rsidR="009D39A7">
        <w:rPr>
          <w:i/>
        </w:rPr>
        <w:t>H</w:t>
      </w:r>
      <w:r w:rsidRPr="002C2E95">
        <w:rPr>
          <w:i/>
        </w:rPr>
        <w:t>azards and Earth System Sciences</w:t>
      </w:r>
      <w:r w:rsidRPr="002C2E95">
        <w:t xml:space="preserve"> 21, 941-960.</w:t>
      </w:r>
    </w:p>
    <w:p w14:paraId="18FD7EE2" w14:textId="1CC5BB4D" w:rsidR="002C2E95" w:rsidRPr="002C2E95" w:rsidRDefault="002C2E95" w:rsidP="002C2E95">
      <w:pPr>
        <w:pStyle w:val="EndNoteBibliography"/>
        <w:ind w:left="720" w:hanging="720"/>
      </w:pPr>
      <w:r w:rsidRPr="002C2E95">
        <w:t xml:space="preserve">Whelan RJ (1995) </w:t>
      </w:r>
      <w:r w:rsidRPr="002C2E95">
        <w:rPr>
          <w:i/>
        </w:rPr>
        <w:t>The ecology of fire</w:t>
      </w:r>
      <w:r w:rsidRPr="002C2E95">
        <w:t>. Cambridge University Press, Cambridge.</w:t>
      </w:r>
    </w:p>
    <w:p w14:paraId="43BE935C" w14:textId="6414AAC4" w:rsidR="009E13C2" w:rsidRPr="009E13C2" w:rsidRDefault="009E13C2" w:rsidP="00744EDA"/>
    <w:p w14:paraId="0127F895" w14:textId="77777777" w:rsidR="0086619D" w:rsidRDefault="0086619D" w:rsidP="00601FF6">
      <w:pPr>
        <w:sectPr w:rsidR="0086619D" w:rsidSect="005208A6">
          <w:pgSz w:w="11906" w:h="16838"/>
          <w:pgMar w:top="1418" w:right="1418" w:bottom="1418" w:left="1418" w:header="567" w:footer="284" w:gutter="0"/>
          <w:cols w:space="708"/>
          <w:titlePg/>
          <w:docGrid w:linePitch="360"/>
        </w:sectPr>
      </w:pPr>
    </w:p>
    <w:p w14:paraId="21090E97" w14:textId="77777777" w:rsidR="008F5BD7" w:rsidRDefault="008F5BD7" w:rsidP="008F5BD7">
      <w:pPr>
        <w:pStyle w:val="Heading2"/>
        <w:pageBreakBefore/>
        <w:ind w:left="720" w:hanging="720"/>
      </w:pPr>
      <w:r>
        <w:lastRenderedPageBreak/>
        <w:t xml:space="preserve">Attachment A: Listing Assessment for </w:t>
      </w:r>
      <w:r>
        <w:rPr>
          <w:i/>
          <w:iCs/>
        </w:rPr>
        <w:t>Grevillea banyabba</w:t>
      </w:r>
    </w:p>
    <w:p w14:paraId="73818DD8" w14:textId="77777777" w:rsidR="008F5BD7" w:rsidRDefault="008F5BD7" w:rsidP="008F5BD7">
      <w:pPr>
        <w:pStyle w:val="Heading3"/>
        <w:ind w:left="964" w:hanging="964"/>
        <w:rPr>
          <w:lang w:eastAsia="ja-JP"/>
        </w:rPr>
      </w:pPr>
      <w:r>
        <w:rPr>
          <w:lang w:eastAsia="ja-JP"/>
        </w:rPr>
        <w:t>Reason for assessment</w:t>
      </w:r>
    </w:p>
    <w:p w14:paraId="4C2B9340" w14:textId="3EB5F520" w:rsidR="008F5BD7" w:rsidRPr="00102F7D" w:rsidRDefault="008F5BD7" w:rsidP="008F5BD7">
      <w:pPr>
        <w:rPr>
          <w:lang w:eastAsia="ja-JP"/>
        </w:rPr>
      </w:pPr>
      <w:r>
        <w:rPr>
          <w:lang w:eastAsia="ja-JP"/>
        </w:rPr>
        <w:t xml:space="preserve">The Banyabba </w:t>
      </w:r>
      <w:r w:rsidR="004F7964">
        <w:rPr>
          <w:lang w:eastAsia="ja-JP"/>
        </w:rPr>
        <w:t>g</w:t>
      </w:r>
      <w:r>
        <w:rPr>
          <w:lang w:eastAsia="ja-JP"/>
        </w:rPr>
        <w:t>revillea</w:t>
      </w:r>
      <w:r w:rsidRPr="00102F7D">
        <w:rPr>
          <w:lang w:eastAsia="ja-JP"/>
        </w:rPr>
        <w:t xml:space="preserve"> was listed as </w:t>
      </w:r>
      <w:sdt>
        <w:sdtPr>
          <w:id w:val="-986937263"/>
          <w:placeholder>
            <w:docPart w:val="81C04FC5633945EB9FE0C2224EEAEECD"/>
          </w:placeholder>
          <w:dropDownList>
            <w:listItem w:displayText="Critically Endangered" w:value="Critically Endangered"/>
            <w:listItem w:displayText="Endangered" w:value="Endangered"/>
            <w:listItem w:displayText="Vulnerable" w:value="Vulnerable"/>
          </w:dropDownList>
        </w:sdtPr>
        <w:sdtEndPr/>
        <w:sdtContent>
          <w:r>
            <w:t>Vulnerable</w:t>
          </w:r>
        </w:sdtContent>
      </w:sdt>
      <w:r w:rsidRPr="00102F7D" w:rsidDel="00933A0D">
        <w:rPr>
          <w:lang w:eastAsia="ja-JP"/>
        </w:rPr>
        <w:t xml:space="preserve"> </w:t>
      </w:r>
      <w:r w:rsidRPr="00102F7D">
        <w:rPr>
          <w:lang w:eastAsia="ja-JP"/>
        </w:rPr>
        <w:t xml:space="preserve">under the </w:t>
      </w:r>
      <w:r w:rsidRPr="00102F7D">
        <w:rPr>
          <w:rStyle w:val="Emphasis"/>
        </w:rPr>
        <w:t>Endangered Species Protection Act 1992</w:t>
      </w:r>
      <w:r w:rsidRPr="00102F7D">
        <w:rPr>
          <w:lang w:eastAsia="ja-JP"/>
        </w:rPr>
        <w:t xml:space="preserve"> and transferred to the </w:t>
      </w:r>
      <w:r w:rsidRPr="00102F7D">
        <w:rPr>
          <w:rStyle w:val="Emphasis"/>
        </w:rPr>
        <w:t>Environment Protection and Biodiversity Conservation Act 1999</w:t>
      </w:r>
      <w:r w:rsidRPr="00102F7D">
        <w:rPr>
          <w:lang w:eastAsia="ja-JP"/>
        </w:rPr>
        <w:t xml:space="preserve"> (EPBC Act) when it commenced in July 2000.</w:t>
      </w:r>
    </w:p>
    <w:p w14:paraId="3EBCDAC9" w14:textId="5D719D02" w:rsidR="008F5BD7" w:rsidRDefault="008F5BD7" w:rsidP="008F5BD7">
      <w:pPr>
        <w:rPr>
          <w:lang w:eastAsia="ja-JP"/>
        </w:rPr>
      </w:pPr>
      <w:r w:rsidRPr="000358BA">
        <w:t xml:space="preserve">This assessment follows </w:t>
      </w:r>
      <w:r w:rsidRPr="000358BA">
        <w:rPr>
          <w:lang w:eastAsia="ja-JP"/>
        </w:rPr>
        <w:t>prioritisation of a nomination from the TSSC.</w:t>
      </w:r>
    </w:p>
    <w:p w14:paraId="6E22375E" w14:textId="77777777" w:rsidR="008F5BD7" w:rsidRDefault="008F5BD7" w:rsidP="008F5BD7">
      <w:pPr>
        <w:pStyle w:val="Heading3"/>
        <w:ind w:left="964" w:hanging="964"/>
        <w:rPr>
          <w:lang w:eastAsia="ja-JP"/>
        </w:rPr>
      </w:pPr>
      <w:r>
        <w:rPr>
          <w:lang w:eastAsia="ja-JP"/>
        </w:rPr>
        <w:t>Assessment of eligibility for listing</w:t>
      </w:r>
    </w:p>
    <w:p w14:paraId="31B315FF" w14:textId="77777777" w:rsidR="008F5BD7" w:rsidRDefault="008F5BD7" w:rsidP="008F5BD7">
      <w:pPr>
        <w:rPr>
          <w:lang w:eastAsia="ja-JP"/>
        </w:rPr>
      </w:pPr>
      <w:r>
        <w:rPr>
          <w:lang w:eastAsia="ja-JP"/>
        </w:rPr>
        <w:t xml:space="preserve">This assessment uses the criteria set out in the </w:t>
      </w:r>
      <w:hyperlink r:id="rId47" w:history="1">
        <w:r w:rsidRPr="00C77CE3">
          <w:rPr>
            <w:rStyle w:val="Hyperlink"/>
            <w:lang w:eastAsia="ja-JP"/>
          </w:rPr>
          <w:t>EPBC Regulations</w:t>
        </w:r>
      </w:hyperlink>
      <w:r>
        <w:rPr>
          <w:lang w:eastAsia="ja-JP"/>
        </w:rPr>
        <w:t xml:space="preserve">. The thresholds used correspond with those in the </w:t>
      </w:r>
      <w:hyperlink r:id="rId48"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3E5FB36D" w14:textId="77777777" w:rsidR="008F5BD7" w:rsidRDefault="008F5BD7" w:rsidP="008F5BD7">
      <w:pPr>
        <w:pStyle w:val="Heading3"/>
        <w:rPr>
          <w:lang w:eastAsia="ja-JP"/>
        </w:rPr>
      </w:pPr>
      <w:r>
        <w:rPr>
          <w:lang w:eastAsia="ja-JP"/>
        </w:rPr>
        <w:t>Key assessment parameters</w:t>
      </w:r>
    </w:p>
    <w:p w14:paraId="787323A0" w14:textId="36DB7A26" w:rsidR="008F5BD7" w:rsidRDefault="008F5BD7" w:rsidP="008F5BD7">
      <w:pPr>
        <w:rPr>
          <w:lang w:eastAsia="ja-JP"/>
        </w:rPr>
      </w:pPr>
      <w:r>
        <w:rPr>
          <w:lang w:eastAsia="ja-JP"/>
        </w:rPr>
        <w:t xml:space="preserve">Table </w:t>
      </w:r>
      <w:r w:rsidR="00311CFF">
        <w:rPr>
          <w:lang w:eastAsia="ja-JP"/>
        </w:rPr>
        <w:t>4</w:t>
      </w:r>
      <w:r>
        <w:rPr>
          <w:lang w:eastAsia="ja-JP"/>
        </w:rPr>
        <w:t xml:space="preserve"> includes the key assessment parameters used in the assessment of eligibility for listing against the criteria.</w:t>
      </w:r>
    </w:p>
    <w:p w14:paraId="7380BE31" w14:textId="42F3B395" w:rsidR="0077351A" w:rsidRPr="009502E2" w:rsidRDefault="0077351A" w:rsidP="0077351A">
      <w:pPr>
        <w:pStyle w:val="Caption"/>
      </w:pPr>
      <w:r w:rsidRPr="009502E2">
        <w:t xml:space="preserve">Table </w:t>
      </w:r>
      <w:r w:rsidR="00B655DF">
        <w:fldChar w:fldCharType="begin"/>
      </w:r>
      <w:r w:rsidR="00B655DF">
        <w:instrText xml:space="preserve"> SEQ Table \* ARABIC </w:instrText>
      </w:r>
      <w:r w:rsidR="00B655DF">
        <w:fldChar w:fldCharType="separate"/>
      </w:r>
      <w:r w:rsidR="00311CFF">
        <w:rPr>
          <w:noProof/>
        </w:rPr>
        <w:t>4</w:t>
      </w:r>
      <w:r w:rsidR="00B655DF">
        <w:rPr>
          <w:noProof/>
        </w:rPr>
        <w:fldChar w:fldCharType="end"/>
      </w:r>
      <w:r w:rsidRPr="009502E2">
        <w:t xml:space="preserve"> </w:t>
      </w:r>
      <w:r w:rsidR="001376F1">
        <w:t>K</w:t>
      </w:r>
      <w:r w:rsidRPr="009502E2">
        <w:t>ey assessment parameters</w:t>
      </w:r>
    </w:p>
    <w:tbl>
      <w:tblPr>
        <w:tblStyle w:val="TableGrid"/>
        <w:tblW w:w="0" w:type="auto"/>
        <w:tblInd w:w="-5" w:type="dxa"/>
        <w:tblLook w:val="04A0" w:firstRow="1" w:lastRow="0" w:firstColumn="1" w:lastColumn="0" w:noHBand="0" w:noVBand="1"/>
      </w:tblPr>
      <w:tblGrid>
        <w:gridCol w:w="1507"/>
        <w:gridCol w:w="1169"/>
        <w:gridCol w:w="1152"/>
        <w:gridCol w:w="1134"/>
        <w:gridCol w:w="4103"/>
      </w:tblGrid>
      <w:tr w:rsidR="007768F3" w:rsidRPr="00D20C80" w14:paraId="2DC57C79" w14:textId="77777777" w:rsidTr="001E257F">
        <w:trPr>
          <w:cantSplit/>
          <w:tblHeader/>
        </w:trPr>
        <w:tc>
          <w:tcPr>
            <w:tcW w:w="1507" w:type="dxa"/>
          </w:tcPr>
          <w:p w14:paraId="2D0D65B9" w14:textId="77777777" w:rsidR="00CD441B" w:rsidRPr="00D20C80" w:rsidRDefault="00CD441B" w:rsidP="00C5493E">
            <w:pPr>
              <w:pStyle w:val="TableHeading"/>
              <w:keepNext w:val="0"/>
            </w:pPr>
            <w:bookmarkStart w:id="27" w:name="_Hlk66963083"/>
            <w:r w:rsidRPr="00D20C80">
              <w:t>Metric</w:t>
            </w:r>
          </w:p>
        </w:tc>
        <w:tc>
          <w:tcPr>
            <w:tcW w:w="1169" w:type="dxa"/>
          </w:tcPr>
          <w:p w14:paraId="760430DD" w14:textId="77777777" w:rsidR="00CD441B" w:rsidRPr="00D20C80" w:rsidRDefault="00CD441B" w:rsidP="00FD515C">
            <w:pPr>
              <w:pStyle w:val="TableHeading"/>
              <w:keepNext w:val="0"/>
            </w:pPr>
            <w:r w:rsidRPr="00D20C80">
              <w:t>Estimate</w:t>
            </w:r>
            <w:r w:rsidR="00E22344">
              <w:t xml:space="preserve"> used in the assessment</w:t>
            </w:r>
          </w:p>
        </w:tc>
        <w:tc>
          <w:tcPr>
            <w:tcW w:w="1152" w:type="dxa"/>
          </w:tcPr>
          <w:p w14:paraId="19D37324" w14:textId="77777777" w:rsidR="00CD441B" w:rsidRPr="00D20C80" w:rsidRDefault="00CD441B" w:rsidP="00FD515C">
            <w:pPr>
              <w:pStyle w:val="TableHeading"/>
              <w:keepNext w:val="0"/>
            </w:pPr>
            <w:r w:rsidRPr="00D20C80">
              <w:t>Minimum</w:t>
            </w:r>
            <w:r w:rsidR="00E22344">
              <w:t xml:space="preserve"> plausible value</w:t>
            </w:r>
          </w:p>
        </w:tc>
        <w:tc>
          <w:tcPr>
            <w:tcW w:w="1134" w:type="dxa"/>
          </w:tcPr>
          <w:p w14:paraId="5FF4F26F" w14:textId="77777777" w:rsidR="00CD441B" w:rsidRPr="00D20C80" w:rsidRDefault="00CD441B" w:rsidP="00FD515C">
            <w:pPr>
              <w:pStyle w:val="TableHeading"/>
              <w:keepNext w:val="0"/>
            </w:pPr>
            <w:r w:rsidRPr="00D20C80">
              <w:t>Maximum</w:t>
            </w:r>
            <w:r w:rsidR="00E22344">
              <w:t xml:space="preserve"> plausible value</w:t>
            </w:r>
          </w:p>
        </w:tc>
        <w:tc>
          <w:tcPr>
            <w:tcW w:w="4103" w:type="dxa"/>
          </w:tcPr>
          <w:p w14:paraId="146625D1" w14:textId="48555782" w:rsidR="00CD441B" w:rsidRPr="00D20C80" w:rsidRDefault="00CD441B" w:rsidP="008F5BD7">
            <w:pPr>
              <w:pStyle w:val="TableHeading"/>
              <w:keepNext w:val="0"/>
            </w:pPr>
            <w:r w:rsidRPr="00D20C80">
              <w:t>Justification</w:t>
            </w:r>
          </w:p>
        </w:tc>
      </w:tr>
      <w:tr w:rsidR="007768F3" w14:paraId="7D22639F" w14:textId="77777777" w:rsidTr="001E257F">
        <w:trPr>
          <w:cantSplit/>
        </w:trPr>
        <w:tc>
          <w:tcPr>
            <w:tcW w:w="1507" w:type="dxa"/>
          </w:tcPr>
          <w:p w14:paraId="4C690FE3" w14:textId="25AF6719" w:rsidR="00D37773" w:rsidRPr="00D20C80" w:rsidRDefault="00D37773" w:rsidP="00BA40FE">
            <w:pPr>
              <w:pStyle w:val="TableHeading"/>
              <w:keepNext w:val="0"/>
              <w:rPr>
                <w:rStyle w:val="Strong"/>
                <w:b/>
                <w:bCs w:val="0"/>
              </w:rPr>
            </w:pPr>
            <w:r w:rsidRPr="00D20C80">
              <w:rPr>
                <w:rStyle w:val="Strong"/>
                <w:b/>
                <w:bCs w:val="0"/>
              </w:rPr>
              <w:t>Number of mature individuals</w:t>
            </w:r>
          </w:p>
        </w:tc>
        <w:tc>
          <w:tcPr>
            <w:tcW w:w="1169" w:type="dxa"/>
            <w:shd w:val="clear" w:color="auto" w:fill="auto"/>
          </w:tcPr>
          <w:p w14:paraId="75936408" w14:textId="6771F6AE" w:rsidR="00D37773" w:rsidRDefault="00EB4B45" w:rsidP="002E31FA">
            <w:pPr>
              <w:pStyle w:val="TableText"/>
            </w:pPr>
            <w:r>
              <w:t>&lt;</w:t>
            </w:r>
            <w:r w:rsidR="006E518F">
              <w:t>10</w:t>
            </w:r>
            <w:r w:rsidR="00552214">
              <w:t>,</w:t>
            </w:r>
            <w:r w:rsidR="006E518F">
              <w:t>000</w:t>
            </w:r>
          </w:p>
        </w:tc>
        <w:tc>
          <w:tcPr>
            <w:tcW w:w="1152" w:type="dxa"/>
            <w:shd w:val="clear" w:color="auto" w:fill="auto"/>
          </w:tcPr>
          <w:p w14:paraId="32718EAD" w14:textId="7BF57AE4" w:rsidR="00D37773" w:rsidRDefault="00C363D7" w:rsidP="002E31FA">
            <w:pPr>
              <w:pStyle w:val="TableText"/>
            </w:pPr>
            <w:r>
              <w:t>Unknown</w:t>
            </w:r>
          </w:p>
        </w:tc>
        <w:tc>
          <w:tcPr>
            <w:tcW w:w="1134" w:type="dxa"/>
            <w:shd w:val="clear" w:color="auto" w:fill="auto"/>
          </w:tcPr>
          <w:p w14:paraId="497B61C8" w14:textId="29360CD2" w:rsidR="00D37773" w:rsidRPr="009E4527" w:rsidRDefault="00864870" w:rsidP="002E31FA">
            <w:pPr>
              <w:pStyle w:val="TableText"/>
            </w:pPr>
            <w:r>
              <w:t xml:space="preserve"> Unknown</w:t>
            </w:r>
          </w:p>
        </w:tc>
        <w:tc>
          <w:tcPr>
            <w:tcW w:w="4103" w:type="dxa"/>
            <w:shd w:val="clear" w:color="auto" w:fill="auto"/>
          </w:tcPr>
          <w:p w14:paraId="7740C259" w14:textId="3160B22E" w:rsidR="009C4A86" w:rsidRPr="009E4527" w:rsidRDefault="00200748" w:rsidP="00DD411A">
            <w:pPr>
              <w:pStyle w:val="TableText"/>
            </w:pPr>
            <w:r w:rsidRPr="009E4527">
              <w:t>Based</w:t>
            </w:r>
            <w:r w:rsidR="009C4A86" w:rsidRPr="00143FC1">
              <w:t xml:space="preserve"> on surveys in 2019</w:t>
            </w:r>
            <w:r w:rsidR="009C4A86" w:rsidRPr="008F354B">
              <w:t xml:space="preserve">–2021, local experts from the NSW </w:t>
            </w:r>
            <w:r w:rsidR="009C4A86" w:rsidRPr="0044343A">
              <w:t>DPIE estimate a total</w:t>
            </w:r>
            <w:r w:rsidR="009C4A86" w:rsidRPr="009722E4">
              <w:t xml:space="preserve"> population size of approximately </w:t>
            </w:r>
            <w:r w:rsidR="00720C27" w:rsidRPr="00E85443">
              <w:t>≥ 10</w:t>
            </w:r>
            <w:r w:rsidR="00552214">
              <w:t>,</w:t>
            </w:r>
            <w:r w:rsidR="00720C27" w:rsidRPr="00E85443">
              <w:t xml:space="preserve">000 individuals </w:t>
            </w:r>
            <w:r w:rsidR="00987265">
              <w:t xml:space="preserve">(both juvenile and mature) </w:t>
            </w:r>
            <w:r w:rsidR="009C4A86" w:rsidRPr="008F354B">
              <w:t xml:space="preserve">(Table 1) (DPIE 2021. pers comm </w:t>
            </w:r>
            <w:r w:rsidR="00720C27">
              <w:t>8</w:t>
            </w:r>
            <w:r w:rsidR="009C4A86" w:rsidRPr="008F354B">
              <w:t xml:space="preserve"> September).</w:t>
            </w:r>
            <w:r w:rsidR="004C7A96" w:rsidRPr="008F354B">
              <w:t xml:space="preserve"> </w:t>
            </w:r>
            <w:r w:rsidR="002054C3" w:rsidRPr="0044343A">
              <w:t xml:space="preserve">Accordingly, </w:t>
            </w:r>
            <w:r w:rsidR="002054C3" w:rsidRPr="002054C3">
              <w:t xml:space="preserve">the number of mature individuals </w:t>
            </w:r>
            <w:r w:rsidR="0048123B">
              <w:t>is expected to</w:t>
            </w:r>
            <w:r w:rsidR="00612BC9">
              <w:t xml:space="preserve"> </w:t>
            </w:r>
            <w:r w:rsidR="002054C3" w:rsidRPr="002054C3">
              <w:t>be fewer than 10</w:t>
            </w:r>
            <w:r w:rsidR="00552214">
              <w:t>,</w:t>
            </w:r>
            <w:r w:rsidR="002054C3" w:rsidRPr="002054C3">
              <w:t xml:space="preserve">000. </w:t>
            </w:r>
            <w:r w:rsidR="004C7A96" w:rsidRPr="002054C3">
              <w:t xml:space="preserve">This is the </w:t>
            </w:r>
            <w:r w:rsidR="00864870">
              <w:t>estimate used in</w:t>
            </w:r>
            <w:r w:rsidR="002054C3" w:rsidRPr="002054C3">
              <w:t xml:space="preserve"> this assessment</w:t>
            </w:r>
            <w:r w:rsidR="004C7A96" w:rsidRPr="009E4527">
              <w:t>.</w:t>
            </w:r>
          </w:p>
          <w:p w14:paraId="1D6314D1" w14:textId="13D28908" w:rsidR="00B23727" w:rsidRPr="002054C3" w:rsidRDefault="004C7A96" w:rsidP="00DD411A">
            <w:pPr>
              <w:pStyle w:val="TableText"/>
            </w:pPr>
            <w:r w:rsidRPr="009E4527">
              <w:t xml:space="preserve">The minimum </w:t>
            </w:r>
            <w:r w:rsidR="00864870">
              <w:t xml:space="preserve">and maximum </w:t>
            </w:r>
            <w:r w:rsidRPr="009E4527">
              <w:t>plausible value</w:t>
            </w:r>
            <w:r w:rsidR="0048123B">
              <w:t>s</w:t>
            </w:r>
            <w:r w:rsidRPr="009E4527">
              <w:t xml:space="preserve"> </w:t>
            </w:r>
            <w:r w:rsidR="00864870">
              <w:t>are</w:t>
            </w:r>
            <w:r w:rsidRPr="009E4527">
              <w:t xml:space="preserve"> unknown.</w:t>
            </w:r>
          </w:p>
        </w:tc>
      </w:tr>
      <w:tr w:rsidR="005F35AA" w14:paraId="6AD8C65A" w14:textId="77777777" w:rsidTr="001E257F">
        <w:trPr>
          <w:cantSplit/>
        </w:trPr>
        <w:tc>
          <w:tcPr>
            <w:tcW w:w="1507" w:type="dxa"/>
          </w:tcPr>
          <w:p w14:paraId="2B54D8D4" w14:textId="77777777" w:rsidR="00D37773" w:rsidRPr="008F354B" w:rsidRDefault="00D37773" w:rsidP="002E31FA">
            <w:pPr>
              <w:pStyle w:val="TableHeading"/>
              <w:keepNext w:val="0"/>
              <w:rPr>
                <w:rStyle w:val="Strong"/>
                <w:b/>
                <w:bCs w:val="0"/>
              </w:rPr>
            </w:pPr>
            <w:r w:rsidRPr="008F354B">
              <w:rPr>
                <w:rStyle w:val="Strong"/>
                <w:b/>
                <w:bCs w:val="0"/>
              </w:rPr>
              <w:t>Trend</w:t>
            </w:r>
          </w:p>
        </w:tc>
        <w:tc>
          <w:tcPr>
            <w:tcW w:w="3455" w:type="dxa"/>
            <w:gridSpan w:val="3"/>
            <w:shd w:val="clear" w:color="auto" w:fill="auto"/>
          </w:tcPr>
          <w:p w14:paraId="676BC994" w14:textId="401228F4" w:rsidR="00D37773" w:rsidRPr="008F354B" w:rsidRDefault="000339AB" w:rsidP="001376F1">
            <w:pPr>
              <w:pStyle w:val="TableText"/>
            </w:pPr>
            <w:r>
              <w:t>Possibly declined in the past; p</w:t>
            </w:r>
            <w:r w:rsidR="00B84B53">
              <w:t>rojected to decline</w:t>
            </w:r>
          </w:p>
        </w:tc>
        <w:tc>
          <w:tcPr>
            <w:tcW w:w="4103" w:type="dxa"/>
            <w:shd w:val="clear" w:color="auto" w:fill="auto"/>
          </w:tcPr>
          <w:p w14:paraId="085D6790" w14:textId="13A37081" w:rsidR="00A57D50" w:rsidRPr="000339AB" w:rsidRDefault="000339AB" w:rsidP="002E31FA">
            <w:pPr>
              <w:pStyle w:val="TableText"/>
            </w:pPr>
            <w:r w:rsidRPr="000339AB">
              <w:t>T</w:t>
            </w:r>
            <w:r w:rsidR="00A57D50" w:rsidRPr="000339AB">
              <w:t xml:space="preserve">his assessment recognises that the species </w:t>
            </w:r>
            <w:r w:rsidRPr="000339AB">
              <w:t>may have undergone past</w:t>
            </w:r>
            <w:r w:rsidR="00A57D50" w:rsidRPr="000339AB">
              <w:t xml:space="preserve"> decline, however, further survey information is required from Wombat Creek State Conservation Area to determine if this is the case</w:t>
            </w:r>
            <w:r w:rsidRPr="000339AB">
              <w:t xml:space="preserve"> (see Criterion 1)</w:t>
            </w:r>
            <w:r w:rsidR="00A57D50" w:rsidRPr="000339AB">
              <w:t>.</w:t>
            </w:r>
          </w:p>
          <w:p w14:paraId="4C70A53B" w14:textId="026DA7DD" w:rsidR="000339AB" w:rsidRPr="000339AB" w:rsidRDefault="000339AB" w:rsidP="000339AB">
            <w:pPr>
              <w:pStyle w:val="TableText"/>
            </w:pPr>
            <w:r w:rsidRPr="000339AB">
              <w:t>A</w:t>
            </w:r>
            <w:r w:rsidR="008F354B" w:rsidRPr="000339AB">
              <w:t xml:space="preserve">lthough the </w:t>
            </w:r>
            <w:r w:rsidR="00391488" w:rsidRPr="000339AB">
              <w:t>number of mature individuals declined due to the 2019-20 bushfire</w:t>
            </w:r>
            <w:r w:rsidR="00FB4183" w:rsidRPr="000339AB">
              <w:t>s</w:t>
            </w:r>
            <w:r w:rsidR="00DD629A" w:rsidRPr="000339AB">
              <w:t>,</w:t>
            </w:r>
            <w:r w:rsidRPr="000339AB">
              <w:t xml:space="preserve"> this loss of mature individuals is considered part of the natural fluctuation in population size (as</w:t>
            </w:r>
            <w:r w:rsidR="00DD629A" w:rsidRPr="000339AB">
              <w:t xml:space="preserve"> </w:t>
            </w:r>
            <w:r w:rsidR="00BD2EB0" w:rsidRPr="000339AB">
              <w:t>fire is likely to be required for germination</w:t>
            </w:r>
            <w:r w:rsidRPr="000339AB">
              <w:t xml:space="preserve"> and</w:t>
            </w:r>
            <w:r>
              <w:t xml:space="preserve"> </w:t>
            </w:r>
            <w:r w:rsidR="00DD629A" w:rsidRPr="000339AB">
              <w:t xml:space="preserve">post-fire seedling recruitment </w:t>
            </w:r>
            <w:r w:rsidR="001609DE" w:rsidRPr="000339AB">
              <w:t>is</w:t>
            </w:r>
            <w:r w:rsidR="006E0DD6" w:rsidRPr="000339AB">
              <w:t xml:space="preserve"> </w:t>
            </w:r>
            <w:r w:rsidR="00DD629A" w:rsidRPr="000339AB">
              <w:t>high</w:t>
            </w:r>
            <w:r w:rsidRPr="000339AB">
              <w:t xml:space="preserve">, </w:t>
            </w:r>
            <w:r w:rsidR="00DD629A" w:rsidRPr="000339AB">
              <w:t>DPIE 2021. pers comm 24 June)</w:t>
            </w:r>
            <w:r w:rsidRPr="000339AB">
              <w:t xml:space="preserve"> (see Criterion 1)</w:t>
            </w:r>
            <w:r w:rsidR="00DD629A" w:rsidRPr="000339AB">
              <w:t xml:space="preserve">. </w:t>
            </w:r>
          </w:p>
          <w:p w14:paraId="2D212016" w14:textId="186AF312" w:rsidR="000339AB" w:rsidRPr="000339AB" w:rsidRDefault="000339AB" w:rsidP="000339AB">
            <w:pPr>
              <w:pStyle w:val="TableText"/>
            </w:pPr>
            <w:r w:rsidRPr="000339AB">
              <w:t>However, changes to fire weather conditions, rainfall patterns and temperature, and more time in drought, are likely to result in a net loss of mature individuals and an ongoing and non-reversible decline in population size of the species in the coming decades (see Criterion 1).</w:t>
            </w:r>
          </w:p>
        </w:tc>
      </w:tr>
      <w:tr w:rsidR="007768F3" w14:paraId="23968280" w14:textId="77777777" w:rsidTr="001E257F">
        <w:trPr>
          <w:cantSplit/>
        </w:trPr>
        <w:tc>
          <w:tcPr>
            <w:tcW w:w="1507" w:type="dxa"/>
          </w:tcPr>
          <w:p w14:paraId="193E6D26" w14:textId="77777777" w:rsidR="00D37773" w:rsidRPr="005A015D" w:rsidRDefault="00D37773" w:rsidP="002E31FA">
            <w:pPr>
              <w:pStyle w:val="TableHeading"/>
              <w:keepNext w:val="0"/>
              <w:rPr>
                <w:rStyle w:val="Strong"/>
                <w:b/>
                <w:bCs w:val="0"/>
              </w:rPr>
            </w:pPr>
            <w:r w:rsidRPr="005A015D">
              <w:rPr>
                <w:rStyle w:val="Strong"/>
                <w:b/>
                <w:bCs w:val="0"/>
              </w:rPr>
              <w:lastRenderedPageBreak/>
              <w:t>Generation time (years)</w:t>
            </w:r>
          </w:p>
        </w:tc>
        <w:tc>
          <w:tcPr>
            <w:tcW w:w="1169" w:type="dxa"/>
            <w:shd w:val="clear" w:color="auto" w:fill="auto"/>
          </w:tcPr>
          <w:p w14:paraId="0AEE076D" w14:textId="08E42E27" w:rsidR="00D37773" w:rsidRPr="005A015D" w:rsidRDefault="002C0EDC" w:rsidP="002E31FA">
            <w:pPr>
              <w:pStyle w:val="TableText"/>
            </w:pPr>
            <w:r>
              <w:t>26.5</w:t>
            </w:r>
            <w:r w:rsidR="001B0BC1">
              <w:t xml:space="preserve"> </w:t>
            </w:r>
          </w:p>
        </w:tc>
        <w:tc>
          <w:tcPr>
            <w:tcW w:w="1152" w:type="dxa"/>
            <w:shd w:val="clear" w:color="auto" w:fill="auto"/>
          </w:tcPr>
          <w:p w14:paraId="689F920C" w14:textId="779346BA" w:rsidR="00D37773" w:rsidRPr="005A015D" w:rsidRDefault="002C0EDC" w:rsidP="002E31FA">
            <w:pPr>
              <w:pStyle w:val="TableText"/>
            </w:pPr>
            <w:r>
              <w:t>Unknown</w:t>
            </w:r>
          </w:p>
        </w:tc>
        <w:tc>
          <w:tcPr>
            <w:tcW w:w="1134" w:type="dxa"/>
            <w:shd w:val="clear" w:color="auto" w:fill="auto"/>
          </w:tcPr>
          <w:p w14:paraId="4CB2D211" w14:textId="78F3BC9C" w:rsidR="00D37773" w:rsidRPr="005A015D" w:rsidRDefault="008F5BD7" w:rsidP="002E31FA">
            <w:pPr>
              <w:pStyle w:val="TableText"/>
            </w:pPr>
            <w:r w:rsidRPr="005A015D">
              <w:t>Unknown</w:t>
            </w:r>
          </w:p>
        </w:tc>
        <w:tc>
          <w:tcPr>
            <w:tcW w:w="4103" w:type="dxa"/>
            <w:shd w:val="clear" w:color="auto" w:fill="auto"/>
          </w:tcPr>
          <w:p w14:paraId="0331ABBF" w14:textId="60878105" w:rsidR="00AC4036" w:rsidRPr="005A015D" w:rsidRDefault="00F84E9D" w:rsidP="00A714BA">
            <w:pPr>
              <w:pStyle w:val="TableText"/>
            </w:pPr>
            <w:r w:rsidRPr="005A015D">
              <w:t xml:space="preserve">The species </w:t>
            </w:r>
            <w:r w:rsidR="00A714BA">
              <w:t xml:space="preserve">is likely to have a generation time of </w:t>
            </w:r>
            <w:r w:rsidR="002C0EDC">
              <w:t>approximately 26.5</w:t>
            </w:r>
            <w:r w:rsidR="00A714BA">
              <w:t xml:space="preserve"> years (see Criterion 1). </w:t>
            </w:r>
          </w:p>
        </w:tc>
      </w:tr>
      <w:tr w:rsidR="007768F3" w14:paraId="7024E8BD" w14:textId="77777777" w:rsidTr="001E257F">
        <w:trPr>
          <w:cantSplit/>
        </w:trPr>
        <w:tc>
          <w:tcPr>
            <w:tcW w:w="1507" w:type="dxa"/>
          </w:tcPr>
          <w:p w14:paraId="3EF70720" w14:textId="59B3B375" w:rsidR="0043429E" w:rsidRPr="00BA40FE" w:rsidRDefault="0043429E" w:rsidP="00BA40FE">
            <w:pPr>
              <w:pStyle w:val="TableHeading"/>
              <w:keepNext w:val="0"/>
              <w:rPr>
                <w:rStyle w:val="Strong"/>
                <w:b/>
                <w:sz w:val="22"/>
              </w:rPr>
            </w:pPr>
            <w:r w:rsidRPr="00520846">
              <w:rPr>
                <w:rStyle w:val="Strong"/>
                <w:b/>
                <w:bCs w:val="0"/>
              </w:rPr>
              <w:t>Extent of occurrence</w:t>
            </w:r>
          </w:p>
        </w:tc>
        <w:tc>
          <w:tcPr>
            <w:tcW w:w="1169" w:type="dxa"/>
            <w:shd w:val="clear" w:color="auto" w:fill="auto"/>
          </w:tcPr>
          <w:p w14:paraId="25D9223B" w14:textId="22E5D22F" w:rsidR="0043429E" w:rsidRPr="00520846" w:rsidRDefault="008A0A85" w:rsidP="0043429E">
            <w:pPr>
              <w:pStyle w:val="TableText"/>
            </w:pPr>
            <w:r>
              <w:t>170</w:t>
            </w:r>
            <w:r w:rsidR="0043429E" w:rsidRPr="00520846">
              <w:t xml:space="preserve"> km</w:t>
            </w:r>
            <w:r w:rsidR="0043429E" w:rsidRPr="00520846">
              <w:rPr>
                <w:vertAlign w:val="superscript"/>
              </w:rPr>
              <w:t>2</w:t>
            </w:r>
          </w:p>
        </w:tc>
        <w:tc>
          <w:tcPr>
            <w:tcW w:w="1152" w:type="dxa"/>
            <w:shd w:val="clear" w:color="auto" w:fill="auto"/>
          </w:tcPr>
          <w:p w14:paraId="1602EF7A" w14:textId="6109713A" w:rsidR="0043429E" w:rsidRPr="00520846" w:rsidRDefault="008A0A85" w:rsidP="0043429E">
            <w:pPr>
              <w:pStyle w:val="TableText"/>
            </w:pPr>
            <w:r>
              <w:t>170</w:t>
            </w:r>
            <w:r w:rsidR="00EB49DD" w:rsidRPr="00520846">
              <w:t xml:space="preserve"> km</w:t>
            </w:r>
            <w:r w:rsidR="00EB49DD" w:rsidRPr="00520846">
              <w:rPr>
                <w:vertAlign w:val="superscript"/>
              </w:rPr>
              <w:t>2</w:t>
            </w:r>
          </w:p>
        </w:tc>
        <w:tc>
          <w:tcPr>
            <w:tcW w:w="1134" w:type="dxa"/>
            <w:shd w:val="clear" w:color="auto" w:fill="auto"/>
          </w:tcPr>
          <w:p w14:paraId="09A9DE16" w14:textId="001F7948" w:rsidR="0043429E" w:rsidRPr="00520846" w:rsidRDefault="0043429E" w:rsidP="0043429E">
            <w:pPr>
              <w:pStyle w:val="TableText"/>
            </w:pPr>
            <w:r w:rsidRPr="00520846">
              <w:t>500 km</w:t>
            </w:r>
            <w:r w:rsidRPr="00520846">
              <w:rPr>
                <w:vertAlign w:val="superscript"/>
              </w:rPr>
              <w:t>2</w:t>
            </w:r>
          </w:p>
        </w:tc>
        <w:tc>
          <w:tcPr>
            <w:tcW w:w="4103" w:type="dxa"/>
            <w:shd w:val="clear" w:color="auto" w:fill="auto"/>
          </w:tcPr>
          <w:p w14:paraId="3E3886EA" w14:textId="45B8BA6A" w:rsidR="0046232B" w:rsidRDefault="009B3CA1" w:rsidP="0043429E">
            <w:pPr>
              <w:pStyle w:val="TableText"/>
            </w:pPr>
            <w:r w:rsidRPr="00520846">
              <w:t xml:space="preserve">The </w:t>
            </w:r>
            <w:r w:rsidR="00264487" w:rsidRPr="00520846">
              <w:t>estimate used in this assessment</w:t>
            </w:r>
            <w:r w:rsidRPr="00520846">
              <w:t xml:space="preserve"> </w:t>
            </w:r>
            <w:r w:rsidR="00B2365E">
              <w:t>is the</w:t>
            </w:r>
            <w:r w:rsidR="00EB49DD">
              <w:t xml:space="preserve"> minimum </w:t>
            </w:r>
            <w:r w:rsidR="0046232B" w:rsidRPr="00520846">
              <w:t xml:space="preserve">plausible value </w:t>
            </w:r>
            <w:r w:rsidR="00B2365E">
              <w:t xml:space="preserve">and </w:t>
            </w:r>
            <w:r w:rsidRPr="00520846">
              <w:t xml:space="preserve">has been calculated using record data </w:t>
            </w:r>
            <w:r w:rsidR="0046232B">
              <w:t xml:space="preserve">from </w:t>
            </w:r>
            <w:r w:rsidR="0046232B" w:rsidRPr="00E74EC9">
              <w:t>199</w:t>
            </w:r>
            <w:r w:rsidR="0046232B">
              <w:t>6</w:t>
            </w:r>
            <w:r w:rsidR="0046232B" w:rsidRPr="00E74EC9">
              <w:t>-2019</w:t>
            </w:r>
            <w:r w:rsidR="00FA6C72">
              <w:t xml:space="preserve"> </w:t>
            </w:r>
            <w:r w:rsidRPr="00520846">
              <w:t xml:space="preserve">for known subpopulations and applying the shortest continuous imaginary boundary which can be drawn to encompass these records, as outlined in the Guidelines for Using the IUCN Red List Categories and Criteria </w:t>
            </w:r>
            <w:r w:rsidR="00C810E9" w:rsidRPr="00520846">
              <w:rPr>
                <w:noProof/>
              </w:rPr>
              <w:t>(IUCN 2019)</w:t>
            </w:r>
            <w:r w:rsidRPr="00520846">
              <w:t>.</w:t>
            </w:r>
            <w:r w:rsidR="00A806B4">
              <w:t xml:space="preserve"> </w:t>
            </w:r>
          </w:p>
          <w:p w14:paraId="168E1A5B" w14:textId="7A0C9FDA" w:rsidR="00A806B4" w:rsidRDefault="00AE0333" w:rsidP="0043429E">
            <w:pPr>
              <w:pStyle w:val="TableText"/>
            </w:pPr>
            <w:r w:rsidRPr="00520846">
              <w:t xml:space="preserve">The minimum plausible value </w:t>
            </w:r>
            <w:r w:rsidR="001D6D6D">
              <w:t xml:space="preserve">varies from the values calculated by Gallagher </w:t>
            </w:r>
            <w:r w:rsidR="00B745D6">
              <w:t xml:space="preserve">(2020) </w:t>
            </w:r>
            <w:r w:rsidR="001D6D6D">
              <w:t>and the</w:t>
            </w:r>
            <w:r w:rsidR="00B745D6">
              <w:t xml:space="preserve"> 2019 IUCN assessment</w:t>
            </w:r>
            <w:r w:rsidRPr="00520846">
              <w:t xml:space="preserve"> </w:t>
            </w:r>
            <w:r w:rsidR="0046232B">
              <w:t>because a</w:t>
            </w:r>
            <w:r w:rsidR="0046232B" w:rsidRPr="0046232B">
              <w:t xml:space="preserve">n outlying record from </w:t>
            </w:r>
            <w:proofErr w:type="spellStart"/>
            <w:r w:rsidR="0046232B" w:rsidRPr="0046232B">
              <w:t>Gibberagee</w:t>
            </w:r>
            <w:proofErr w:type="spellEnd"/>
            <w:r w:rsidR="0046232B" w:rsidRPr="0046232B">
              <w:t xml:space="preserve"> State Forest was reassigned to Mason’s </w:t>
            </w:r>
            <w:r w:rsidR="00D350E4">
              <w:t>g</w:t>
            </w:r>
            <w:r w:rsidR="0046232B" w:rsidRPr="0046232B">
              <w:t>revillea</w:t>
            </w:r>
            <w:r w:rsidR="0046232B">
              <w:t xml:space="preserve"> </w:t>
            </w:r>
            <w:r w:rsidR="0046232B" w:rsidRPr="000047B6">
              <w:t>(</w:t>
            </w:r>
            <w:r w:rsidR="0046232B" w:rsidRPr="0017622B">
              <w:t>DPIE 2021. pers comm 24 June)</w:t>
            </w:r>
            <w:r w:rsidR="0046232B">
              <w:t xml:space="preserve"> and must be excluded from EOO calculations.</w:t>
            </w:r>
          </w:p>
          <w:p w14:paraId="33F763CC" w14:textId="5FAB9D33" w:rsidR="001D6D6D" w:rsidRDefault="001D6D6D" w:rsidP="0043429E">
            <w:pPr>
              <w:pStyle w:val="TableText"/>
            </w:pPr>
            <w:r w:rsidRPr="004019B4">
              <w:rPr>
                <w:u w:val="single"/>
              </w:rPr>
              <w:t>Note</w:t>
            </w:r>
            <w:r w:rsidRPr="00520846">
              <w:t xml:space="preserve">: the estimate from </w:t>
            </w:r>
            <w:r>
              <w:t xml:space="preserve">the </w:t>
            </w:r>
            <w:r w:rsidRPr="00520846">
              <w:rPr>
                <w:noProof/>
              </w:rPr>
              <w:t>Gallagher (2020)</w:t>
            </w:r>
            <w:r>
              <w:t xml:space="preserve"> rapid assessment</w:t>
            </w:r>
            <w:r w:rsidRPr="00520846">
              <w:t xml:space="preserve"> is 239 km</w:t>
            </w:r>
            <w:r w:rsidRPr="00520846">
              <w:rPr>
                <w:vertAlign w:val="superscript"/>
              </w:rPr>
              <w:t>2</w:t>
            </w:r>
            <w:r>
              <w:t xml:space="preserve">; the estimate from the </w:t>
            </w:r>
            <w:r w:rsidRPr="00520846">
              <w:t xml:space="preserve">2019 IUCN rapid assessment </w:t>
            </w:r>
            <w:r w:rsidRPr="00520846">
              <w:rPr>
                <w:noProof/>
              </w:rPr>
              <w:t>(Makinson &amp; Olde 2020)</w:t>
            </w:r>
            <w:r>
              <w:t xml:space="preserve"> is </w:t>
            </w:r>
            <w:r w:rsidRPr="00520846">
              <w:t>2</w:t>
            </w:r>
            <w:r>
              <w:t>22</w:t>
            </w:r>
            <w:r w:rsidRPr="00520846">
              <w:t xml:space="preserve"> km</w:t>
            </w:r>
            <w:r w:rsidRPr="00520846">
              <w:rPr>
                <w:vertAlign w:val="superscript"/>
              </w:rPr>
              <w:t>2</w:t>
            </w:r>
            <w:r w:rsidRPr="00520846">
              <w:t>.</w:t>
            </w:r>
          </w:p>
          <w:p w14:paraId="4683315B" w14:textId="71A57EC6" w:rsidR="00520846" w:rsidRPr="00520846" w:rsidRDefault="00AE0333" w:rsidP="0043429E">
            <w:pPr>
              <w:pStyle w:val="TableText"/>
            </w:pPr>
            <w:r w:rsidRPr="00520846">
              <w:t xml:space="preserve">The maximum plausible value is the estimate used in </w:t>
            </w:r>
            <w:r w:rsidR="00DC54DF">
              <w:t xml:space="preserve">the </w:t>
            </w:r>
            <w:r w:rsidRPr="00520846">
              <w:rPr>
                <w:noProof/>
              </w:rPr>
              <w:t>Le Breton et al. (2019)</w:t>
            </w:r>
            <w:r w:rsidRPr="00520846">
              <w:t xml:space="preserve"> rapid assessment.</w:t>
            </w:r>
          </w:p>
          <w:p w14:paraId="54B99F66" w14:textId="515D5D17" w:rsidR="0043429E" w:rsidRPr="00520846" w:rsidRDefault="008A0A85" w:rsidP="0043429E">
            <w:pPr>
              <w:pStyle w:val="TableText"/>
            </w:pPr>
            <w:r>
              <w:t>All values are within the range of the Endangered category of Criterion 2.</w:t>
            </w:r>
          </w:p>
        </w:tc>
      </w:tr>
      <w:tr w:rsidR="005F35AA" w14:paraId="6E32A431" w14:textId="77777777" w:rsidTr="001E257F">
        <w:trPr>
          <w:cantSplit/>
        </w:trPr>
        <w:tc>
          <w:tcPr>
            <w:tcW w:w="1507" w:type="dxa"/>
          </w:tcPr>
          <w:p w14:paraId="53018EF3" w14:textId="77777777" w:rsidR="0043429E" w:rsidRPr="00D20C80" w:rsidRDefault="0043429E" w:rsidP="0043429E">
            <w:pPr>
              <w:pStyle w:val="TableHeading"/>
              <w:keepNext w:val="0"/>
              <w:rPr>
                <w:rStyle w:val="Strong"/>
                <w:b/>
                <w:sz w:val="22"/>
              </w:rPr>
            </w:pPr>
            <w:r w:rsidRPr="00D20C80">
              <w:rPr>
                <w:rStyle w:val="Strong"/>
                <w:b/>
                <w:bCs w:val="0"/>
              </w:rPr>
              <w:t>Trend</w:t>
            </w:r>
          </w:p>
        </w:tc>
        <w:tc>
          <w:tcPr>
            <w:tcW w:w="3455" w:type="dxa"/>
            <w:gridSpan w:val="3"/>
            <w:shd w:val="clear" w:color="auto" w:fill="auto"/>
          </w:tcPr>
          <w:p w14:paraId="0F9388C8" w14:textId="7BCD63CE" w:rsidR="0043429E" w:rsidRDefault="00691D33" w:rsidP="0043429E">
            <w:pPr>
              <w:pStyle w:val="TableText"/>
            </w:pPr>
            <w:r>
              <w:t>Stable</w:t>
            </w:r>
          </w:p>
        </w:tc>
        <w:tc>
          <w:tcPr>
            <w:tcW w:w="4103" w:type="dxa"/>
            <w:shd w:val="clear" w:color="auto" w:fill="auto"/>
          </w:tcPr>
          <w:p w14:paraId="29F319D4" w14:textId="79F509FB" w:rsidR="00706BC2" w:rsidRDefault="00F11945" w:rsidP="00E85B86">
            <w:pPr>
              <w:pStyle w:val="TableText"/>
            </w:pPr>
            <w:r>
              <w:rPr>
                <w:noProof/>
              </w:rPr>
              <w:t>All known subpopulations occur within reserved tenure (Table 1)</w:t>
            </w:r>
            <w:r w:rsidRPr="003F0048">
              <w:t xml:space="preserve">, with most </w:t>
            </w:r>
            <w:r>
              <w:t xml:space="preserve">individuals </w:t>
            </w:r>
            <w:r w:rsidRPr="00BE185F">
              <w:t>occu</w:t>
            </w:r>
            <w:r>
              <w:t>r</w:t>
            </w:r>
            <w:r w:rsidRPr="00BE185F">
              <w:t>r</w:t>
            </w:r>
            <w:r>
              <w:t>ing</w:t>
            </w:r>
            <w:r w:rsidRPr="00BE185F">
              <w:t xml:space="preserve"> within Banyabba Nature Reserve </w:t>
            </w:r>
            <w:r w:rsidRPr="003F0048">
              <w:rPr>
                <w:noProof/>
              </w:rPr>
              <w:t>(DPIE 2020a)</w:t>
            </w:r>
            <w:r w:rsidRPr="003F0048">
              <w:t xml:space="preserve">. </w:t>
            </w:r>
            <w:r w:rsidR="00DF593B" w:rsidRPr="008F7FC3">
              <w:t>The</w:t>
            </w:r>
            <w:r w:rsidR="00193CC4" w:rsidRPr="008F7FC3">
              <w:t xml:space="preserve"> historical distribution of </w:t>
            </w:r>
            <w:r w:rsidR="00E85B86" w:rsidRPr="008F7FC3">
              <w:t>the species</w:t>
            </w:r>
            <w:r w:rsidR="00193CC4" w:rsidRPr="008F7FC3">
              <w:t xml:space="preserve"> is likely to be </w:t>
            </w:r>
            <w:proofErr w:type="gramStart"/>
            <w:r w:rsidR="00193CC4" w:rsidRPr="008F7FC3">
              <w:t>similar to</w:t>
            </w:r>
            <w:proofErr w:type="gramEnd"/>
            <w:r w:rsidR="00193CC4" w:rsidRPr="008F7FC3">
              <w:t xml:space="preserve"> its current distribution </w:t>
            </w:r>
            <w:r w:rsidR="00193CC4" w:rsidRPr="008F7FC3">
              <w:rPr>
                <w:noProof/>
              </w:rPr>
              <w:t>(NPWS 1999)</w:t>
            </w:r>
            <w:r w:rsidR="00193CC4" w:rsidRPr="008F7FC3">
              <w:t>.</w:t>
            </w:r>
            <w:r w:rsidR="00E85B86" w:rsidRPr="008F7FC3">
              <w:t xml:space="preserve"> </w:t>
            </w:r>
            <w:r w:rsidR="00706BC2" w:rsidRPr="008F7FC3">
              <w:t>Accordingly, EOO is considered stable.</w:t>
            </w:r>
          </w:p>
        </w:tc>
      </w:tr>
      <w:tr w:rsidR="007768F3" w14:paraId="0AB95918" w14:textId="77777777" w:rsidTr="001E257F">
        <w:trPr>
          <w:cantSplit/>
        </w:trPr>
        <w:tc>
          <w:tcPr>
            <w:tcW w:w="1507" w:type="dxa"/>
          </w:tcPr>
          <w:p w14:paraId="27D1E543" w14:textId="77777777" w:rsidR="002243C4" w:rsidRPr="004019B4" w:rsidRDefault="002243C4" w:rsidP="002243C4">
            <w:pPr>
              <w:pStyle w:val="TableHeading"/>
              <w:keepNext w:val="0"/>
              <w:rPr>
                <w:rStyle w:val="Strong"/>
                <w:b/>
                <w:sz w:val="22"/>
              </w:rPr>
            </w:pPr>
            <w:r w:rsidRPr="004019B4">
              <w:rPr>
                <w:rStyle w:val="Strong"/>
                <w:b/>
                <w:bCs w:val="0"/>
              </w:rPr>
              <w:t>Area of Occupancy</w:t>
            </w:r>
          </w:p>
          <w:p w14:paraId="3A54FFC0" w14:textId="77777777" w:rsidR="002243C4" w:rsidRPr="004019B4" w:rsidRDefault="002243C4" w:rsidP="002243C4">
            <w:pPr>
              <w:pStyle w:val="TableText"/>
              <w:rPr>
                <w:rStyle w:val="Strong"/>
                <w:b w:val="0"/>
                <w:bCs w:val="0"/>
              </w:rPr>
            </w:pPr>
          </w:p>
        </w:tc>
        <w:tc>
          <w:tcPr>
            <w:tcW w:w="1169" w:type="dxa"/>
            <w:shd w:val="clear" w:color="auto" w:fill="auto"/>
          </w:tcPr>
          <w:p w14:paraId="69E43C5E" w14:textId="7F7C815E" w:rsidR="002243C4" w:rsidRPr="004019B4" w:rsidRDefault="00A806B4" w:rsidP="002243C4">
            <w:pPr>
              <w:pStyle w:val="TableText"/>
            </w:pPr>
            <w:r>
              <w:t>68</w:t>
            </w:r>
            <w:r w:rsidR="002243C4" w:rsidRPr="004019B4">
              <w:t xml:space="preserve"> km</w:t>
            </w:r>
            <w:r w:rsidR="002243C4" w:rsidRPr="004019B4">
              <w:rPr>
                <w:vertAlign w:val="superscript"/>
              </w:rPr>
              <w:t>2</w:t>
            </w:r>
          </w:p>
        </w:tc>
        <w:tc>
          <w:tcPr>
            <w:tcW w:w="1152" w:type="dxa"/>
            <w:shd w:val="clear" w:color="auto" w:fill="auto"/>
          </w:tcPr>
          <w:p w14:paraId="73ECD742" w14:textId="7C0C779A" w:rsidR="002243C4" w:rsidRPr="004019B4" w:rsidRDefault="003A17E2" w:rsidP="002243C4">
            <w:pPr>
              <w:pStyle w:val="TableText"/>
            </w:pPr>
            <w:r w:rsidRPr="004019B4">
              <w:t>Unknown</w:t>
            </w:r>
          </w:p>
        </w:tc>
        <w:tc>
          <w:tcPr>
            <w:tcW w:w="1134" w:type="dxa"/>
            <w:shd w:val="clear" w:color="auto" w:fill="auto"/>
          </w:tcPr>
          <w:p w14:paraId="600AFB81" w14:textId="03CF7733" w:rsidR="002243C4" w:rsidRPr="004019B4" w:rsidRDefault="003A17E2" w:rsidP="002243C4">
            <w:pPr>
              <w:pStyle w:val="TableText"/>
            </w:pPr>
            <w:r w:rsidRPr="004019B4">
              <w:t>Unknown</w:t>
            </w:r>
          </w:p>
        </w:tc>
        <w:tc>
          <w:tcPr>
            <w:tcW w:w="4103" w:type="dxa"/>
            <w:shd w:val="clear" w:color="auto" w:fill="auto"/>
          </w:tcPr>
          <w:p w14:paraId="37A8D20A" w14:textId="24CD4D7A" w:rsidR="002243C4" w:rsidRPr="00B874D1" w:rsidRDefault="002243C4" w:rsidP="002243C4">
            <w:pPr>
              <w:pStyle w:val="TableText"/>
            </w:pPr>
            <w:r w:rsidRPr="00791684">
              <w:t>The estimate used in this assessment</w:t>
            </w:r>
            <w:r w:rsidR="003A17E2" w:rsidRPr="00B874D1">
              <w:t xml:space="preserve"> </w:t>
            </w:r>
            <w:r w:rsidRPr="00E74EC9">
              <w:t xml:space="preserve">has been calculated using record data </w:t>
            </w:r>
            <w:r w:rsidR="00FA6C72">
              <w:t>from</w:t>
            </w:r>
            <w:r w:rsidRPr="00E74EC9">
              <w:t xml:space="preserve"> 199</w:t>
            </w:r>
            <w:r w:rsidR="00A806B4">
              <w:t>6</w:t>
            </w:r>
            <w:r w:rsidRPr="00E74EC9">
              <w:t>-201</w:t>
            </w:r>
            <w:r w:rsidR="00FA6C72">
              <w:t>9</w:t>
            </w:r>
            <w:r w:rsidRPr="00E74EC9">
              <w:t xml:space="preserve"> and applying 2</w:t>
            </w:r>
            <w:r w:rsidR="004019B4" w:rsidRPr="00E74EC9">
              <w:t> </w:t>
            </w:r>
            <w:r w:rsidRPr="00E74EC9">
              <w:t xml:space="preserve">x 2 km grid cells, as outlined in the Guidelines for Using the IUCN Red List Categories and Criteria </w:t>
            </w:r>
            <w:r w:rsidR="0097397B" w:rsidRPr="00B874D1">
              <w:rPr>
                <w:noProof/>
              </w:rPr>
              <w:t>(</w:t>
            </w:r>
            <w:r w:rsidR="0097397B" w:rsidRPr="00E74EC9">
              <w:rPr>
                <w:noProof/>
              </w:rPr>
              <w:t>IUCN 2019)</w:t>
            </w:r>
            <w:r w:rsidR="0097397B" w:rsidRPr="00791684">
              <w:t>.</w:t>
            </w:r>
          </w:p>
          <w:p w14:paraId="64C34F8F" w14:textId="77777777" w:rsidR="006E2CDA" w:rsidRPr="00E74EC9" w:rsidRDefault="006E2CDA" w:rsidP="002243C4">
            <w:pPr>
              <w:pStyle w:val="TableText"/>
            </w:pPr>
            <w:r w:rsidRPr="00E74EC9">
              <w:t>The minimum and maximum plausible values are unknown.</w:t>
            </w:r>
          </w:p>
          <w:p w14:paraId="0F587C9F" w14:textId="323CDE5A" w:rsidR="004019B4" w:rsidRDefault="004019B4" w:rsidP="002469DB">
            <w:pPr>
              <w:pStyle w:val="TableText"/>
            </w:pPr>
            <w:r w:rsidRPr="00E74EC9">
              <w:rPr>
                <w:u w:val="single"/>
              </w:rPr>
              <w:t>Note</w:t>
            </w:r>
            <w:r w:rsidRPr="00A553CA">
              <w:t>: the estimate from</w:t>
            </w:r>
            <w:r w:rsidR="002469DB" w:rsidRPr="00A553CA">
              <w:t xml:space="preserve"> the </w:t>
            </w:r>
            <w:r w:rsidR="002469DB" w:rsidRPr="00B874D1">
              <w:rPr>
                <w:noProof/>
              </w:rPr>
              <w:t>Le Breton et al. (2019)</w:t>
            </w:r>
            <w:r w:rsidR="002469DB" w:rsidRPr="00791684">
              <w:t xml:space="preserve"> and </w:t>
            </w:r>
            <w:r w:rsidR="002469DB" w:rsidRPr="00B874D1">
              <w:rPr>
                <w:noProof/>
              </w:rPr>
              <w:t>Gallagher (2020)</w:t>
            </w:r>
            <w:r w:rsidR="002469DB" w:rsidRPr="00791684">
              <w:t xml:space="preserve"> rapid assessments</w:t>
            </w:r>
            <w:r w:rsidRPr="00B874D1">
              <w:t xml:space="preserve"> is 56 km</w:t>
            </w:r>
            <w:r w:rsidRPr="00E74EC9">
              <w:rPr>
                <w:vertAlign w:val="superscript"/>
              </w:rPr>
              <w:t>2</w:t>
            </w:r>
            <w:r w:rsidRPr="00E74EC9">
              <w:t>.</w:t>
            </w:r>
          </w:p>
          <w:p w14:paraId="205F7FDF" w14:textId="50B18F31" w:rsidR="00A806B4" w:rsidRPr="00E74EC9" w:rsidRDefault="00A806B4" w:rsidP="002469DB">
            <w:pPr>
              <w:pStyle w:val="TableText"/>
            </w:pPr>
            <w:r>
              <w:t>All values are within the range of the Endangered category of Criterion 2.</w:t>
            </w:r>
          </w:p>
        </w:tc>
      </w:tr>
      <w:tr w:rsidR="005F35AA" w14:paraId="51996E1B" w14:textId="77777777" w:rsidTr="001E257F">
        <w:trPr>
          <w:cantSplit/>
        </w:trPr>
        <w:tc>
          <w:tcPr>
            <w:tcW w:w="1507" w:type="dxa"/>
          </w:tcPr>
          <w:p w14:paraId="039BA159" w14:textId="77777777" w:rsidR="0043429E" w:rsidRPr="00D20C80" w:rsidRDefault="0043429E" w:rsidP="0043429E">
            <w:pPr>
              <w:pStyle w:val="TableHeading"/>
              <w:keepNext w:val="0"/>
              <w:rPr>
                <w:rStyle w:val="Strong"/>
                <w:b/>
                <w:sz w:val="22"/>
              </w:rPr>
            </w:pPr>
            <w:r w:rsidRPr="00D20C80">
              <w:rPr>
                <w:rStyle w:val="Strong"/>
                <w:b/>
                <w:bCs w:val="0"/>
              </w:rPr>
              <w:t>Trend</w:t>
            </w:r>
          </w:p>
        </w:tc>
        <w:tc>
          <w:tcPr>
            <w:tcW w:w="3455" w:type="dxa"/>
            <w:gridSpan w:val="3"/>
            <w:shd w:val="clear" w:color="auto" w:fill="auto"/>
          </w:tcPr>
          <w:p w14:paraId="38F511FC" w14:textId="3D5DD48C" w:rsidR="0043429E" w:rsidRDefault="00037693" w:rsidP="0043429E">
            <w:pPr>
              <w:pStyle w:val="TableText"/>
            </w:pPr>
            <w:r>
              <w:t>Stable</w:t>
            </w:r>
          </w:p>
        </w:tc>
        <w:tc>
          <w:tcPr>
            <w:tcW w:w="4103" w:type="dxa"/>
            <w:shd w:val="clear" w:color="auto" w:fill="auto"/>
          </w:tcPr>
          <w:p w14:paraId="2CBFB542" w14:textId="7CB64DD7" w:rsidR="0043429E" w:rsidRDefault="003E7DFB" w:rsidP="0043429E">
            <w:pPr>
              <w:pStyle w:val="TableText"/>
            </w:pPr>
            <w:r>
              <w:t>Using the same reasoning as EOO (above)</w:t>
            </w:r>
            <w:r w:rsidR="00E85B86">
              <w:t xml:space="preserve">, </w:t>
            </w:r>
            <w:r w:rsidR="00B5724D">
              <w:t>AOO</w:t>
            </w:r>
            <w:r w:rsidR="00E85B86">
              <w:t xml:space="preserve"> is considered stable.</w:t>
            </w:r>
          </w:p>
        </w:tc>
      </w:tr>
      <w:tr w:rsidR="007768F3" w14:paraId="688271B2" w14:textId="77777777" w:rsidTr="001E257F">
        <w:trPr>
          <w:cantSplit/>
        </w:trPr>
        <w:tc>
          <w:tcPr>
            <w:tcW w:w="1507" w:type="dxa"/>
          </w:tcPr>
          <w:p w14:paraId="5D922E5A" w14:textId="5C671B3B" w:rsidR="009E4CFC" w:rsidRPr="00771D66" w:rsidRDefault="009E4CFC" w:rsidP="00771D66">
            <w:pPr>
              <w:pStyle w:val="TableHeading"/>
              <w:keepNext w:val="0"/>
              <w:rPr>
                <w:rStyle w:val="Strong"/>
                <w:b/>
                <w:sz w:val="22"/>
              </w:rPr>
            </w:pPr>
            <w:r w:rsidRPr="00D20C80">
              <w:rPr>
                <w:rStyle w:val="Strong"/>
                <w:b/>
                <w:bCs w:val="0"/>
              </w:rPr>
              <w:t>Number of subpopulations</w:t>
            </w:r>
          </w:p>
        </w:tc>
        <w:tc>
          <w:tcPr>
            <w:tcW w:w="1169" w:type="dxa"/>
            <w:shd w:val="clear" w:color="auto" w:fill="auto"/>
          </w:tcPr>
          <w:p w14:paraId="4C092077" w14:textId="6C3463AF" w:rsidR="009E4CFC" w:rsidRDefault="00460220" w:rsidP="009E4CFC">
            <w:pPr>
              <w:pStyle w:val="TableText"/>
            </w:pPr>
            <w:r>
              <w:t>3</w:t>
            </w:r>
          </w:p>
        </w:tc>
        <w:tc>
          <w:tcPr>
            <w:tcW w:w="1152" w:type="dxa"/>
            <w:shd w:val="clear" w:color="auto" w:fill="auto"/>
          </w:tcPr>
          <w:p w14:paraId="152F530B" w14:textId="49FF3547" w:rsidR="009E4CFC" w:rsidRDefault="00460220" w:rsidP="009E4CFC">
            <w:pPr>
              <w:pStyle w:val="TableText"/>
            </w:pPr>
            <w:r>
              <w:t>3</w:t>
            </w:r>
          </w:p>
        </w:tc>
        <w:tc>
          <w:tcPr>
            <w:tcW w:w="1134" w:type="dxa"/>
            <w:shd w:val="clear" w:color="auto" w:fill="auto"/>
          </w:tcPr>
          <w:p w14:paraId="5391905B" w14:textId="5FBEA8F9" w:rsidR="009E4CFC" w:rsidRDefault="00B70ED0" w:rsidP="009E4CFC">
            <w:pPr>
              <w:pStyle w:val="TableText"/>
            </w:pPr>
            <w:r>
              <w:t>Unknown</w:t>
            </w:r>
          </w:p>
        </w:tc>
        <w:tc>
          <w:tcPr>
            <w:tcW w:w="4103" w:type="dxa"/>
            <w:shd w:val="clear" w:color="auto" w:fill="auto"/>
          </w:tcPr>
          <w:p w14:paraId="125BD837" w14:textId="6D788D88" w:rsidR="009E4CFC" w:rsidRDefault="00473DBA" w:rsidP="009E4CFC">
            <w:pPr>
              <w:pStyle w:val="TableText"/>
            </w:pPr>
            <w:r>
              <w:t>There are three known subpopulations.</w:t>
            </w:r>
            <w:r w:rsidR="00A9077B">
              <w:t xml:space="preserve"> For further information, see ‘</w:t>
            </w:r>
            <w:r w:rsidR="00A9077B" w:rsidRPr="00A9077B">
              <w:t>Basis of assessment of subpopulation number</w:t>
            </w:r>
            <w:r w:rsidR="00A9077B">
              <w:t>’.</w:t>
            </w:r>
          </w:p>
        </w:tc>
      </w:tr>
      <w:tr w:rsidR="005F35AA" w14:paraId="5046ABEB" w14:textId="77777777" w:rsidTr="001E257F">
        <w:trPr>
          <w:cantSplit/>
        </w:trPr>
        <w:tc>
          <w:tcPr>
            <w:tcW w:w="1507" w:type="dxa"/>
          </w:tcPr>
          <w:p w14:paraId="6F50B0F3" w14:textId="77777777" w:rsidR="00CB2CF7" w:rsidRPr="00D20C80" w:rsidRDefault="00CB2CF7" w:rsidP="00CB2CF7">
            <w:pPr>
              <w:pStyle w:val="TableHeading"/>
              <w:keepNext w:val="0"/>
              <w:rPr>
                <w:rStyle w:val="Strong"/>
                <w:b/>
                <w:sz w:val="22"/>
              </w:rPr>
            </w:pPr>
            <w:r w:rsidRPr="00D20C80">
              <w:rPr>
                <w:rStyle w:val="Strong"/>
                <w:b/>
                <w:bCs w:val="0"/>
              </w:rPr>
              <w:t>Trend</w:t>
            </w:r>
          </w:p>
        </w:tc>
        <w:tc>
          <w:tcPr>
            <w:tcW w:w="3455" w:type="dxa"/>
            <w:gridSpan w:val="3"/>
            <w:shd w:val="clear" w:color="auto" w:fill="auto"/>
          </w:tcPr>
          <w:p w14:paraId="15562944" w14:textId="29837314" w:rsidR="00CB2CF7" w:rsidRPr="00E15C02" w:rsidRDefault="004C2B8A" w:rsidP="00CB2CF7">
            <w:pPr>
              <w:pStyle w:val="TableText"/>
            </w:pPr>
            <w:r w:rsidRPr="00E15C02">
              <w:t>Stable</w:t>
            </w:r>
          </w:p>
        </w:tc>
        <w:tc>
          <w:tcPr>
            <w:tcW w:w="4103" w:type="dxa"/>
            <w:shd w:val="clear" w:color="auto" w:fill="auto"/>
          </w:tcPr>
          <w:p w14:paraId="2579E4AE" w14:textId="1AEA4C88" w:rsidR="00CB2CF7" w:rsidRPr="00E15C02" w:rsidRDefault="00394BD4" w:rsidP="00CB2CF7">
            <w:pPr>
              <w:pStyle w:val="TableText"/>
            </w:pPr>
            <w:r w:rsidRPr="00E15C02">
              <w:t xml:space="preserve">There is no evidence of </w:t>
            </w:r>
            <w:r w:rsidR="00BE4065" w:rsidRPr="00E15C02">
              <w:t>loss of</w:t>
            </w:r>
            <w:r w:rsidRPr="00E15C02">
              <w:t xml:space="preserve"> any subpopulations (DPIE 2021. pers comm 24 June).</w:t>
            </w:r>
          </w:p>
        </w:tc>
      </w:tr>
      <w:tr w:rsidR="00CB2CF7" w14:paraId="67D2866C" w14:textId="77777777" w:rsidTr="001E257F">
        <w:trPr>
          <w:cantSplit/>
        </w:trPr>
        <w:tc>
          <w:tcPr>
            <w:tcW w:w="1507" w:type="dxa"/>
          </w:tcPr>
          <w:p w14:paraId="6A0B13E9" w14:textId="308E3BA4" w:rsidR="00CB2CF7" w:rsidRPr="00D44C8A" w:rsidRDefault="00CB2CF7" w:rsidP="00D44C8A">
            <w:pPr>
              <w:pStyle w:val="TableHeading"/>
              <w:keepNext w:val="0"/>
              <w:rPr>
                <w:rStyle w:val="Strong"/>
                <w:b/>
                <w:sz w:val="22"/>
              </w:rPr>
            </w:pPr>
            <w:r w:rsidRPr="00D20C80">
              <w:rPr>
                <w:rStyle w:val="Strong"/>
                <w:b/>
                <w:bCs w:val="0"/>
              </w:rPr>
              <w:t>Basis of assessment of subpopulation number</w:t>
            </w:r>
          </w:p>
        </w:tc>
        <w:tc>
          <w:tcPr>
            <w:tcW w:w="7558" w:type="dxa"/>
            <w:gridSpan w:val="4"/>
            <w:shd w:val="clear" w:color="auto" w:fill="auto"/>
          </w:tcPr>
          <w:p w14:paraId="34B6E741" w14:textId="7F28ED98" w:rsidR="00BB1C2A" w:rsidRPr="00DF0141" w:rsidRDefault="00E12084" w:rsidP="0092703D">
            <w:pPr>
              <w:pStyle w:val="TableText"/>
            </w:pPr>
            <w:r w:rsidRPr="00DF0141">
              <w:t>C</w:t>
            </w:r>
            <w:r w:rsidR="00FB6531" w:rsidRPr="00DF0141">
              <w:t>ontiguous records</w:t>
            </w:r>
            <w:r w:rsidRPr="00DF0141">
              <w:t xml:space="preserve"> are</w:t>
            </w:r>
            <w:r w:rsidR="00FB6531" w:rsidRPr="00DF0141">
              <w:t xml:space="preserve"> considered</w:t>
            </w:r>
            <w:r w:rsidRPr="00DF0141">
              <w:t xml:space="preserve"> part of</w:t>
            </w:r>
            <w:r w:rsidR="00FB6531" w:rsidRPr="00DF0141">
              <w:t xml:space="preserve"> </w:t>
            </w:r>
            <w:r w:rsidR="0092703D" w:rsidRPr="00DF0141">
              <w:t>the same</w:t>
            </w:r>
            <w:r w:rsidR="00FB6531" w:rsidRPr="00DF0141">
              <w:t xml:space="preserve"> </w:t>
            </w:r>
            <w:r w:rsidR="0092703D" w:rsidRPr="00DF0141">
              <w:t>sub</w:t>
            </w:r>
            <w:r w:rsidR="00BD23D0" w:rsidRPr="00DF0141">
              <w:t>population.</w:t>
            </w:r>
            <w:r w:rsidR="00024FD7" w:rsidRPr="00DF0141">
              <w:t xml:space="preserve"> </w:t>
            </w:r>
            <w:r w:rsidR="00DE56C7" w:rsidRPr="00DF0141">
              <w:t>Subpopulations occur within three broad areas</w:t>
            </w:r>
            <w:r w:rsidR="00C03E57" w:rsidRPr="00DF0141">
              <w:t xml:space="preserve"> separated by </w:t>
            </w:r>
            <w:r w:rsidR="00030BF7" w:rsidRPr="00DF0141">
              <w:t>&gt;</w:t>
            </w:r>
            <w:r w:rsidR="00DF0141">
              <w:t>5 km</w:t>
            </w:r>
            <w:r w:rsidR="00DE56C7" w:rsidRPr="00DF0141">
              <w:t xml:space="preserve">: </w:t>
            </w:r>
            <w:r w:rsidR="00024FD7" w:rsidRPr="00DF0141">
              <w:t>Banyabba Nature Reserve/Banyabba State Conservation Area</w:t>
            </w:r>
            <w:r w:rsidR="00DE56C7" w:rsidRPr="00DF0141">
              <w:t>,</w:t>
            </w:r>
            <w:r w:rsidR="00024FD7" w:rsidRPr="00DF0141">
              <w:t xml:space="preserve"> Fortis Creek National Park</w:t>
            </w:r>
            <w:r w:rsidR="00DE56C7" w:rsidRPr="00DF0141">
              <w:t>, and</w:t>
            </w:r>
            <w:r w:rsidR="00024FD7" w:rsidRPr="00DF0141">
              <w:t xml:space="preserve"> Wombat Creek State Conservation Area</w:t>
            </w:r>
            <w:r w:rsidR="0021590E">
              <w:t xml:space="preserve"> (DPIE 2021. pers comm 24 June)</w:t>
            </w:r>
            <w:r w:rsidR="000B0F44">
              <w:t>.</w:t>
            </w:r>
          </w:p>
        </w:tc>
      </w:tr>
      <w:tr w:rsidR="007768F3" w14:paraId="2CB579D9" w14:textId="77777777" w:rsidTr="001E257F">
        <w:trPr>
          <w:cantSplit/>
        </w:trPr>
        <w:tc>
          <w:tcPr>
            <w:tcW w:w="1507" w:type="dxa"/>
          </w:tcPr>
          <w:p w14:paraId="318C8A29" w14:textId="4AA9810F" w:rsidR="0043429E" w:rsidRPr="00771D66" w:rsidRDefault="0043429E" w:rsidP="00771D66">
            <w:pPr>
              <w:pStyle w:val="TableHeading"/>
              <w:keepNext w:val="0"/>
              <w:rPr>
                <w:rStyle w:val="Strong"/>
                <w:b/>
                <w:sz w:val="22"/>
              </w:rPr>
            </w:pPr>
            <w:r w:rsidRPr="00D20C80">
              <w:rPr>
                <w:rStyle w:val="Strong"/>
                <w:b/>
                <w:bCs w:val="0"/>
              </w:rPr>
              <w:lastRenderedPageBreak/>
              <w:t>No. locations</w:t>
            </w:r>
          </w:p>
        </w:tc>
        <w:tc>
          <w:tcPr>
            <w:tcW w:w="1169" w:type="dxa"/>
            <w:shd w:val="clear" w:color="auto" w:fill="auto"/>
          </w:tcPr>
          <w:p w14:paraId="779D029C" w14:textId="488CEA54" w:rsidR="0043429E" w:rsidRDefault="002F0724" w:rsidP="0043429E">
            <w:pPr>
              <w:pStyle w:val="TableText"/>
            </w:pPr>
            <w:r>
              <w:t>&lt;</w:t>
            </w:r>
            <w:r w:rsidR="009D4F78">
              <w:t>5</w:t>
            </w:r>
          </w:p>
        </w:tc>
        <w:tc>
          <w:tcPr>
            <w:tcW w:w="1152" w:type="dxa"/>
            <w:shd w:val="clear" w:color="auto" w:fill="auto"/>
          </w:tcPr>
          <w:p w14:paraId="5D7A11F5" w14:textId="68803F04" w:rsidR="0043429E" w:rsidRDefault="009D4F78" w:rsidP="0043429E">
            <w:pPr>
              <w:pStyle w:val="TableText"/>
            </w:pPr>
            <w:r>
              <w:t>Unknown</w:t>
            </w:r>
          </w:p>
        </w:tc>
        <w:tc>
          <w:tcPr>
            <w:tcW w:w="1134" w:type="dxa"/>
            <w:shd w:val="clear" w:color="auto" w:fill="auto"/>
          </w:tcPr>
          <w:p w14:paraId="2F0FC470" w14:textId="61067400" w:rsidR="0043429E" w:rsidRDefault="002F0724" w:rsidP="0043429E">
            <w:pPr>
              <w:pStyle w:val="TableText"/>
            </w:pPr>
            <w:r>
              <w:t>&lt;5</w:t>
            </w:r>
          </w:p>
        </w:tc>
        <w:tc>
          <w:tcPr>
            <w:tcW w:w="4103" w:type="dxa"/>
            <w:shd w:val="clear" w:color="auto" w:fill="auto"/>
          </w:tcPr>
          <w:p w14:paraId="2D292926" w14:textId="014CCA1D" w:rsidR="00710310" w:rsidRPr="001E01E9" w:rsidRDefault="004C685A" w:rsidP="00304BE1">
            <w:pPr>
              <w:pStyle w:val="TableText"/>
            </w:pPr>
            <w:r w:rsidRPr="004C685A">
              <w:t xml:space="preserve">At the time </w:t>
            </w:r>
            <w:r w:rsidRPr="00C146F9">
              <w:t xml:space="preserve">of this assessment (in 2021), </w:t>
            </w:r>
            <w:r w:rsidR="002F0724" w:rsidRPr="00C146F9">
              <w:t>following the 2019-20 bushfires</w:t>
            </w:r>
            <w:r w:rsidR="002F0724">
              <w:t>,</w:t>
            </w:r>
            <w:r w:rsidR="002F0724" w:rsidRPr="00C93A6C">
              <w:t xml:space="preserve"> </w:t>
            </w:r>
            <w:r w:rsidRPr="00C146F9">
              <w:t xml:space="preserve">most individuals were </w:t>
            </w:r>
            <w:r w:rsidR="002F0724">
              <w:t>post-fire recruits</w:t>
            </w:r>
            <w:r w:rsidR="002F0724" w:rsidRPr="00C146F9">
              <w:t xml:space="preserve"> </w:t>
            </w:r>
            <w:r w:rsidRPr="00C146F9">
              <w:t>(seedlings</w:t>
            </w:r>
            <w:r w:rsidR="002F0724">
              <w:t xml:space="preserve"> or juveniles</w:t>
            </w:r>
            <w:r w:rsidRPr="00C146F9">
              <w:t>)</w:t>
            </w:r>
            <w:r w:rsidR="002F0724">
              <w:t>, with a further small proportion of</w:t>
            </w:r>
            <w:r w:rsidRPr="00C146F9">
              <w:t xml:space="preserve"> recovering </w:t>
            </w:r>
            <w:r w:rsidR="002F0724">
              <w:t xml:space="preserve">adults </w:t>
            </w:r>
            <w:r w:rsidRPr="00C146F9">
              <w:t>(</w:t>
            </w:r>
            <w:r w:rsidR="007E5434" w:rsidRPr="00C146F9">
              <w:t>resprouts</w:t>
            </w:r>
            <w:r w:rsidR="002F0724">
              <w:t xml:space="preserve"> on </w:t>
            </w:r>
            <w:proofErr w:type="spellStart"/>
            <w:r w:rsidR="002F0724" w:rsidRPr="002F0724">
              <w:t>Dilkoon</w:t>
            </w:r>
            <w:proofErr w:type="spellEnd"/>
            <w:r w:rsidR="002F0724" w:rsidRPr="002F0724">
              <w:t xml:space="preserve"> Trail in Fortis Creek National Park</w:t>
            </w:r>
            <w:r w:rsidR="007E5434" w:rsidRPr="00C146F9">
              <w:t xml:space="preserve">) </w:t>
            </w:r>
            <w:r w:rsidR="009523CB" w:rsidRPr="00C93A6C">
              <w:t xml:space="preserve">(DPIE 2021. </w:t>
            </w:r>
            <w:r w:rsidR="00E51CDB" w:rsidRPr="001E01E9">
              <w:t>p</w:t>
            </w:r>
            <w:r w:rsidR="009523CB" w:rsidRPr="001E01E9">
              <w:t xml:space="preserve">ers comm </w:t>
            </w:r>
            <w:r w:rsidR="00E51CDB" w:rsidRPr="001E01E9">
              <w:t>24 June)</w:t>
            </w:r>
            <w:r w:rsidR="00F73206" w:rsidRPr="001E01E9">
              <w:t xml:space="preserve"> and the seedbank may be de</w:t>
            </w:r>
            <w:r w:rsidR="00710310" w:rsidRPr="001E01E9">
              <w:t>pleted</w:t>
            </w:r>
            <w:r w:rsidR="007E5434" w:rsidRPr="001E01E9">
              <w:t>.</w:t>
            </w:r>
          </w:p>
          <w:p w14:paraId="257BFC2A" w14:textId="5F32906F" w:rsidR="001A62BC" w:rsidRPr="001E01E9" w:rsidRDefault="007E5434" w:rsidP="00304BE1">
            <w:pPr>
              <w:pStyle w:val="TableText"/>
            </w:pPr>
            <w:r w:rsidRPr="00AD3988">
              <w:t>If another threatening event (e.g., fire)</w:t>
            </w:r>
            <w:r w:rsidR="000129F2" w:rsidRPr="00AD3988">
              <w:t xml:space="preserve"> were to occur </w:t>
            </w:r>
            <w:r w:rsidR="00BA3857" w:rsidRPr="00AD3988">
              <w:t xml:space="preserve">within the next 5-7 years </w:t>
            </w:r>
            <w:r w:rsidR="00BE4065">
              <w:rPr>
                <w:noProof/>
              </w:rPr>
              <w:t>(i.e., the minimal fire-free interval required by the species, subject to further study; NSW RFS 2013; DPIE 2021. pers comm 24 June)</w:t>
            </w:r>
            <w:r w:rsidR="00E64909" w:rsidRPr="00C146F9">
              <w:t xml:space="preserve">, </w:t>
            </w:r>
            <w:r w:rsidR="00323833" w:rsidRPr="00C146F9">
              <w:t xml:space="preserve">most individuals </w:t>
            </w:r>
            <w:r w:rsidR="00E16691" w:rsidRPr="00C146F9">
              <w:t>would</w:t>
            </w:r>
            <w:r w:rsidR="00323833" w:rsidRPr="00C146F9">
              <w:t xml:space="preserve"> be</w:t>
            </w:r>
            <w:r w:rsidR="00A53762" w:rsidRPr="00C146F9">
              <w:t xml:space="preserve"> at high risk of poor recovery</w:t>
            </w:r>
            <w:r w:rsidR="00A53762" w:rsidRPr="00C93A6C">
              <w:t xml:space="preserve"> </w:t>
            </w:r>
            <w:r w:rsidR="001A62BC" w:rsidRPr="00C93A6C">
              <w:t xml:space="preserve">and there may not be sufficient seed in the seedbank to replenish </w:t>
            </w:r>
            <w:r w:rsidR="001A62BC" w:rsidRPr="001E01E9">
              <w:t>the population.</w:t>
            </w:r>
          </w:p>
          <w:p w14:paraId="7C01C9A7" w14:textId="79F26730" w:rsidR="00315301" w:rsidRPr="00C93A6C" w:rsidRDefault="001E4BA9" w:rsidP="00304BE1">
            <w:pPr>
              <w:pStyle w:val="TableText"/>
            </w:pPr>
            <w:r w:rsidRPr="001E01E9">
              <w:t xml:space="preserve">The 2019-20 bushfires </w:t>
            </w:r>
            <w:r w:rsidR="00AD3988" w:rsidRPr="00C93A6C">
              <w:t>rapidly affected 50-60% of individuals</w:t>
            </w:r>
            <w:r w:rsidR="00C146F9" w:rsidRPr="00C93A6C">
              <w:t xml:space="preserve">. </w:t>
            </w:r>
            <w:r w:rsidR="00C93A6C" w:rsidRPr="00C93A6C">
              <w:t>Accordingly,</w:t>
            </w:r>
            <w:r w:rsidR="00C93A6C">
              <w:t xml:space="preserve"> &gt;1</w:t>
            </w:r>
            <w:r w:rsidR="00C93A6C" w:rsidRPr="00C93A6C">
              <w:t xml:space="preserve"> threatening event (fire) </w:t>
            </w:r>
            <w:r w:rsidR="00C93A6C">
              <w:t>is</w:t>
            </w:r>
            <w:r w:rsidR="00C93A6C" w:rsidRPr="00C93A6C">
              <w:t xml:space="preserve"> likely to be required</w:t>
            </w:r>
            <w:r w:rsidR="00C93A6C">
              <w:t xml:space="preserve"> to rapidly affect</w:t>
            </w:r>
            <w:r w:rsidR="00C93A6C" w:rsidRPr="00C93A6C">
              <w:t xml:space="preserve"> all individuals.</w:t>
            </w:r>
            <w:r w:rsidR="00C93A6C">
              <w:t xml:space="preserve"> </w:t>
            </w:r>
            <w:r w:rsidR="00C93A6C" w:rsidRPr="00C93A6C">
              <w:t>However,</w:t>
            </w:r>
            <w:r w:rsidR="00C146F9" w:rsidRPr="00C93A6C">
              <w:t xml:space="preserve"> </w:t>
            </w:r>
            <w:r w:rsidR="00C93A6C" w:rsidRPr="00C93A6C">
              <w:t>given the species restricted distribution (EOO=170 km</w:t>
            </w:r>
            <w:r w:rsidR="00C93A6C" w:rsidRPr="00C93A6C">
              <w:rPr>
                <w:vertAlign w:val="superscript"/>
              </w:rPr>
              <w:t>2</w:t>
            </w:r>
            <w:r w:rsidR="00C93A6C" w:rsidRPr="00C93A6C">
              <w:t>),</w:t>
            </w:r>
            <w:r w:rsidR="00C93A6C">
              <w:t xml:space="preserve"> </w:t>
            </w:r>
            <w:r w:rsidR="001E01E9">
              <w:t xml:space="preserve">it is likely that </w:t>
            </w:r>
            <w:r w:rsidR="002F0724">
              <w:t>&lt;</w:t>
            </w:r>
            <w:r w:rsidR="00C93A6C">
              <w:t>5</w:t>
            </w:r>
            <w:r w:rsidR="00C93A6C" w:rsidRPr="00C93A6C">
              <w:t xml:space="preserve"> </w:t>
            </w:r>
            <w:r w:rsidR="001F4D27" w:rsidRPr="00C93A6C">
              <w:t>threatening event</w:t>
            </w:r>
            <w:r w:rsidR="00C93A6C">
              <w:t>s</w:t>
            </w:r>
            <w:r w:rsidR="001F4D27" w:rsidRPr="00C93A6C">
              <w:t xml:space="preserve"> (fire)</w:t>
            </w:r>
            <w:r w:rsidR="00315301" w:rsidRPr="00C93A6C">
              <w:t xml:space="preserve"> </w:t>
            </w:r>
            <w:r w:rsidR="00C93A6C">
              <w:t xml:space="preserve">could </w:t>
            </w:r>
            <w:r w:rsidR="00315301" w:rsidRPr="00C93A6C">
              <w:t>rapidly affect all individuals.</w:t>
            </w:r>
            <w:r w:rsidR="002F0724">
              <w:t xml:space="preserve"> This is maximum plausible number of locations and is the estimate used in this assessment.</w:t>
            </w:r>
          </w:p>
          <w:p w14:paraId="79EC0188" w14:textId="77777777" w:rsidR="002F0724" w:rsidRDefault="00EE47B5" w:rsidP="002B7BB6">
            <w:pPr>
              <w:pStyle w:val="TableText"/>
            </w:pPr>
            <w:r w:rsidRPr="001E01E9">
              <w:t xml:space="preserve">The minimum plausible number of locations is unknown. </w:t>
            </w:r>
          </w:p>
          <w:p w14:paraId="0AEFCDC3" w14:textId="43F1C329" w:rsidR="002B7BB6" w:rsidRDefault="002F0724" w:rsidP="002B7BB6">
            <w:pPr>
              <w:pStyle w:val="TableText"/>
            </w:pPr>
            <w:r>
              <w:t xml:space="preserve">Note: </w:t>
            </w:r>
            <w:r w:rsidR="00D4336E">
              <w:t>t</w:t>
            </w:r>
            <w:r>
              <w:t>he estimate used in</w:t>
            </w:r>
            <w:r w:rsidR="00CA7B8C" w:rsidRPr="001E01E9">
              <w:t xml:space="preserve"> </w:t>
            </w:r>
            <w:r>
              <w:t>the</w:t>
            </w:r>
            <w:r w:rsidR="00CA7B8C" w:rsidRPr="001E01E9">
              <w:t xml:space="preserve"> </w:t>
            </w:r>
            <w:r w:rsidR="00CA7B8C" w:rsidRPr="00C93A6C">
              <w:rPr>
                <w:noProof/>
              </w:rPr>
              <w:t>Le Breton et al. (2019)</w:t>
            </w:r>
            <w:r w:rsidR="0044738D" w:rsidRPr="00C93A6C">
              <w:t xml:space="preserve"> </w:t>
            </w:r>
            <w:r>
              <w:t xml:space="preserve">rapid assessment, </w:t>
            </w:r>
            <w:r w:rsidR="0044738D" w:rsidRPr="00C93A6C">
              <w:t>prior to the 2019-20 bushfires</w:t>
            </w:r>
            <w:r>
              <w:t>, was 10</w:t>
            </w:r>
            <w:r w:rsidR="00CA7B8C" w:rsidRPr="00C93A6C">
              <w:t>.</w:t>
            </w:r>
            <w:r>
              <w:t xml:space="preserve"> This value is now considered to be an overestimate, given the extent and scale of the 2019-20 bushfires.</w:t>
            </w:r>
          </w:p>
        </w:tc>
      </w:tr>
      <w:tr w:rsidR="005F35AA" w14:paraId="6333D95B" w14:textId="77777777" w:rsidTr="001E257F">
        <w:trPr>
          <w:cantSplit/>
        </w:trPr>
        <w:tc>
          <w:tcPr>
            <w:tcW w:w="1507" w:type="dxa"/>
          </w:tcPr>
          <w:p w14:paraId="491042A9" w14:textId="77777777" w:rsidR="0043429E" w:rsidRPr="00D20C80" w:rsidRDefault="0043429E" w:rsidP="0043429E">
            <w:pPr>
              <w:pStyle w:val="TableHeading"/>
              <w:keepNext w:val="0"/>
              <w:rPr>
                <w:rStyle w:val="Strong"/>
                <w:b/>
                <w:sz w:val="22"/>
              </w:rPr>
            </w:pPr>
            <w:r w:rsidRPr="00D20C80">
              <w:rPr>
                <w:rStyle w:val="Strong"/>
                <w:b/>
                <w:bCs w:val="0"/>
              </w:rPr>
              <w:t>Trend</w:t>
            </w:r>
          </w:p>
        </w:tc>
        <w:tc>
          <w:tcPr>
            <w:tcW w:w="3455" w:type="dxa"/>
            <w:gridSpan w:val="3"/>
            <w:shd w:val="clear" w:color="auto" w:fill="auto"/>
          </w:tcPr>
          <w:p w14:paraId="425055BE" w14:textId="6DEF4C1F" w:rsidR="0043429E" w:rsidRPr="00807CEF" w:rsidRDefault="00807CEF" w:rsidP="0043429E">
            <w:pPr>
              <w:pStyle w:val="TableText"/>
            </w:pPr>
            <w:r w:rsidRPr="00807CEF">
              <w:t>Possibly c</w:t>
            </w:r>
            <w:r w:rsidR="0024553B" w:rsidRPr="00807CEF">
              <w:t>ontracting</w:t>
            </w:r>
          </w:p>
        </w:tc>
        <w:tc>
          <w:tcPr>
            <w:tcW w:w="4103" w:type="dxa"/>
            <w:shd w:val="clear" w:color="auto" w:fill="auto"/>
          </w:tcPr>
          <w:p w14:paraId="1EF61FEF" w14:textId="12FCEA73" w:rsidR="0043429E" w:rsidRPr="00807CEF" w:rsidRDefault="00002EC5" w:rsidP="0043429E">
            <w:pPr>
              <w:pStyle w:val="TableText"/>
            </w:pPr>
            <w:r w:rsidRPr="00807CEF">
              <w:t>The intensity, frequency and scale of catastrophic bushfires will likely increase due to climate change. Accordingly, the number of locations in which a single bushfire can rapidly affect all individuals will likely decrease.</w:t>
            </w:r>
          </w:p>
        </w:tc>
      </w:tr>
      <w:tr w:rsidR="008D2176" w14:paraId="7854BF90" w14:textId="77777777" w:rsidTr="001E257F">
        <w:trPr>
          <w:cantSplit/>
        </w:trPr>
        <w:tc>
          <w:tcPr>
            <w:tcW w:w="1507" w:type="dxa"/>
          </w:tcPr>
          <w:p w14:paraId="5726677A" w14:textId="1152AA95" w:rsidR="008D2176" w:rsidRPr="00D20C80" w:rsidRDefault="008D2176" w:rsidP="008D2176">
            <w:pPr>
              <w:pStyle w:val="TableHeading"/>
              <w:keepNext w:val="0"/>
              <w:rPr>
                <w:rStyle w:val="Strong"/>
                <w:b/>
                <w:sz w:val="22"/>
              </w:rPr>
            </w:pPr>
            <w:bookmarkStart w:id="28" w:name="_Hlk51878889"/>
            <w:r w:rsidRPr="00D20C80">
              <w:rPr>
                <w:rStyle w:val="Strong"/>
                <w:b/>
                <w:bCs w:val="0"/>
              </w:rPr>
              <w:t>Basis of assessment of location number</w:t>
            </w:r>
            <w:bookmarkEnd w:id="28"/>
          </w:p>
        </w:tc>
        <w:tc>
          <w:tcPr>
            <w:tcW w:w="7558" w:type="dxa"/>
            <w:gridSpan w:val="4"/>
            <w:shd w:val="clear" w:color="auto" w:fill="auto"/>
          </w:tcPr>
          <w:p w14:paraId="3532C8F9" w14:textId="04BC353F" w:rsidR="008D2176" w:rsidRDefault="00AD3988" w:rsidP="008D2176">
            <w:pPr>
              <w:pStyle w:val="TableText"/>
            </w:pPr>
            <w:r w:rsidRPr="00C93A6C">
              <w:t>See justification for number of locations.</w:t>
            </w:r>
          </w:p>
        </w:tc>
      </w:tr>
      <w:tr w:rsidR="008D2176" w14:paraId="161D1EC2" w14:textId="77777777" w:rsidTr="001E257F">
        <w:trPr>
          <w:cantSplit/>
        </w:trPr>
        <w:tc>
          <w:tcPr>
            <w:tcW w:w="1507" w:type="dxa"/>
          </w:tcPr>
          <w:p w14:paraId="21A05DE2" w14:textId="6357FD4B" w:rsidR="008D2176" w:rsidRPr="00D20C80" w:rsidRDefault="008D2176" w:rsidP="00771D66">
            <w:pPr>
              <w:pStyle w:val="TableHeading"/>
              <w:keepNext w:val="0"/>
              <w:rPr>
                <w:rStyle w:val="Strong"/>
                <w:b/>
                <w:bCs w:val="0"/>
              </w:rPr>
            </w:pPr>
            <w:r w:rsidRPr="00D20C80">
              <w:rPr>
                <w:rStyle w:val="Strong"/>
                <w:b/>
                <w:bCs w:val="0"/>
              </w:rPr>
              <w:t>Fragmentation</w:t>
            </w:r>
          </w:p>
        </w:tc>
        <w:tc>
          <w:tcPr>
            <w:tcW w:w="7558" w:type="dxa"/>
            <w:gridSpan w:val="4"/>
            <w:shd w:val="clear" w:color="auto" w:fill="auto"/>
          </w:tcPr>
          <w:p w14:paraId="149E4080" w14:textId="20642B74" w:rsidR="00523C12" w:rsidRDefault="00641DA8" w:rsidP="004514D2">
            <w:pPr>
              <w:pStyle w:val="TableText"/>
            </w:pPr>
            <w:r>
              <w:t xml:space="preserve">The species is not considered to be severely fragmented. </w:t>
            </w:r>
            <w:r w:rsidR="00B24188">
              <w:t xml:space="preserve">The species occurs within a restricted distribution in </w:t>
            </w:r>
            <w:r w:rsidR="004514D2">
              <w:t xml:space="preserve">northern NSW (see EOO/AOO and Map 1). </w:t>
            </w:r>
            <w:r w:rsidR="00B24188">
              <w:t>Over 50% of the species’ AOO occurs in habitat patches that can support a viable population</w:t>
            </w:r>
            <w:r w:rsidR="004514D2">
              <w:t>.</w:t>
            </w:r>
          </w:p>
        </w:tc>
      </w:tr>
      <w:tr w:rsidR="008D2176" w14:paraId="00939842" w14:textId="77777777" w:rsidTr="001E257F">
        <w:trPr>
          <w:cantSplit/>
        </w:trPr>
        <w:tc>
          <w:tcPr>
            <w:tcW w:w="1507" w:type="dxa"/>
          </w:tcPr>
          <w:p w14:paraId="6A7C02DD" w14:textId="19DAC34E" w:rsidR="008D2176" w:rsidRPr="00771D66" w:rsidRDefault="008D2176" w:rsidP="00771D66">
            <w:pPr>
              <w:pStyle w:val="TableHeading"/>
              <w:keepNext w:val="0"/>
              <w:rPr>
                <w:rStyle w:val="Strong"/>
                <w:b/>
                <w:sz w:val="22"/>
              </w:rPr>
            </w:pPr>
            <w:r w:rsidRPr="00D20C80">
              <w:rPr>
                <w:rStyle w:val="Strong"/>
                <w:b/>
                <w:bCs w:val="0"/>
              </w:rPr>
              <w:t>Fluctuations</w:t>
            </w:r>
          </w:p>
        </w:tc>
        <w:tc>
          <w:tcPr>
            <w:tcW w:w="7558" w:type="dxa"/>
            <w:gridSpan w:val="4"/>
            <w:shd w:val="clear" w:color="auto" w:fill="auto"/>
          </w:tcPr>
          <w:p w14:paraId="760A34AC" w14:textId="5786AE0C" w:rsidR="00CF30D9" w:rsidRDefault="006914CA" w:rsidP="00705CC2">
            <w:pPr>
              <w:pStyle w:val="TableText"/>
            </w:pPr>
            <w:r w:rsidRPr="00A51A04">
              <w:t>P</w:t>
            </w:r>
            <w:r w:rsidR="002B3B4D" w:rsidRPr="00A51A04">
              <w:t xml:space="preserve">opulation size </w:t>
            </w:r>
            <w:r w:rsidR="001B6184" w:rsidRPr="00A51A04">
              <w:t>fluctuates following fire</w:t>
            </w:r>
            <w:r w:rsidRPr="00A51A04">
              <w:t xml:space="preserve">, however, </w:t>
            </w:r>
            <w:r w:rsidR="00705CC2" w:rsidRPr="00A51A04">
              <w:t xml:space="preserve">there is no evidence to suggest fluctuations exceed one order of magnitude. </w:t>
            </w:r>
            <w:r w:rsidR="00CF30D9" w:rsidRPr="00A51A04">
              <w:t>There are no known extreme fluctuations in EOO, AOO, number of subpopulations or locations.</w:t>
            </w:r>
          </w:p>
        </w:tc>
      </w:tr>
      <w:bookmarkEnd w:id="27"/>
    </w:tbl>
    <w:p w14:paraId="757F7A45" w14:textId="77777777" w:rsidR="004C2B8A" w:rsidRDefault="004C2B8A" w:rsidP="00D447A7">
      <w:pPr>
        <w:pStyle w:val="Caption"/>
        <w:rPr>
          <w:lang w:eastAsia="ja-JP"/>
        </w:rPr>
      </w:pPr>
    </w:p>
    <w:p w14:paraId="4C59FC9C" w14:textId="77777777" w:rsidR="004C2B8A" w:rsidRDefault="004C2B8A">
      <w:pPr>
        <w:spacing w:after="0" w:line="240" w:lineRule="auto"/>
        <w:rPr>
          <w:rFonts w:ascii="Calibri" w:hAnsi="Calibri"/>
          <w:b/>
          <w:bCs/>
          <w:sz w:val="24"/>
          <w:szCs w:val="18"/>
          <w:lang w:eastAsia="ja-JP"/>
        </w:rPr>
      </w:pPr>
      <w:r>
        <w:rPr>
          <w:lang w:eastAsia="ja-JP"/>
        </w:rPr>
        <w:br w:type="page"/>
      </w:r>
    </w:p>
    <w:p w14:paraId="3944D380" w14:textId="3682A0A7" w:rsidR="003A06CA" w:rsidRDefault="00C2736A" w:rsidP="00D447A7">
      <w:pPr>
        <w:pStyle w:val="Caption"/>
        <w:rPr>
          <w:lang w:eastAsia="ja-JP"/>
        </w:rPr>
      </w:pPr>
      <w:r>
        <w:rPr>
          <w:lang w:eastAsia="ja-JP"/>
        </w:rPr>
        <w:lastRenderedPageBreak/>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686A7482" w14:textId="77777777" w:rsidTr="0050535B">
        <w:trPr>
          <w:cantSplit/>
          <w:trHeight w:val="606"/>
        </w:trPr>
        <w:tc>
          <w:tcPr>
            <w:tcW w:w="9975" w:type="dxa"/>
            <w:gridSpan w:val="6"/>
            <w:shd w:val="clear" w:color="auto" w:fill="595959" w:themeFill="text1" w:themeFillTint="A6"/>
            <w:vAlign w:val="center"/>
          </w:tcPr>
          <w:p w14:paraId="20729FD5"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18019AD1"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704A007"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77C0F99" w14:textId="77777777" w:rsidR="00DD3067" w:rsidRPr="00936152" w:rsidRDefault="00DD3067" w:rsidP="00476948">
            <w:pPr>
              <w:pStyle w:val="TableText"/>
              <w:keepNext/>
              <w:rPr>
                <w:rStyle w:val="Strong"/>
              </w:rPr>
            </w:pPr>
            <w:r w:rsidRPr="00936152">
              <w:rPr>
                <w:rStyle w:val="Strong"/>
              </w:rPr>
              <w:t>Critically Endangered</w:t>
            </w:r>
          </w:p>
          <w:p w14:paraId="1D6F3F5E"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4FDECA5F" w14:textId="77777777" w:rsidR="00DD3067" w:rsidRPr="00936152" w:rsidRDefault="00DD3067" w:rsidP="00476948">
            <w:pPr>
              <w:pStyle w:val="TableText"/>
              <w:keepNext/>
              <w:rPr>
                <w:rStyle w:val="Strong"/>
              </w:rPr>
            </w:pPr>
            <w:r w:rsidRPr="00936152">
              <w:rPr>
                <w:rStyle w:val="Strong"/>
              </w:rPr>
              <w:t>Endangered</w:t>
            </w:r>
          </w:p>
          <w:p w14:paraId="31067475"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5FAE6D17" w14:textId="77777777" w:rsidR="00DD3067" w:rsidRPr="00936152" w:rsidRDefault="00DD3067" w:rsidP="00476948">
            <w:pPr>
              <w:pStyle w:val="TableText"/>
              <w:keepNext/>
              <w:rPr>
                <w:rStyle w:val="Strong"/>
              </w:rPr>
            </w:pPr>
            <w:r w:rsidRPr="00936152">
              <w:rPr>
                <w:rStyle w:val="Strong"/>
              </w:rPr>
              <w:t>Vulnerable</w:t>
            </w:r>
          </w:p>
          <w:p w14:paraId="419BFB39"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0316977D"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109D06FD"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7321E130"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75C8E100"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366CB2DD" w14:textId="77777777" w:rsidR="00DD3067" w:rsidRPr="00556843" w:rsidRDefault="00DD3067" w:rsidP="00476948">
            <w:pPr>
              <w:pStyle w:val="TableText"/>
              <w:keepNext/>
            </w:pPr>
            <w:r w:rsidRPr="00556843">
              <w:t>≥ 50%</w:t>
            </w:r>
          </w:p>
        </w:tc>
      </w:tr>
      <w:tr w:rsidR="00DD3067" w:rsidRPr="00556843" w14:paraId="3FD76C59"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14BE49AA"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631CBB86"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6053006F"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6B448CB8" w14:textId="77777777" w:rsidR="00DD3067" w:rsidRPr="00556843" w:rsidRDefault="00DD3067" w:rsidP="00476948">
            <w:pPr>
              <w:pStyle w:val="TableText"/>
              <w:keepNext/>
            </w:pPr>
            <w:r w:rsidRPr="00556843">
              <w:t>≥ 30%</w:t>
            </w:r>
          </w:p>
        </w:tc>
      </w:tr>
      <w:tr w:rsidR="00266DC5" w:rsidRPr="00556843" w14:paraId="564DEDAB"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466475C3"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1706951B"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7292E96C"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0911D26B"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BC201DB"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1B95FD2" wp14:editId="0F9DC7CB">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6D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2CCDDDC4"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70C16C4F" w14:textId="77777777" w:rsidR="00266DC5" w:rsidRDefault="00266DC5" w:rsidP="000D55BC">
            <w:pPr>
              <w:pStyle w:val="TableText"/>
              <w:ind w:left="312" w:hanging="312"/>
            </w:pPr>
            <w:r w:rsidRPr="00556843">
              <w:t>(b)</w:t>
            </w:r>
            <w:r w:rsidRPr="00556843">
              <w:tab/>
              <w:t>an index of abundance appropriate to the taxon</w:t>
            </w:r>
          </w:p>
          <w:p w14:paraId="4765172C"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0C36D239" w14:textId="77777777" w:rsidR="00266DC5" w:rsidRPr="00556843" w:rsidRDefault="00266DC5" w:rsidP="000D55BC">
            <w:pPr>
              <w:pStyle w:val="TableText"/>
              <w:ind w:left="312" w:hanging="312"/>
            </w:pPr>
            <w:r w:rsidRPr="00556843">
              <w:t>(d)</w:t>
            </w:r>
            <w:r w:rsidRPr="00556843">
              <w:tab/>
              <w:t>actual or potential levels of exploitation</w:t>
            </w:r>
          </w:p>
          <w:p w14:paraId="2E2B8304"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06A3A253" w14:textId="77777777" w:rsidR="000F3D21" w:rsidRDefault="00C2736A" w:rsidP="00B52E90">
      <w:pPr>
        <w:pStyle w:val="Heading3"/>
        <w:rPr>
          <w:lang w:eastAsia="ja-JP"/>
        </w:rPr>
      </w:pPr>
      <w:r>
        <w:rPr>
          <w:lang w:eastAsia="ja-JP"/>
        </w:rPr>
        <w:t>Criterion 1 e</w:t>
      </w:r>
      <w:r w:rsidR="000F3D21">
        <w:rPr>
          <w:lang w:eastAsia="ja-JP"/>
        </w:rPr>
        <w:t>vidence</w:t>
      </w:r>
    </w:p>
    <w:p w14:paraId="66A8F99C" w14:textId="419D0D7F" w:rsidR="002F571F" w:rsidRDefault="002F571F" w:rsidP="002F571F">
      <w:pPr>
        <w:rPr>
          <w:lang w:eastAsia="ja-JP"/>
        </w:rPr>
      </w:pPr>
      <w:r w:rsidRPr="00985FD2">
        <w:rPr>
          <w:b/>
          <w:bCs/>
          <w:lang w:eastAsia="ja-JP"/>
        </w:rPr>
        <w:t>Insufficient data to determine eligibility</w:t>
      </w:r>
    </w:p>
    <w:p w14:paraId="7682AB5C" w14:textId="77777777" w:rsidR="0093722A" w:rsidRPr="00103170" w:rsidRDefault="0093722A" w:rsidP="0093722A">
      <w:pPr>
        <w:rPr>
          <w:i/>
          <w:iCs/>
          <w:lang w:eastAsia="ja-JP"/>
        </w:rPr>
      </w:pPr>
      <w:r w:rsidRPr="00103170">
        <w:rPr>
          <w:i/>
          <w:iCs/>
          <w:lang w:eastAsia="ja-JP"/>
        </w:rPr>
        <w:t xml:space="preserve">Generation </w:t>
      </w:r>
      <w:r>
        <w:rPr>
          <w:i/>
          <w:iCs/>
          <w:lang w:eastAsia="ja-JP"/>
        </w:rPr>
        <w:t>time</w:t>
      </w:r>
    </w:p>
    <w:p w14:paraId="4FEFD161" w14:textId="525A8E21" w:rsidR="00FA2027" w:rsidRDefault="00753FB6" w:rsidP="001919CE">
      <w:r>
        <w:t xml:space="preserve">The species is suspected to be long-lived (up to 50 years) (DPIE 2021. pers comm 24 June). The primary and secondary juvenile periods are unknown. However, </w:t>
      </w:r>
      <w:r w:rsidR="00987E46">
        <w:t xml:space="preserve">Environment Australia </w:t>
      </w:r>
      <w:r w:rsidR="00987E46">
        <w:rPr>
          <w:noProof/>
          <w:shd w:val="clear" w:color="auto" w:fill="FFFFFF"/>
        </w:rPr>
        <w:t>(1999)</w:t>
      </w:r>
      <w:r w:rsidR="00987E46">
        <w:rPr>
          <w:shd w:val="clear" w:color="auto" w:fill="FFFFFF"/>
        </w:rPr>
        <w:t xml:space="preserve"> estimate a three-year </w:t>
      </w:r>
      <w:r w:rsidR="00987E46" w:rsidRPr="003A6F4B">
        <w:rPr>
          <w:shd w:val="clear" w:color="auto" w:fill="FFFFFF"/>
        </w:rPr>
        <w:t xml:space="preserve">recovery time </w:t>
      </w:r>
      <w:r w:rsidR="00987E46">
        <w:rPr>
          <w:shd w:val="clear" w:color="auto" w:fill="FFFFFF"/>
        </w:rPr>
        <w:t xml:space="preserve">for the Banyabba grevillea </w:t>
      </w:r>
      <w:r w:rsidR="00987E46" w:rsidRPr="003A6F4B">
        <w:rPr>
          <w:shd w:val="clear" w:color="auto" w:fill="FFFFFF"/>
        </w:rPr>
        <w:t>(i.e., the time between disturbance and the point when the species has developed sufficiently to reproduce</w:t>
      </w:r>
      <w:r w:rsidR="00987E46" w:rsidRPr="0049018F">
        <w:rPr>
          <w:shd w:val="clear" w:color="auto" w:fill="FFFFFF"/>
        </w:rPr>
        <w:t>, including the time required to reach reproductive maturity)</w:t>
      </w:r>
      <w:r w:rsidR="00987E46" w:rsidRPr="00487AC0">
        <w:rPr>
          <w:shd w:val="clear" w:color="auto" w:fill="FFFFFF"/>
        </w:rPr>
        <w:t>.</w:t>
      </w:r>
      <w:r w:rsidR="00987E46">
        <w:t xml:space="preserve"> </w:t>
      </w:r>
      <w:r w:rsidR="002C0EDC">
        <w:t>This is supported by the suspected</w:t>
      </w:r>
      <w:r>
        <w:t xml:space="preserve"> minimal fire-free interval of 5</w:t>
      </w:r>
      <w:r w:rsidR="006F6993">
        <w:t>–</w:t>
      </w:r>
      <w:r w:rsidR="004C2B8A">
        <w:t xml:space="preserve">7 </w:t>
      </w:r>
      <w:r>
        <w:t xml:space="preserve">years (subject to further study) </w:t>
      </w:r>
      <w:r w:rsidR="004C2B8A">
        <w:rPr>
          <w:noProof/>
        </w:rPr>
        <w:t>(NSW RFS 2013; DPIE 2021. pers comm 24 June)</w:t>
      </w:r>
      <w:r>
        <w:t xml:space="preserve">, </w:t>
      </w:r>
      <w:r w:rsidR="002C0EDC">
        <w:t xml:space="preserve">which suggests </w:t>
      </w:r>
      <w:r>
        <w:t>that reproductive maturity occurs by this age.</w:t>
      </w:r>
      <w:r w:rsidR="00CC4C3E">
        <w:t xml:space="preserve"> </w:t>
      </w:r>
      <w:r w:rsidR="00FA2027">
        <w:t xml:space="preserve">Accordingly, generation time is likely to be: </w:t>
      </w:r>
    </w:p>
    <w:p w14:paraId="3866CA93" w14:textId="0AC85D05" w:rsidR="00B429A7" w:rsidRPr="00B429A7" w:rsidRDefault="00B429A7" w:rsidP="0025623E">
      <w:pPr>
        <w:spacing w:after="0"/>
      </w:pPr>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p w14:paraId="39D45029" w14:textId="496AB784" w:rsidR="00B429A7" w:rsidRDefault="00B429A7" w:rsidP="001919CE">
      <m:oMath>
        <m:r>
          <m:rPr>
            <m:sty m:val="p"/>
          </m:rPr>
          <w:rPr>
            <w:rFonts w:ascii="Cambria Math" w:hAnsi="Cambria Math"/>
          </w:rPr>
          <m:t>Generation time</m:t>
        </m:r>
        <m:r>
          <w:rPr>
            <w:rFonts w:ascii="Cambria Math" w:hAnsi="Cambria Math"/>
          </w:rPr>
          <m:t xml:space="preserve">= </m:t>
        </m:r>
        <m:r>
          <m:rPr>
            <m:sty m:val="p"/>
          </m:rPr>
          <w:rPr>
            <w:rFonts w:ascii="Cambria Math" w:hAnsi="Cambria Math"/>
          </w:rPr>
          <m:t xml:space="preserve">3 +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50-3</m:t>
                </m:r>
              </m:e>
            </m:d>
          </m:e>
        </m:d>
        <m:r>
          <w:rPr>
            <w:rFonts w:ascii="Cambria Math" w:hAnsi="Cambria Math"/>
          </w:rPr>
          <m:t xml:space="preserve">=26.5 </m:t>
        </m:r>
        <m:r>
          <m:rPr>
            <m:sty m:val="p"/>
          </m:rPr>
          <w:rPr>
            <w:rFonts w:ascii="Cambria Math" w:hAnsi="Cambria Math"/>
          </w:rPr>
          <m:t>years</m:t>
        </m:r>
      </m:oMath>
      <w:r>
        <w:tab/>
      </w:r>
    </w:p>
    <w:p w14:paraId="0A2BE9E5" w14:textId="494615DC" w:rsidR="00E824F3" w:rsidRDefault="001B0BC1" w:rsidP="001919CE">
      <w:r>
        <w:t>This gives a</w:t>
      </w:r>
      <w:r w:rsidR="00B745D6">
        <w:t>n estimated</w:t>
      </w:r>
      <w:r>
        <w:t xml:space="preserve"> three-generation period of </w:t>
      </w:r>
      <w:r w:rsidR="002C0EDC">
        <w:t>approximately 80</w:t>
      </w:r>
      <w:r>
        <w:t xml:space="preserve"> years</w:t>
      </w:r>
      <w:r w:rsidR="002F2DB1">
        <w:t>.</w:t>
      </w:r>
    </w:p>
    <w:p w14:paraId="34D94A49" w14:textId="4EB829E4" w:rsidR="00E61392" w:rsidRDefault="00E61392" w:rsidP="0044343A">
      <w:pPr>
        <w:keepNext/>
        <w:keepLines/>
        <w:rPr>
          <w:i/>
          <w:iCs/>
          <w:lang w:eastAsia="ja-JP"/>
        </w:rPr>
      </w:pPr>
      <w:r>
        <w:rPr>
          <w:i/>
          <w:iCs/>
          <w:lang w:eastAsia="ja-JP"/>
        </w:rPr>
        <w:lastRenderedPageBreak/>
        <w:t>Population trends based on monitoring data</w:t>
      </w:r>
    </w:p>
    <w:p w14:paraId="53CE8AEE" w14:textId="0B362DDF" w:rsidR="0044343A" w:rsidRDefault="008F354B" w:rsidP="0044343A">
      <w:pPr>
        <w:keepNext/>
        <w:keepLines/>
      </w:pPr>
      <w:r w:rsidRPr="00E85443">
        <w:t>In 1997, the total population size was estimated at approximately 14</w:t>
      </w:r>
      <w:r w:rsidR="00552214">
        <w:t>,</w:t>
      </w:r>
      <w:r w:rsidRPr="00E85443">
        <w:t xml:space="preserve">000 individuals </w:t>
      </w:r>
      <w:r w:rsidRPr="00E85443">
        <w:rPr>
          <w:noProof/>
        </w:rPr>
        <w:t>(NPWS 1999)</w:t>
      </w:r>
      <w:r w:rsidRPr="00E85443">
        <w:t>.</w:t>
      </w:r>
      <w:r>
        <w:t xml:space="preserve"> In 2021, the total population size was estimated at </w:t>
      </w:r>
      <w:r w:rsidRPr="00E85443">
        <w:t>approximately ≥ 10</w:t>
      </w:r>
      <w:r w:rsidR="00552214">
        <w:t>,</w:t>
      </w:r>
      <w:r w:rsidRPr="00E85443">
        <w:t>000 individuals</w:t>
      </w:r>
      <w:r>
        <w:t xml:space="preserve"> </w:t>
      </w:r>
      <w:r w:rsidRPr="00E85443">
        <w:t xml:space="preserve">(Table 1) (DPIE 2021. pers comm </w:t>
      </w:r>
      <w:r>
        <w:t>8</w:t>
      </w:r>
      <w:r w:rsidRPr="00E85443">
        <w:t xml:space="preserve"> September).</w:t>
      </w:r>
      <w:r w:rsidR="0044343A">
        <w:t xml:space="preserve"> </w:t>
      </w:r>
      <w:r>
        <w:t xml:space="preserve">This suggests a </w:t>
      </w:r>
      <w:r w:rsidR="0044343A">
        <w:t>reduction</w:t>
      </w:r>
      <w:r>
        <w:t xml:space="preserve"> in total population size. Assuming the proportion of mature individuals in the total population has remained consistent from 1997–2021, a </w:t>
      </w:r>
      <w:r w:rsidR="0044343A">
        <w:t>reduction</w:t>
      </w:r>
      <w:r>
        <w:t xml:space="preserve"> in the number of mature individuals over this period</w:t>
      </w:r>
      <w:r w:rsidR="0048123B">
        <w:t xml:space="preserve"> could be inferred</w:t>
      </w:r>
      <w:r>
        <w:t>.</w:t>
      </w:r>
      <w:r w:rsidR="0044343A">
        <w:t xml:space="preserve"> </w:t>
      </w:r>
    </w:p>
    <w:p w14:paraId="198BD218" w14:textId="6FA8D7E8" w:rsidR="008F354B" w:rsidRDefault="008F354B" w:rsidP="0044343A">
      <w:pPr>
        <w:keepNext/>
        <w:keepLines/>
      </w:pPr>
      <w:r>
        <w:t>However, the population size of the subpopulation</w:t>
      </w:r>
      <w:r w:rsidRPr="00E85443">
        <w:t xml:space="preserve"> </w:t>
      </w:r>
      <w:r>
        <w:t xml:space="preserve">in </w:t>
      </w:r>
      <w:r w:rsidRPr="00E85443">
        <w:t>Wombat Creek State Conservation Area</w:t>
      </w:r>
      <w:r>
        <w:t xml:space="preserve"> is unknown and has not been included in the total population size estimate (</w:t>
      </w:r>
      <w:r w:rsidRPr="00E85443">
        <w:t>≥ 10</w:t>
      </w:r>
      <w:r w:rsidR="00552214">
        <w:t>,</w:t>
      </w:r>
      <w:r w:rsidRPr="00E85443">
        <w:t>000 individuals</w:t>
      </w:r>
      <w:r>
        <w:t xml:space="preserve">) </w:t>
      </w:r>
      <w:r w:rsidRPr="00E85443">
        <w:t xml:space="preserve">(Table 1) (DPIE 2021. pers comm </w:t>
      </w:r>
      <w:r>
        <w:t>8</w:t>
      </w:r>
      <w:r w:rsidRPr="00E85443">
        <w:t xml:space="preserve"> September).</w:t>
      </w:r>
      <w:r>
        <w:t xml:space="preserve"> If individuals are found in this area, the 2021 total population size estimate could plausibly be revised to </w:t>
      </w:r>
      <w:r w:rsidR="0044343A">
        <w:t xml:space="preserve">an estimate that is </w:t>
      </w:r>
      <w:proofErr w:type="gramStart"/>
      <w:r w:rsidR="0044343A">
        <w:t>similar to</w:t>
      </w:r>
      <w:proofErr w:type="gramEnd"/>
      <w:r w:rsidR="0044343A">
        <w:t xml:space="preserve"> that of 1997 (i.e., ~14</w:t>
      </w:r>
      <w:r w:rsidR="00552214">
        <w:t>,</w:t>
      </w:r>
      <w:r w:rsidR="0044343A">
        <w:t>000 individuals)</w:t>
      </w:r>
      <w:r>
        <w:t>.</w:t>
      </w:r>
      <w:r w:rsidR="0044343A">
        <w:t xml:space="preserve"> </w:t>
      </w:r>
      <w:r>
        <w:t xml:space="preserve">Accordingly, this assessment recognises that the species may </w:t>
      </w:r>
      <w:r w:rsidR="0044343A">
        <w:t>have undergone a past reduction in population size (A1 and A2)</w:t>
      </w:r>
      <w:r w:rsidR="00064960">
        <w:t xml:space="preserve"> since 1997</w:t>
      </w:r>
      <w:r>
        <w:t xml:space="preserve">, however, further survey information is required from </w:t>
      </w:r>
      <w:r w:rsidRPr="00E85443">
        <w:t>Wombat Creek State Conservation Area</w:t>
      </w:r>
      <w:r>
        <w:t xml:space="preserve"> to determine if this is the case.</w:t>
      </w:r>
    </w:p>
    <w:p w14:paraId="505000F0" w14:textId="77777777" w:rsidR="0044343A" w:rsidRDefault="0044343A" w:rsidP="0044343A">
      <w:pPr>
        <w:keepLines/>
      </w:pPr>
      <w:r w:rsidRPr="0044343A">
        <w:t>No monitoring data is available prior to 1997, so population trends prior to this time are considered data deficient.</w:t>
      </w:r>
    </w:p>
    <w:p w14:paraId="20747FA9" w14:textId="6E5824EF" w:rsidR="00C4358A" w:rsidRDefault="00C4358A" w:rsidP="00C4358A">
      <w:pPr>
        <w:keepNext/>
        <w:keepLines/>
        <w:rPr>
          <w:bCs/>
          <w:i/>
          <w:iCs/>
        </w:rPr>
      </w:pPr>
      <w:r>
        <w:rPr>
          <w:bCs/>
          <w:i/>
          <w:iCs/>
        </w:rPr>
        <w:t xml:space="preserve">Extent of </w:t>
      </w:r>
      <w:r w:rsidR="005A0731">
        <w:rPr>
          <w:bCs/>
          <w:i/>
          <w:iCs/>
        </w:rPr>
        <w:t xml:space="preserve">2017-19 drought and </w:t>
      </w:r>
      <w:r>
        <w:rPr>
          <w:bCs/>
          <w:i/>
          <w:iCs/>
        </w:rPr>
        <w:t>2019-20 bushfires</w:t>
      </w:r>
      <w:r w:rsidR="005A0731">
        <w:rPr>
          <w:bCs/>
          <w:i/>
          <w:iCs/>
        </w:rPr>
        <w:t>,</w:t>
      </w:r>
      <w:r>
        <w:rPr>
          <w:bCs/>
          <w:i/>
          <w:iCs/>
        </w:rPr>
        <w:t xml:space="preserve"> and distribution of the Banyabba </w:t>
      </w:r>
      <w:r w:rsidR="004F7964">
        <w:rPr>
          <w:bCs/>
          <w:i/>
          <w:iCs/>
        </w:rPr>
        <w:t>g</w:t>
      </w:r>
      <w:r>
        <w:rPr>
          <w:bCs/>
          <w:i/>
          <w:iCs/>
        </w:rPr>
        <w:t>revillea</w:t>
      </w:r>
    </w:p>
    <w:p w14:paraId="65C6D563" w14:textId="7F3BA9DF" w:rsidR="00A70E97" w:rsidRPr="002E1DB4" w:rsidRDefault="00A75DFA" w:rsidP="00A75DFA">
      <w:pPr>
        <w:keepLines/>
      </w:pPr>
      <w:r w:rsidRPr="00F76F67">
        <w:t xml:space="preserve">Between 2017 and 2019, </w:t>
      </w:r>
      <w:r w:rsidR="006B5F35">
        <w:t xml:space="preserve">north-eastern </w:t>
      </w:r>
      <w:r w:rsidR="00F76F67">
        <w:t>NSW</w:t>
      </w:r>
      <w:r w:rsidR="00422FA8">
        <w:t xml:space="preserve"> </w:t>
      </w:r>
      <w:r w:rsidRPr="00F76F67">
        <w:t xml:space="preserve">experienced severe drought </w:t>
      </w:r>
      <w:r w:rsidR="00AD55C6">
        <w:rPr>
          <w:noProof/>
        </w:rPr>
        <w:t>(Bureau of Meteorology 2020; DPI 2020)</w:t>
      </w:r>
      <w:r w:rsidR="009713EF">
        <w:rPr>
          <w:noProof/>
        </w:rPr>
        <w:t>,</w:t>
      </w:r>
      <w:r w:rsidR="00422FA8" w:rsidRPr="005A0731">
        <w:rPr>
          <w:noProof/>
        </w:rPr>
        <w:t xml:space="preserve"> which overlapped with </w:t>
      </w:r>
      <w:r w:rsidR="00FC3E64" w:rsidRPr="005A0731">
        <w:rPr>
          <w:noProof/>
        </w:rPr>
        <w:t>approximately 53</w:t>
      </w:r>
      <w:r w:rsidR="00422FA8" w:rsidRPr="005A0731">
        <w:rPr>
          <w:noProof/>
        </w:rPr>
        <w:t xml:space="preserve"> percent of the Banyabba </w:t>
      </w:r>
      <w:r w:rsidR="004F7964">
        <w:rPr>
          <w:noProof/>
        </w:rPr>
        <w:t>g</w:t>
      </w:r>
      <w:r w:rsidR="00422FA8" w:rsidRPr="005A0731">
        <w:rPr>
          <w:noProof/>
        </w:rPr>
        <w:t>revillea’s modelled distribution</w:t>
      </w:r>
      <w:r w:rsidR="00CD27FD" w:rsidRPr="005A0731">
        <w:rPr>
          <w:noProof/>
        </w:rPr>
        <w:t xml:space="preserve"> </w:t>
      </w:r>
      <w:r w:rsidR="00167315" w:rsidRPr="005A0731">
        <w:rPr>
          <w:noProof/>
        </w:rPr>
        <w:t xml:space="preserve">in the six months preceeding the 2019-20 bushfires </w:t>
      </w:r>
      <w:r w:rsidR="00A343D3" w:rsidRPr="005A0731">
        <w:rPr>
          <w:noProof/>
        </w:rPr>
        <w:t>(Gallagher 2020)</w:t>
      </w:r>
      <w:r w:rsidRPr="005A0731">
        <w:t>.</w:t>
      </w:r>
      <w:r w:rsidR="0025138F">
        <w:t xml:space="preserve"> </w:t>
      </w:r>
      <w:r w:rsidRPr="006B5F35">
        <w:t xml:space="preserve">Following this drought, catastrophic bushfire conditions resulted in extensive bushfires covering an unusually large area of eastern Australia in 2019-20. Fire intensity and severity varied across the bushfire extent, with many patches burning at extreme intensity and severity while others remained unburnt </w:t>
      </w:r>
      <w:r w:rsidR="00AD55C6">
        <w:rPr>
          <w:noProof/>
        </w:rPr>
        <w:t>(DPIE 2020c)</w:t>
      </w:r>
      <w:r w:rsidR="00AD55C6">
        <w:t>.</w:t>
      </w:r>
      <w:r w:rsidR="002E1DB4">
        <w:t xml:space="preserve"> </w:t>
      </w:r>
      <w:r w:rsidR="00A70E97" w:rsidRPr="00D2528A">
        <w:t xml:space="preserve">Initial estimates suggest the 2019-20 bushfires overlapped with approximately </w:t>
      </w:r>
      <w:r w:rsidR="00A70E97">
        <w:t>80</w:t>
      </w:r>
      <w:r w:rsidR="005852E6">
        <w:t xml:space="preserve"> percent </w:t>
      </w:r>
      <w:r w:rsidR="00A70E97" w:rsidRPr="00D2528A">
        <w:t xml:space="preserve">of the </w:t>
      </w:r>
      <w:r w:rsidR="005852E6">
        <w:t>species’ modelled</w:t>
      </w:r>
      <w:r w:rsidR="00A70E97" w:rsidRPr="00D2528A">
        <w:t xml:space="preserve"> distribution</w:t>
      </w:r>
      <w:r w:rsidR="005852E6">
        <w:t xml:space="preserve">, with </w:t>
      </w:r>
      <w:r w:rsidR="002E1DB4">
        <w:t>34</w:t>
      </w:r>
      <w:r w:rsidR="005852E6">
        <w:t xml:space="preserve"> percent burnt at very high severity</w:t>
      </w:r>
      <w:r w:rsidR="00A70E97">
        <w:t xml:space="preserve"> </w:t>
      </w:r>
      <w:r w:rsidR="00A70E97">
        <w:rPr>
          <w:noProof/>
        </w:rPr>
        <w:t>(Auld et al. 2020; Gallagher 2020; Gallagher et al. 2021)</w:t>
      </w:r>
      <w:r w:rsidR="005852E6">
        <w:t>.</w:t>
      </w:r>
    </w:p>
    <w:p w14:paraId="7AA59205" w14:textId="4D02CED9" w:rsidR="00205F8F" w:rsidRDefault="00205F8F" w:rsidP="00205F8F">
      <w:pPr>
        <w:keepNext/>
        <w:rPr>
          <w:i/>
          <w:iCs/>
        </w:rPr>
      </w:pPr>
      <w:r>
        <w:rPr>
          <w:i/>
          <w:iCs/>
        </w:rPr>
        <w:lastRenderedPageBreak/>
        <w:t xml:space="preserve">Population reduction </w:t>
      </w:r>
      <w:r>
        <w:rPr>
          <w:bCs/>
          <w:i/>
          <w:iCs/>
        </w:rPr>
        <w:t>associated 2019-20 bushfires</w:t>
      </w:r>
      <w:r w:rsidR="001C6261">
        <w:rPr>
          <w:bCs/>
          <w:i/>
          <w:iCs/>
        </w:rPr>
        <w:t xml:space="preserve"> and other threats</w:t>
      </w:r>
    </w:p>
    <w:p w14:paraId="3A1E1C84" w14:textId="5E2B1AE4" w:rsidR="002D1EEF" w:rsidRDefault="007D4811" w:rsidP="00ED1E9F">
      <w:pPr>
        <w:keepNext/>
        <w:keepLines/>
      </w:pPr>
      <w:r w:rsidRPr="007D4811">
        <w:t>L</w:t>
      </w:r>
      <w:r w:rsidR="00C57CB2" w:rsidRPr="007D4811">
        <w:t>ocal experts from NSW DPIE estimate approximately 50–60 percent of individuals were burnt</w:t>
      </w:r>
      <w:r w:rsidRPr="007D4811">
        <w:t xml:space="preserve"> </w:t>
      </w:r>
      <w:r w:rsidR="000C3775" w:rsidRPr="00ED1E9F">
        <w:t>during the</w:t>
      </w:r>
      <w:r w:rsidRPr="00ED1E9F">
        <w:t xml:space="preserve"> 2019-20 bushfires </w:t>
      </w:r>
      <w:r w:rsidR="00C57CB2" w:rsidRPr="00ED1E9F">
        <w:t xml:space="preserve">(DPIE 2021. pers comm 24 June). </w:t>
      </w:r>
      <w:r w:rsidR="000C3775" w:rsidRPr="00D62FE4">
        <w:t xml:space="preserve">Although </w:t>
      </w:r>
      <w:r w:rsidR="001F73FD" w:rsidRPr="00ED1E9F">
        <w:t>thi</w:t>
      </w:r>
      <w:r w:rsidR="001F73FD" w:rsidRPr="00D62FE4">
        <w:t xml:space="preserve">s </w:t>
      </w:r>
      <w:r w:rsidR="00474BD4" w:rsidRPr="00D62FE4">
        <w:t xml:space="preserve">fire </w:t>
      </w:r>
      <w:r w:rsidR="001F73FD" w:rsidRPr="00D62FE4">
        <w:t xml:space="preserve">event </w:t>
      </w:r>
      <w:r w:rsidR="000C3775" w:rsidRPr="00D62FE4">
        <w:t>is likely to have killed some mature individuals,</w:t>
      </w:r>
      <w:r w:rsidR="00E229A3" w:rsidRPr="00D62FE4">
        <w:t xml:space="preserve"> </w:t>
      </w:r>
      <w:r w:rsidR="00950B89" w:rsidRPr="00ED1E9F">
        <w:t>many</w:t>
      </w:r>
      <w:r w:rsidR="008707FC" w:rsidRPr="00ED1E9F">
        <w:t xml:space="preserve"> </w:t>
      </w:r>
      <w:r w:rsidR="00ED1E9F" w:rsidRPr="00ED1E9F">
        <w:t xml:space="preserve">seedlings have recruited from seed </w:t>
      </w:r>
      <w:r w:rsidR="00376600" w:rsidRPr="00ED1E9F">
        <w:t>(DPIE 2021. pers comm 24 June).</w:t>
      </w:r>
      <w:r w:rsidR="002D1EEF" w:rsidRPr="00ED1E9F">
        <w:t xml:space="preserve"> </w:t>
      </w:r>
      <w:r w:rsidR="00ED1E9F" w:rsidRPr="00ED1E9F">
        <w:t xml:space="preserve">Additionally, along </w:t>
      </w:r>
      <w:proofErr w:type="spellStart"/>
      <w:r w:rsidR="00ED1E9F" w:rsidRPr="00ED1E9F">
        <w:t>Dilkoon</w:t>
      </w:r>
      <w:proofErr w:type="spellEnd"/>
      <w:r w:rsidR="00ED1E9F" w:rsidRPr="00ED1E9F">
        <w:t xml:space="preserve"> Trail in Fortis Creek National Park, resprouting plants have also been observed (DPIE 2021. pers comm 24 June)</w:t>
      </w:r>
      <w:r w:rsidR="00D62FE4">
        <w:t xml:space="preserve">. </w:t>
      </w:r>
      <w:r w:rsidR="002D1EEF" w:rsidRPr="00ED1E9F">
        <w:t>Dieback</w:t>
      </w:r>
      <w:r w:rsidR="002D1EEF">
        <w:t xml:space="preserve"> </w:t>
      </w:r>
      <w:r w:rsidR="002D1EEF" w:rsidRPr="00B92E75">
        <w:t>of leaves and branches</w:t>
      </w:r>
      <w:r w:rsidR="002D1EEF">
        <w:t xml:space="preserve"> was observed</w:t>
      </w:r>
      <w:r w:rsidR="002D1EEF" w:rsidRPr="00B92E75">
        <w:t xml:space="preserve"> in</w:t>
      </w:r>
      <w:r w:rsidR="002D1EEF">
        <w:t xml:space="preserve"> unburnt</w:t>
      </w:r>
      <w:r w:rsidR="002D1EEF" w:rsidRPr="00B92E75">
        <w:t xml:space="preserve"> </w:t>
      </w:r>
      <w:r w:rsidR="002D1EEF">
        <w:t xml:space="preserve">individuals, suggesting that drought conditions were impacting the species prior to the bushfires </w:t>
      </w:r>
      <w:r w:rsidR="002D1EEF" w:rsidRPr="00B92E75">
        <w:t>(DPIE 2021. pers comm 24 June).</w:t>
      </w:r>
      <w:r w:rsidR="002D1EEF">
        <w:t xml:space="preserve"> However, se</w:t>
      </w:r>
      <w:r w:rsidR="002D1EEF" w:rsidRPr="00AF2BB6">
        <w:t>edling recruitment is high</w:t>
      </w:r>
      <w:r w:rsidR="002D1EEF">
        <w:t xml:space="preserve"> post-fire</w:t>
      </w:r>
      <w:r w:rsidR="002D1EEF" w:rsidRPr="00AF2BB6">
        <w:t>, and both seedlings and resprouts are healthy</w:t>
      </w:r>
      <w:r w:rsidR="002D1EEF">
        <w:t xml:space="preserve"> (</w:t>
      </w:r>
      <w:r w:rsidR="002D1EEF" w:rsidRPr="00AF2BB6">
        <w:t>DPIE 2021. pers comm 24 June).</w:t>
      </w:r>
      <w:r w:rsidR="002D1EEF" w:rsidRPr="00576199">
        <w:t xml:space="preserve"> </w:t>
      </w:r>
      <w:r w:rsidR="00A35C2C">
        <w:t xml:space="preserve">The Banyabba </w:t>
      </w:r>
      <w:r w:rsidR="004F7964">
        <w:t>g</w:t>
      </w:r>
      <w:r w:rsidR="00A35C2C">
        <w:t xml:space="preserve">revillea has not been substantially impacted by any other fires within the last five years (DPIE 2021. pers comm 24 June). </w:t>
      </w:r>
      <w:r w:rsidR="002D1EEF">
        <w:t xml:space="preserve">There is also no evidence of disease (e.g., </w:t>
      </w:r>
      <w:r w:rsidR="002D1EEF">
        <w:rPr>
          <w:i/>
          <w:iCs/>
        </w:rPr>
        <w:t>P. cinnamomi</w:t>
      </w:r>
      <w:r w:rsidR="002D1EEF">
        <w:t xml:space="preserve">) or herbivory in the species’ habitat, and weeds are rarely observed (DPIE 2021. pers comm 24 June). This evidence collectively suggests that the species </w:t>
      </w:r>
      <w:r w:rsidR="002D1EEF" w:rsidRPr="009E2EA4">
        <w:t>is likely to recover to pre-2019 population size</w:t>
      </w:r>
      <w:r w:rsidR="00AB49E3">
        <w:t xml:space="preserve">, </w:t>
      </w:r>
      <w:proofErr w:type="gramStart"/>
      <w:r w:rsidR="00AB49E3">
        <w:t>as long as</w:t>
      </w:r>
      <w:proofErr w:type="gramEnd"/>
      <w:r w:rsidR="00D67612">
        <w:t xml:space="preserve"> no</w:t>
      </w:r>
      <w:r w:rsidR="00AB49E3">
        <w:t xml:space="preserve"> further</w:t>
      </w:r>
      <w:r w:rsidR="00AB49E3" w:rsidRPr="009C3A26">
        <w:t xml:space="preserve"> fire</w:t>
      </w:r>
      <w:r w:rsidR="00AB49E3">
        <w:t>s</w:t>
      </w:r>
      <w:r w:rsidR="00AB49E3" w:rsidRPr="009C3A26">
        <w:t xml:space="preserve"> </w:t>
      </w:r>
      <w:r w:rsidR="00AB49E3">
        <w:t>or other threat</w:t>
      </w:r>
      <w:r w:rsidR="00FE6704">
        <w:t xml:space="preserve">ening events </w:t>
      </w:r>
      <w:r w:rsidR="00AB49E3" w:rsidRPr="009C3A26">
        <w:t>occur within the next 5</w:t>
      </w:r>
      <w:r w:rsidR="00BE130B" w:rsidRPr="007D4811">
        <w:t>–</w:t>
      </w:r>
      <w:r w:rsidR="00AB49E3" w:rsidRPr="009C3A26">
        <w:t xml:space="preserve">7 years </w:t>
      </w:r>
      <w:r w:rsidR="00BE4065">
        <w:rPr>
          <w:noProof/>
        </w:rPr>
        <w:t>(i.e., the minimal fire-free interval required by the species, subject to further study; NSW RFS 2013; DPIE 2021. pers comm 24 June)</w:t>
      </w:r>
      <w:r w:rsidR="002D1EEF" w:rsidRPr="009E2EA4">
        <w:t>.</w:t>
      </w:r>
    </w:p>
    <w:p w14:paraId="5B519581" w14:textId="61A787B6" w:rsidR="00A73F08" w:rsidRDefault="009E2EA4" w:rsidP="00A73F08">
      <w:r>
        <w:t xml:space="preserve">Fire is </w:t>
      </w:r>
      <w:r w:rsidR="00D67612">
        <w:t>likely to be</w:t>
      </w:r>
      <w:r w:rsidR="00923532">
        <w:t xml:space="preserve"> </w:t>
      </w:r>
      <w:r>
        <w:t xml:space="preserve">required to trigger </w:t>
      </w:r>
      <w:r w:rsidRPr="00CA30B1">
        <w:t xml:space="preserve">germination of </w:t>
      </w:r>
      <w:r>
        <w:t xml:space="preserve">soil-stored </w:t>
      </w:r>
      <w:r w:rsidRPr="00CA30B1">
        <w:t xml:space="preserve">seeds </w:t>
      </w:r>
      <w:r>
        <w:t xml:space="preserve">and enable recruitment (see Relevant biology and ecology) </w:t>
      </w:r>
      <w:r w:rsidR="00BE4065">
        <w:rPr>
          <w:noProof/>
        </w:rPr>
        <w:t>(Richards 1999; Makinson 2000; Auld et al. 2020; Gallagher et al. 2021)</w:t>
      </w:r>
      <w:r w:rsidR="00E945EF">
        <w:t xml:space="preserve">. </w:t>
      </w:r>
      <w:r w:rsidR="002E1DB4" w:rsidRPr="009722E4">
        <w:t>Accordingly, the loss of individuals following the 2019-20 bushfires is considered part of a natural fluctuation</w:t>
      </w:r>
      <w:r w:rsidR="00570D17" w:rsidRPr="009722E4">
        <w:t xml:space="preserve"> rather than population reduction</w:t>
      </w:r>
      <w:r w:rsidR="009722E4">
        <w:t>.</w:t>
      </w:r>
    </w:p>
    <w:p w14:paraId="3161A541" w14:textId="46D1B181" w:rsidR="00A73F08" w:rsidRDefault="00A4176B" w:rsidP="00164D4B">
      <w:pPr>
        <w:keepNext/>
        <w:keepLines/>
        <w:rPr>
          <w:i/>
          <w:iCs/>
        </w:rPr>
      </w:pPr>
      <w:r>
        <w:rPr>
          <w:i/>
          <w:iCs/>
        </w:rPr>
        <w:t>Population reduction projected under climate change scenarios</w:t>
      </w:r>
      <w:r w:rsidR="003D7CEF">
        <w:rPr>
          <w:i/>
          <w:iCs/>
        </w:rPr>
        <w:t xml:space="preserve"> (fire)</w:t>
      </w:r>
    </w:p>
    <w:p w14:paraId="47810854" w14:textId="36B3746C" w:rsidR="004D4132" w:rsidRDefault="006272A8" w:rsidP="00B81350">
      <w:pPr>
        <w:keepLines/>
      </w:pPr>
      <w:r w:rsidRPr="006272A8">
        <w:t xml:space="preserve">Anthropogenic climate change has already </w:t>
      </w:r>
      <w:r w:rsidR="005E6648">
        <w:t>started</w:t>
      </w:r>
      <w:r w:rsidRPr="006272A8">
        <w:t xml:space="preserve"> </w:t>
      </w:r>
      <w:r w:rsidR="00832546">
        <w:t xml:space="preserve">to </w:t>
      </w:r>
      <w:r w:rsidRPr="006272A8">
        <w:t>influenc</w:t>
      </w:r>
      <w:r w:rsidR="00832546">
        <w:t>e</w:t>
      </w:r>
      <w:r w:rsidRPr="006272A8">
        <w:t xml:space="preserve"> </w:t>
      </w:r>
      <w:r w:rsidR="00944462">
        <w:t>fire</w:t>
      </w:r>
      <w:r>
        <w:t xml:space="preserve"> </w:t>
      </w:r>
      <w:r w:rsidRPr="006272A8">
        <w:t xml:space="preserve">weather conditions </w:t>
      </w:r>
      <w:r w:rsidR="005E6648">
        <w:t xml:space="preserve">across the world, including in Australia </w:t>
      </w:r>
      <w:r w:rsidR="00762CD9">
        <w:rPr>
          <w:noProof/>
        </w:rPr>
        <w:t>(Abatzoglou &amp; Williams 2016; Dowdy 2018)</w:t>
      </w:r>
      <w:r w:rsidR="00762CD9">
        <w:t>.</w:t>
      </w:r>
      <w:r w:rsidR="00A71390">
        <w:t xml:space="preserve"> </w:t>
      </w:r>
      <w:r w:rsidR="0046540D">
        <w:t>Since 1950</w:t>
      </w:r>
      <w:r w:rsidR="00A71390">
        <w:t xml:space="preserve">, </w:t>
      </w:r>
      <w:r w:rsidR="00922588">
        <w:t xml:space="preserve">the frequency and magnitude of extreme fire weather conditions has increased in </w:t>
      </w:r>
      <w:r w:rsidR="0046540D">
        <w:t>southern Australia</w:t>
      </w:r>
      <w:r w:rsidR="00A71390">
        <w:t xml:space="preserve"> </w:t>
      </w:r>
      <w:r w:rsidR="00991811">
        <w:rPr>
          <w:noProof/>
        </w:rPr>
        <w:t>(Dowdy 2018)</w:t>
      </w:r>
      <w:r w:rsidR="00991811">
        <w:t>.</w:t>
      </w:r>
      <w:r w:rsidR="00164D4B">
        <w:t xml:space="preserve"> </w:t>
      </w:r>
      <w:r w:rsidR="00E12418">
        <w:t>The</w:t>
      </w:r>
      <w:r w:rsidR="0046540D">
        <w:t xml:space="preserve"> annual frequency of dangerous fire weather days</w:t>
      </w:r>
      <w:r w:rsidR="00E12418">
        <w:t xml:space="preserve"> has increased</w:t>
      </w:r>
      <w:r w:rsidR="00164D4B" w:rsidRPr="00164D4B">
        <w:t xml:space="preserve"> </w:t>
      </w:r>
      <w:r w:rsidR="00164D4B">
        <w:t>between 1950-1985 and 1985-2020,</w:t>
      </w:r>
      <w:r w:rsidR="0046540D">
        <w:t xml:space="preserve"> particularly in north-eastern NSW </w:t>
      </w:r>
      <w:r w:rsidR="0046540D">
        <w:rPr>
          <w:noProof/>
        </w:rPr>
        <w:t>(Bureau of Meteorology &amp; CSIRO 2020)</w:t>
      </w:r>
      <w:r w:rsidR="0046540D">
        <w:t>.</w:t>
      </w:r>
      <w:r w:rsidR="00164D4B">
        <w:t xml:space="preserve"> Further, th</w:t>
      </w:r>
      <w:r w:rsidR="009310F4">
        <w:t>e average frequency of bu</w:t>
      </w:r>
      <w:r w:rsidR="001A0108">
        <w:t>shfire event</w:t>
      </w:r>
      <w:r w:rsidR="009310F4">
        <w:t>s</w:t>
      </w:r>
      <w:r w:rsidR="00AF07E8">
        <w:t xml:space="preserve"> has </w:t>
      </w:r>
      <w:r w:rsidR="001A0108">
        <w:t xml:space="preserve">increased by 40 percent between </w:t>
      </w:r>
      <w:r w:rsidR="001A0108" w:rsidRPr="007D41BD">
        <w:t>2007</w:t>
      </w:r>
      <w:r w:rsidR="007D41BD" w:rsidRPr="007D41BD">
        <w:t>–</w:t>
      </w:r>
      <w:r w:rsidR="001A0108" w:rsidRPr="007D41BD">
        <w:t>2013</w:t>
      </w:r>
      <w:r w:rsidR="009E0780">
        <w:t xml:space="preserve"> </w:t>
      </w:r>
      <w:r w:rsidR="00AA1C9C">
        <w:rPr>
          <w:noProof/>
        </w:rPr>
        <w:t>(Dutta et al. 2016)</w:t>
      </w:r>
      <w:r w:rsidR="00E9663B">
        <w:t>.</w:t>
      </w:r>
      <w:r w:rsidR="00832546">
        <w:t xml:space="preserve"> </w:t>
      </w:r>
      <w:r w:rsidR="00863840">
        <w:t>A</w:t>
      </w:r>
      <w:r w:rsidR="002E1DB4" w:rsidRPr="00AF2BB6">
        <w:t xml:space="preserve">s </w:t>
      </w:r>
      <w:r w:rsidR="002E1DB4" w:rsidRPr="00695FD1">
        <w:t xml:space="preserve">fire frequency and severity are predicted to continue to increase due to climate change </w:t>
      </w:r>
      <w:r w:rsidR="00BD4AEA">
        <w:rPr>
          <w:noProof/>
        </w:rPr>
        <w:t>(Dowdy et al. 2019; Bureau of Meteorology &amp; CSIRO 2020; van Oldenborgh et al. 2021)</w:t>
      </w:r>
      <w:r w:rsidR="002E1DB4" w:rsidRPr="00695FD1">
        <w:t>,</w:t>
      </w:r>
      <w:r w:rsidR="00277376" w:rsidRPr="00277376">
        <w:t xml:space="preserve"> </w:t>
      </w:r>
      <w:r w:rsidR="002E1DB4" w:rsidRPr="00695FD1">
        <w:t xml:space="preserve">the Banyabba </w:t>
      </w:r>
      <w:r w:rsidR="004F7964">
        <w:t>g</w:t>
      </w:r>
      <w:r w:rsidR="002E1DB4" w:rsidRPr="00695FD1">
        <w:t>revillea may decline in the future</w:t>
      </w:r>
      <w:r w:rsidR="00832546">
        <w:t>,</w:t>
      </w:r>
      <w:r w:rsidR="002E1DB4" w:rsidRPr="00695FD1">
        <w:t xml:space="preserve"> as fire-free intervals continue to shorten (i.e., through interval squeeze) </w:t>
      </w:r>
      <w:r w:rsidR="002E1DB4" w:rsidRPr="00695FD1">
        <w:rPr>
          <w:noProof/>
        </w:rPr>
        <w:t>(Enright et al. 2015)</w:t>
      </w:r>
      <w:r w:rsidR="002E1DB4" w:rsidRPr="00695FD1">
        <w:t xml:space="preserve">. </w:t>
      </w:r>
      <w:r w:rsidR="008E1514" w:rsidRPr="00695FD1">
        <w:t xml:space="preserve">If another fire were to occur within the next 5–7 years anywhere across the species range, immature plants are likely to be killed resulting in a net </w:t>
      </w:r>
      <w:r w:rsidR="008E1514" w:rsidRPr="00844D48">
        <w:t xml:space="preserve">loss of individuals </w:t>
      </w:r>
      <w:r w:rsidR="008E1514" w:rsidRPr="00844D48">
        <w:rPr>
          <w:noProof/>
        </w:rPr>
        <w:t>(Gallagher et al. 2021)</w:t>
      </w:r>
      <w:r w:rsidR="008E1514" w:rsidRPr="00844D48">
        <w:t>.</w:t>
      </w:r>
    </w:p>
    <w:p w14:paraId="43267C37" w14:textId="24F16ABE" w:rsidR="00633DE8" w:rsidRDefault="00B81350" w:rsidP="00B81350">
      <w:pPr>
        <w:keepNext/>
        <w:keepLines/>
      </w:pPr>
      <w:r w:rsidRPr="00B81350">
        <w:lastRenderedPageBreak/>
        <w:t>S</w:t>
      </w:r>
      <w:r w:rsidR="00D973A6" w:rsidRPr="00B81350">
        <w:t xml:space="preserve">ince 1950, </w:t>
      </w:r>
      <w:r w:rsidR="00844A85" w:rsidRPr="00B81350">
        <w:t>the fire season has been starting earlier and extreme</w:t>
      </w:r>
      <w:r w:rsidR="009E4D95" w:rsidRPr="00B81350">
        <w:t xml:space="preserve"> fire weather conditions have </w:t>
      </w:r>
      <w:r w:rsidR="00922588" w:rsidRPr="00B81350">
        <w:t>increased</w:t>
      </w:r>
      <w:r w:rsidR="009E4D95" w:rsidRPr="00B81350">
        <w:t xml:space="preserve"> during spring and summer</w:t>
      </w:r>
      <w:r w:rsidR="00844A85" w:rsidRPr="00B81350">
        <w:t xml:space="preserve"> </w:t>
      </w:r>
      <w:r w:rsidR="009E4D95" w:rsidRPr="00B81350">
        <w:t xml:space="preserve">in southern Australia </w:t>
      </w:r>
      <w:r w:rsidR="00D973A6" w:rsidRPr="00B81350">
        <w:rPr>
          <w:noProof/>
        </w:rPr>
        <w:t>(Dowdy 2018)</w:t>
      </w:r>
      <w:r w:rsidR="00D973A6" w:rsidRPr="00B81350">
        <w:t xml:space="preserve">. </w:t>
      </w:r>
      <w:r w:rsidR="00C06E73" w:rsidRPr="00B81350">
        <w:t>Across Australia, f</w:t>
      </w:r>
      <w:r w:rsidR="00826C0C" w:rsidRPr="00B81350">
        <w:t xml:space="preserve">uel load and extreme fire weather conditions are projected to continue to increase in </w:t>
      </w:r>
      <w:r w:rsidR="00C06E73" w:rsidRPr="00B81350">
        <w:t>s</w:t>
      </w:r>
      <w:r w:rsidR="00826C0C" w:rsidRPr="00B81350">
        <w:t xml:space="preserve">pring </w:t>
      </w:r>
      <w:r w:rsidR="00633DE8" w:rsidRPr="00B81350">
        <w:rPr>
          <w:noProof/>
        </w:rPr>
        <w:t>(Clarke et al. 2016)</w:t>
      </w:r>
      <w:r w:rsidR="00C53662" w:rsidRPr="00B81350">
        <w:t>. I</w:t>
      </w:r>
      <w:r w:rsidR="00844A85" w:rsidRPr="00B81350">
        <w:t xml:space="preserve">n north-eastern NSW, </w:t>
      </w:r>
      <w:r w:rsidR="00B03F78" w:rsidRPr="00B81350">
        <w:t xml:space="preserve">the </w:t>
      </w:r>
      <w:r w:rsidR="00C53662" w:rsidRPr="00B81350">
        <w:t xml:space="preserve">frequency of </w:t>
      </w:r>
      <w:r w:rsidR="00A35C2C" w:rsidRPr="00B81350">
        <w:t>extreme</w:t>
      </w:r>
      <w:r w:rsidR="00F56353" w:rsidRPr="00B81350">
        <w:t xml:space="preserve"> fire weather days </w:t>
      </w:r>
      <w:r w:rsidR="00C53662" w:rsidRPr="00B81350">
        <w:t>is</w:t>
      </w:r>
      <w:r w:rsidR="00F56353" w:rsidRPr="00B81350">
        <w:t xml:space="preserve"> </w:t>
      </w:r>
      <w:r w:rsidR="00C06E73" w:rsidRPr="00B81350">
        <w:t xml:space="preserve">also </w:t>
      </w:r>
      <w:r w:rsidR="00F56353" w:rsidRPr="00B81350">
        <w:t xml:space="preserve">projected to continue to increase </w:t>
      </w:r>
      <w:r w:rsidR="00A35C2C" w:rsidRPr="00B81350">
        <w:t>during</w:t>
      </w:r>
      <w:r w:rsidR="00F56353" w:rsidRPr="00B81350">
        <w:t xml:space="preserve"> spring and summer </w:t>
      </w:r>
      <w:r w:rsidR="00292E5F" w:rsidRPr="00B81350">
        <w:t xml:space="preserve">(based on simulations from 12 climate models) </w:t>
      </w:r>
      <w:r w:rsidR="00A96A93" w:rsidRPr="00B81350">
        <w:rPr>
          <w:noProof/>
        </w:rPr>
        <w:t>(OEH 2014)</w:t>
      </w:r>
      <w:r w:rsidR="00A96A93" w:rsidRPr="00B81350">
        <w:t>.</w:t>
      </w:r>
      <w:r w:rsidR="00AC5D27" w:rsidRPr="00B81350">
        <w:t xml:space="preserve"> </w:t>
      </w:r>
      <w:r w:rsidR="00296A3F" w:rsidRPr="00B81350">
        <w:t xml:space="preserve">As the Banyabba </w:t>
      </w:r>
      <w:r w:rsidR="004F7964" w:rsidRPr="00B81350">
        <w:t>g</w:t>
      </w:r>
      <w:r w:rsidR="00296A3F" w:rsidRPr="00B81350">
        <w:t xml:space="preserve">revillea flowers during </w:t>
      </w:r>
      <w:r w:rsidR="00FE174B" w:rsidRPr="00B81350">
        <w:t>s</w:t>
      </w:r>
      <w:r w:rsidR="00296A3F" w:rsidRPr="00B81350">
        <w:t xml:space="preserve">pring (August–October) </w:t>
      </w:r>
      <w:r w:rsidR="00296A3F" w:rsidRPr="00B81350">
        <w:rPr>
          <w:noProof/>
        </w:rPr>
        <w:t>(Makinson 2000)</w:t>
      </w:r>
      <w:r w:rsidR="00B42EA2" w:rsidRPr="00B81350">
        <w:t xml:space="preserve">, </w:t>
      </w:r>
      <w:r w:rsidR="004A6FC3" w:rsidRPr="00B81350">
        <w:t>an earlier</w:t>
      </w:r>
      <w:r w:rsidR="00AC5D27" w:rsidRPr="00B81350">
        <w:t xml:space="preserve">, </w:t>
      </w:r>
      <w:r w:rsidR="00533554" w:rsidRPr="00B81350">
        <w:t>more severe</w:t>
      </w:r>
      <w:r w:rsidR="004A6FC3" w:rsidRPr="00B81350">
        <w:t xml:space="preserve"> fire season</w:t>
      </w:r>
      <w:r w:rsidR="00B42EA2" w:rsidRPr="00B81350">
        <w:t xml:space="preserve"> could </w:t>
      </w:r>
      <w:r w:rsidR="004A6FC3" w:rsidRPr="00B81350">
        <w:t>impact</w:t>
      </w:r>
      <w:r w:rsidR="006A7A17" w:rsidRPr="00B81350">
        <w:t xml:space="preserve"> the species’</w:t>
      </w:r>
      <w:r w:rsidR="004A6FC3" w:rsidRPr="00B81350">
        <w:t xml:space="preserve"> </w:t>
      </w:r>
      <w:r w:rsidR="00295ADD" w:rsidRPr="00B81350">
        <w:t>flowering and recruitment</w:t>
      </w:r>
      <w:r w:rsidR="00B36ED7" w:rsidRPr="00B81350">
        <w:t xml:space="preserve"> </w:t>
      </w:r>
      <w:r w:rsidR="00FE5A1D" w:rsidRPr="00B81350">
        <w:rPr>
          <w:noProof/>
        </w:rPr>
        <w:t>(Whelan 1995)</w:t>
      </w:r>
      <w:r w:rsidR="006A7A17" w:rsidRPr="00B81350">
        <w:t xml:space="preserve">. </w:t>
      </w:r>
      <w:r w:rsidRPr="00B81350">
        <w:t>Additionally, interactions between fire and seed predators may also elevate risks of decline, especially under small or patchy fires (Regan et al. 2003).</w:t>
      </w:r>
    </w:p>
    <w:p w14:paraId="15363069" w14:textId="6B0BD7E8" w:rsidR="000F08C1" w:rsidRDefault="006E37E1" w:rsidP="002E1DB4">
      <w:r>
        <w:t xml:space="preserve">Although the evidence presented earlier suggests the Banyabba </w:t>
      </w:r>
      <w:r w:rsidR="004F7964">
        <w:t>g</w:t>
      </w:r>
      <w:r>
        <w:t xml:space="preserve">revillea is likely to recover from the 2019-20 bushfire event, </w:t>
      </w:r>
      <w:r w:rsidR="009852BC">
        <w:t xml:space="preserve">changes to fire weather conditions </w:t>
      </w:r>
      <w:r w:rsidR="00B81350">
        <w:t>are likely to</w:t>
      </w:r>
      <w:r w:rsidR="00B81350" w:rsidRPr="00607B03">
        <w:t xml:space="preserve"> </w:t>
      </w:r>
      <w:r w:rsidRPr="005C63C6">
        <w:t>result in</w:t>
      </w:r>
      <w:r>
        <w:t xml:space="preserve"> </w:t>
      </w:r>
      <w:r w:rsidR="00B81350">
        <w:t xml:space="preserve">a net loss of mature individuals and </w:t>
      </w:r>
      <w:r>
        <w:t xml:space="preserve">an ongoing and non-reversible decline in population size of </w:t>
      </w:r>
      <w:r w:rsidRPr="00B81350">
        <w:t>the species in the coming decades</w:t>
      </w:r>
      <w:bookmarkStart w:id="29" w:name="_Hlk82460709"/>
      <w:r w:rsidRPr="00B81350">
        <w:t xml:space="preserve">. </w:t>
      </w:r>
      <w:r w:rsidR="00DA34FC" w:rsidRPr="00B81350">
        <w:t>However</w:t>
      </w:r>
      <w:r w:rsidR="00AE596E" w:rsidRPr="00B81350">
        <w:t xml:space="preserve">, </w:t>
      </w:r>
      <w:r w:rsidR="00AC5D27" w:rsidRPr="00B81350">
        <w:t>there</w:t>
      </w:r>
      <w:r w:rsidR="00D56EC6" w:rsidRPr="00B81350">
        <w:t xml:space="preserve"> </w:t>
      </w:r>
      <w:r w:rsidR="003B32ED" w:rsidRPr="00B81350">
        <w:t>is insufficient</w:t>
      </w:r>
      <w:r w:rsidR="001A0757" w:rsidRPr="00B81350">
        <w:t xml:space="preserve"> evidence (e.g.</w:t>
      </w:r>
      <w:r w:rsidR="004F7964" w:rsidRPr="00B81350">
        <w:t>,</w:t>
      </w:r>
      <w:r w:rsidR="001A0757" w:rsidRPr="00B81350">
        <w:t xml:space="preserve"> </w:t>
      </w:r>
      <w:r w:rsidR="003B32ED" w:rsidRPr="00B81350">
        <w:t>modelling</w:t>
      </w:r>
      <w:r w:rsidR="001A0757" w:rsidRPr="00B81350">
        <w:t>)</w:t>
      </w:r>
      <w:r w:rsidR="003B32ED" w:rsidRPr="00B81350">
        <w:t xml:space="preserve"> </w:t>
      </w:r>
      <w:r w:rsidR="00AE596E" w:rsidRPr="00B81350">
        <w:t xml:space="preserve">at the time of this assessment </w:t>
      </w:r>
      <w:r w:rsidR="003B32ED" w:rsidRPr="00B81350">
        <w:t xml:space="preserve">to </w:t>
      </w:r>
      <w:r w:rsidR="00EE7CFF" w:rsidRPr="00B81350">
        <w:t>provide a</w:t>
      </w:r>
      <w:r w:rsidR="00B81350" w:rsidRPr="00B81350">
        <w:t xml:space="preserve"> quantitative</w:t>
      </w:r>
      <w:r w:rsidR="00EE7CFF" w:rsidRPr="00B81350">
        <w:t xml:space="preserve"> estimate of projected</w:t>
      </w:r>
      <w:r w:rsidR="00CA1BC8" w:rsidRPr="00B81350">
        <w:t xml:space="preserve"> </w:t>
      </w:r>
      <w:r w:rsidR="00755B4B" w:rsidRPr="00B81350">
        <w:t xml:space="preserve">decline in the Banyabba </w:t>
      </w:r>
      <w:r w:rsidR="004F7964" w:rsidRPr="00B81350">
        <w:t>g</w:t>
      </w:r>
      <w:r w:rsidR="00755B4B" w:rsidRPr="00B81350">
        <w:t>revillea</w:t>
      </w:r>
      <w:r w:rsidR="00C57FC8" w:rsidRPr="00B81350">
        <w:t xml:space="preserve"> under future </w:t>
      </w:r>
      <w:r w:rsidR="00755B4B" w:rsidRPr="00B81350">
        <w:t>fire regimes.</w:t>
      </w:r>
      <w:r w:rsidR="000F08C1" w:rsidRPr="00B81350">
        <w:t xml:space="preserve"> </w:t>
      </w:r>
      <w:bookmarkEnd w:id="29"/>
      <w:r w:rsidR="000F08C1" w:rsidRPr="00B81350">
        <w:t>As such, there appears to be is insufficient evidence to consider the species under A3 (future reduction).</w:t>
      </w:r>
    </w:p>
    <w:p w14:paraId="429A15DC" w14:textId="7BEDE6F3" w:rsidR="003D7CEF" w:rsidRDefault="003D7CEF" w:rsidP="003D7CEF">
      <w:pPr>
        <w:keepNext/>
        <w:keepLines/>
        <w:rPr>
          <w:i/>
          <w:iCs/>
        </w:rPr>
      </w:pPr>
      <w:r>
        <w:rPr>
          <w:i/>
          <w:iCs/>
        </w:rPr>
        <w:t>Population reduction projected under climate change scenarios (increased temperatures, decreased rainfall</w:t>
      </w:r>
      <w:r w:rsidR="000F08C1">
        <w:rPr>
          <w:i/>
          <w:iCs/>
        </w:rPr>
        <w:t xml:space="preserve"> and more time in </w:t>
      </w:r>
      <w:r>
        <w:rPr>
          <w:i/>
          <w:iCs/>
        </w:rPr>
        <w:t>drought)</w:t>
      </w:r>
    </w:p>
    <w:p w14:paraId="431BA305" w14:textId="70E8E3FF" w:rsidR="000F08C1" w:rsidRDefault="003D7CEF" w:rsidP="000F08C1">
      <w:bookmarkStart w:id="30" w:name="_Hlk82460598"/>
      <w:r>
        <w:t xml:space="preserve">In Australia, average temperatures have increased by approximately 1.5°C since 1910, leading to increased frequency of extreme heat events </w:t>
      </w:r>
      <w:r>
        <w:rPr>
          <w:noProof/>
        </w:rPr>
        <w:t>(Bureau of Meteorology &amp; CSIRO 2020)</w:t>
      </w:r>
      <w:r>
        <w:t xml:space="preserve">. </w:t>
      </w:r>
      <w:r w:rsidR="00B76072">
        <w:t>Additionally, i</w:t>
      </w:r>
      <w:r w:rsidR="00292E5F">
        <w:t xml:space="preserve">n south-eastern Australia, rainfall has declined by approximately 12 percent in </w:t>
      </w:r>
      <w:r>
        <w:t>the cool season (</w:t>
      </w:r>
      <w:r w:rsidR="00292E5F">
        <w:t>April</w:t>
      </w:r>
      <w:r w:rsidR="00292E5F" w:rsidRPr="007D41BD">
        <w:t>–</w:t>
      </w:r>
      <w:r w:rsidR="00292E5F">
        <w:t>October</w:t>
      </w:r>
      <w:r>
        <w:t>)</w:t>
      </w:r>
      <w:r w:rsidR="00292E5F">
        <w:t xml:space="preserve"> </w:t>
      </w:r>
      <w:r>
        <w:t>from the late 1990s</w:t>
      </w:r>
      <w:r w:rsidRPr="007D41BD">
        <w:t>–</w:t>
      </w:r>
      <w:r>
        <w:t xml:space="preserve">2020 </w:t>
      </w:r>
      <w:r>
        <w:rPr>
          <w:noProof/>
        </w:rPr>
        <w:t>(Bureau of Meteorology &amp; CSIRO 2020)</w:t>
      </w:r>
      <w:r>
        <w:t xml:space="preserve">. </w:t>
      </w:r>
      <w:r w:rsidR="00B76072" w:rsidRPr="0039665A">
        <w:t>In southern and eastern Australia</w:t>
      </w:r>
      <w:r w:rsidR="005A4C8D" w:rsidRPr="0039665A">
        <w:t xml:space="preserve">, </w:t>
      </w:r>
      <w:r w:rsidR="000F08C1" w:rsidRPr="0039665A">
        <w:t xml:space="preserve">cool season </w:t>
      </w:r>
      <w:r w:rsidR="005A4C8D" w:rsidRPr="0039665A">
        <w:t>rainfall is predicted to continue to decrease</w:t>
      </w:r>
      <w:r w:rsidR="000F08C1">
        <w:t xml:space="preserve">, </w:t>
      </w:r>
      <w:r w:rsidR="00B76072" w:rsidRPr="0039665A">
        <w:t>while</w:t>
      </w:r>
      <w:r w:rsidR="005A4C8D" w:rsidRPr="0039665A">
        <w:t xml:space="preserve"> temperatures are predicted to continue to increase,</w:t>
      </w:r>
      <w:r w:rsidR="0039665A" w:rsidRPr="0039665A">
        <w:t xml:space="preserve"> leading to</w:t>
      </w:r>
      <w:r w:rsidR="005A4C8D" w:rsidRPr="0039665A">
        <w:t xml:space="preserve"> </w:t>
      </w:r>
      <w:r w:rsidR="0039665A" w:rsidRPr="0039665A">
        <w:t xml:space="preserve">more time in drought (as well as more intense, short duration heavy rainfall events) </w:t>
      </w:r>
      <w:r w:rsidR="0098792D">
        <w:t xml:space="preserve">due to climate change </w:t>
      </w:r>
      <w:r w:rsidR="00B76072" w:rsidRPr="0039665A">
        <w:rPr>
          <w:noProof/>
        </w:rPr>
        <w:t>(CSIRO &amp; Bureau of Meteorology 2015; Bureau of Meteorology &amp; CSIRO 2020)</w:t>
      </w:r>
      <w:r w:rsidR="005A4C8D" w:rsidRPr="0039665A">
        <w:t>.</w:t>
      </w:r>
    </w:p>
    <w:p w14:paraId="023890B7" w14:textId="30B40107" w:rsidR="00292E5F" w:rsidRDefault="0039665A" w:rsidP="00CE3852">
      <w:pPr>
        <w:keepLines/>
      </w:pPr>
      <w:r w:rsidRPr="0039665A">
        <w:t xml:space="preserve">In </w:t>
      </w:r>
      <w:r w:rsidR="005A4C8D" w:rsidRPr="008961D8">
        <w:t xml:space="preserve">north-eastern NSW, </w:t>
      </w:r>
      <w:r w:rsidR="0098792D">
        <w:t xml:space="preserve">both </w:t>
      </w:r>
      <w:r w:rsidR="00292E5F">
        <w:t xml:space="preserve">maximum </w:t>
      </w:r>
      <w:r w:rsidR="0098792D">
        <w:t xml:space="preserve">and minimum </w:t>
      </w:r>
      <w:r w:rsidR="00292E5F">
        <w:t xml:space="preserve">temperatures are projected to increase </w:t>
      </w:r>
      <w:r w:rsidR="000F08C1">
        <w:t>(</w:t>
      </w:r>
      <w:r w:rsidR="0098792D">
        <w:t>maximum: +</w:t>
      </w:r>
      <w:r w:rsidR="00292E5F">
        <w:t xml:space="preserve">0.7°C by 2030 and </w:t>
      </w:r>
      <w:r w:rsidR="0098792D">
        <w:t>+</w:t>
      </w:r>
      <w:r w:rsidR="00292E5F">
        <w:t>1.9°C by 2070</w:t>
      </w:r>
      <w:r w:rsidR="0098792D">
        <w:t xml:space="preserve">; minimum: +0.7°C by 2030 and +2.0°C by 2070, </w:t>
      </w:r>
      <w:r w:rsidR="000F08C1">
        <w:t>based on simulations from 12 climate models</w:t>
      </w:r>
      <w:r w:rsidR="00292E5F">
        <w:t>)</w:t>
      </w:r>
      <w:r w:rsidR="0098792D">
        <w:t xml:space="preserve"> </w:t>
      </w:r>
      <w:r w:rsidR="00292E5F" w:rsidRPr="008961D8">
        <w:rPr>
          <w:noProof/>
        </w:rPr>
        <w:t>(OEH 2014)</w:t>
      </w:r>
      <w:r w:rsidR="00292E5F" w:rsidRPr="008961D8">
        <w:t>.</w:t>
      </w:r>
      <w:r w:rsidR="00292E5F">
        <w:t xml:space="preserve"> Additionally, there are predicted to be 5</w:t>
      </w:r>
      <w:r w:rsidR="00651B84" w:rsidRPr="007D41BD">
        <w:t>–</w:t>
      </w:r>
      <w:r w:rsidR="00292E5F">
        <w:t xml:space="preserve">10 additional hot days (above 35°C) each year by 2030, and up to 20 additional hot days each year by 2070 (based on simulations from 12 climate models) </w:t>
      </w:r>
      <w:r w:rsidR="00292E5F" w:rsidRPr="008961D8">
        <w:rPr>
          <w:noProof/>
        </w:rPr>
        <w:t>(OEH 2014)</w:t>
      </w:r>
      <w:r w:rsidR="00292E5F" w:rsidRPr="008961D8">
        <w:t>.</w:t>
      </w:r>
      <w:r w:rsidR="0098792D">
        <w:t xml:space="preserve"> </w:t>
      </w:r>
      <w:r w:rsidR="00651B84">
        <w:t>Meanwhile, rainfall</w:t>
      </w:r>
      <w:r w:rsidR="00292E5F">
        <w:t xml:space="preserve"> is projected to decrease in winter and increase in autumn and spring by 2030 (based on simulations from 12 climate models) </w:t>
      </w:r>
      <w:r w:rsidR="00292E5F" w:rsidRPr="008961D8">
        <w:rPr>
          <w:noProof/>
        </w:rPr>
        <w:t>(OEH 2014)</w:t>
      </w:r>
      <w:r w:rsidR="00292E5F" w:rsidRPr="008961D8">
        <w:t>.</w:t>
      </w:r>
    </w:p>
    <w:bookmarkEnd w:id="30"/>
    <w:p w14:paraId="1A9AD1AB" w14:textId="44BDF39F" w:rsidR="00D56EC6" w:rsidRDefault="00BE130B" w:rsidP="00CE3852">
      <w:pPr>
        <w:keepNext/>
        <w:keepLines/>
      </w:pPr>
      <w:r w:rsidRPr="0039665A">
        <w:lastRenderedPageBreak/>
        <w:t xml:space="preserve">Many plants in family Proteaceae, including </w:t>
      </w:r>
      <w:r w:rsidRPr="0039665A">
        <w:rPr>
          <w:i/>
          <w:iCs/>
        </w:rPr>
        <w:t>Grevillea</w:t>
      </w:r>
      <w:r w:rsidRPr="0039665A">
        <w:t xml:space="preserve"> spp., are expected to decline in range and population size, primarily </w:t>
      </w:r>
      <w:proofErr w:type="gramStart"/>
      <w:r w:rsidRPr="0039665A">
        <w:t>due to the effect</w:t>
      </w:r>
      <w:proofErr w:type="gramEnd"/>
      <w:r w:rsidRPr="0039665A">
        <w:t xml:space="preserve"> of declining rainfall on seed production and seedling survival </w:t>
      </w:r>
      <w:r w:rsidRPr="0039665A">
        <w:rPr>
          <w:noProof/>
        </w:rPr>
        <w:t>(Midgley et al. 2006; Fitzpatrick et al. 2008; Shimizu-Kimura et al. 2017)</w:t>
      </w:r>
      <w:r w:rsidRPr="0039665A">
        <w:t xml:space="preserve">. </w:t>
      </w:r>
      <w:bookmarkStart w:id="31" w:name="_Hlk82599817"/>
      <w:r w:rsidRPr="0039665A">
        <w:t>Given</w:t>
      </w:r>
      <w:r>
        <w:t xml:space="preserve"> that</w:t>
      </w:r>
      <w:r w:rsidRPr="00BE130B">
        <w:t xml:space="preserve"> </w:t>
      </w:r>
      <w:r w:rsidRPr="00B84B53">
        <w:t xml:space="preserve">dieback of leaves and branches </w:t>
      </w:r>
      <w:r w:rsidR="008837FC" w:rsidRPr="00B84B53">
        <w:t xml:space="preserve">on adult plants </w:t>
      </w:r>
      <w:r w:rsidR="00434547" w:rsidRPr="00B84B53">
        <w:t>has been observed following</w:t>
      </w:r>
      <w:r w:rsidRPr="00B84B53">
        <w:t xml:space="preserve"> drought conditions in 2017-19 (DPIE 2021. pers comm 24 June), </w:t>
      </w:r>
      <w:r w:rsidR="00434547" w:rsidRPr="00B84B53">
        <w:t>changes to rainfall patterns</w:t>
      </w:r>
      <w:r w:rsidR="008837FC" w:rsidRPr="00B84B53">
        <w:t xml:space="preserve"> and temperature, </w:t>
      </w:r>
      <w:r w:rsidR="00434547" w:rsidRPr="00B84B53">
        <w:t xml:space="preserve">and more </w:t>
      </w:r>
      <w:r w:rsidR="0039665A" w:rsidRPr="00B84B53">
        <w:t>time in</w:t>
      </w:r>
      <w:r w:rsidR="00434547" w:rsidRPr="00B84B53">
        <w:t xml:space="preserve"> drought </w:t>
      </w:r>
      <w:r w:rsidR="00CE3852" w:rsidRPr="00B84B53">
        <w:t xml:space="preserve">are likely to </w:t>
      </w:r>
      <w:r w:rsidR="00434547" w:rsidRPr="00B84B53">
        <w:t xml:space="preserve">result in </w:t>
      </w:r>
      <w:r w:rsidR="00CE3852" w:rsidRPr="00B84B53">
        <w:t xml:space="preserve">a net loss of mature individuals and </w:t>
      </w:r>
      <w:r w:rsidR="00434547" w:rsidRPr="00B84B53">
        <w:t>an ongoing and non-reversible decline in population size of the species in the coming decades.</w:t>
      </w:r>
      <w:r w:rsidR="00D93E89" w:rsidRPr="00B84B53">
        <w:t xml:space="preserve"> </w:t>
      </w:r>
      <w:bookmarkEnd w:id="31"/>
      <w:r w:rsidR="00D93E89" w:rsidRPr="00B84B53">
        <w:t>However, there is insufficient evidence (e.g., modelling) at the time of this assessment to provide a</w:t>
      </w:r>
      <w:r w:rsidR="00B84B53" w:rsidRPr="00B84B53">
        <w:t xml:space="preserve"> quantitative </w:t>
      </w:r>
      <w:r w:rsidR="00D93E89" w:rsidRPr="00B84B53">
        <w:t xml:space="preserve">estimate of projected decline in the Banyabba </w:t>
      </w:r>
      <w:r w:rsidR="004F7964" w:rsidRPr="00B84B53">
        <w:t>g</w:t>
      </w:r>
      <w:r w:rsidR="00D93E89" w:rsidRPr="00B84B53">
        <w:t xml:space="preserve">revillea under </w:t>
      </w:r>
      <w:r w:rsidR="00E6353A" w:rsidRPr="00B84B53">
        <w:t xml:space="preserve">these projected </w:t>
      </w:r>
      <w:r w:rsidR="0039665A" w:rsidRPr="00B84B53">
        <w:t>climate conditions.</w:t>
      </w:r>
      <w:r w:rsidR="00E6353A" w:rsidRPr="00B84B53">
        <w:t xml:space="preserve"> </w:t>
      </w:r>
      <w:r w:rsidR="00755B4B" w:rsidRPr="00B84B53">
        <w:t>As such</w:t>
      </w:r>
      <w:r w:rsidR="00755B4B">
        <w:t xml:space="preserve">, there </w:t>
      </w:r>
      <w:r w:rsidR="0047283D">
        <w:t xml:space="preserve">appears to be </w:t>
      </w:r>
      <w:r w:rsidR="00755B4B">
        <w:t xml:space="preserve">is insufficient evidence </w:t>
      </w:r>
      <w:r w:rsidR="004D4132">
        <w:t>to consider the species under A3 (future reduction).</w:t>
      </w:r>
    </w:p>
    <w:p w14:paraId="6C750846" w14:textId="77777777" w:rsidR="002F571F" w:rsidRPr="009722E4" w:rsidRDefault="002F571F" w:rsidP="002F571F">
      <w:pPr>
        <w:keepNext/>
        <w:rPr>
          <w:bCs/>
          <w:i/>
          <w:iCs/>
        </w:rPr>
      </w:pPr>
      <w:bookmarkStart w:id="32" w:name="_Hlk79425778"/>
      <w:r w:rsidRPr="009722E4">
        <w:rPr>
          <w:bCs/>
          <w:i/>
          <w:iCs/>
        </w:rPr>
        <w:t>Conclusion</w:t>
      </w:r>
    </w:p>
    <w:bookmarkEnd w:id="32"/>
    <w:p w14:paraId="21CFCE41" w14:textId="709513FC" w:rsidR="00A33253" w:rsidRDefault="002F571F" w:rsidP="002A4A83">
      <w:pPr>
        <w:keepLines/>
        <w:rPr>
          <w:rFonts w:ascii="Calibri" w:hAnsi="Calibri"/>
          <w:b/>
          <w:bCs/>
          <w:sz w:val="24"/>
          <w:szCs w:val="18"/>
          <w:lang w:eastAsia="ja-JP"/>
        </w:rPr>
      </w:pPr>
      <w:r w:rsidRPr="009722E4">
        <w:rPr>
          <w:bCs/>
        </w:rPr>
        <w:t>There are</w:t>
      </w:r>
      <w:r w:rsidR="00CD451B">
        <w:rPr>
          <w:bCs/>
        </w:rPr>
        <w:t xml:space="preserve"> currently</w:t>
      </w:r>
      <w:r w:rsidRPr="009722E4">
        <w:rPr>
          <w:bCs/>
        </w:rPr>
        <w:t xml:space="preserve"> insufficient data to demonstrate if the species is eligible for listing under this criterion. However, the purpose of this consultation document is to elicit additional information to better understand the species’ status. This conclusion should therefore </w:t>
      </w:r>
      <w:proofErr w:type="gramStart"/>
      <w:r w:rsidRPr="009722E4">
        <w:rPr>
          <w:bCs/>
        </w:rPr>
        <w:t>be considered to be</w:t>
      </w:r>
      <w:proofErr w:type="gramEnd"/>
      <w:r w:rsidRPr="009722E4">
        <w:rPr>
          <w:bCs/>
        </w:rPr>
        <w:t xml:space="preserve"> tentative at this stage, as it may be changed as a result of responses to this consultation process.</w:t>
      </w:r>
      <w:r w:rsidR="00A33253">
        <w:rPr>
          <w:lang w:eastAsia="ja-JP"/>
        </w:rPr>
        <w:br w:type="page"/>
      </w:r>
    </w:p>
    <w:p w14:paraId="43212F7B" w14:textId="47E7C726" w:rsidR="00B6264B" w:rsidRDefault="00B6264B" w:rsidP="00B6264B">
      <w:pPr>
        <w:pStyle w:val="Caption"/>
        <w:rPr>
          <w:lang w:eastAsia="ja-JP"/>
        </w:rPr>
      </w:pPr>
      <w:r>
        <w:rPr>
          <w:lang w:eastAsia="ja-JP"/>
        </w:rPr>
        <w:lastRenderedPageBreak/>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0B54C6D" w14:textId="77777777" w:rsidTr="00B6264B">
        <w:trPr>
          <w:trHeight w:val="350"/>
        </w:trPr>
        <w:tc>
          <w:tcPr>
            <w:tcW w:w="10738" w:type="dxa"/>
            <w:gridSpan w:val="4"/>
            <w:tcBorders>
              <w:bottom w:val="nil"/>
            </w:tcBorders>
            <w:shd w:val="clear" w:color="auto" w:fill="595959" w:themeFill="text1" w:themeFillTint="A6"/>
            <w:vAlign w:val="center"/>
          </w:tcPr>
          <w:p w14:paraId="6B2760B1"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3D3D5ED5" w14:textId="77777777" w:rsidTr="00B6264B">
        <w:tc>
          <w:tcPr>
            <w:tcW w:w="4111" w:type="dxa"/>
            <w:tcBorders>
              <w:top w:val="nil"/>
              <w:bottom w:val="nil"/>
              <w:right w:val="nil"/>
            </w:tcBorders>
          </w:tcPr>
          <w:p w14:paraId="2641E19E"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48793314" w14:textId="77777777" w:rsidR="00B6264B" w:rsidRPr="00795F43" w:rsidRDefault="00B6264B" w:rsidP="000E630E">
            <w:pPr>
              <w:pStyle w:val="TableText"/>
              <w:keepNext/>
              <w:rPr>
                <w:rStyle w:val="Strong"/>
              </w:rPr>
            </w:pPr>
            <w:r w:rsidRPr="00795F43">
              <w:rPr>
                <w:rStyle w:val="Strong"/>
              </w:rPr>
              <w:t>Critically Endangered</w:t>
            </w:r>
          </w:p>
          <w:p w14:paraId="6CA96772"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9F270CF" w14:textId="77777777" w:rsidR="00B6264B" w:rsidRPr="00556843" w:rsidRDefault="00B6264B" w:rsidP="000E630E">
            <w:pPr>
              <w:pStyle w:val="TableText"/>
              <w:keepNext/>
              <w:rPr>
                <w:b/>
              </w:rPr>
            </w:pPr>
            <w:r w:rsidRPr="00556843">
              <w:rPr>
                <w:b/>
              </w:rPr>
              <w:t>Endangered</w:t>
            </w:r>
          </w:p>
          <w:p w14:paraId="24DE7A5C"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0608E801" w14:textId="77777777" w:rsidR="00B6264B" w:rsidRPr="00556843" w:rsidRDefault="00B6264B" w:rsidP="000E630E">
            <w:pPr>
              <w:pStyle w:val="TableText"/>
              <w:keepNext/>
              <w:rPr>
                <w:b/>
              </w:rPr>
            </w:pPr>
            <w:r w:rsidRPr="00556843">
              <w:rPr>
                <w:b/>
              </w:rPr>
              <w:t>Vulnerable</w:t>
            </w:r>
          </w:p>
          <w:p w14:paraId="1EB913E8" w14:textId="77777777" w:rsidR="00B6264B" w:rsidRPr="00556843" w:rsidRDefault="00B6264B" w:rsidP="000E630E">
            <w:pPr>
              <w:pStyle w:val="TableText"/>
              <w:keepNext/>
              <w:rPr>
                <w:b/>
              </w:rPr>
            </w:pPr>
            <w:r w:rsidRPr="00556843">
              <w:rPr>
                <w:b/>
              </w:rPr>
              <w:t>Limited</w:t>
            </w:r>
          </w:p>
        </w:tc>
      </w:tr>
      <w:tr w:rsidR="00B6264B" w:rsidRPr="00556843" w14:paraId="6F923D4B"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766BEA04"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24FD9716"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F99F5BE" w14:textId="20C1874B"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40755031"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6A440142"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584649C0"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1B882CFC"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232780B"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534162F" w14:textId="3B701114"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37A3FE52" w14:textId="77777777" w:rsidTr="00B6264B">
        <w:tc>
          <w:tcPr>
            <w:tcW w:w="10738" w:type="dxa"/>
            <w:gridSpan w:val="4"/>
            <w:tcBorders>
              <w:top w:val="nil"/>
              <w:bottom w:val="nil"/>
            </w:tcBorders>
          </w:tcPr>
          <w:p w14:paraId="4DF1284D"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33577254"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29605C4B"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0C16E2D"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7ACB8BF"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48384FBA" w14:textId="77777777" w:rsidR="00B6264B" w:rsidRPr="00556843" w:rsidRDefault="00B6264B" w:rsidP="000E630E">
            <w:pPr>
              <w:pStyle w:val="TableText"/>
              <w:keepNext/>
              <w:rPr>
                <w:b/>
              </w:rPr>
            </w:pPr>
            <w:r w:rsidRPr="00556843">
              <w:rPr>
                <w:b/>
              </w:rPr>
              <w:t>≤ 10</w:t>
            </w:r>
          </w:p>
        </w:tc>
      </w:tr>
      <w:tr w:rsidR="00B6264B" w:rsidRPr="00556843" w14:paraId="2793DDAE"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3CC9DF9A"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w:t>
            </w:r>
            <w:proofErr w:type="spellStart"/>
            <w:r w:rsidRPr="00556843">
              <w:t>i</w:t>
            </w:r>
            <w:proofErr w:type="spellEnd"/>
            <w:r w:rsidRPr="00556843">
              <w:t>) extent of occurrence; (ii) area of occupancy; (iii) area, extent and/or quality of habitat; (iv) number of locations or subpopulations; (v) number of mature individuals</w:t>
            </w:r>
          </w:p>
        </w:tc>
      </w:tr>
      <w:tr w:rsidR="00B6264B" w:rsidRPr="00556843" w14:paraId="5C948592" w14:textId="77777777" w:rsidTr="00B6264B">
        <w:tc>
          <w:tcPr>
            <w:tcW w:w="10738" w:type="dxa"/>
            <w:gridSpan w:val="4"/>
            <w:tcBorders>
              <w:top w:val="single" w:sz="4" w:space="0" w:color="FFFFFF" w:themeColor="background1"/>
            </w:tcBorders>
            <w:shd w:val="clear" w:color="auto" w:fill="BFBFBF" w:themeFill="background1" w:themeFillShade="BF"/>
          </w:tcPr>
          <w:p w14:paraId="6EAC21AB" w14:textId="77777777" w:rsidR="00B6264B" w:rsidRPr="00556843" w:rsidRDefault="00B6264B" w:rsidP="000D55BC">
            <w:pPr>
              <w:pStyle w:val="TableText"/>
              <w:ind w:left="492" w:hanging="492"/>
            </w:pPr>
            <w:r w:rsidRPr="00556843">
              <w:t>(c)</w:t>
            </w:r>
            <w:r w:rsidRPr="00556843">
              <w:tab/>
              <w:t>Extreme fluctuations in any of: (</w:t>
            </w:r>
            <w:proofErr w:type="spellStart"/>
            <w:r w:rsidRPr="00556843">
              <w:t>i</w:t>
            </w:r>
            <w:proofErr w:type="spellEnd"/>
            <w:r w:rsidRPr="00556843">
              <w:t>) extent of occurrence; (ii) area of occupancy; (iii) number of locations or subpopulations; (iv) number of mature individuals</w:t>
            </w:r>
          </w:p>
        </w:tc>
      </w:tr>
    </w:tbl>
    <w:p w14:paraId="48D513F8"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25D521B1" w14:textId="0B536B89" w:rsidR="007D61ED" w:rsidRDefault="007D61ED" w:rsidP="007D61ED">
      <w:pPr>
        <w:rPr>
          <w:b/>
          <w:bCs/>
          <w:lang w:eastAsia="ja-JP"/>
        </w:rPr>
      </w:pPr>
      <w:r w:rsidRPr="006157FE">
        <w:rPr>
          <w:rStyle w:val="Strong"/>
        </w:rPr>
        <w:t>Eligible</w:t>
      </w:r>
      <w:r w:rsidRPr="00AE31DA">
        <w:rPr>
          <w:rStyle w:val="Strong"/>
        </w:rPr>
        <w:t xml:space="preserve"> under Criterion 2</w:t>
      </w:r>
      <w:r w:rsidRPr="00B6264B">
        <w:rPr>
          <w:bCs/>
          <w:lang w:eastAsia="ja-JP"/>
        </w:rPr>
        <w:t xml:space="preserve"> </w:t>
      </w:r>
      <w:r w:rsidRPr="007D61ED">
        <w:rPr>
          <w:b/>
          <w:lang w:eastAsia="ja-JP"/>
        </w:rPr>
        <w:t>B1ab(</w:t>
      </w:r>
      <w:proofErr w:type="spellStart"/>
      <w:proofErr w:type="gramStart"/>
      <w:r w:rsidRPr="007D61ED">
        <w:rPr>
          <w:b/>
          <w:lang w:eastAsia="ja-JP"/>
        </w:rPr>
        <w:t>iii,v</w:t>
      </w:r>
      <w:proofErr w:type="spellEnd"/>
      <w:proofErr w:type="gramEnd"/>
      <w:r w:rsidRPr="007D61ED">
        <w:rPr>
          <w:b/>
          <w:lang w:eastAsia="ja-JP"/>
        </w:rPr>
        <w:t>)+2ab(</w:t>
      </w:r>
      <w:proofErr w:type="spellStart"/>
      <w:r w:rsidRPr="007D61ED">
        <w:rPr>
          <w:b/>
          <w:lang w:eastAsia="ja-JP"/>
        </w:rPr>
        <w:t>iii,v</w:t>
      </w:r>
      <w:proofErr w:type="spellEnd"/>
      <w:r w:rsidRPr="007D61ED">
        <w:rPr>
          <w:b/>
          <w:lang w:eastAsia="ja-JP"/>
        </w:rPr>
        <w:t xml:space="preserve">) </w:t>
      </w:r>
      <w:r w:rsidRPr="007D61ED">
        <w:rPr>
          <w:rStyle w:val="Strong"/>
        </w:rPr>
        <w:t>for listing as</w:t>
      </w:r>
      <w:r w:rsidRPr="007D61ED">
        <w:rPr>
          <w:b/>
          <w:bCs/>
          <w:lang w:eastAsia="ja-JP"/>
        </w:rPr>
        <w:t xml:space="preserve"> </w:t>
      </w:r>
      <w:sdt>
        <w:sdtPr>
          <w:rPr>
            <w:b/>
            <w:bCs/>
          </w:rPr>
          <w:id w:val="1779288282"/>
          <w:placeholder>
            <w:docPart w:val="02C9E2E286814D8485852EC737792DF9"/>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Conservation Dependant" w:value="Conservation Dependant"/>
            <w:listItem w:displayText="Extinct" w:value="Extinct"/>
            <w:listItem w:displayText="Extinct in the Wild" w:value="Extinct in the Wild"/>
          </w:dropDownList>
        </w:sdtPr>
        <w:sdtEndPr/>
        <w:sdtContent>
          <w:r w:rsidRPr="007D61ED">
            <w:rPr>
              <w:b/>
              <w:bCs/>
            </w:rPr>
            <w:t>Endangered</w:t>
          </w:r>
        </w:sdtContent>
      </w:sdt>
      <w:r w:rsidRPr="00B6264B">
        <w:rPr>
          <w:b/>
          <w:bCs/>
          <w:lang w:eastAsia="ja-JP"/>
        </w:rPr>
        <w:t xml:space="preserve"> </w:t>
      </w:r>
    </w:p>
    <w:p w14:paraId="7F527735" w14:textId="76D0F1A7" w:rsidR="0014559E" w:rsidRPr="0014559E" w:rsidRDefault="0014559E" w:rsidP="00B6264B">
      <w:pPr>
        <w:rPr>
          <w:i/>
          <w:iCs/>
          <w:lang w:eastAsia="ja-JP"/>
        </w:rPr>
      </w:pPr>
      <w:r w:rsidRPr="0014559E">
        <w:rPr>
          <w:i/>
          <w:iCs/>
          <w:lang w:eastAsia="ja-JP"/>
        </w:rPr>
        <w:t>E</w:t>
      </w:r>
      <w:r w:rsidR="00476E26">
        <w:rPr>
          <w:i/>
          <w:iCs/>
          <w:lang w:eastAsia="ja-JP"/>
        </w:rPr>
        <w:t>xtent of occurrence and area of occupancy</w:t>
      </w:r>
    </w:p>
    <w:p w14:paraId="32AF82CF" w14:textId="3F89C860" w:rsidR="00170330" w:rsidRDefault="00170330" w:rsidP="00170330">
      <w:r w:rsidRPr="002C0C77">
        <w:rPr>
          <w:bCs/>
          <w:lang w:eastAsia="ja-JP"/>
        </w:rPr>
        <w:t xml:space="preserve">The </w:t>
      </w:r>
      <w:r w:rsidR="00476E26" w:rsidRPr="002C0C77">
        <w:rPr>
          <w:bCs/>
          <w:lang w:eastAsia="ja-JP"/>
        </w:rPr>
        <w:t>e</w:t>
      </w:r>
      <w:r w:rsidR="00476E26" w:rsidRPr="002C0C77">
        <w:rPr>
          <w:lang w:eastAsia="ja-JP"/>
        </w:rPr>
        <w:t>xtent of occurrence (</w:t>
      </w:r>
      <w:r w:rsidRPr="002C0C77">
        <w:rPr>
          <w:bCs/>
          <w:lang w:eastAsia="ja-JP"/>
        </w:rPr>
        <w:t>EOO</w:t>
      </w:r>
      <w:r w:rsidR="00476E26" w:rsidRPr="002C0C77">
        <w:rPr>
          <w:bCs/>
          <w:lang w:eastAsia="ja-JP"/>
        </w:rPr>
        <w:t>)</w:t>
      </w:r>
      <w:r w:rsidRPr="002C0C77">
        <w:rPr>
          <w:bCs/>
          <w:lang w:eastAsia="ja-JP"/>
        </w:rPr>
        <w:t xml:space="preserve"> is estimated at </w:t>
      </w:r>
      <w:r w:rsidR="00BA671F" w:rsidRPr="002C0C77">
        <w:rPr>
          <w:bCs/>
          <w:lang w:eastAsia="ja-JP"/>
        </w:rPr>
        <w:t>1</w:t>
      </w:r>
      <w:r w:rsidR="002C0C77" w:rsidRPr="002C0C77">
        <w:rPr>
          <w:bCs/>
          <w:lang w:eastAsia="ja-JP"/>
        </w:rPr>
        <w:t>70</w:t>
      </w:r>
      <w:r w:rsidRPr="002C0C77">
        <w:rPr>
          <w:bCs/>
          <w:lang w:eastAsia="ja-JP"/>
        </w:rPr>
        <w:t xml:space="preserve"> km</w:t>
      </w:r>
      <w:r w:rsidRPr="002C0C77">
        <w:rPr>
          <w:bCs/>
          <w:vertAlign w:val="superscript"/>
          <w:lang w:eastAsia="ja-JP"/>
        </w:rPr>
        <w:t>2</w:t>
      </w:r>
      <w:r w:rsidRPr="002C0C77">
        <w:rPr>
          <w:bCs/>
          <w:lang w:eastAsia="ja-JP"/>
        </w:rPr>
        <w:t xml:space="preserve"> and the </w:t>
      </w:r>
      <w:r w:rsidR="00476E26" w:rsidRPr="002C0C77">
        <w:rPr>
          <w:lang w:eastAsia="ja-JP"/>
        </w:rPr>
        <w:t>area of occupancy</w:t>
      </w:r>
      <w:r w:rsidR="00476E26" w:rsidRPr="002C0C77">
        <w:rPr>
          <w:bCs/>
          <w:lang w:eastAsia="ja-JP"/>
        </w:rPr>
        <w:t xml:space="preserve"> (</w:t>
      </w:r>
      <w:r w:rsidRPr="002C0C77">
        <w:rPr>
          <w:bCs/>
          <w:lang w:eastAsia="ja-JP"/>
        </w:rPr>
        <w:t>AOO</w:t>
      </w:r>
      <w:r w:rsidR="00476E26" w:rsidRPr="002C0C77">
        <w:rPr>
          <w:bCs/>
          <w:lang w:eastAsia="ja-JP"/>
        </w:rPr>
        <w:t>)</w:t>
      </w:r>
      <w:r w:rsidRPr="002C0C77">
        <w:rPr>
          <w:bCs/>
          <w:lang w:eastAsia="ja-JP"/>
        </w:rPr>
        <w:t xml:space="preserve"> is estimated at </w:t>
      </w:r>
      <w:r w:rsidR="002C0C77" w:rsidRPr="002C0C77">
        <w:rPr>
          <w:bCs/>
          <w:lang w:eastAsia="ja-JP"/>
        </w:rPr>
        <w:t>68</w:t>
      </w:r>
      <w:r w:rsidRPr="002C0C77">
        <w:rPr>
          <w:bCs/>
          <w:lang w:eastAsia="ja-JP"/>
        </w:rPr>
        <w:t xml:space="preserve"> km</w:t>
      </w:r>
      <w:r w:rsidRPr="002C0C77">
        <w:rPr>
          <w:bCs/>
          <w:vertAlign w:val="superscript"/>
          <w:lang w:eastAsia="ja-JP"/>
        </w:rPr>
        <w:t>2</w:t>
      </w:r>
      <w:r w:rsidRPr="002C0C77">
        <w:rPr>
          <w:bCs/>
          <w:lang w:eastAsia="ja-JP"/>
        </w:rPr>
        <w:t xml:space="preserve">. These figures are based on the mapping of point records from </w:t>
      </w:r>
      <w:r w:rsidR="002C0C77" w:rsidRPr="002C0C77">
        <w:rPr>
          <w:bCs/>
          <w:lang w:eastAsia="ja-JP"/>
        </w:rPr>
        <w:t xml:space="preserve">1996 </w:t>
      </w:r>
      <w:r w:rsidRPr="002C0C77">
        <w:rPr>
          <w:bCs/>
          <w:lang w:eastAsia="ja-JP"/>
        </w:rPr>
        <w:t xml:space="preserve">to </w:t>
      </w:r>
      <w:r w:rsidR="002C0C77" w:rsidRPr="002C0C77">
        <w:rPr>
          <w:bCs/>
          <w:lang w:eastAsia="ja-JP"/>
        </w:rPr>
        <w:t>2019</w:t>
      </w:r>
      <w:r w:rsidRPr="002C0C77">
        <w:rPr>
          <w:bCs/>
          <w:lang w:eastAsia="ja-JP"/>
        </w:rPr>
        <w:t xml:space="preserve">, obtained from state governments, </w:t>
      </w:r>
      <w:proofErr w:type="gramStart"/>
      <w:r w:rsidRPr="002C0C77">
        <w:rPr>
          <w:bCs/>
          <w:lang w:eastAsia="ja-JP"/>
        </w:rPr>
        <w:t>museums</w:t>
      </w:r>
      <w:proofErr w:type="gramEnd"/>
      <w:r w:rsidRPr="002C0C77">
        <w:rPr>
          <w:bCs/>
          <w:lang w:eastAsia="ja-JP"/>
        </w:rPr>
        <w:t xml:space="preserve"> and CSIRO. The EOO was calculated using a minimum convex hull, and the AOO calculated using a 2 x 2 km grid cell method</w:t>
      </w:r>
      <w:r w:rsidRPr="002C0C77">
        <w:rPr>
          <w:lang w:eastAsia="ja-JP"/>
        </w:rPr>
        <w:t xml:space="preserve">, </w:t>
      </w:r>
      <w:r w:rsidRPr="002C0C77">
        <w:t xml:space="preserve">as outlined in the Guidelines for Using the IUCN Red List Categories and Criteria </w:t>
      </w:r>
      <w:r w:rsidRPr="002C0C77">
        <w:rPr>
          <w:noProof/>
        </w:rPr>
        <w:t>(IUCN 2019)</w:t>
      </w:r>
      <w:r w:rsidRPr="002C0C77">
        <w:t>.</w:t>
      </w:r>
    </w:p>
    <w:p w14:paraId="3C360056" w14:textId="77777777" w:rsidR="002C2E95" w:rsidRDefault="00625EBB" w:rsidP="002C2E95">
      <w:r>
        <w:t>T</w:t>
      </w:r>
      <w:r w:rsidRPr="009A6E8A">
        <w:t>he species’ EOO and AOO</w:t>
      </w:r>
      <w:r w:rsidR="00E054F2">
        <w:t xml:space="preserve"> appear</w:t>
      </w:r>
      <w:r w:rsidRPr="009A6E8A">
        <w:t xml:space="preserve"> </w:t>
      </w:r>
      <w:r w:rsidR="00E054F2">
        <w:t xml:space="preserve">to </w:t>
      </w:r>
      <w:r w:rsidRPr="009A6E8A">
        <w:t>meet the requirements for listing as Endangered under B1 (&lt;</w:t>
      </w:r>
      <w:r>
        <w:t>50</w:t>
      </w:r>
      <w:r w:rsidRPr="009A6E8A">
        <w:t>00 km</w:t>
      </w:r>
      <w:r w:rsidRPr="009A6E8A">
        <w:rPr>
          <w:vertAlign w:val="superscript"/>
        </w:rPr>
        <w:t>2</w:t>
      </w:r>
      <w:r w:rsidRPr="009A6E8A">
        <w:t>) and B2 (&lt;</w:t>
      </w:r>
      <w:r w:rsidR="00E054F2">
        <w:t>500</w:t>
      </w:r>
      <w:r w:rsidRPr="009A6E8A">
        <w:t xml:space="preserve"> km</w:t>
      </w:r>
      <w:r w:rsidRPr="009A6E8A">
        <w:rPr>
          <w:vertAlign w:val="superscript"/>
        </w:rPr>
        <w:t>2</w:t>
      </w:r>
      <w:r w:rsidRPr="009A6E8A">
        <w:t>).</w:t>
      </w:r>
    </w:p>
    <w:p w14:paraId="32E937C7" w14:textId="77777777" w:rsidR="002C2E95" w:rsidRDefault="0014559E" w:rsidP="002C2E95">
      <w:pPr>
        <w:rPr>
          <w:i/>
          <w:iCs/>
          <w:lang w:eastAsia="ja-JP"/>
        </w:rPr>
      </w:pPr>
      <w:r>
        <w:rPr>
          <w:i/>
          <w:iCs/>
          <w:lang w:eastAsia="ja-JP"/>
        </w:rPr>
        <w:t xml:space="preserve">Number of </w:t>
      </w:r>
      <w:r w:rsidR="00137CB0">
        <w:rPr>
          <w:i/>
          <w:iCs/>
          <w:lang w:eastAsia="ja-JP"/>
        </w:rPr>
        <w:t>locations</w:t>
      </w:r>
    </w:p>
    <w:p w14:paraId="1E9EEB6C" w14:textId="5FEAFBD5" w:rsidR="00B2189A" w:rsidRPr="00060EF9" w:rsidRDefault="00B824F9" w:rsidP="002C2E95">
      <w:r w:rsidRPr="00D2528A">
        <w:t xml:space="preserve">Initial estimates suggest the 2019-20 bushfires overlapped with approximately </w:t>
      </w:r>
      <w:r>
        <w:t>80</w:t>
      </w:r>
      <w:r w:rsidR="00B2189A">
        <w:t xml:space="preserve"> percent</w:t>
      </w:r>
      <w:r>
        <w:t xml:space="preserve"> </w:t>
      </w:r>
      <w:r w:rsidRPr="00D2528A">
        <w:t xml:space="preserve">of the Banyabba </w:t>
      </w:r>
      <w:r w:rsidR="004F7964">
        <w:t>g</w:t>
      </w:r>
      <w:r w:rsidRPr="00D2528A">
        <w:t xml:space="preserve">revillea’s </w:t>
      </w:r>
      <w:r w:rsidR="00771D66">
        <w:t xml:space="preserve">modelled </w:t>
      </w:r>
      <w:r w:rsidRPr="00D2528A">
        <w:t>distribution</w:t>
      </w:r>
      <w:r>
        <w:t xml:space="preserve"> </w:t>
      </w:r>
      <w:r>
        <w:rPr>
          <w:noProof/>
        </w:rPr>
        <w:t>(Auld et al. 2020; Gallagher 2020; Gallagher et al. 2021)</w:t>
      </w:r>
      <w:r>
        <w:t xml:space="preserve"> with approximately 50</w:t>
      </w:r>
      <w:r w:rsidR="00B2189A">
        <w:t>–</w:t>
      </w:r>
      <w:r>
        <w:t>60</w:t>
      </w:r>
      <w:r w:rsidR="00B2189A">
        <w:t xml:space="preserve"> percent</w:t>
      </w:r>
      <w:r>
        <w:t xml:space="preserve"> of individuals burnt (DPIE 2021. pers comm 24 June).</w:t>
      </w:r>
      <w:r w:rsidR="00B31A7D">
        <w:t xml:space="preserve"> </w:t>
      </w:r>
      <w:r w:rsidR="00497707">
        <w:t>Accordingly, a</w:t>
      </w:r>
      <w:r w:rsidR="00E16691" w:rsidRPr="00B31A7D">
        <w:t>t the time of this assessment (in 2021), most individuals were juveniles (seedlings) or recovering (resprouts) following the</w:t>
      </w:r>
      <w:r w:rsidR="00B2189A" w:rsidRPr="00B31A7D">
        <w:t>se fires in</w:t>
      </w:r>
      <w:r w:rsidR="00E16691" w:rsidRPr="00B31A7D">
        <w:t xml:space="preserve"> 2019-20 (DPIE 2021. pers comm 24 June).</w:t>
      </w:r>
      <w:r w:rsidR="009C3A26">
        <w:t xml:space="preserve"> </w:t>
      </w:r>
      <w:r w:rsidR="00497707">
        <w:t xml:space="preserve">Additionally, </w:t>
      </w:r>
      <w:r w:rsidR="00AE596E" w:rsidRPr="00C64132">
        <w:t xml:space="preserve">the Banyabba </w:t>
      </w:r>
      <w:r w:rsidR="004F7964">
        <w:t>g</w:t>
      </w:r>
      <w:r w:rsidR="00AE596E" w:rsidRPr="00C64132">
        <w:t>revillea may also have a depleted seedbank following the 2019-20 bushfires</w:t>
      </w:r>
      <w:r w:rsidR="00CD3AC2">
        <w:t>,</w:t>
      </w:r>
      <w:r w:rsidR="00AE596E">
        <w:t xml:space="preserve"> </w:t>
      </w:r>
      <w:r w:rsidR="00347899">
        <w:rPr>
          <w:noProof/>
        </w:rPr>
        <w:t>as</w:t>
      </w:r>
      <w:r w:rsidR="00AE596E">
        <w:t xml:space="preserve"> </w:t>
      </w:r>
      <w:r w:rsidR="00497707" w:rsidRPr="00E6614F">
        <w:t xml:space="preserve">there </w:t>
      </w:r>
      <w:r w:rsidR="00347899">
        <w:t>may</w:t>
      </w:r>
      <w:r w:rsidR="00347899" w:rsidRPr="00E6614F">
        <w:t xml:space="preserve"> </w:t>
      </w:r>
      <w:r w:rsidR="00497707" w:rsidRPr="00E6614F">
        <w:t xml:space="preserve">be little to no residual soil-stored seedbank following fire </w:t>
      </w:r>
      <w:r w:rsidR="00497707" w:rsidRPr="00E6614F">
        <w:rPr>
          <w:noProof/>
        </w:rPr>
        <w:t>(Auld &amp; Denham 2006)</w:t>
      </w:r>
      <w:r w:rsidR="00497707" w:rsidRPr="00E6614F">
        <w:t xml:space="preserve"> and the size of the residual soil-stored seedbank </w:t>
      </w:r>
      <w:r w:rsidR="00347899">
        <w:t xml:space="preserve">may </w:t>
      </w:r>
      <w:r w:rsidR="00497707" w:rsidRPr="00E6614F">
        <w:t xml:space="preserve">decline with increasing fire severity </w:t>
      </w:r>
      <w:r w:rsidR="00497707" w:rsidRPr="00E6614F">
        <w:rPr>
          <w:noProof/>
        </w:rPr>
        <w:t>(Palmer et al. 2018)</w:t>
      </w:r>
      <w:r w:rsidR="00497707" w:rsidRPr="00E6614F">
        <w:t>.</w:t>
      </w:r>
    </w:p>
    <w:p w14:paraId="437F4BE3" w14:textId="54CC0DFE" w:rsidR="00207873" w:rsidRDefault="00E16691" w:rsidP="00207873">
      <w:pPr>
        <w:keepNext/>
        <w:keepLines/>
      </w:pPr>
      <w:r w:rsidRPr="009C3A26">
        <w:lastRenderedPageBreak/>
        <w:t xml:space="preserve">If another threatening event (e.g., fire) were to occur within the next 5-7 years </w:t>
      </w:r>
      <w:r w:rsidR="00BE4065">
        <w:rPr>
          <w:noProof/>
        </w:rPr>
        <w:t>(i.e., the minimal fire-free interval required by the species, subject to further study; NSW RFS 2013; DPIE 2021. pers comm 24 June)</w:t>
      </w:r>
      <w:r w:rsidRPr="009C3A26">
        <w:t>, most individuals would be at high risk of poor recovery</w:t>
      </w:r>
      <w:r w:rsidR="009C3A26" w:rsidRPr="009C3A26">
        <w:t xml:space="preserve"> and there may not be sufficient seed in the seedbank to replenish the population.</w:t>
      </w:r>
      <w:r w:rsidR="00060EF9">
        <w:t xml:space="preserve"> </w:t>
      </w:r>
      <w:r w:rsidR="00831C94">
        <w:t xml:space="preserve">As the </w:t>
      </w:r>
      <w:r w:rsidR="00831C94" w:rsidRPr="00D2528A">
        <w:t xml:space="preserve">2019-20 bushfires overlapped </w:t>
      </w:r>
      <w:r w:rsidR="00831C94">
        <w:t xml:space="preserve">most of the species’ </w:t>
      </w:r>
      <w:r w:rsidR="00771D66">
        <w:t xml:space="preserve">modelled </w:t>
      </w:r>
      <w:r w:rsidR="00031023">
        <w:t xml:space="preserve">distribution and affected </w:t>
      </w:r>
      <w:r w:rsidR="00771D66">
        <w:t>many</w:t>
      </w:r>
      <w:r w:rsidR="00031023">
        <w:t xml:space="preserve"> individuals</w:t>
      </w:r>
      <w:r w:rsidR="00653B25">
        <w:t xml:space="preserve">, it is </w:t>
      </w:r>
      <w:r w:rsidR="00031023">
        <w:t xml:space="preserve">feasible for </w:t>
      </w:r>
      <w:r w:rsidR="001C3C24">
        <w:t xml:space="preserve">only a small </w:t>
      </w:r>
      <w:r w:rsidR="00510B7F">
        <w:t xml:space="preserve">number of fires to affect </w:t>
      </w:r>
      <w:r w:rsidR="00D9204A">
        <w:t>the species’ entire distribution</w:t>
      </w:r>
      <w:r w:rsidR="00510B7F">
        <w:t xml:space="preserve">. </w:t>
      </w:r>
      <w:r w:rsidR="009C3A26" w:rsidRPr="00060EF9">
        <w:t xml:space="preserve">Accordingly, only </w:t>
      </w:r>
      <w:r w:rsidR="00060EF9" w:rsidRPr="00060EF9">
        <w:t xml:space="preserve">a small number </w:t>
      </w:r>
      <w:r w:rsidR="00E013CF">
        <w:t>(</w:t>
      </w:r>
      <w:r w:rsidR="00170383">
        <w:t>&lt;</w:t>
      </w:r>
      <w:r w:rsidR="00E013CF">
        <w:t xml:space="preserve">5) </w:t>
      </w:r>
      <w:r w:rsidR="00060EF9" w:rsidRPr="00060EF9">
        <w:t>of threatening events (e.g., fire) would be required within the next 5-7 years</w:t>
      </w:r>
      <w:r w:rsidR="001E257F">
        <w:t xml:space="preserve"> </w:t>
      </w:r>
      <w:r w:rsidR="00060EF9" w:rsidRPr="00060EF9">
        <w:t>for all individuals to be rapidly affected.</w:t>
      </w:r>
      <w:r w:rsidR="00207873">
        <w:t xml:space="preserve"> </w:t>
      </w:r>
    </w:p>
    <w:p w14:paraId="293342D0" w14:textId="3341AD87" w:rsidR="002B298B" w:rsidRPr="002C0CD9" w:rsidRDefault="000071FC" w:rsidP="00207873">
      <w:pPr>
        <w:keepNext/>
        <w:keepLines/>
      </w:pPr>
      <w:r>
        <w:t xml:space="preserve">The number of locations used in this assessment is </w:t>
      </w:r>
      <w:r w:rsidR="00170383">
        <w:t>&lt;</w:t>
      </w:r>
      <w:r w:rsidR="00D5590D">
        <w:t xml:space="preserve"> </w:t>
      </w:r>
      <w:r>
        <w:t xml:space="preserve">five. </w:t>
      </w:r>
      <w:r w:rsidR="002B298B" w:rsidRPr="009A6E8A">
        <w:t xml:space="preserve">The species’ number of locations </w:t>
      </w:r>
      <w:r w:rsidR="002B298B" w:rsidRPr="002C0CD9">
        <w:t>appears to meet the requirement for listing as Endangered under this criterion.</w:t>
      </w:r>
    </w:p>
    <w:p w14:paraId="4C6396BF" w14:textId="79AAEF3A" w:rsidR="00111438" w:rsidRPr="00B84B53" w:rsidRDefault="00AA2D38" w:rsidP="00854CFE">
      <w:pPr>
        <w:keepNext/>
        <w:rPr>
          <w:i/>
          <w:iCs/>
          <w:lang w:eastAsia="ja-JP"/>
        </w:rPr>
      </w:pPr>
      <w:r w:rsidRPr="00B84B53">
        <w:rPr>
          <w:i/>
          <w:iCs/>
          <w:lang w:eastAsia="ja-JP"/>
        </w:rPr>
        <w:t>C</w:t>
      </w:r>
      <w:r w:rsidR="00111438" w:rsidRPr="00B84B53">
        <w:rPr>
          <w:i/>
          <w:iCs/>
          <w:lang w:eastAsia="ja-JP"/>
        </w:rPr>
        <w:t>ontinuing decline</w:t>
      </w:r>
      <w:r w:rsidRPr="00B84B53">
        <w:rPr>
          <w:i/>
          <w:iCs/>
          <w:lang w:eastAsia="ja-JP"/>
        </w:rPr>
        <w:t xml:space="preserve"> </w:t>
      </w:r>
      <w:r w:rsidR="002C0CD9" w:rsidRPr="00B84B53">
        <w:rPr>
          <w:i/>
          <w:iCs/>
        </w:rPr>
        <w:t>(</w:t>
      </w:r>
      <w:r w:rsidR="00C522F7">
        <w:rPr>
          <w:i/>
          <w:iCs/>
        </w:rPr>
        <w:t xml:space="preserve">observed, </w:t>
      </w:r>
      <w:proofErr w:type="gramStart"/>
      <w:r w:rsidR="00C522F7">
        <w:rPr>
          <w:i/>
          <w:iCs/>
        </w:rPr>
        <w:t>estimated</w:t>
      </w:r>
      <w:proofErr w:type="gramEnd"/>
      <w:r w:rsidR="00C522F7">
        <w:rPr>
          <w:i/>
          <w:iCs/>
        </w:rPr>
        <w:t xml:space="preserve"> or inferred</w:t>
      </w:r>
      <w:r w:rsidR="002C0CD9" w:rsidRPr="00B84B53">
        <w:rPr>
          <w:i/>
          <w:iCs/>
        </w:rPr>
        <w:t>)</w:t>
      </w:r>
    </w:p>
    <w:p w14:paraId="2DD31B12" w14:textId="3C4348BB" w:rsidR="00B33BF5" w:rsidRPr="008B5D51" w:rsidRDefault="00A1078C" w:rsidP="00B33BF5">
      <w:pPr>
        <w:rPr>
          <w:highlight w:val="yellow"/>
        </w:rPr>
      </w:pPr>
      <w:r w:rsidRPr="00B84B53">
        <w:t xml:space="preserve">The historical distribution of the species is likely to be </w:t>
      </w:r>
      <w:proofErr w:type="gramStart"/>
      <w:r w:rsidRPr="00B84B53">
        <w:t>similar to</w:t>
      </w:r>
      <w:proofErr w:type="gramEnd"/>
      <w:r w:rsidRPr="00B84B53">
        <w:t xml:space="preserve"> its current distribution </w:t>
      </w:r>
      <w:r w:rsidRPr="00B84B53">
        <w:rPr>
          <w:noProof/>
        </w:rPr>
        <w:t>(NPWS 1999)</w:t>
      </w:r>
      <w:r w:rsidRPr="00B84B53">
        <w:t xml:space="preserve"> and </w:t>
      </w:r>
      <w:r w:rsidR="00F11945" w:rsidRPr="00B84B53">
        <w:rPr>
          <w:noProof/>
        </w:rPr>
        <w:t>all known subpopulations occur within reserved tenure (Table 1)</w:t>
      </w:r>
      <w:r w:rsidR="00F11945" w:rsidRPr="00B84B53">
        <w:t xml:space="preserve">. </w:t>
      </w:r>
      <w:r w:rsidR="00B33BF5" w:rsidRPr="00B33BF5">
        <w:t xml:space="preserve">Although, </w:t>
      </w:r>
      <w:r w:rsidR="00B33BF5" w:rsidRPr="00CD3AC2">
        <w:t>survey data from 1997 and 2019-2021 suggests the number of mature individuals may have declined over this period (see Criterion 1), further survey information is required from Wombat Creek State Conservation Area to determine if this is the case (see Criterion 1).</w:t>
      </w:r>
    </w:p>
    <w:p w14:paraId="279A4771" w14:textId="1E8F0097" w:rsidR="00C522F7" w:rsidRDefault="00B33BF5" w:rsidP="00C522F7">
      <w:pPr>
        <w:keepNext/>
        <w:keepLines/>
      </w:pPr>
      <w:r>
        <w:t>Additionally</w:t>
      </w:r>
      <w:r w:rsidR="00C522F7">
        <w:t xml:space="preserve">, </w:t>
      </w:r>
      <w:r w:rsidR="002551CB">
        <w:t>t</w:t>
      </w:r>
      <w:r w:rsidR="00023884" w:rsidRPr="00B84B53">
        <w:t xml:space="preserve">here is currently no evidence of disease (e.g., </w:t>
      </w:r>
      <w:r w:rsidR="00023884" w:rsidRPr="00B84B53">
        <w:rPr>
          <w:i/>
          <w:iCs/>
        </w:rPr>
        <w:t>P. cinnamomi</w:t>
      </w:r>
      <w:r w:rsidR="00023884" w:rsidRPr="00B84B53">
        <w:t xml:space="preserve">) or herbivory, and weeds are rarely observed in the species’ low fertility habitat (DPIE 2021. </w:t>
      </w:r>
      <w:r w:rsidR="00E11B98">
        <w:t>p</w:t>
      </w:r>
      <w:r w:rsidR="00023884" w:rsidRPr="00B84B53">
        <w:t xml:space="preserve">ers comm 24 June). </w:t>
      </w:r>
      <w:r w:rsidR="00BB489F" w:rsidRPr="00B84B53">
        <w:t xml:space="preserve">Although, there was some evidence of drought-related dieback of leaves and branches prior to the </w:t>
      </w:r>
      <w:r w:rsidR="00E11B98">
        <w:t xml:space="preserve">2091-20 </w:t>
      </w:r>
      <w:r w:rsidR="00BB489F" w:rsidRPr="00B84B53">
        <w:t xml:space="preserve">bushfires, seedling recruitment is high post-fire, and both seedlings and resprouts are healthy, suggesting there is no </w:t>
      </w:r>
      <w:r w:rsidR="00E11B98">
        <w:t xml:space="preserve">past </w:t>
      </w:r>
      <w:r w:rsidR="00BB489F" w:rsidRPr="00B84B53">
        <w:t xml:space="preserve">continuing decline (DPIE 2021. </w:t>
      </w:r>
      <w:r w:rsidR="00E11B98">
        <w:t>p</w:t>
      </w:r>
      <w:r w:rsidR="00BB489F" w:rsidRPr="00B84B53">
        <w:t xml:space="preserve">ers comm 24 June). </w:t>
      </w:r>
      <w:r w:rsidR="00023884" w:rsidRPr="00B84B53">
        <w:t>Further, t</w:t>
      </w:r>
      <w:r w:rsidR="00225B0C" w:rsidRPr="00B84B53">
        <w:t xml:space="preserve">here is no evidence of </w:t>
      </w:r>
      <w:r w:rsidR="00A1078C" w:rsidRPr="00B84B53">
        <w:t>loss</w:t>
      </w:r>
      <w:r w:rsidR="00225B0C" w:rsidRPr="00B84B53">
        <w:t xml:space="preserve"> </w:t>
      </w:r>
      <w:r w:rsidR="00A1078C" w:rsidRPr="00B84B53">
        <w:t>of</w:t>
      </w:r>
      <w:r w:rsidR="00225B0C" w:rsidRPr="00B84B53">
        <w:t xml:space="preserve"> any subpopulations (DPIE 2021. </w:t>
      </w:r>
      <w:r w:rsidR="00E11B98">
        <w:t>p</w:t>
      </w:r>
      <w:r w:rsidR="00225B0C" w:rsidRPr="00B84B53">
        <w:t>ers comm 24 June</w:t>
      </w:r>
      <w:r w:rsidR="004B7872" w:rsidRPr="00B84B53">
        <w:t>).</w:t>
      </w:r>
    </w:p>
    <w:p w14:paraId="5AA0E5C3" w14:textId="47EA4453" w:rsidR="002C2E95" w:rsidRPr="00B84B53" w:rsidRDefault="002B190F" w:rsidP="002C2E95">
      <w:r w:rsidRPr="00B84B53">
        <w:t>Accordingly, EOO, AOO, area, extent and quality of habitat, number of locations</w:t>
      </w:r>
      <w:r w:rsidR="00C522F7">
        <w:t>,</w:t>
      </w:r>
      <w:r w:rsidR="002C0CD9" w:rsidRPr="00B84B53">
        <w:t xml:space="preserve"> </w:t>
      </w:r>
      <w:r w:rsidRPr="00B84B53">
        <w:t xml:space="preserve">subpopulations </w:t>
      </w:r>
      <w:r w:rsidR="00C522F7">
        <w:t xml:space="preserve">and mature individuals </w:t>
      </w:r>
      <w:r w:rsidRPr="00B84B53">
        <w:t>are presumed to be stable</w:t>
      </w:r>
      <w:r w:rsidR="00C522F7">
        <w:t xml:space="preserve"> in the past</w:t>
      </w:r>
      <w:r w:rsidRPr="00B84B53">
        <w:t>.</w:t>
      </w:r>
      <w:r w:rsidR="002C0CD9" w:rsidRPr="00B84B53">
        <w:t xml:space="preserve"> The species does not appear to meet the continuing decline (EOO, AOO, area, extent and quality of habitat, and number of locations/subpopulations) requirement for listing under this criterion.</w:t>
      </w:r>
    </w:p>
    <w:p w14:paraId="5B6304A7" w14:textId="5C58BF90" w:rsidR="002C2E95" w:rsidRPr="00192C1D" w:rsidRDefault="00AA2D38" w:rsidP="002C2E95">
      <w:pPr>
        <w:rPr>
          <w:i/>
          <w:iCs/>
          <w:lang w:eastAsia="ja-JP"/>
        </w:rPr>
      </w:pPr>
      <w:r w:rsidRPr="00192C1D">
        <w:rPr>
          <w:i/>
          <w:iCs/>
          <w:lang w:eastAsia="ja-JP"/>
        </w:rPr>
        <w:t>C</w:t>
      </w:r>
      <w:r w:rsidR="003F316F" w:rsidRPr="00192C1D">
        <w:rPr>
          <w:i/>
          <w:iCs/>
          <w:lang w:eastAsia="ja-JP"/>
        </w:rPr>
        <w:t>ontinuing decline</w:t>
      </w:r>
      <w:r w:rsidRPr="00192C1D">
        <w:rPr>
          <w:i/>
          <w:iCs/>
          <w:lang w:eastAsia="ja-JP"/>
        </w:rPr>
        <w:t xml:space="preserve"> (</w:t>
      </w:r>
      <w:r w:rsidR="00192C1D" w:rsidRPr="00192C1D">
        <w:rPr>
          <w:i/>
          <w:iCs/>
          <w:lang w:eastAsia="ja-JP"/>
        </w:rPr>
        <w:t>projected</w:t>
      </w:r>
      <w:r w:rsidRPr="00192C1D">
        <w:rPr>
          <w:i/>
          <w:iCs/>
          <w:lang w:eastAsia="ja-JP"/>
        </w:rPr>
        <w:t>)</w:t>
      </w:r>
    </w:p>
    <w:p w14:paraId="7B198CF9" w14:textId="21E45283" w:rsidR="002C2E95" w:rsidRDefault="00A1078C" w:rsidP="002C2E95">
      <w:r w:rsidRPr="00192C1D">
        <w:t>C</w:t>
      </w:r>
      <w:r w:rsidR="00177ADA" w:rsidRPr="00192C1D">
        <w:t>ontinuing decline can be projected</w:t>
      </w:r>
      <w:r w:rsidR="000071FC" w:rsidRPr="00192C1D">
        <w:t xml:space="preserve"> and </w:t>
      </w:r>
      <w:r w:rsidR="008E74D3" w:rsidRPr="00192C1D">
        <w:t>does not have to have commenced</w:t>
      </w:r>
      <w:r w:rsidR="00881543" w:rsidRPr="00192C1D">
        <w:t xml:space="preserve"> </w:t>
      </w:r>
      <w:r w:rsidR="000071FC" w:rsidRPr="00192C1D">
        <w:t xml:space="preserve">at the time of the listing assessment </w:t>
      </w:r>
      <w:r w:rsidR="00881543" w:rsidRPr="00192C1D">
        <w:rPr>
          <w:noProof/>
        </w:rPr>
        <w:t>(IUCN 2019)</w:t>
      </w:r>
      <w:r w:rsidR="00881543" w:rsidRPr="00192C1D">
        <w:t>.</w:t>
      </w:r>
      <w:r w:rsidR="008E74D3" w:rsidRPr="00192C1D">
        <w:t xml:space="preserve"> </w:t>
      </w:r>
      <w:r w:rsidR="00192C1D">
        <w:t>S</w:t>
      </w:r>
      <w:r w:rsidR="00B02C9D" w:rsidRPr="00192C1D">
        <w:t>uch projected declines must be justified and there must be high degree of certainty that they will take place</w:t>
      </w:r>
      <w:r w:rsidR="008E74D3" w:rsidRPr="00192C1D">
        <w:t xml:space="preserve"> </w:t>
      </w:r>
      <w:r w:rsidR="00B02C9D" w:rsidRPr="00192C1D">
        <w:rPr>
          <w:noProof/>
        </w:rPr>
        <w:t>(IUCN 2019)</w:t>
      </w:r>
      <w:r w:rsidR="00B02C9D" w:rsidRPr="00192C1D">
        <w:t>.</w:t>
      </w:r>
      <w:r w:rsidR="0073316A" w:rsidRPr="00192C1D">
        <w:t xml:space="preserve"> </w:t>
      </w:r>
      <w:r w:rsidR="00A84F93" w:rsidRPr="00192C1D">
        <w:t>As discussed in Criterion 1</w:t>
      </w:r>
      <w:r w:rsidR="00824CA3" w:rsidRPr="00192C1D">
        <w:t xml:space="preserve"> (see above)</w:t>
      </w:r>
      <w:r w:rsidR="00A84F93" w:rsidRPr="00192C1D">
        <w:t xml:space="preserve">, </w:t>
      </w:r>
      <w:bookmarkStart w:id="33" w:name="_Hlk82460924"/>
      <w:r w:rsidR="00824CA3" w:rsidRPr="00192C1D">
        <w:t>changes to fire weather conditions</w:t>
      </w:r>
      <w:r w:rsidR="008837FC" w:rsidRPr="00192C1D">
        <w:t>,</w:t>
      </w:r>
      <w:r w:rsidR="00824CA3" w:rsidRPr="00192C1D">
        <w:t xml:space="preserve"> </w:t>
      </w:r>
      <w:r w:rsidR="008837FC" w:rsidRPr="00192C1D">
        <w:t xml:space="preserve">rainfall patterns and temperature, and more time in drought </w:t>
      </w:r>
      <w:r w:rsidR="00192C1D">
        <w:t>are likely to</w:t>
      </w:r>
      <w:r w:rsidR="00192C1D" w:rsidRPr="00192C1D">
        <w:t xml:space="preserve"> </w:t>
      </w:r>
      <w:r w:rsidR="00824CA3" w:rsidRPr="00192C1D">
        <w:t xml:space="preserve">result in </w:t>
      </w:r>
      <w:r w:rsidR="005F57C4">
        <w:t xml:space="preserve">decline of suitable habitat, </w:t>
      </w:r>
      <w:r w:rsidR="00192C1D">
        <w:t xml:space="preserve">a net loss of mature individuals and </w:t>
      </w:r>
      <w:r w:rsidR="00824CA3" w:rsidRPr="00192C1D">
        <w:t>an ongoing and non-reversible decline in population size of the species in the coming decades.</w:t>
      </w:r>
      <w:bookmarkEnd w:id="33"/>
      <w:r w:rsidR="00512E82" w:rsidRPr="00192C1D">
        <w:t xml:space="preserve"> </w:t>
      </w:r>
    </w:p>
    <w:p w14:paraId="58CDCB41" w14:textId="6C0FD434" w:rsidR="00192C1D" w:rsidRPr="00192C1D" w:rsidRDefault="00192C1D" w:rsidP="002C2E95">
      <w:r w:rsidRPr="00192C1D">
        <w:t xml:space="preserve">Accordingly, </w:t>
      </w:r>
      <w:r w:rsidR="002A3A31">
        <w:t xml:space="preserve">the </w:t>
      </w:r>
      <w:r w:rsidR="002A3A31" w:rsidRPr="00B84B53">
        <w:t>area, extent and quality of habitat</w:t>
      </w:r>
      <w:r w:rsidR="002A3A31" w:rsidRPr="00192C1D">
        <w:t xml:space="preserve"> </w:t>
      </w:r>
      <w:r w:rsidR="002A3A31">
        <w:t xml:space="preserve">and </w:t>
      </w:r>
      <w:r w:rsidRPr="00192C1D">
        <w:t xml:space="preserve">the number of mature individuals </w:t>
      </w:r>
      <w:proofErr w:type="gramStart"/>
      <w:r w:rsidR="002A3A31">
        <w:t>are</w:t>
      </w:r>
      <w:proofErr w:type="gramEnd"/>
      <w:r w:rsidRPr="00192C1D">
        <w:t xml:space="preserve"> </w:t>
      </w:r>
      <w:r w:rsidR="002A3A31">
        <w:t xml:space="preserve">both </w:t>
      </w:r>
      <w:r w:rsidRPr="00192C1D">
        <w:t xml:space="preserve">projected to undergo continuing decline </w:t>
      </w:r>
      <w:r w:rsidR="002A3A31">
        <w:t>over the coming decades, with a high degree of certainty (see Criterion 1).</w:t>
      </w:r>
      <w:r w:rsidRPr="00192C1D">
        <w:t xml:space="preserve"> </w:t>
      </w:r>
      <w:r w:rsidR="002A3A31" w:rsidRPr="009A6E8A">
        <w:t xml:space="preserve">The </w:t>
      </w:r>
      <w:r w:rsidR="002A3A31">
        <w:rPr>
          <w:lang w:eastAsia="ja-JP"/>
        </w:rPr>
        <w:t>species</w:t>
      </w:r>
      <w:r w:rsidR="002A3A31" w:rsidRPr="009A6E8A">
        <w:t xml:space="preserve"> appears to meet the </w:t>
      </w:r>
      <w:r w:rsidR="002A3A31">
        <w:t xml:space="preserve">continuing decline </w:t>
      </w:r>
      <w:r w:rsidR="002A3A31" w:rsidRPr="009A6E8A">
        <w:t xml:space="preserve">requirement for </w:t>
      </w:r>
      <w:r w:rsidR="002A3A31">
        <w:t>listing under this criterion</w:t>
      </w:r>
      <w:r w:rsidR="002A3A31" w:rsidRPr="009A6E8A">
        <w:t>.</w:t>
      </w:r>
    </w:p>
    <w:p w14:paraId="7A6C1D06" w14:textId="77777777" w:rsidR="006F35FC" w:rsidRDefault="006F35FC" w:rsidP="001C3C24">
      <w:pPr>
        <w:keepNext/>
        <w:keepLines/>
        <w:rPr>
          <w:i/>
          <w:iCs/>
          <w:lang w:eastAsia="ja-JP"/>
        </w:rPr>
      </w:pPr>
      <w:r>
        <w:rPr>
          <w:i/>
          <w:iCs/>
          <w:lang w:eastAsia="ja-JP"/>
        </w:rPr>
        <w:lastRenderedPageBreak/>
        <w:t>Severe fragmentation</w:t>
      </w:r>
    </w:p>
    <w:p w14:paraId="20A27395" w14:textId="74E64A2B" w:rsidR="006F35FC" w:rsidRDefault="006F35FC" w:rsidP="006F35FC">
      <w:r>
        <w:t xml:space="preserve">The Banyabba </w:t>
      </w:r>
      <w:r w:rsidR="004F7964">
        <w:t>g</w:t>
      </w:r>
      <w:r>
        <w:t>revillea</w:t>
      </w:r>
      <w:r w:rsidRPr="00953519">
        <w:t xml:space="preserve"> is not considered to be severely fragmented. The species occurs within a restricted distribution in northern NSW </w:t>
      </w:r>
      <w:r>
        <w:t xml:space="preserve">and over 50 percent </w:t>
      </w:r>
      <w:r w:rsidRPr="00953519">
        <w:t>of the species’ AOO occurs in habitat patches that can support a viable population</w:t>
      </w:r>
      <w:r>
        <w:t xml:space="preserve"> </w:t>
      </w:r>
      <w:r w:rsidRPr="00953519">
        <w:t>(see EOO/AOO and Map 1)</w:t>
      </w:r>
      <w:r>
        <w:t>.</w:t>
      </w:r>
    </w:p>
    <w:p w14:paraId="1338CD1C" w14:textId="77777777" w:rsidR="006F35FC" w:rsidRPr="00D66DB7" w:rsidRDefault="006F35FC" w:rsidP="006F35FC">
      <w:pPr>
        <w:rPr>
          <w:bCs/>
          <w:i/>
          <w:iCs/>
          <w:lang w:eastAsia="ja-JP"/>
        </w:rPr>
      </w:pPr>
      <w:r w:rsidRPr="00750DB4">
        <w:t>The species</w:t>
      </w:r>
      <w:r>
        <w:t xml:space="preserve"> does not</w:t>
      </w:r>
      <w:r w:rsidRPr="00750DB4">
        <w:t xml:space="preserve"> appear to meet the </w:t>
      </w:r>
      <w:r>
        <w:t>severe fragmentation</w:t>
      </w:r>
      <w:r w:rsidRPr="00750DB4">
        <w:t xml:space="preserve"> requirement for listing under this criterion.</w:t>
      </w:r>
    </w:p>
    <w:p w14:paraId="4C00A600" w14:textId="44B3A62B" w:rsidR="00111438" w:rsidRDefault="00111438" w:rsidP="00B6264B">
      <w:pPr>
        <w:rPr>
          <w:i/>
          <w:iCs/>
          <w:lang w:eastAsia="ja-JP"/>
        </w:rPr>
      </w:pPr>
      <w:r>
        <w:rPr>
          <w:i/>
          <w:iCs/>
          <w:lang w:eastAsia="ja-JP"/>
        </w:rPr>
        <w:t xml:space="preserve">Extreme fluctuations </w:t>
      </w:r>
    </w:p>
    <w:p w14:paraId="3AFA89E0" w14:textId="00B8B46E" w:rsidR="00111438" w:rsidRDefault="008F7596" w:rsidP="00B6264B">
      <w:r>
        <w:t>The p</w:t>
      </w:r>
      <w:r w:rsidR="006C1273" w:rsidRPr="00A51A04">
        <w:t>opulation size</w:t>
      </w:r>
      <w:r>
        <w:t xml:space="preserve"> of the Banyabba </w:t>
      </w:r>
      <w:r w:rsidR="004F7964">
        <w:t>g</w:t>
      </w:r>
      <w:r>
        <w:t>revillea</w:t>
      </w:r>
      <w:r w:rsidR="006C1273" w:rsidRPr="00A51A04">
        <w:t xml:space="preserve"> fluctuates following fire</w:t>
      </w:r>
      <w:r>
        <w:t xml:space="preserve"> (see Criterion 1)</w:t>
      </w:r>
      <w:r w:rsidR="006C1273" w:rsidRPr="00A51A04">
        <w:t>, however, there is no evidence to suggest</w:t>
      </w:r>
      <w:r>
        <w:t xml:space="preserve"> that these</w:t>
      </w:r>
      <w:r w:rsidR="006C1273" w:rsidRPr="00A51A04">
        <w:t xml:space="preserve"> fluctuations exceed one order of magnitude. There are no known extreme fluctuations in EOO, AOO, number of subpopulations or locations.</w:t>
      </w:r>
    </w:p>
    <w:p w14:paraId="1573E754" w14:textId="0B369AE4" w:rsidR="00D66DB7" w:rsidRPr="00D66DB7" w:rsidRDefault="00D66DB7" w:rsidP="00B6264B">
      <w:pPr>
        <w:rPr>
          <w:bCs/>
          <w:i/>
          <w:iCs/>
          <w:lang w:eastAsia="ja-JP"/>
        </w:rPr>
      </w:pPr>
      <w:r w:rsidRPr="00750DB4">
        <w:t>The species</w:t>
      </w:r>
      <w:r>
        <w:t xml:space="preserve"> does not</w:t>
      </w:r>
      <w:r w:rsidRPr="00750DB4">
        <w:t xml:space="preserve"> appear to meet the </w:t>
      </w:r>
      <w:r>
        <w:t>extreme fluctuations</w:t>
      </w:r>
      <w:r w:rsidRPr="00750DB4">
        <w:t xml:space="preserve"> requirement for listing under this criterion.</w:t>
      </w:r>
    </w:p>
    <w:p w14:paraId="19F3E88E" w14:textId="77777777" w:rsidR="00C71D7B" w:rsidRPr="00FE4C63" w:rsidRDefault="00C71D7B" w:rsidP="00C71D7B">
      <w:pPr>
        <w:keepNext/>
        <w:keepLines/>
        <w:rPr>
          <w:bCs/>
          <w:i/>
          <w:iCs/>
        </w:rPr>
      </w:pPr>
      <w:r>
        <w:rPr>
          <w:bCs/>
          <w:i/>
          <w:iCs/>
        </w:rPr>
        <w:t>Conclusion</w:t>
      </w:r>
    </w:p>
    <w:p w14:paraId="3D2D3DAB" w14:textId="0D6F50EC" w:rsidR="00C71D7B" w:rsidRDefault="00C71D7B" w:rsidP="00C71D7B">
      <w:pPr>
        <w:keepNext/>
        <w:keepLines/>
        <w:rPr>
          <w:lang w:eastAsia="ja-JP"/>
        </w:rPr>
      </w:pPr>
      <w:r w:rsidRPr="004E6D51">
        <w:rPr>
          <w:lang w:eastAsia="ja-JP"/>
        </w:rPr>
        <w:t>The species’ EOO</w:t>
      </w:r>
      <w:r>
        <w:rPr>
          <w:lang w:eastAsia="ja-JP"/>
        </w:rPr>
        <w:t xml:space="preserve">, AOO </w:t>
      </w:r>
      <w:r w:rsidRPr="004E6D51">
        <w:rPr>
          <w:lang w:eastAsia="ja-JP"/>
        </w:rPr>
        <w:t xml:space="preserve">and number of locations </w:t>
      </w:r>
      <w:r>
        <w:rPr>
          <w:lang w:eastAsia="ja-JP"/>
        </w:rPr>
        <w:t>appear to be</w:t>
      </w:r>
      <w:r w:rsidRPr="004E6D51">
        <w:rPr>
          <w:lang w:eastAsia="ja-JP"/>
        </w:rPr>
        <w:t xml:space="preserve"> restricted</w:t>
      </w:r>
      <w:r>
        <w:rPr>
          <w:lang w:eastAsia="ja-JP"/>
        </w:rPr>
        <w:t>; a</w:t>
      </w:r>
      <w:r w:rsidRPr="007D4A85">
        <w:rPr>
          <w:lang w:eastAsia="ja-JP"/>
        </w:rPr>
        <w:t>rea, extent and/or quality of habitat</w:t>
      </w:r>
      <w:r w:rsidR="00A4755F">
        <w:rPr>
          <w:lang w:eastAsia="ja-JP"/>
        </w:rPr>
        <w:t xml:space="preserve"> </w:t>
      </w:r>
      <w:r>
        <w:rPr>
          <w:lang w:eastAsia="ja-JP"/>
        </w:rPr>
        <w:t>and</w:t>
      </w:r>
      <w:r w:rsidRPr="007D4A85">
        <w:rPr>
          <w:lang w:eastAsia="ja-JP"/>
        </w:rPr>
        <w:t xml:space="preserve"> </w:t>
      </w:r>
      <w:r>
        <w:rPr>
          <w:lang w:eastAsia="ja-JP"/>
        </w:rPr>
        <w:t xml:space="preserve">the number of </w:t>
      </w:r>
      <w:r w:rsidRPr="007D4A85">
        <w:rPr>
          <w:lang w:eastAsia="ja-JP"/>
        </w:rPr>
        <w:t>mature individuals</w:t>
      </w:r>
      <w:r>
        <w:rPr>
          <w:lang w:eastAsia="ja-JP"/>
        </w:rPr>
        <w:t xml:space="preserve"> appear to be undergoing continuing decline</w:t>
      </w:r>
      <w:r w:rsidRPr="004E6D51">
        <w:rPr>
          <w:lang w:eastAsia="ja-JP"/>
        </w:rPr>
        <w:t>.</w:t>
      </w:r>
    </w:p>
    <w:p w14:paraId="663C32C5" w14:textId="67603B48" w:rsidR="008F7596" w:rsidRPr="00551873" w:rsidRDefault="00C71D7B" w:rsidP="00551873">
      <w:pPr>
        <w:keepLines/>
        <w:rPr>
          <w:bCs/>
        </w:rPr>
      </w:pPr>
      <w:r w:rsidRPr="004E6D51">
        <w:rPr>
          <w:lang w:eastAsia="ja-JP"/>
        </w:rPr>
        <w:t xml:space="preserve">The data presented above appear to demonstrate that the species is eligible for listing as </w:t>
      </w:r>
      <w:r w:rsidRPr="00093770">
        <w:rPr>
          <w:b/>
          <w:bCs/>
          <w:lang w:eastAsia="ja-JP"/>
        </w:rPr>
        <w:t>Endangered</w:t>
      </w:r>
      <w:r w:rsidRPr="004E6D51">
        <w:rPr>
          <w:lang w:eastAsia="ja-JP"/>
        </w:rPr>
        <w:t xml:space="preserve"> under this criterion. However, the purpose of this consultation document is to elicit additional information to better understand the species’ status. This conclusion should therefore </w:t>
      </w:r>
      <w:proofErr w:type="gramStart"/>
      <w:r w:rsidRPr="004E6D51">
        <w:rPr>
          <w:lang w:eastAsia="ja-JP"/>
        </w:rPr>
        <w:t>be considered to be</w:t>
      </w:r>
      <w:proofErr w:type="gramEnd"/>
      <w:r w:rsidRPr="004E6D51">
        <w:rPr>
          <w:lang w:eastAsia="ja-JP"/>
        </w:rPr>
        <w:t xml:space="preserve"> tentative at this stage, as it may be changed as a result of responses to this consultation process.</w:t>
      </w:r>
      <w:r w:rsidR="008F7596">
        <w:rPr>
          <w:lang w:eastAsia="ja-JP"/>
        </w:rPr>
        <w:br w:type="page"/>
      </w:r>
    </w:p>
    <w:p w14:paraId="302DB085" w14:textId="48CC71F2" w:rsidR="002B69E4" w:rsidRPr="008C531D" w:rsidRDefault="002B69E4" w:rsidP="002B69E4">
      <w:pPr>
        <w:pStyle w:val="Caption"/>
        <w:rPr>
          <w:lang w:eastAsia="ja-JP"/>
        </w:rPr>
      </w:pPr>
      <w:r w:rsidRPr="002B69E4">
        <w:rPr>
          <w:lang w:eastAsia="ja-JP"/>
        </w:rPr>
        <w:lastRenderedPageBreak/>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3055A0E8"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3D9A9D8"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658B51D0" w14:textId="77777777" w:rsidTr="002B134C">
        <w:tc>
          <w:tcPr>
            <w:tcW w:w="3395" w:type="dxa"/>
            <w:gridSpan w:val="2"/>
            <w:tcBorders>
              <w:top w:val="nil"/>
              <w:left w:val="single" w:sz="4" w:space="0" w:color="auto"/>
              <w:bottom w:val="nil"/>
              <w:right w:val="nil"/>
            </w:tcBorders>
          </w:tcPr>
          <w:p w14:paraId="600AAB29"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14553DA8" w14:textId="77777777" w:rsidR="002B134C" w:rsidRPr="00556843" w:rsidRDefault="002B134C" w:rsidP="00F658E8">
            <w:pPr>
              <w:pStyle w:val="TableText"/>
              <w:keepNext/>
              <w:rPr>
                <w:b/>
              </w:rPr>
            </w:pPr>
            <w:r w:rsidRPr="00556843">
              <w:rPr>
                <w:b/>
              </w:rPr>
              <w:t>Critically Endangered</w:t>
            </w:r>
          </w:p>
          <w:p w14:paraId="252B0FE1"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00CE6E9" w14:textId="77777777" w:rsidR="002B134C" w:rsidRPr="00556843" w:rsidRDefault="002B134C" w:rsidP="00F658E8">
            <w:pPr>
              <w:pStyle w:val="TableText"/>
              <w:keepNext/>
              <w:rPr>
                <w:b/>
              </w:rPr>
            </w:pPr>
            <w:r w:rsidRPr="00556843">
              <w:rPr>
                <w:b/>
              </w:rPr>
              <w:t>Endangered</w:t>
            </w:r>
          </w:p>
          <w:p w14:paraId="0A0326A7"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35EE9C60" w14:textId="77777777" w:rsidR="002B134C" w:rsidRPr="00556843" w:rsidRDefault="002B134C" w:rsidP="00F658E8">
            <w:pPr>
              <w:pStyle w:val="TableText"/>
              <w:keepNext/>
              <w:rPr>
                <w:b/>
              </w:rPr>
            </w:pPr>
            <w:r w:rsidRPr="00556843">
              <w:rPr>
                <w:b/>
              </w:rPr>
              <w:t>Vulnerable</w:t>
            </w:r>
          </w:p>
          <w:p w14:paraId="1DF1EFDA" w14:textId="77777777" w:rsidR="002B134C" w:rsidRPr="00556843" w:rsidRDefault="002B134C" w:rsidP="00F658E8">
            <w:pPr>
              <w:pStyle w:val="TableText"/>
              <w:keepNext/>
              <w:rPr>
                <w:b/>
              </w:rPr>
            </w:pPr>
            <w:r w:rsidRPr="00556843">
              <w:rPr>
                <w:b/>
              </w:rPr>
              <w:t>Limited</w:t>
            </w:r>
          </w:p>
        </w:tc>
      </w:tr>
      <w:tr w:rsidR="002B134C" w:rsidRPr="00556843" w14:paraId="59F9601A"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2CCE8DAD"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0B1DFC05"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859FAF3" w14:textId="554BF505"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4EFCF96B" w14:textId="77777777" w:rsidR="002B134C" w:rsidRPr="00556843" w:rsidRDefault="002B134C" w:rsidP="00F658E8">
            <w:pPr>
              <w:pStyle w:val="TableText"/>
              <w:keepNext/>
            </w:pPr>
            <w:r w:rsidRPr="00556843">
              <w:rPr>
                <w:b/>
              </w:rPr>
              <w:t xml:space="preserve">&lt; 10,000 </w:t>
            </w:r>
          </w:p>
        </w:tc>
      </w:tr>
      <w:tr w:rsidR="002B134C" w:rsidRPr="00556843" w14:paraId="460D1605"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4EE8A44E"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4DF41C87"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8F738DE"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2F4D5D9D" w14:textId="77777777" w:rsidR="002B134C" w:rsidRPr="00556843" w:rsidRDefault="002B134C" w:rsidP="00F658E8">
            <w:pPr>
              <w:pStyle w:val="TableText"/>
              <w:keepNext/>
              <w:rPr>
                <w:b/>
              </w:rPr>
            </w:pPr>
          </w:p>
        </w:tc>
      </w:tr>
      <w:tr w:rsidR="002B134C" w:rsidRPr="00556843" w14:paraId="4BB0164C"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F128A51"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055130BA" w14:textId="77777777" w:rsidR="002B134C" w:rsidRPr="00556843" w:rsidRDefault="002B134C" w:rsidP="00F658E8">
            <w:pPr>
              <w:pStyle w:val="TableText"/>
              <w:keepNext/>
              <w:rPr>
                <w:b/>
              </w:rPr>
            </w:pPr>
            <w:r w:rsidRPr="00556843">
              <w:rPr>
                <w:b/>
              </w:rPr>
              <w:t>Very high rate</w:t>
            </w:r>
          </w:p>
          <w:p w14:paraId="16C7073F" w14:textId="77777777" w:rsidR="002B134C" w:rsidRPr="00556843" w:rsidRDefault="002B134C" w:rsidP="00F658E8">
            <w:pPr>
              <w:pStyle w:val="TableText"/>
              <w:keepNext/>
              <w:rPr>
                <w:b/>
              </w:rPr>
            </w:pPr>
            <w:r w:rsidRPr="00556843">
              <w:rPr>
                <w:b/>
              </w:rPr>
              <w:t>25% in 3 years or 1 generation</w:t>
            </w:r>
          </w:p>
          <w:p w14:paraId="6C6DADC9" w14:textId="77777777" w:rsidR="002B134C" w:rsidRPr="00556843" w:rsidRDefault="002B134C" w:rsidP="00F658E8">
            <w:pPr>
              <w:pStyle w:val="TableText"/>
              <w:keepNext/>
              <w:rPr>
                <w:b/>
              </w:rPr>
            </w:pPr>
            <w:r w:rsidRPr="00556843">
              <w:rPr>
                <w:b/>
              </w:rPr>
              <w:t>(whichever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46B0F72C" w14:textId="77777777" w:rsidR="002B134C" w:rsidRPr="00556843" w:rsidRDefault="002B134C" w:rsidP="00F658E8">
            <w:pPr>
              <w:pStyle w:val="TableText"/>
              <w:keepNext/>
              <w:rPr>
                <w:b/>
              </w:rPr>
            </w:pPr>
            <w:r w:rsidRPr="00556843">
              <w:rPr>
                <w:b/>
              </w:rPr>
              <w:t>High rate</w:t>
            </w:r>
          </w:p>
          <w:p w14:paraId="0E073645" w14:textId="77777777" w:rsidR="002B134C" w:rsidRPr="00556843" w:rsidRDefault="002B134C" w:rsidP="00F658E8">
            <w:pPr>
              <w:pStyle w:val="TableText"/>
              <w:keepNext/>
              <w:rPr>
                <w:b/>
              </w:rPr>
            </w:pPr>
            <w:r w:rsidRPr="00556843">
              <w:rPr>
                <w:b/>
              </w:rPr>
              <w:t>20% in 5 years or 2 generation</w:t>
            </w:r>
          </w:p>
          <w:p w14:paraId="45B99C07" w14:textId="77777777" w:rsidR="002B134C" w:rsidRPr="00556843" w:rsidRDefault="002B134C" w:rsidP="00F658E8">
            <w:pPr>
              <w:pStyle w:val="TableText"/>
              <w:keepNext/>
              <w:rPr>
                <w:b/>
              </w:rPr>
            </w:pPr>
            <w:r w:rsidRPr="00556843">
              <w:rPr>
                <w:b/>
              </w:rPr>
              <w:t>(whichever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7CA3A3C3" w14:textId="77777777" w:rsidR="002B134C" w:rsidRPr="00556843" w:rsidRDefault="002B134C" w:rsidP="00F658E8">
            <w:pPr>
              <w:pStyle w:val="TableText"/>
              <w:keepNext/>
              <w:rPr>
                <w:b/>
              </w:rPr>
            </w:pPr>
            <w:r w:rsidRPr="00556843">
              <w:rPr>
                <w:b/>
              </w:rPr>
              <w:t>Substantial rate</w:t>
            </w:r>
          </w:p>
          <w:p w14:paraId="2CCE6D45" w14:textId="77777777" w:rsidR="002B134C" w:rsidRPr="00556843" w:rsidRDefault="002B134C" w:rsidP="00F658E8">
            <w:pPr>
              <w:pStyle w:val="TableText"/>
              <w:keepNext/>
              <w:rPr>
                <w:b/>
              </w:rPr>
            </w:pPr>
            <w:r w:rsidRPr="00556843">
              <w:rPr>
                <w:b/>
              </w:rPr>
              <w:t>10% in 10 years or 3 generations</w:t>
            </w:r>
          </w:p>
          <w:p w14:paraId="0642CC9B" w14:textId="77777777" w:rsidR="002B134C" w:rsidRPr="00556843" w:rsidRDefault="002B134C" w:rsidP="00F658E8">
            <w:pPr>
              <w:pStyle w:val="TableText"/>
              <w:keepNext/>
              <w:rPr>
                <w:b/>
              </w:rPr>
            </w:pPr>
            <w:r w:rsidRPr="00556843">
              <w:rPr>
                <w:b/>
              </w:rPr>
              <w:t>(whichever is longer)</w:t>
            </w:r>
          </w:p>
        </w:tc>
      </w:tr>
      <w:tr w:rsidR="002B134C" w:rsidRPr="00556843" w14:paraId="20D8459D"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3D544018"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642BB46E" w14:textId="77777777" w:rsidR="002B134C" w:rsidRPr="00556843" w:rsidRDefault="002B134C" w:rsidP="00F658E8">
            <w:pPr>
              <w:pStyle w:val="TableText"/>
              <w:keepNext/>
            </w:pPr>
          </w:p>
        </w:tc>
        <w:tc>
          <w:tcPr>
            <w:tcW w:w="1833" w:type="dxa"/>
            <w:tcBorders>
              <w:top w:val="nil"/>
              <w:left w:val="nil"/>
              <w:bottom w:val="nil"/>
              <w:right w:val="nil"/>
            </w:tcBorders>
          </w:tcPr>
          <w:p w14:paraId="7BB5C662"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0788A96C" w14:textId="77777777" w:rsidR="002B134C" w:rsidRPr="00556843" w:rsidRDefault="002B134C" w:rsidP="00F658E8">
            <w:pPr>
              <w:pStyle w:val="TableText"/>
              <w:keepNext/>
            </w:pPr>
          </w:p>
        </w:tc>
      </w:tr>
      <w:tr w:rsidR="002B134C" w:rsidRPr="00556843" w14:paraId="6E7EE4B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23F3666A"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4BACA3D5" w14:textId="77777777" w:rsidR="002B134C" w:rsidRPr="00556843" w:rsidRDefault="002B134C" w:rsidP="00F658E8">
            <w:pPr>
              <w:pStyle w:val="TableText"/>
              <w:keepNext/>
              <w:ind w:left="340" w:hanging="340"/>
            </w:pPr>
            <w:r w:rsidRPr="00556843">
              <w:t>(</w:t>
            </w:r>
            <w:proofErr w:type="spellStart"/>
            <w:r w:rsidRPr="00556843">
              <w:t>i</w:t>
            </w:r>
            <w:proofErr w:type="spellEnd"/>
            <w:r w:rsidRPr="00556843">
              <w:t>)</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9160C7A"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DE985F4"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22C4AF1E" w14:textId="5E03A8F7" w:rsidR="002B134C" w:rsidRPr="00556843" w:rsidRDefault="002B134C" w:rsidP="00F658E8">
            <w:pPr>
              <w:pStyle w:val="TableText"/>
              <w:keepNext/>
              <w:rPr>
                <w:b/>
              </w:rPr>
            </w:pPr>
            <w:r w:rsidRPr="00556843">
              <w:rPr>
                <w:b/>
              </w:rPr>
              <w:t>≤ 1000</w:t>
            </w:r>
          </w:p>
        </w:tc>
      </w:tr>
      <w:tr w:rsidR="002B134C" w:rsidRPr="00556843" w14:paraId="79540F2E"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15184F7E"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AE4B8B"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9950B3C"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5DCBA51"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7FE46DC5" w14:textId="77777777" w:rsidR="002B134C" w:rsidRPr="00556843" w:rsidRDefault="002B134C" w:rsidP="00F658E8">
            <w:pPr>
              <w:pStyle w:val="TableText"/>
              <w:keepNext/>
              <w:rPr>
                <w:b/>
              </w:rPr>
            </w:pPr>
            <w:r w:rsidRPr="00556843">
              <w:rPr>
                <w:b/>
              </w:rPr>
              <w:t>100%</w:t>
            </w:r>
          </w:p>
        </w:tc>
      </w:tr>
      <w:tr w:rsidR="002B134C" w:rsidRPr="00556843" w14:paraId="1C91E86B"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28D75837"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685FFD3C"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582DD09"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48666DDF" w14:textId="77777777" w:rsidR="002B134C" w:rsidRPr="00556843" w:rsidRDefault="002B134C" w:rsidP="00F658E8">
            <w:pPr>
              <w:pStyle w:val="TableText"/>
              <w:keepNext/>
            </w:pPr>
          </w:p>
        </w:tc>
      </w:tr>
    </w:tbl>
    <w:p w14:paraId="248E13A2" w14:textId="77777777" w:rsidR="002B69E4" w:rsidRPr="002B69E4" w:rsidRDefault="00C2736A" w:rsidP="00CD30FC">
      <w:pPr>
        <w:pStyle w:val="Heading3"/>
        <w:spacing w:before="240"/>
        <w:ind w:left="964" w:hanging="964"/>
      </w:pPr>
      <w:r>
        <w:t>Criterion 3 e</w:t>
      </w:r>
      <w:r w:rsidR="002B69E4" w:rsidRPr="002B69E4">
        <w:t>vidence</w:t>
      </w:r>
    </w:p>
    <w:p w14:paraId="5C5CDA85" w14:textId="77777777" w:rsidR="001B3109" w:rsidRPr="00CD30FC" w:rsidRDefault="001B3109" w:rsidP="001B3109">
      <w:pPr>
        <w:rPr>
          <w:rStyle w:val="Strong"/>
        </w:rPr>
      </w:pPr>
      <w:bookmarkStart w:id="34" w:name="_Hlk79425475"/>
      <w:r w:rsidRPr="00C3775B">
        <w:rPr>
          <w:rStyle w:val="Strong"/>
        </w:rPr>
        <w:t>Not eligible</w:t>
      </w:r>
    </w:p>
    <w:bookmarkEnd w:id="34"/>
    <w:p w14:paraId="17A95016" w14:textId="2C39F9A0" w:rsidR="00C3775B" w:rsidRPr="008F354B" w:rsidRDefault="00C3775B" w:rsidP="00C3775B">
      <w:pPr>
        <w:rPr>
          <w:bCs/>
          <w:i/>
          <w:iCs/>
        </w:rPr>
      </w:pPr>
      <w:r w:rsidRPr="008F354B">
        <w:rPr>
          <w:bCs/>
          <w:i/>
          <w:iCs/>
        </w:rPr>
        <w:t>Number of mature individuals</w:t>
      </w:r>
    </w:p>
    <w:p w14:paraId="7650266A" w14:textId="2F377592" w:rsidR="00612BC9" w:rsidRDefault="00612BC9" w:rsidP="00612BC9">
      <w:pPr>
        <w:keepLines/>
      </w:pPr>
      <w:r w:rsidRPr="008F354B">
        <w:t>Knowledge of the species</w:t>
      </w:r>
      <w:r w:rsidRPr="0044343A">
        <w:t>’</w:t>
      </w:r>
      <w:r w:rsidRPr="009722E4">
        <w:t xml:space="preserve"> population size </w:t>
      </w:r>
      <w:r w:rsidRPr="00E85443">
        <w:t>requires further survey work. However, based on surveys in 2019–2021, local experts from the NSW DPIE estimate a total population size of</w:t>
      </w:r>
      <w:r w:rsidRPr="00064960">
        <w:t xml:space="preserve"> </w:t>
      </w:r>
      <w:r w:rsidRPr="008F354B">
        <w:t>≥</w:t>
      </w:r>
      <w:r w:rsidRPr="0044343A">
        <w:t> </w:t>
      </w:r>
      <w:r w:rsidRPr="00E85443">
        <w:t>10</w:t>
      </w:r>
      <w:r w:rsidR="00552214">
        <w:t>,</w:t>
      </w:r>
      <w:r w:rsidRPr="00E85443">
        <w:t>000 individuals</w:t>
      </w:r>
      <w:r w:rsidR="006552FE">
        <w:t>,</w:t>
      </w:r>
      <w:r w:rsidRPr="00E85443">
        <w:t xml:space="preserve"> </w:t>
      </w:r>
      <w:r w:rsidR="006552FE">
        <w:t xml:space="preserve">while </w:t>
      </w:r>
      <w:r w:rsidRPr="00064960">
        <w:t xml:space="preserve">suggesting the number of mature individuals </w:t>
      </w:r>
      <w:r>
        <w:t xml:space="preserve">may </w:t>
      </w:r>
      <w:r w:rsidRPr="00064960">
        <w:t>be fewer than 10</w:t>
      </w:r>
      <w:r w:rsidR="00552214">
        <w:t>,</w:t>
      </w:r>
      <w:r w:rsidRPr="00064960">
        <w:t>000 (Table 1)</w:t>
      </w:r>
      <w:r w:rsidR="006552FE" w:rsidRPr="006552FE">
        <w:t xml:space="preserve"> </w:t>
      </w:r>
      <w:r w:rsidR="006552FE" w:rsidRPr="00E85443">
        <w:t xml:space="preserve">(DPIE 2021. pers comm </w:t>
      </w:r>
      <w:r w:rsidR="006552FE">
        <w:t>8</w:t>
      </w:r>
      <w:r w:rsidR="006552FE" w:rsidRPr="008F354B">
        <w:t xml:space="preserve"> September</w:t>
      </w:r>
      <w:r w:rsidR="00972F33">
        <w:t>)</w:t>
      </w:r>
      <w:r w:rsidRPr="00064960">
        <w:t>.</w:t>
      </w:r>
    </w:p>
    <w:p w14:paraId="7BDEA325" w14:textId="76119BDD" w:rsidR="00612BC9" w:rsidRDefault="00612BC9" w:rsidP="00612BC9">
      <w:pPr>
        <w:keepLines/>
      </w:pPr>
      <w:r w:rsidRPr="008F354B">
        <w:t>I</w:t>
      </w:r>
      <w:r w:rsidRPr="0044343A">
        <w:t xml:space="preserve">n addition to </w:t>
      </w:r>
      <w:r w:rsidRPr="009722E4">
        <w:t>the recent estimates (above; Table 1)</w:t>
      </w:r>
      <w:r w:rsidRPr="00064960">
        <w:t xml:space="preserve">, </w:t>
      </w:r>
      <w:r w:rsidRPr="00F827AD">
        <w:rPr>
          <w:noProof/>
        </w:rPr>
        <w:t>Bailey (2019)</w:t>
      </w:r>
      <w:r w:rsidRPr="00F827AD">
        <w:t xml:space="preserve"> also estimated a total population size of at least approximately 5000 individuals from field surveys in 2018–2019. </w:t>
      </w:r>
      <w:r w:rsidRPr="00064960">
        <w:rPr>
          <w:noProof/>
        </w:rPr>
        <w:t>Makinson &amp; Olde (2020)</w:t>
      </w:r>
      <w:r w:rsidRPr="00064960">
        <w:t xml:space="preserve"> inferred that the total population included approximately 800–2000 mature individuals from limited field observations. </w:t>
      </w:r>
    </w:p>
    <w:p w14:paraId="5643489E" w14:textId="77777777" w:rsidR="002C2E95" w:rsidRDefault="00612BC9" w:rsidP="002C2E95">
      <w:r w:rsidRPr="003F117F">
        <w:t>Accordingly, the</w:t>
      </w:r>
      <w:r w:rsidR="00143FC1" w:rsidRPr="003F117F">
        <w:t xml:space="preserve"> number of mature individuals appears to meet the requirements for listing as Vulnerable (&lt;10</w:t>
      </w:r>
      <w:r w:rsidR="00552214">
        <w:t>,</w:t>
      </w:r>
      <w:r w:rsidR="00143FC1" w:rsidRPr="003F117F">
        <w:t>000).</w:t>
      </w:r>
    </w:p>
    <w:p w14:paraId="50029AAC" w14:textId="77777777" w:rsidR="002C2E95" w:rsidRDefault="00084DE6" w:rsidP="00972F33">
      <w:pPr>
        <w:keepNext/>
        <w:keepLines/>
        <w:rPr>
          <w:i/>
          <w:iCs/>
          <w:lang w:eastAsia="ja-JP"/>
        </w:rPr>
      </w:pPr>
      <w:r w:rsidRPr="00523D13">
        <w:rPr>
          <w:i/>
          <w:iCs/>
          <w:lang w:eastAsia="ja-JP"/>
        </w:rPr>
        <w:lastRenderedPageBreak/>
        <w:t>C</w:t>
      </w:r>
      <w:r w:rsidR="00713452" w:rsidRPr="00523D13">
        <w:rPr>
          <w:i/>
          <w:iCs/>
          <w:lang w:eastAsia="ja-JP"/>
        </w:rPr>
        <w:t>ontinuing decline</w:t>
      </w:r>
    </w:p>
    <w:p w14:paraId="36D7BEB4" w14:textId="3A8B567E" w:rsidR="00972F33" w:rsidRPr="00EF28B7" w:rsidRDefault="00972F33" w:rsidP="00972F33">
      <w:pPr>
        <w:keepNext/>
        <w:keepLines/>
      </w:pPr>
      <w:r w:rsidRPr="00EF28B7">
        <w:rPr>
          <w:lang w:eastAsia="ja-JP"/>
        </w:rPr>
        <w:t>As</w:t>
      </w:r>
      <w:r w:rsidRPr="00EF28B7">
        <w:t xml:space="preserve"> discussed in Criterion 2 (see above), </w:t>
      </w:r>
      <w:bookmarkStart w:id="35" w:name="_Hlk82518554"/>
      <w:r w:rsidRPr="00EF28B7">
        <w:t xml:space="preserve">the species </w:t>
      </w:r>
      <w:r w:rsidR="0023046E">
        <w:t>is projected</w:t>
      </w:r>
      <w:r w:rsidRPr="00EF28B7">
        <w:t xml:space="preserve"> to undergo continuing decline in </w:t>
      </w:r>
      <w:r w:rsidRPr="00EF28B7">
        <w:rPr>
          <w:lang w:eastAsia="ja-JP"/>
        </w:rPr>
        <w:t>the number of mature individuals.</w:t>
      </w:r>
      <w:r w:rsidRPr="00EF28B7">
        <w:t xml:space="preserve"> </w:t>
      </w:r>
      <w:bookmarkEnd w:id="35"/>
      <w:r w:rsidRPr="00EF28B7">
        <w:rPr>
          <w:lang w:eastAsia="ja-JP"/>
        </w:rPr>
        <w:t>However, the rate of decline is unknown. Accordingly, the species</w:t>
      </w:r>
      <w:r w:rsidRPr="00EF28B7">
        <w:t xml:space="preserve"> appears to only meet the C2 continuing decline requirement for listing under this criterion and not the C1 continuing decline requirement.</w:t>
      </w:r>
    </w:p>
    <w:p w14:paraId="7BF9A076" w14:textId="77777777" w:rsidR="00C3775B" w:rsidRDefault="00C3775B" w:rsidP="00C3775B">
      <w:pPr>
        <w:rPr>
          <w:bCs/>
          <w:i/>
          <w:iCs/>
        </w:rPr>
      </w:pPr>
      <w:r>
        <w:rPr>
          <w:bCs/>
          <w:i/>
          <w:iCs/>
        </w:rPr>
        <w:t>Number/percentage of mature individuals in one subpopulation</w:t>
      </w:r>
    </w:p>
    <w:p w14:paraId="6CA2A290" w14:textId="28462D21" w:rsidR="00EE450B" w:rsidRDefault="00B7745A" w:rsidP="00FA701E">
      <w:bookmarkStart w:id="36" w:name="_Hlk82599945"/>
      <w:r w:rsidRPr="00786691">
        <w:t>The</w:t>
      </w:r>
      <w:r w:rsidR="00E573D2" w:rsidRPr="00786691">
        <w:t xml:space="preserve"> number </w:t>
      </w:r>
      <w:r w:rsidR="00096962" w:rsidRPr="00786691">
        <w:t>of mature individuals with</w:t>
      </w:r>
      <w:r w:rsidR="00E573D2" w:rsidRPr="00786691">
        <w:t xml:space="preserve">in each subpopulation </w:t>
      </w:r>
      <w:r w:rsidR="00786691" w:rsidRPr="00786691">
        <w:t xml:space="preserve">is </w:t>
      </w:r>
      <w:r w:rsidRPr="00786691">
        <w:t>unknown</w:t>
      </w:r>
      <w:r w:rsidR="00786691">
        <w:t>. H</w:t>
      </w:r>
      <w:r w:rsidR="00E573D2" w:rsidRPr="00786691">
        <w:t xml:space="preserve">owever, </w:t>
      </w:r>
      <w:r w:rsidR="001C09C9" w:rsidRPr="00786691">
        <w:t xml:space="preserve">the </w:t>
      </w:r>
      <w:r w:rsidR="00786691" w:rsidRPr="00786691">
        <w:t>population size</w:t>
      </w:r>
      <w:r w:rsidRPr="00786691">
        <w:t xml:space="preserve"> </w:t>
      </w:r>
      <w:r w:rsidR="00786691">
        <w:t>of</w:t>
      </w:r>
      <w:r w:rsidR="00786691" w:rsidRPr="00786691">
        <w:t xml:space="preserve"> two subpopulations </w:t>
      </w:r>
      <w:r w:rsidRPr="00E149A2">
        <w:t>has been estimated</w:t>
      </w:r>
      <w:r w:rsidR="00786691" w:rsidRPr="00786691">
        <w:t xml:space="preserve"> as approximately 5000 individuals </w:t>
      </w:r>
      <w:r w:rsidR="00786691">
        <w:t xml:space="preserve">each </w:t>
      </w:r>
      <w:r w:rsidR="00786691" w:rsidRPr="00786691">
        <w:t>(Table 1) (DPIE 2021. pers comm 8 September 2021)</w:t>
      </w:r>
      <w:r w:rsidR="001C09C9" w:rsidRPr="00786691">
        <w:t>.</w:t>
      </w:r>
      <w:r w:rsidR="002726EE" w:rsidRPr="00786691">
        <w:t xml:space="preserve"> </w:t>
      </w:r>
      <w:bookmarkEnd w:id="36"/>
      <w:r w:rsidR="0020323E" w:rsidRPr="00786691">
        <w:t xml:space="preserve">Assuming the age structure is similar across subpopulations (i.e., they have similar proportion of mature individuals), </w:t>
      </w:r>
      <w:r w:rsidR="00786691" w:rsidRPr="00786691">
        <w:t xml:space="preserve">the number of mature individuals in each subpopulation is likely to exceed 1000 and the percentage of mature individuals in one subpopulation </w:t>
      </w:r>
      <w:r w:rsidR="00786691">
        <w:t>is less than</w:t>
      </w:r>
      <w:r w:rsidR="00786691" w:rsidRPr="00E149A2">
        <w:t xml:space="preserve"> 100 percent</w:t>
      </w:r>
      <w:r w:rsidR="00786691">
        <w:t>.</w:t>
      </w:r>
      <w:r w:rsidR="00EF6D71">
        <w:t xml:space="preserve"> </w:t>
      </w:r>
      <w:r w:rsidR="00786691" w:rsidRPr="00786691">
        <w:t>T</w:t>
      </w:r>
      <w:r w:rsidR="00D32E9F" w:rsidRPr="00786691">
        <w:t xml:space="preserve">he species does not appear to meet </w:t>
      </w:r>
      <w:r w:rsidR="007A4D44" w:rsidRPr="00786691">
        <w:t>the</w:t>
      </w:r>
      <w:r w:rsidR="00C94BBC" w:rsidRPr="00786691">
        <w:t xml:space="preserve"> number/percentage of mature </w:t>
      </w:r>
      <w:r w:rsidR="00636C36" w:rsidRPr="00786691">
        <w:t>individuals’</w:t>
      </w:r>
      <w:r w:rsidR="00C94BBC" w:rsidRPr="00786691">
        <w:t xml:space="preserve"> </w:t>
      </w:r>
      <w:r w:rsidR="00D32E9F" w:rsidRPr="00E149A2">
        <w:t xml:space="preserve">requirement for listing under </w:t>
      </w:r>
      <w:r w:rsidR="007A4D44" w:rsidRPr="00E149A2">
        <w:t>this criterion.</w:t>
      </w:r>
    </w:p>
    <w:p w14:paraId="0536B853" w14:textId="77777777" w:rsidR="00C3775B" w:rsidRPr="001B624C" w:rsidRDefault="00C3775B" w:rsidP="00C3775B">
      <w:pPr>
        <w:rPr>
          <w:bCs/>
          <w:i/>
          <w:iCs/>
        </w:rPr>
      </w:pPr>
      <w:r>
        <w:rPr>
          <w:bCs/>
          <w:i/>
          <w:iCs/>
        </w:rPr>
        <w:t>Extreme fluctuations in the number of mature individuals</w:t>
      </w:r>
    </w:p>
    <w:p w14:paraId="07323F63" w14:textId="67FBF87D" w:rsidR="00636C36" w:rsidRPr="00D66DB7" w:rsidRDefault="00636C36" w:rsidP="00636C36">
      <w:pPr>
        <w:rPr>
          <w:bCs/>
          <w:i/>
          <w:iCs/>
          <w:lang w:eastAsia="ja-JP"/>
        </w:rPr>
      </w:pPr>
      <w:r>
        <w:t>The p</w:t>
      </w:r>
      <w:r w:rsidRPr="00A51A04">
        <w:t>opulation size</w:t>
      </w:r>
      <w:r>
        <w:t xml:space="preserve"> of the Banyabba </w:t>
      </w:r>
      <w:r w:rsidR="004F7964">
        <w:t>g</w:t>
      </w:r>
      <w:r>
        <w:t>revillea</w:t>
      </w:r>
      <w:r w:rsidRPr="00A51A04">
        <w:t xml:space="preserve"> fluctuates following fire</w:t>
      </w:r>
      <w:r>
        <w:t xml:space="preserve"> (see Criterion 1)</w:t>
      </w:r>
      <w:r w:rsidRPr="00A51A04">
        <w:t>, however, there is no evidence to suggest</w:t>
      </w:r>
      <w:r>
        <w:t xml:space="preserve"> that these</w:t>
      </w:r>
      <w:r w:rsidRPr="00A51A04">
        <w:t xml:space="preserve"> fluctuations exceed one order of magnitude.</w:t>
      </w:r>
      <w:r w:rsidR="00EF6D71">
        <w:t xml:space="preserve"> </w:t>
      </w:r>
      <w:r w:rsidRPr="00750DB4">
        <w:t>The species</w:t>
      </w:r>
      <w:r>
        <w:t xml:space="preserve"> does not</w:t>
      </w:r>
      <w:r w:rsidRPr="00750DB4">
        <w:t xml:space="preserve"> appear to meet the </w:t>
      </w:r>
      <w:r>
        <w:t>extreme fluctuations</w:t>
      </w:r>
      <w:r w:rsidRPr="00750DB4">
        <w:t xml:space="preserve"> requirement for listing under this criterion.</w:t>
      </w:r>
    </w:p>
    <w:p w14:paraId="6260A0C9" w14:textId="77777777" w:rsidR="00C3775B" w:rsidRPr="0044343A" w:rsidRDefault="00C3775B" w:rsidP="00C3775B">
      <w:pPr>
        <w:keepNext/>
        <w:rPr>
          <w:bCs/>
          <w:i/>
          <w:iCs/>
        </w:rPr>
      </w:pPr>
      <w:r w:rsidRPr="008F354B">
        <w:rPr>
          <w:bCs/>
          <w:i/>
          <w:iCs/>
        </w:rPr>
        <w:t>Conclusion</w:t>
      </w:r>
    </w:p>
    <w:p w14:paraId="5DCC3909" w14:textId="0E8EE99D" w:rsidR="006F1ED7" w:rsidRDefault="006F1ED7" w:rsidP="00950703">
      <w:pPr>
        <w:keepLines/>
      </w:pPr>
      <w:bookmarkStart w:id="37" w:name="_Hlk79425387"/>
      <w:r>
        <w:t>While th</w:t>
      </w:r>
      <w:r w:rsidRPr="00663D5A">
        <w:t>e species’ population size appears to be &lt;10</w:t>
      </w:r>
      <w:r>
        <w:t>,</w:t>
      </w:r>
      <w:r w:rsidRPr="00663D5A">
        <w:t>000 mature individuals, and the number of mature individuals appears to be undergoing continuing decline</w:t>
      </w:r>
      <w:r>
        <w:t>, the species does not meet the other sub-criteria for listing under this criterion.</w:t>
      </w:r>
    </w:p>
    <w:p w14:paraId="41374190" w14:textId="77777777" w:rsidR="006F1ED7" w:rsidRPr="00676DC7" w:rsidRDefault="006F1ED7" w:rsidP="006F1ED7">
      <w:pPr>
        <w:keepLines/>
        <w:rPr>
          <w:lang w:eastAsia="ja-JP"/>
        </w:rPr>
      </w:pPr>
      <w:r w:rsidRPr="00D97723">
        <w:rPr>
          <w:lang w:eastAsia="ja-JP"/>
        </w:rPr>
        <w:t xml:space="preserve">The data presented above appear </w:t>
      </w:r>
      <w:r>
        <w:rPr>
          <w:lang w:eastAsia="ja-JP"/>
        </w:rPr>
        <w:t>to</w:t>
      </w:r>
      <w:r w:rsidRPr="00D97723">
        <w:rPr>
          <w:lang w:eastAsia="ja-JP"/>
        </w:rPr>
        <w:t xml:space="preserve"> demonstrate the species is </w:t>
      </w:r>
      <w:r>
        <w:rPr>
          <w:lang w:eastAsia="ja-JP"/>
        </w:rPr>
        <w:t xml:space="preserve">not </w:t>
      </w:r>
      <w:r w:rsidRPr="00D97723">
        <w:rPr>
          <w:lang w:eastAsia="ja-JP"/>
        </w:rPr>
        <w:t xml:space="preserve">eligible for listing under this criterion. However, the purpose of this consultation document is to elicit additional information to better understand the species’ status. This conclusion should therefore </w:t>
      </w:r>
      <w:proofErr w:type="gramStart"/>
      <w:r w:rsidRPr="00D97723">
        <w:rPr>
          <w:lang w:eastAsia="ja-JP"/>
        </w:rPr>
        <w:t>be considered to be</w:t>
      </w:r>
      <w:proofErr w:type="gramEnd"/>
      <w:r w:rsidRPr="00D97723">
        <w:rPr>
          <w:lang w:eastAsia="ja-JP"/>
        </w:rPr>
        <w:t xml:space="preserve"> tentative at this stage, as it may be changed as a result of responses to this consultation process.</w:t>
      </w:r>
    </w:p>
    <w:bookmarkEnd w:id="37"/>
    <w:p w14:paraId="3DFAD6B3" w14:textId="57AABBF5" w:rsidR="00C3775B" w:rsidRPr="00A53F4F" w:rsidRDefault="00C3775B" w:rsidP="00950703">
      <w:pPr>
        <w:keepLines/>
        <w:rPr>
          <w:lang w:eastAsia="ja-JP"/>
        </w:rPr>
      </w:pPr>
      <w:r>
        <w:br w:type="page"/>
      </w:r>
    </w:p>
    <w:p w14:paraId="5745F624" w14:textId="7DCD09B8" w:rsidR="00166185" w:rsidRDefault="00166185" w:rsidP="00166185">
      <w:pPr>
        <w:pStyle w:val="Caption"/>
      </w:pPr>
      <w:r w:rsidRPr="00166185">
        <w:lastRenderedPageBreak/>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5B57632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20094C0" w14:textId="77777777" w:rsidR="00166185" w:rsidRPr="00166185" w:rsidRDefault="00166185" w:rsidP="000E630E">
            <w:pPr>
              <w:pStyle w:val="TableText"/>
              <w:keepNext/>
            </w:pPr>
          </w:p>
        </w:tc>
      </w:tr>
      <w:tr w:rsidR="00166185" w:rsidRPr="00166185" w14:paraId="75A5BBCD"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42832A4E"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3CFABE17" w14:textId="77777777" w:rsidR="00166185" w:rsidRPr="009E3E71" w:rsidRDefault="00166185" w:rsidP="000E630E">
            <w:pPr>
              <w:pStyle w:val="TableText"/>
              <w:keepNext/>
              <w:rPr>
                <w:rStyle w:val="Strong"/>
              </w:rPr>
            </w:pPr>
            <w:r w:rsidRPr="009E3E71">
              <w:rPr>
                <w:rStyle w:val="Strong"/>
              </w:rPr>
              <w:t>Critically Endangered</w:t>
            </w:r>
          </w:p>
          <w:p w14:paraId="7A5B4454"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1A5951C4" w14:textId="77777777" w:rsidR="00166185" w:rsidRPr="009E3E71" w:rsidRDefault="00166185" w:rsidP="000E630E">
            <w:pPr>
              <w:pStyle w:val="TableText"/>
              <w:keepNext/>
              <w:rPr>
                <w:rStyle w:val="Strong"/>
              </w:rPr>
            </w:pPr>
            <w:r w:rsidRPr="009E3E71">
              <w:rPr>
                <w:rStyle w:val="Strong"/>
              </w:rPr>
              <w:t>Endangered</w:t>
            </w:r>
          </w:p>
          <w:p w14:paraId="6FA27A6E"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473FD0EF" w14:textId="77777777" w:rsidR="00166185" w:rsidRPr="009E3E71" w:rsidRDefault="00166185" w:rsidP="000E630E">
            <w:pPr>
              <w:pStyle w:val="TableText"/>
              <w:keepNext/>
              <w:rPr>
                <w:rStyle w:val="Strong"/>
              </w:rPr>
            </w:pPr>
            <w:r w:rsidRPr="009E3E71">
              <w:rPr>
                <w:rStyle w:val="Strong"/>
              </w:rPr>
              <w:t>Vulnerable</w:t>
            </w:r>
          </w:p>
          <w:p w14:paraId="763F4E24" w14:textId="77777777" w:rsidR="00166185" w:rsidRPr="009E3E71" w:rsidRDefault="00166185" w:rsidP="000E630E">
            <w:pPr>
              <w:pStyle w:val="TableText"/>
              <w:keepNext/>
              <w:rPr>
                <w:rStyle w:val="Strong"/>
              </w:rPr>
            </w:pPr>
            <w:r w:rsidRPr="009E3E71">
              <w:rPr>
                <w:rStyle w:val="Strong"/>
              </w:rPr>
              <w:t>Low</w:t>
            </w:r>
          </w:p>
        </w:tc>
      </w:tr>
      <w:tr w:rsidR="00166185" w:rsidRPr="00166185" w14:paraId="09E373D7"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7222AA12"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36E36575"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4CB80927"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4B43FA3B" w14:textId="4D75F800"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71AB6A77"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75DFC0BD"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23F2175C" w14:textId="77777777" w:rsidR="00166185" w:rsidRPr="00166185" w:rsidRDefault="00166185" w:rsidP="000E630E">
            <w:pPr>
              <w:pStyle w:val="TableText"/>
              <w:keepNext/>
              <w:rPr>
                <w:szCs w:val="18"/>
              </w:rPr>
            </w:pPr>
            <w:r w:rsidRPr="00166185">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1976F246"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33936B5"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44F477F9"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5820545C" w14:textId="77777777" w:rsidR="00166185" w:rsidRP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9" w:history="1">
        <w:r w:rsidRPr="00166185">
          <w:rPr>
            <w:rStyle w:val="Hyperlink"/>
            <w:bCs/>
            <w:i/>
            <w:iCs/>
          </w:rPr>
          <w:t>common assessment method</w:t>
        </w:r>
      </w:hyperlink>
      <w:r w:rsidRPr="00166185">
        <w:t>.</w:t>
      </w:r>
    </w:p>
    <w:p w14:paraId="6B513472" w14:textId="77777777" w:rsidR="00C2736A" w:rsidRPr="00C2736A" w:rsidRDefault="00C2736A">
      <w:pPr>
        <w:pStyle w:val="Heading3"/>
        <w:ind w:left="964" w:hanging="964"/>
      </w:pPr>
      <w:r>
        <w:t>Criterion 4 e</w:t>
      </w:r>
      <w:r w:rsidR="00BE530B" w:rsidRPr="00BE530B">
        <w:t>vidence</w:t>
      </w:r>
    </w:p>
    <w:p w14:paraId="73E0D381" w14:textId="40B46274" w:rsidR="00A53F4F" w:rsidRPr="00CD30FC" w:rsidRDefault="00A53F4F" w:rsidP="00A53F4F">
      <w:pPr>
        <w:rPr>
          <w:rStyle w:val="Strong"/>
        </w:rPr>
      </w:pPr>
      <w:r w:rsidRPr="00C3775B">
        <w:rPr>
          <w:rStyle w:val="Strong"/>
        </w:rPr>
        <w:t>Not eligible</w:t>
      </w:r>
    </w:p>
    <w:p w14:paraId="03D3569B" w14:textId="77777777" w:rsidR="004F0F42" w:rsidRPr="001B624C" w:rsidRDefault="004F0F42" w:rsidP="004F0F42">
      <w:pPr>
        <w:rPr>
          <w:bCs/>
          <w:i/>
          <w:iCs/>
        </w:rPr>
      </w:pPr>
      <w:bookmarkStart w:id="38" w:name="_Hlk79425541"/>
      <w:r>
        <w:rPr>
          <w:bCs/>
          <w:i/>
          <w:iCs/>
        </w:rPr>
        <w:t>Number of mature individuals</w:t>
      </w:r>
    </w:p>
    <w:p w14:paraId="0F48DB88" w14:textId="41B803E6" w:rsidR="00EA26DE" w:rsidRDefault="00A53F4F" w:rsidP="004F0F42">
      <w:pPr>
        <w:rPr>
          <w:bCs/>
        </w:rPr>
      </w:pPr>
      <w:r>
        <w:rPr>
          <w:lang w:eastAsia="ja-JP"/>
        </w:rPr>
        <w:t>As</w:t>
      </w:r>
      <w:r w:rsidRPr="006B5300">
        <w:rPr>
          <w:bCs/>
        </w:rPr>
        <w:t xml:space="preserve"> per the </w:t>
      </w:r>
      <w:r w:rsidR="003B0A82">
        <w:rPr>
          <w:bCs/>
        </w:rPr>
        <w:t>evidence presented</w:t>
      </w:r>
      <w:r w:rsidRPr="006B5300">
        <w:rPr>
          <w:bCs/>
        </w:rPr>
        <w:t xml:space="preserve"> above for Criterion 3, it is highly unlikely that the number of mature individuals is less than 1000</w:t>
      </w:r>
      <w:r w:rsidR="003B0A82">
        <w:rPr>
          <w:bCs/>
        </w:rPr>
        <w:t>.</w:t>
      </w:r>
    </w:p>
    <w:p w14:paraId="7D7693D4" w14:textId="3F820D6C" w:rsidR="004F0F42" w:rsidRDefault="00EA26DE" w:rsidP="004F0F42">
      <w:pPr>
        <w:rPr>
          <w:bCs/>
        </w:rPr>
      </w:pPr>
      <w:bookmarkStart w:id="39" w:name="_Hlk82462597"/>
      <w:r>
        <w:rPr>
          <w:bCs/>
        </w:rPr>
        <w:t>Species cannot be listed under Criterion D2</w:t>
      </w:r>
      <w:r w:rsidR="00280752">
        <w:rPr>
          <w:bCs/>
        </w:rPr>
        <w:t xml:space="preserve"> (see </w:t>
      </w:r>
      <w:r w:rsidR="00280752" w:rsidRPr="00280752">
        <w:rPr>
          <w:bCs/>
          <w:vertAlign w:val="superscript"/>
        </w:rPr>
        <w:t>1</w:t>
      </w:r>
      <w:r w:rsidR="00280752">
        <w:rPr>
          <w:bCs/>
        </w:rPr>
        <w:t xml:space="preserve">). However, given the species’ number of locations is </w:t>
      </w:r>
      <w:r w:rsidR="00BE10EB">
        <w:t>&lt;</w:t>
      </w:r>
      <w:r w:rsidR="00280752">
        <w:t xml:space="preserve"> five</w:t>
      </w:r>
      <w:r w:rsidR="00280752" w:rsidRPr="006B5300" w:rsidDel="00280752">
        <w:rPr>
          <w:bCs/>
        </w:rPr>
        <w:t xml:space="preserve"> </w:t>
      </w:r>
      <w:r w:rsidR="00280752">
        <w:rPr>
          <w:bCs/>
        </w:rPr>
        <w:t>(see Criterion 2), the species meets the requirements for listing in the Vulnerable category under D2.</w:t>
      </w:r>
    </w:p>
    <w:bookmarkEnd w:id="39"/>
    <w:p w14:paraId="49121630" w14:textId="77777777" w:rsidR="004F0F42" w:rsidRPr="00346064" w:rsidRDefault="004F0F42" w:rsidP="004F0F42">
      <w:pPr>
        <w:keepNext/>
        <w:rPr>
          <w:bCs/>
          <w:i/>
          <w:iCs/>
        </w:rPr>
      </w:pPr>
      <w:r>
        <w:rPr>
          <w:bCs/>
          <w:i/>
          <w:iCs/>
        </w:rPr>
        <w:t>Conclusion</w:t>
      </w:r>
    </w:p>
    <w:p w14:paraId="55EA181C" w14:textId="77777777" w:rsidR="004F0F42" w:rsidRPr="00676DC7" w:rsidRDefault="004F0F42" w:rsidP="004F0F42">
      <w:pPr>
        <w:keepLines/>
        <w:rPr>
          <w:lang w:eastAsia="ja-JP"/>
        </w:rPr>
      </w:pPr>
      <w:r w:rsidRPr="00D97723">
        <w:rPr>
          <w:lang w:eastAsia="ja-JP"/>
        </w:rPr>
        <w:t xml:space="preserve">The data presented above appear </w:t>
      </w:r>
      <w:r>
        <w:rPr>
          <w:lang w:eastAsia="ja-JP"/>
        </w:rPr>
        <w:t>to</w:t>
      </w:r>
      <w:r w:rsidRPr="00D97723">
        <w:rPr>
          <w:lang w:eastAsia="ja-JP"/>
        </w:rPr>
        <w:t xml:space="preserve"> demonstrate the species is </w:t>
      </w:r>
      <w:r>
        <w:rPr>
          <w:lang w:eastAsia="ja-JP"/>
        </w:rPr>
        <w:t xml:space="preserve">not </w:t>
      </w:r>
      <w:r w:rsidRPr="00D97723">
        <w:rPr>
          <w:lang w:eastAsia="ja-JP"/>
        </w:rPr>
        <w:t xml:space="preserve">eligible for listing under this criterion. However, the purpose of this consultation document is to elicit additional information to better understand the species’ status. This conclusion should therefore </w:t>
      </w:r>
      <w:proofErr w:type="gramStart"/>
      <w:r w:rsidRPr="00D97723">
        <w:rPr>
          <w:lang w:eastAsia="ja-JP"/>
        </w:rPr>
        <w:t>be considered to be</w:t>
      </w:r>
      <w:proofErr w:type="gramEnd"/>
      <w:r w:rsidRPr="00D97723">
        <w:rPr>
          <w:lang w:eastAsia="ja-JP"/>
        </w:rPr>
        <w:t xml:space="preserve"> tentative at this stage, as it may be changed as a result of responses to this consultation process.</w:t>
      </w:r>
    </w:p>
    <w:bookmarkEnd w:id="38"/>
    <w:p w14:paraId="02E805BA" w14:textId="77777777" w:rsidR="004F0F42" w:rsidRDefault="004F0F42">
      <w:pPr>
        <w:spacing w:after="0" w:line="240" w:lineRule="auto"/>
        <w:rPr>
          <w:rFonts w:ascii="Calibri" w:hAnsi="Calibri"/>
          <w:b/>
          <w:bCs/>
          <w:sz w:val="24"/>
          <w:szCs w:val="18"/>
        </w:rPr>
      </w:pPr>
      <w:r>
        <w:br w:type="page"/>
      </w:r>
    </w:p>
    <w:p w14:paraId="6E2E1DEA" w14:textId="6189EA22" w:rsidR="00AD2722" w:rsidRDefault="00AD2722" w:rsidP="00AD2722">
      <w:pPr>
        <w:pStyle w:val="Caption"/>
      </w:pPr>
      <w:r w:rsidRPr="00AD2722">
        <w:lastRenderedPageBreak/>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4DC04606"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7A3E93FD"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03DE1283" w14:textId="77777777" w:rsidTr="001C7420">
        <w:trPr>
          <w:trHeight w:val="439"/>
        </w:trPr>
        <w:tc>
          <w:tcPr>
            <w:tcW w:w="4042" w:type="dxa"/>
            <w:tcBorders>
              <w:top w:val="nil"/>
              <w:left w:val="single" w:sz="4" w:space="0" w:color="auto"/>
              <w:bottom w:val="nil"/>
              <w:right w:val="nil"/>
            </w:tcBorders>
          </w:tcPr>
          <w:p w14:paraId="644B2A6C"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32A74DB2" w14:textId="77777777" w:rsidR="00AD2722" w:rsidRPr="009E3E71" w:rsidRDefault="00AD2722" w:rsidP="000E630E">
            <w:pPr>
              <w:pStyle w:val="TableText"/>
              <w:keepNext/>
              <w:rPr>
                <w:rStyle w:val="Strong"/>
              </w:rPr>
            </w:pPr>
            <w:r w:rsidRPr="009E3E71">
              <w:rPr>
                <w:rStyle w:val="Strong"/>
              </w:rPr>
              <w:t>Critically Endangered</w:t>
            </w:r>
          </w:p>
          <w:p w14:paraId="575C850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368FFF8" w14:textId="77777777" w:rsidR="00AD2722" w:rsidRPr="009E3E71" w:rsidRDefault="00AD2722" w:rsidP="000E630E">
            <w:pPr>
              <w:pStyle w:val="TableText"/>
              <w:keepNext/>
              <w:rPr>
                <w:rStyle w:val="Strong"/>
              </w:rPr>
            </w:pPr>
            <w:r w:rsidRPr="009E3E71">
              <w:rPr>
                <w:rStyle w:val="Strong"/>
              </w:rPr>
              <w:t>Endangered</w:t>
            </w:r>
          </w:p>
          <w:p w14:paraId="3E308212"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65FAB01F" w14:textId="77777777" w:rsidR="00AD2722" w:rsidRPr="009E3E71" w:rsidRDefault="00AD2722" w:rsidP="000E630E">
            <w:pPr>
              <w:pStyle w:val="TableText"/>
              <w:keepNext/>
              <w:rPr>
                <w:rStyle w:val="Strong"/>
              </w:rPr>
            </w:pPr>
            <w:r w:rsidRPr="009E3E71">
              <w:rPr>
                <w:rStyle w:val="Strong"/>
              </w:rPr>
              <w:t>Vulnerable</w:t>
            </w:r>
          </w:p>
          <w:p w14:paraId="5D438F52"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1B9797FC"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7978D745"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2BE76E4D"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687F39BD"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73D70995"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1AE65F5" w14:textId="77777777" w:rsidR="00AD2722" w:rsidRPr="00AD2722" w:rsidRDefault="00C2736A" w:rsidP="00A41058">
      <w:pPr>
        <w:pStyle w:val="Heading3"/>
        <w:spacing w:before="240"/>
        <w:ind w:left="964" w:hanging="964"/>
      </w:pPr>
      <w:r>
        <w:t>Criterion 5 e</w:t>
      </w:r>
      <w:r w:rsidR="00AD2722" w:rsidRPr="00AD2722">
        <w:t>vidence</w:t>
      </w:r>
    </w:p>
    <w:p w14:paraId="39977649" w14:textId="77777777" w:rsidR="00E83A00" w:rsidRPr="00A41058" w:rsidRDefault="00E83A00" w:rsidP="00E83A00">
      <w:pPr>
        <w:rPr>
          <w:rStyle w:val="Strong"/>
        </w:rPr>
      </w:pPr>
      <w:r w:rsidRPr="00A31C80">
        <w:rPr>
          <w:rStyle w:val="Strong"/>
        </w:rPr>
        <w:t>Insufficient data to determine eligibility</w:t>
      </w:r>
      <w:r w:rsidRPr="00A41058">
        <w:rPr>
          <w:rStyle w:val="Strong"/>
        </w:rPr>
        <w:t xml:space="preserve"> </w:t>
      </w:r>
    </w:p>
    <w:p w14:paraId="02A19BED" w14:textId="77777777" w:rsidR="00E83A00" w:rsidRPr="002407FF" w:rsidRDefault="00E83A00" w:rsidP="00E83A00">
      <w:pPr>
        <w:rPr>
          <w:rStyle w:val="Strong"/>
          <w:b w:val="0"/>
          <w:bCs w:val="0"/>
          <w:i/>
          <w:iCs/>
        </w:rPr>
      </w:pPr>
      <w:r>
        <w:rPr>
          <w:rStyle w:val="Strong"/>
          <w:b w:val="0"/>
          <w:bCs w:val="0"/>
          <w:i/>
          <w:iCs/>
        </w:rPr>
        <w:t>Population viability analysis</w:t>
      </w:r>
    </w:p>
    <w:p w14:paraId="0CE77891" w14:textId="4FEED672" w:rsidR="00E83A00" w:rsidRPr="000A5525" w:rsidRDefault="00E83A00" w:rsidP="00E83A00">
      <w:pPr>
        <w:rPr>
          <w:bCs/>
        </w:rPr>
      </w:pPr>
      <w:r w:rsidRPr="000A5525">
        <w:rPr>
          <w:bCs/>
        </w:rPr>
        <w:t xml:space="preserve">Population viability analysis has not been undertaken for the </w:t>
      </w:r>
      <w:r>
        <w:rPr>
          <w:bCs/>
        </w:rPr>
        <w:t xml:space="preserve">Banyabba </w:t>
      </w:r>
      <w:r w:rsidR="004F7964">
        <w:rPr>
          <w:bCs/>
        </w:rPr>
        <w:t>g</w:t>
      </w:r>
      <w:r>
        <w:rPr>
          <w:bCs/>
        </w:rPr>
        <w:t>revillea</w:t>
      </w:r>
      <w:r w:rsidRPr="000A5525">
        <w:rPr>
          <w:bCs/>
        </w:rPr>
        <w:t>.</w:t>
      </w:r>
    </w:p>
    <w:p w14:paraId="2708FF43" w14:textId="77777777" w:rsidR="00E83A00" w:rsidRPr="00346064" w:rsidRDefault="00E83A00" w:rsidP="00E83A00">
      <w:pPr>
        <w:rPr>
          <w:bCs/>
          <w:i/>
          <w:iCs/>
        </w:rPr>
      </w:pPr>
      <w:bookmarkStart w:id="40" w:name="_Hlk79425690"/>
      <w:r>
        <w:rPr>
          <w:bCs/>
          <w:i/>
          <w:iCs/>
        </w:rPr>
        <w:t>Conclusion</w:t>
      </w:r>
    </w:p>
    <w:p w14:paraId="1F357ABC" w14:textId="77777777" w:rsidR="00E83A00" w:rsidRPr="004D037C" w:rsidRDefault="00E83A00" w:rsidP="00E83A00">
      <w:pPr>
        <w:rPr>
          <w:bCs/>
        </w:rPr>
      </w:pPr>
      <w:r w:rsidRPr="000A5525">
        <w:rPr>
          <w:bCs/>
        </w:rPr>
        <w:t>There are insufficient data to demonstrate if the species is eligible for listing under this criterion. However, the</w:t>
      </w:r>
      <w:r w:rsidRPr="00374C7B">
        <w:rPr>
          <w:bCs/>
        </w:rPr>
        <w:t xml:space="preserve"> purpose of this consultation document is to elicit additional information to better understand the species’ status. This conclusion should therefore </w:t>
      </w:r>
      <w:proofErr w:type="gramStart"/>
      <w:r w:rsidRPr="00374C7B">
        <w:rPr>
          <w:bCs/>
        </w:rPr>
        <w:t>be considered to be</w:t>
      </w:r>
      <w:proofErr w:type="gramEnd"/>
      <w:r w:rsidRPr="00374C7B">
        <w:rPr>
          <w:bCs/>
        </w:rPr>
        <w:t xml:space="preserve"> tentative at this stage, as it may be changed as a result of responses to this consultation process.</w:t>
      </w:r>
      <w:bookmarkEnd w:id="40"/>
    </w:p>
    <w:p w14:paraId="61B23AE0" w14:textId="77777777" w:rsidR="00E83A00" w:rsidRPr="00AD2722" w:rsidRDefault="00E83A00" w:rsidP="001B3109">
      <w:pPr>
        <w:pStyle w:val="Heading3"/>
        <w:keepNext w:val="0"/>
        <w:keepLines w:val="0"/>
        <w:ind w:left="964" w:hanging="964"/>
      </w:pPr>
      <w:r w:rsidRPr="00AD2722">
        <w:t>Adequacy of survey</w:t>
      </w:r>
    </w:p>
    <w:p w14:paraId="0D898AE4" w14:textId="0273E3F7" w:rsidR="00E83A00" w:rsidRDefault="00E83A00" w:rsidP="001B3109">
      <w:pPr>
        <w:rPr>
          <w:bCs/>
        </w:rPr>
      </w:pPr>
      <w:r w:rsidRPr="00B649BB">
        <w:rPr>
          <w:bCs/>
        </w:rPr>
        <w:t>The survey effort has been considered adequate and there is sufficient scientific evidence to support the assessment.</w:t>
      </w:r>
    </w:p>
    <w:p w14:paraId="2323890A" w14:textId="77777777" w:rsidR="00F71AAB" w:rsidRDefault="00F71AAB" w:rsidP="00F71AAB">
      <w:pPr>
        <w:pStyle w:val="Normalsmall"/>
        <w:pageBreakBefore/>
      </w:pPr>
      <w:r>
        <w:lastRenderedPageBreak/>
        <w:t xml:space="preserve">© Commonwealth of Australia 2021 </w:t>
      </w:r>
      <w:r w:rsidRPr="00D431C8">
        <w:rPr>
          <w:noProof/>
        </w:rPr>
        <w:drawing>
          <wp:inline distT="0" distB="0" distL="0" distR="0" wp14:anchorId="1B13DFDB" wp14:editId="647F9C1D">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5166" cy="218731"/>
                    </a:xfrm>
                    <a:prstGeom prst="rect">
                      <a:avLst/>
                    </a:prstGeom>
                  </pic:spPr>
                </pic:pic>
              </a:graphicData>
            </a:graphic>
          </wp:inline>
        </w:drawing>
      </w:r>
    </w:p>
    <w:p w14:paraId="254CF9E9" w14:textId="77777777" w:rsidR="00F71AAB" w:rsidRDefault="00F71AAB" w:rsidP="00F71AAB">
      <w:pPr>
        <w:pStyle w:val="Normalsmall"/>
        <w:rPr>
          <w:rStyle w:val="Strong"/>
        </w:rPr>
      </w:pPr>
      <w:r>
        <w:rPr>
          <w:rStyle w:val="Strong"/>
        </w:rPr>
        <w:t>Ownership of intellectual property rights</w:t>
      </w:r>
    </w:p>
    <w:p w14:paraId="151C18BE" w14:textId="77777777" w:rsidR="00F71AAB" w:rsidRDefault="00F71AAB" w:rsidP="00F71AAB">
      <w:pPr>
        <w:pStyle w:val="Normalsmall"/>
      </w:pPr>
      <w:r>
        <w:t>Unless otherwise noted, copyright (and any other intellectual property rights) in this publication is owned by the Commonwealth of Australia (referred to as the Commonwealth).</w:t>
      </w:r>
    </w:p>
    <w:p w14:paraId="71EDF43B" w14:textId="77777777" w:rsidR="00F71AAB" w:rsidRDefault="00F71AAB" w:rsidP="00F71AAB">
      <w:pPr>
        <w:pStyle w:val="Normalsmall"/>
        <w:rPr>
          <w:rStyle w:val="Strong"/>
        </w:rPr>
      </w:pPr>
      <w:r>
        <w:rPr>
          <w:rStyle w:val="Strong"/>
        </w:rPr>
        <w:t>Creative Commons licence</w:t>
      </w:r>
    </w:p>
    <w:p w14:paraId="50BF7903" w14:textId="77777777" w:rsidR="00F71AAB" w:rsidRDefault="00F71AAB" w:rsidP="00F71AAB">
      <w:pPr>
        <w:pStyle w:val="Normalsmall"/>
      </w:pPr>
      <w:r>
        <w:t xml:space="preserve">All material in this publication is licensed under a </w:t>
      </w:r>
      <w:hyperlink r:id="rId5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5C925269" w14:textId="77777777" w:rsidR="00F71AAB" w:rsidRDefault="00F71AAB" w:rsidP="00F71AAB">
      <w:pPr>
        <w:pStyle w:val="Normalsmall"/>
      </w:pPr>
      <w:r>
        <w:t xml:space="preserve">Inquiries about the licence and any use of this document should be emailed to </w:t>
      </w:r>
      <w:hyperlink r:id="rId52" w:history="1">
        <w:r w:rsidRPr="00CD29E9">
          <w:rPr>
            <w:rStyle w:val="Hyperlink"/>
          </w:rPr>
          <w:t>copyright@awe.gov.au</w:t>
        </w:r>
      </w:hyperlink>
      <w:r>
        <w:t>.</w:t>
      </w:r>
    </w:p>
    <w:p w14:paraId="74707CAE" w14:textId="77777777" w:rsidR="00F71AAB" w:rsidRDefault="00F71AAB" w:rsidP="00F71AAB">
      <w:pPr>
        <w:pStyle w:val="Normalsmall"/>
        <w:rPr>
          <w:rStyle w:val="Strong"/>
        </w:rPr>
      </w:pPr>
      <w:r>
        <w:rPr>
          <w:rStyle w:val="Strong"/>
        </w:rPr>
        <w:t>Cataloguing data</w:t>
      </w:r>
    </w:p>
    <w:p w14:paraId="1A6C06B1" w14:textId="317E8A88" w:rsidR="00F71AAB" w:rsidRDefault="00F71AAB" w:rsidP="00F71AAB">
      <w:pPr>
        <w:pStyle w:val="Normalsmall"/>
      </w:pPr>
      <w:r>
        <w:t xml:space="preserve">This publication (and any material sourced from it) should be attributed as: </w:t>
      </w:r>
      <w:r w:rsidRPr="00AD44EA">
        <w:t xml:space="preserve">Department of Agriculture, Water and the </w:t>
      </w:r>
      <w:r w:rsidRPr="006160EC">
        <w:t>Environment 202</w:t>
      </w:r>
      <w:r>
        <w:t>1</w:t>
      </w:r>
      <w:r w:rsidRPr="006160EC">
        <w:t xml:space="preserve">, </w:t>
      </w:r>
      <w:r w:rsidRPr="006160EC">
        <w:rPr>
          <w:i/>
        </w:rPr>
        <w:t xml:space="preserve">Conservation advice for </w:t>
      </w:r>
      <w:r w:rsidRPr="004F57CF">
        <w:t>Grevillea banyabba</w:t>
      </w:r>
      <w:r w:rsidRPr="004F57CF">
        <w:rPr>
          <w:i/>
        </w:rPr>
        <w:t xml:space="preserve"> (Banyabba </w:t>
      </w:r>
      <w:r w:rsidR="004F7964">
        <w:rPr>
          <w:i/>
        </w:rPr>
        <w:t>g</w:t>
      </w:r>
      <w:r w:rsidRPr="004F57CF">
        <w:rPr>
          <w:i/>
        </w:rPr>
        <w:t xml:space="preserve">revillea), </w:t>
      </w:r>
      <w:r>
        <w:t xml:space="preserve">Canberra. </w:t>
      </w:r>
      <w:r w:rsidRPr="00D431C8">
        <w:rPr>
          <w:noProof/>
        </w:rPr>
        <w:drawing>
          <wp:inline distT="0" distB="0" distL="0" distR="0" wp14:anchorId="0E94F049" wp14:editId="02D2DBA4">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25166" cy="218731"/>
                    </a:xfrm>
                    <a:prstGeom prst="rect">
                      <a:avLst/>
                    </a:prstGeom>
                  </pic:spPr>
                </pic:pic>
              </a:graphicData>
            </a:graphic>
          </wp:inline>
        </w:drawing>
      </w:r>
    </w:p>
    <w:p w14:paraId="3D4961EF" w14:textId="20B00D96" w:rsidR="00F71AAB" w:rsidRDefault="00F71AAB" w:rsidP="00F71AAB">
      <w:pPr>
        <w:pStyle w:val="Normalsmall"/>
      </w:pPr>
      <w:r>
        <w:t xml:space="preserve">This publication is </w:t>
      </w:r>
      <w:r w:rsidRPr="00E20810">
        <w:t>available at</w:t>
      </w:r>
      <w:r>
        <w:t xml:space="preserve"> the </w:t>
      </w:r>
      <w:hyperlink r:id="rId53" w:history="1">
        <w:r w:rsidR="004F7964">
          <w:rPr>
            <w:rStyle w:val="Hyperlink"/>
            <w:iCs/>
          </w:rPr>
          <w:t>SPRAT profile for Grevillea banyabba (Banyabba grevillea).</w:t>
        </w:r>
      </w:hyperlink>
    </w:p>
    <w:p w14:paraId="433ED90D" w14:textId="77777777" w:rsidR="00F71AAB" w:rsidRDefault="00F71AAB" w:rsidP="00F71AAB">
      <w:pPr>
        <w:pStyle w:val="Normalsmall"/>
        <w:spacing w:after="0"/>
      </w:pPr>
      <w:r>
        <w:t xml:space="preserve">Department of Agriculture, </w:t>
      </w:r>
      <w:proofErr w:type="gramStart"/>
      <w:r>
        <w:t>Water</w:t>
      </w:r>
      <w:proofErr w:type="gramEnd"/>
      <w:r>
        <w:t xml:space="preserve"> and the Environment</w:t>
      </w:r>
    </w:p>
    <w:p w14:paraId="5D19AFA6" w14:textId="77777777" w:rsidR="00F71AAB" w:rsidRDefault="00F71AAB" w:rsidP="00F71AAB">
      <w:pPr>
        <w:pStyle w:val="Normalsmall"/>
        <w:spacing w:after="0"/>
      </w:pPr>
      <w:r>
        <w:t>GPO Box 858, Canberra ACT 2601</w:t>
      </w:r>
    </w:p>
    <w:p w14:paraId="3D744AAC" w14:textId="77777777" w:rsidR="00F71AAB" w:rsidRDefault="00F71AAB" w:rsidP="00F71AAB">
      <w:pPr>
        <w:pStyle w:val="Normalsmall"/>
        <w:spacing w:after="0"/>
      </w:pPr>
      <w:r>
        <w:t xml:space="preserve">Telephone </w:t>
      </w:r>
      <w:r w:rsidRPr="00773056">
        <w:t>1800 900 090</w:t>
      </w:r>
    </w:p>
    <w:p w14:paraId="31617A62" w14:textId="77777777" w:rsidR="00F71AAB" w:rsidRDefault="00F71AAB" w:rsidP="00F71AAB">
      <w:pPr>
        <w:pStyle w:val="Normalsmall"/>
      </w:pPr>
      <w:r w:rsidRPr="00E20810">
        <w:t xml:space="preserve">Web </w:t>
      </w:r>
      <w:hyperlink r:id="rId54" w:history="1">
        <w:r w:rsidRPr="00E20810">
          <w:rPr>
            <w:rStyle w:val="Hyperlink"/>
          </w:rPr>
          <w:t>awe.gov.au</w:t>
        </w:r>
      </w:hyperlink>
    </w:p>
    <w:p w14:paraId="03A0C989" w14:textId="5AADC5A6" w:rsidR="00F71AAB" w:rsidRDefault="00F71AAB" w:rsidP="00F71AAB">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09134A89" w14:textId="77777777" w:rsidR="00DF5646" w:rsidRDefault="00DF5646" w:rsidP="00DF5646">
      <w:pPr>
        <w:pStyle w:val="Normalsmall"/>
        <w:rPr>
          <w:rStyle w:val="Strong"/>
        </w:rPr>
      </w:pPr>
      <w:r>
        <w:rPr>
          <w:rStyle w:val="Strong"/>
        </w:rPr>
        <w:t>Acknowledgements</w:t>
      </w:r>
    </w:p>
    <w:p w14:paraId="578455A2" w14:textId="70A847DE" w:rsidR="00D5624C" w:rsidRDefault="00DF5646" w:rsidP="00F71AAB">
      <w:pPr>
        <w:pStyle w:val="Normalsmall"/>
      </w:pPr>
      <w:r>
        <w:t xml:space="preserve">The Threatened Species Scientific Committee and the Department of Agriculture, Water and the Environment acknowledge the contributions of </w:t>
      </w:r>
      <w:r w:rsidRPr="00DF5646">
        <w:rPr>
          <w:rStyle w:val="Strong"/>
          <w:b w:val="0"/>
          <w:bCs w:val="0"/>
        </w:rPr>
        <w:t xml:space="preserve">the NSW Department </w:t>
      </w:r>
      <w:r w:rsidRPr="00DF5646">
        <w:t>of</w:t>
      </w:r>
      <w:r w:rsidRPr="002C2E95">
        <w:t xml:space="preserve"> Planning, Industry and Environment</w:t>
      </w:r>
      <w:r>
        <w:rPr>
          <w:rStyle w:val="Strong"/>
        </w:rPr>
        <w:t xml:space="preserve"> </w:t>
      </w:r>
      <w:r>
        <w:t>in preparing this document.</w:t>
      </w:r>
    </w:p>
    <w:p w14:paraId="4A604EA2" w14:textId="77777777" w:rsidR="00F71AAB" w:rsidRPr="00AF6941" w:rsidRDefault="00F71AAB" w:rsidP="00F71AAB">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71AAB" w14:paraId="1AC681DA" w14:textId="77777777" w:rsidTr="008B4324">
        <w:trPr>
          <w:cantSplit/>
          <w:tblHeader/>
        </w:trPr>
        <w:tc>
          <w:tcPr>
            <w:tcW w:w="3020" w:type="dxa"/>
            <w:tcBorders>
              <w:top w:val="single" w:sz="4" w:space="0" w:color="auto"/>
              <w:bottom w:val="single" w:sz="4" w:space="0" w:color="auto"/>
            </w:tcBorders>
          </w:tcPr>
          <w:p w14:paraId="6BB569BA" w14:textId="77777777" w:rsidR="00F71AAB" w:rsidRDefault="00F71AAB" w:rsidP="008B4324">
            <w:pPr>
              <w:pStyle w:val="TableHeading"/>
            </w:pPr>
            <w:r>
              <w:t>Document type</w:t>
            </w:r>
          </w:p>
        </w:tc>
        <w:tc>
          <w:tcPr>
            <w:tcW w:w="3020" w:type="dxa"/>
            <w:tcBorders>
              <w:top w:val="single" w:sz="4" w:space="0" w:color="auto"/>
              <w:bottom w:val="single" w:sz="4" w:space="0" w:color="auto"/>
            </w:tcBorders>
          </w:tcPr>
          <w:p w14:paraId="29A5EC59" w14:textId="77777777" w:rsidR="00F71AAB" w:rsidRDefault="00F71AAB" w:rsidP="008B4324">
            <w:pPr>
              <w:pStyle w:val="TableHeading"/>
            </w:pPr>
            <w:r>
              <w:t>Title</w:t>
            </w:r>
          </w:p>
        </w:tc>
        <w:tc>
          <w:tcPr>
            <w:tcW w:w="3020" w:type="dxa"/>
            <w:tcBorders>
              <w:top w:val="single" w:sz="4" w:space="0" w:color="auto"/>
              <w:bottom w:val="single" w:sz="4" w:space="0" w:color="auto"/>
            </w:tcBorders>
          </w:tcPr>
          <w:p w14:paraId="5D68DBD6" w14:textId="77777777" w:rsidR="00F71AAB" w:rsidRDefault="00F71AAB" w:rsidP="008B4324">
            <w:pPr>
              <w:pStyle w:val="TableHeading"/>
            </w:pPr>
            <w:r>
              <w:t xml:space="preserve">Date [dd mm </w:t>
            </w:r>
            <w:proofErr w:type="spellStart"/>
            <w:r>
              <w:t>yyyy</w:t>
            </w:r>
            <w:proofErr w:type="spellEnd"/>
            <w:r>
              <w:t>]</w:t>
            </w:r>
          </w:p>
        </w:tc>
      </w:tr>
      <w:tr w:rsidR="00F71AAB" w14:paraId="6FC1F022" w14:textId="77777777" w:rsidTr="008B4324">
        <w:tc>
          <w:tcPr>
            <w:tcW w:w="3020" w:type="dxa"/>
            <w:tcBorders>
              <w:top w:val="single" w:sz="4" w:space="0" w:color="auto"/>
            </w:tcBorders>
          </w:tcPr>
          <w:p w14:paraId="4C704B41" w14:textId="77777777" w:rsidR="00F71AAB" w:rsidRDefault="00F71AAB" w:rsidP="008B4324">
            <w:pPr>
              <w:pStyle w:val="TableText"/>
            </w:pPr>
            <w:r>
              <w:t>-</w:t>
            </w:r>
          </w:p>
        </w:tc>
        <w:tc>
          <w:tcPr>
            <w:tcW w:w="3020" w:type="dxa"/>
            <w:tcBorders>
              <w:top w:val="single" w:sz="4" w:space="0" w:color="auto"/>
            </w:tcBorders>
          </w:tcPr>
          <w:p w14:paraId="0B03EC43" w14:textId="77777777" w:rsidR="00F71AAB" w:rsidRDefault="00F71AAB" w:rsidP="008B4324">
            <w:pPr>
              <w:pStyle w:val="TableText"/>
            </w:pPr>
            <w:r>
              <w:t>–</w:t>
            </w:r>
          </w:p>
        </w:tc>
        <w:tc>
          <w:tcPr>
            <w:tcW w:w="3020" w:type="dxa"/>
            <w:tcBorders>
              <w:top w:val="single" w:sz="4" w:space="0" w:color="auto"/>
            </w:tcBorders>
          </w:tcPr>
          <w:p w14:paraId="308B6C2E" w14:textId="77777777" w:rsidR="00F71AAB" w:rsidRDefault="00F71AAB" w:rsidP="008B4324">
            <w:pPr>
              <w:pStyle w:val="TableText"/>
            </w:pPr>
            <w:r>
              <w:t>–</w:t>
            </w:r>
          </w:p>
        </w:tc>
      </w:tr>
    </w:tbl>
    <w:p w14:paraId="0431AD6E" w14:textId="37EC8F73" w:rsidR="00F71AAB" w:rsidRPr="00F71AAB" w:rsidRDefault="00F446A0" w:rsidP="00F71AAB">
      <w:pPr>
        <w:tabs>
          <w:tab w:val="left" w:pos="2445"/>
        </w:tabs>
      </w:pPr>
      <w:r>
        <w:fldChar w:fldCharType="begin"/>
      </w:r>
      <w:r>
        <w:instrText xml:space="preserve"> ADDIN </w:instrText>
      </w:r>
      <w:r>
        <w:fldChar w:fldCharType="end"/>
      </w:r>
    </w:p>
    <w:sectPr w:rsidR="00F71AAB" w:rsidRPr="00F71AAB" w:rsidSect="002F232F">
      <w:headerReference w:type="even" r:id="rId55"/>
      <w:headerReference w:type="default" r:id="rId56"/>
      <w:headerReference w:type="first" r:id="rId57"/>
      <w:footerReference w:type="first" r:id="rId5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FCDB" w14:textId="77777777" w:rsidR="004313AE" w:rsidRDefault="004313AE">
      <w:r>
        <w:separator/>
      </w:r>
    </w:p>
    <w:p w14:paraId="13E741D1" w14:textId="77777777" w:rsidR="004313AE" w:rsidRDefault="004313AE"/>
    <w:p w14:paraId="29D4AF37" w14:textId="77777777" w:rsidR="004313AE" w:rsidRDefault="004313AE"/>
    <w:p w14:paraId="5F52A4F9" w14:textId="77777777" w:rsidR="004313AE" w:rsidRDefault="004313AE"/>
  </w:endnote>
  <w:endnote w:type="continuationSeparator" w:id="0">
    <w:p w14:paraId="29137249" w14:textId="77777777" w:rsidR="004313AE" w:rsidRDefault="004313AE">
      <w:r>
        <w:continuationSeparator/>
      </w:r>
    </w:p>
    <w:p w14:paraId="6A1431E3" w14:textId="77777777" w:rsidR="004313AE" w:rsidRDefault="004313AE"/>
    <w:p w14:paraId="23CAAEDD" w14:textId="77777777" w:rsidR="004313AE" w:rsidRDefault="004313AE"/>
    <w:p w14:paraId="31A32AE7" w14:textId="77777777" w:rsidR="004313AE" w:rsidRDefault="004313AE"/>
  </w:endnote>
  <w:endnote w:type="continuationNotice" w:id="1">
    <w:p w14:paraId="4C0D9AB3" w14:textId="77777777" w:rsidR="004313AE" w:rsidRDefault="004313AE">
      <w:pPr>
        <w:pStyle w:val="Footer"/>
      </w:pPr>
    </w:p>
    <w:p w14:paraId="40F4A982" w14:textId="77777777" w:rsidR="004313AE" w:rsidRDefault="004313AE"/>
    <w:p w14:paraId="0517A9F6" w14:textId="77777777" w:rsidR="004313AE" w:rsidRDefault="004313AE"/>
    <w:p w14:paraId="77DFEBA6" w14:textId="77777777" w:rsidR="004313AE" w:rsidRDefault="00431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30FA" w14:textId="77777777" w:rsidR="004313AE" w:rsidRDefault="004313AE" w:rsidP="00E02D9C">
    <w:pPr>
      <w:pStyle w:val="Footer"/>
    </w:pPr>
    <w:r>
      <w:t>Threatened Species Scientific Committee</w:t>
    </w:r>
  </w:p>
  <w:p w14:paraId="1A36CC0D" w14:textId="77777777" w:rsidR="004313AE" w:rsidRDefault="004313AE" w:rsidP="00E02D9C">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7C2" w14:textId="77777777" w:rsidR="004313AE" w:rsidRDefault="004313AE" w:rsidP="002F232F">
    <w:pPr>
      <w:pStyle w:val="Footer"/>
    </w:pPr>
    <w:r>
      <w:t xml:space="preserve">Department of Agriculture, </w:t>
    </w:r>
    <w:proofErr w:type="gramStart"/>
    <w:r>
      <w:t>Water</w:t>
    </w:r>
    <w:proofErr w:type="gramEnd"/>
    <w:r>
      <w:t xml:space="preserve"> and the Environment</w:t>
    </w:r>
  </w:p>
  <w:p w14:paraId="301E273E" w14:textId="77777777" w:rsidR="004313AE" w:rsidRDefault="004313A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B4CB" w14:textId="77777777" w:rsidR="004313AE" w:rsidRDefault="004313AE" w:rsidP="002F232F">
    <w:pPr>
      <w:pStyle w:val="Footer"/>
    </w:pPr>
    <w:r>
      <w:t>Threatened Species Scientific Committee</w:t>
    </w:r>
  </w:p>
  <w:p w14:paraId="6A4DB785" w14:textId="77777777" w:rsidR="004313AE" w:rsidRDefault="004313AE"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07CB" w14:textId="77777777" w:rsidR="004313AE" w:rsidRDefault="004313AE">
      <w:r>
        <w:separator/>
      </w:r>
    </w:p>
    <w:p w14:paraId="333EB769" w14:textId="77777777" w:rsidR="004313AE" w:rsidRDefault="004313AE"/>
    <w:p w14:paraId="080F079F" w14:textId="77777777" w:rsidR="004313AE" w:rsidRDefault="004313AE"/>
    <w:p w14:paraId="43A41562" w14:textId="77777777" w:rsidR="004313AE" w:rsidRDefault="004313AE"/>
  </w:footnote>
  <w:footnote w:type="continuationSeparator" w:id="0">
    <w:p w14:paraId="772E472C" w14:textId="77777777" w:rsidR="004313AE" w:rsidRDefault="004313AE">
      <w:r>
        <w:continuationSeparator/>
      </w:r>
    </w:p>
    <w:p w14:paraId="456D674F" w14:textId="77777777" w:rsidR="004313AE" w:rsidRDefault="004313AE"/>
    <w:p w14:paraId="11211326" w14:textId="77777777" w:rsidR="004313AE" w:rsidRDefault="004313AE"/>
    <w:p w14:paraId="3CE85D4A" w14:textId="77777777" w:rsidR="004313AE" w:rsidRDefault="004313AE"/>
  </w:footnote>
  <w:footnote w:type="continuationNotice" w:id="1">
    <w:p w14:paraId="42B17E96" w14:textId="77777777" w:rsidR="004313AE" w:rsidRDefault="004313AE">
      <w:pPr>
        <w:pStyle w:val="Footer"/>
      </w:pPr>
    </w:p>
    <w:p w14:paraId="2E521709" w14:textId="77777777" w:rsidR="004313AE" w:rsidRDefault="004313AE"/>
    <w:p w14:paraId="1E4A863E" w14:textId="77777777" w:rsidR="004313AE" w:rsidRDefault="004313AE"/>
    <w:p w14:paraId="2C0CC76D" w14:textId="77777777" w:rsidR="004313AE" w:rsidRDefault="00431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46D6" w14:textId="77777777" w:rsidR="004313AE" w:rsidRDefault="00B655DF">
    <w:pPr>
      <w:pStyle w:val="Header"/>
    </w:pPr>
    <w:r>
      <w:rPr>
        <w:noProof/>
      </w:rPr>
      <w:pict w14:anchorId="4A430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9" o:spid="_x0000_s2076" type="#_x0000_t136" style="position:absolute;left:0;text-align:left;margin-left:0;margin-top:0;width:456.7pt;height:182.6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p w14:paraId="253D7588" w14:textId="77777777" w:rsidR="004313AE" w:rsidRDefault="004313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2D14" w14:textId="3858B8CA" w:rsidR="004313AE" w:rsidRDefault="00B655DF" w:rsidP="000202F4">
    <w:pPr>
      <w:pStyle w:val="Header"/>
    </w:pPr>
    <w:r>
      <w:rPr>
        <w:noProof/>
      </w:rPr>
      <w:pict w14:anchorId="07939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2077" type="#_x0000_t136" style="position:absolute;left:0;text-align:left;margin-left:0;margin-top:0;width:456.7pt;height:182.65pt;rotation:315;z-index:-25165823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13AE" w:rsidRPr="00BD2E26">
      <w:rPr>
        <w:rStyle w:val="Emphasis"/>
      </w:rPr>
      <w:t xml:space="preserve"> </w:t>
    </w:r>
    <w:r w:rsidR="004313AE">
      <w:rPr>
        <w:rStyle w:val="Emphasis"/>
      </w:rPr>
      <w:t>Grevillea banyabba</w:t>
    </w:r>
    <w:r w:rsidR="004313AE">
      <w:t xml:space="preserve"> (Banyabba </w:t>
    </w:r>
    <w:r w:rsidR="004F7964">
      <w:t>g</w:t>
    </w:r>
    <w:r w:rsidR="004313AE">
      <w:t>revillea)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75F2" w14:textId="77777777" w:rsidR="004313AE" w:rsidRDefault="00B655DF" w:rsidP="00C37215">
    <w:pPr>
      <w:pStyle w:val="Header"/>
      <w:tabs>
        <w:tab w:val="clear" w:pos="4820"/>
        <w:tab w:val="left" w:pos="7992"/>
      </w:tabs>
      <w:jc w:val="left"/>
    </w:pPr>
    <w:r>
      <w:rPr>
        <w:noProof/>
      </w:rPr>
      <w:pict w14:anchorId="440CB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78" o:spid="_x0000_s2075"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13AE">
      <w:rPr>
        <w:noProof/>
        <w:lang w:eastAsia="en-AU"/>
      </w:rPr>
      <w:drawing>
        <wp:inline distT="0" distB="0" distL="0" distR="0" wp14:anchorId="373414A0" wp14:editId="64080468">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CE94" w14:textId="77777777" w:rsidR="004313AE" w:rsidRDefault="00B655DF">
    <w:pPr>
      <w:pStyle w:val="Header"/>
    </w:pPr>
    <w:r>
      <w:rPr>
        <w:noProof/>
      </w:rPr>
      <w:pict w14:anchorId="229DF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2079" type="#_x0000_t136" style="position:absolute;left:0;text-align:left;margin-left:0;margin-top:0;width:456.7pt;height:182.65pt;rotation:315;z-index:-2516582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2776" w14:textId="239BF7CF" w:rsidR="004313AE" w:rsidRDefault="00B655DF" w:rsidP="008E7C80">
    <w:pPr>
      <w:pStyle w:val="Header"/>
    </w:pPr>
    <w:r>
      <w:rPr>
        <w:noProof/>
      </w:rPr>
      <w:pict w14:anchorId="205FC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2080" type="#_x0000_t136" style="position:absolute;left:0;text-align:left;margin-left:0;margin-top:0;width:456.7pt;height:182.65pt;rotation:315;z-index:-251658235;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13AE" w:rsidRPr="00C37384">
      <w:rPr>
        <w:rStyle w:val="Emphasis"/>
      </w:rPr>
      <w:t xml:space="preserve"> </w:t>
    </w:r>
    <w:r w:rsidR="004313AE">
      <w:rPr>
        <w:rStyle w:val="Emphasis"/>
      </w:rPr>
      <w:t xml:space="preserve">Grevillea banyabba </w:t>
    </w:r>
    <w:r w:rsidR="004313AE">
      <w:rPr>
        <w:rStyle w:val="Emphasis"/>
        <w:i w:val="0"/>
        <w:iCs w:val="0"/>
      </w:rPr>
      <w:t xml:space="preserve">(Banyabba </w:t>
    </w:r>
    <w:r w:rsidR="004F7964">
      <w:rPr>
        <w:rStyle w:val="Emphasis"/>
        <w:i w:val="0"/>
        <w:iCs w:val="0"/>
      </w:rPr>
      <w:t>g</w:t>
    </w:r>
    <w:r w:rsidR="004313AE">
      <w:rPr>
        <w:rStyle w:val="Emphasis"/>
        <w:i w:val="0"/>
        <w:iCs w:val="0"/>
      </w:rPr>
      <w:t>revillea)</w:t>
    </w:r>
    <w:r w:rsidR="004313AE">
      <w:t xml:space="preserve">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EF00" w14:textId="77777777" w:rsidR="004313AE" w:rsidRPr="003E30FD" w:rsidRDefault="00B655DF" w:rsidP="005208A6">
    <w:pPr>
      <w:pStyle w:val="Header"/>
      <w:rPr>
        <w:sz w:val="28"/>
        <w:szCs w:val="28"/>
        <w14:shadow w14:blurRad="50800" w14:dist="38100" w14:dir="2700000" w14:sx="100000" w14:sy="100000" w14:kx="0" w14:ky="0" w14:algn="tl">
          <w14:srgbClr w14:val="000000">
            <w14:alpha w14:val="60000"/>
          </w14:srgbClr>
        </w14:shadow>
      </w:rPr>
    </w:pPr>
    <w:r>
      <w:rPr>
        <w:noProof/>
      </w:rPr>
      <w:pict w14:anchorId="14D5E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78" type="#_x0000_t136" style="position:absolute;left:0;text-align:left;margin-left:0;margin-top:0;width:456.7pt;height:182.65pt;rotation:315;z-index:-251658237;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4313AE" w:rsidRPr="003E30FD">
      <w:rPr>
        <w:rStyle w:val="Emphasis"/>
        <w:i w:val="0"/>
        <w:iCs w:val="0"/>
        <w:sz w:val="28"/>
        <w:szCs w:val="28"/>
        <w:lang w:val="en-US"/>
        <w14:shadow w14:blurRad="50800" w14:dist="38100" w14:dir="2700000" w14:sx="100000" w14:sy="100000" w14:kx="0" w14:ky="0" w14:algn="tl">
          <w14:srgbClr w14:val="000000">
            <w14:alpha w14:val="60000"/>
          </w14:srgbClr>
        </w14:shadow>
      </w:rPr>
      <w:t>THREATENED SPECIES SCIENTIFIC COMMITTEE</w:t>
    </w:r>
  </w:p>
  <w:p w14:paraId="70FBB920" w14:textId="77777777" w:rsidR="004313AE" w:rsidRPr="00D728A1" w:rsidRDefault="004313AE" w:rsidP="00D728A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03F9F092" w14:textId="77777777" w:rsidR="004313AE" w:rsidRDefault="004313AE" w:rsidP="00B66CC6">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2AC0551"/>
    <w:multiLevelType w:val="hybridMultilevel"/>
    <w:tmpl w:val="54964E76"/>
    <w:lvl w:ilvl="0" w:tplc="61E27AC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1E9D25EF"/>
    <w:multiLevelType w:val="hybridMultilevel"/>
    <w:tmpl w:val="7C089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BA37F9"/>
    <w:multiLevelType w:val="hybridMultilevel"/>
    <w:tmpl w:val="1F46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94ECA"/>
    <w:multiLevelType w:val="hybridMultilevel"/>
    <w:tmpl w:val="45AC3BF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8EC1A55"/>
    <w:multiLevelType w:val="hybridMultilevel"/>
    <w:tmpl w:val="CD14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477057"/>
    <w:multiLevelType w:val="hybridMultilevel"/>
    <w:tmpl w:val="9FFC16F4"/>
    <w:lvl w:ilvl="0" w:tplc="CAFE1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F431BFE"/>
    <w:multiLevelType w:val="hybridMultilevel"/>
    <w:tmpl w:val="267A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F76E8"/>
    <w:multiLevelType w:val="hybridMultilevel"/>
    <w:tmpl w:val="9FFC16F4"/>
    <w:lvl w:ilvl="0" w:tplc="CAFE10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4"/>
  </w:num>
  <w:num w:numId="3">
    <w:abstractNumId w:val="15"/>
  </w:num>
  <w:num w:numId="4">
    <w:abstractNumId w:val="17"/>
  </w:num>
  <w:num w:numId="5">
    <w:abstractNumId w:val="7"/>
  </w:num>
  <w:num w:numId="6">
    <w:abstractNumId w:val="13"/>
  </w:num>
  <w:num w:numId="7">
    <w:abstractNumId w:val="6"/>
  </w:num>
  <w:num w:numId="8">
    <w:abstractNumId w:val="10"/>
  </w:num>
  <w:num w:numId="9">
    <w:abstractNumId w:val="1"/>
  </w:num>
  <w:num w:numId="10">
    <w:abstractNumId w:val="5"/>
  </w:num>
  <w:num w:numId="11">
    <w:abstractNumId w:val="11"/>
  </w:num>
  <w:num w:numId="12">
    <w:abstractNumId w:val="19"/>
  </w:num>
  <w:num w:numId="13">
    <w:abstractNumId w:val="16"/>
  </w:num>
  <w:num w:numId="14">
    <w:abstractNumId w:val="18"/>
  </w:num>
  <w:num w:numId="15">
    <w:abstractNumId w:val="12"/>
  </w:num>
  <w:num w:numId="16">
    <w:abstractNumId w:val="2"/>
  </w:num>
  <w:num w:numId="17">
    <w:abstractNumId w:val="14"/>
  </w:num>
  <w:num w:numId="18">
    <w:abstractNumId w:val="8"/>
  </w:num>
  <w:num w:numId="19">
    <w:abstractNumId w:val="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EWHA Species Listing&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2z0twtvz9z0xke5fdtpr0scdr5x2xa25d2f&quot;&gt;Grevillea banyabba&lt;record-ids&gt;&lt;item&gt;1&lt;/item&gt;&lt;item&gt;2&lt;/item&gt;&lt;item&gt;3&lt;/item&gt;&lt;item&gt;4&lt;/item&gt;&lt;item&gt;5&lt;/item&gt;&lt;item&gt;6&lt;/item&gt;&lt;item&gt;7&lt;/item&gt;&lt;item&gt;8&lt;/item&gt;&lt;item&gt;9&lt;/item&gt;&lt;item&gt;10&lt;/item&gt;&lt;item&gt;16&lt;/item&gt;&lt;item&gt;17&lt;/item&gt;&lt;item&gt;18&lt;/item&gt;&lt;item&gt;19&lt;/item&gt;&lt;item&gt;20&lt;/item&gt;&lt;item&gt;22&lt;/item&gt;&lt;item&gt;23&lt;/item&gt;&lt;item&gt;25&lt;/item&gt;&lt;item&gt;27&lt;/item&gt;&lt;item&gt;28&lt;/item&gt;&lt;item&gt;29&lt;/item&gt;&lt;item&gt;30&lt;/item&gt;&lt;item&gt;32&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4&lt;/item&gt;&lt;item&gt;55&lt;/item&gt;&lt;item&gt;56&lt;/item&gt;&lt;item&gt;67&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record-ids&gt;&lt;/item&gt;&lt;/Libraries&gt;"/>
  </w:docVars>
  <w:rsids>
    <w:rsidRoot w:val="00BD2E26"/>
    <w:rsid w:val="00000F8A"/>
    <w:rsid w:val="000011D8"/>
    <w:rsid w:val="00001A53"/>
    <w:rsid w:val="00002C4B"/>
    <w:rsid w:val="00002EC5"/>
    <w:rsid w:val="0000397C"/>
    <w:rsid w:val="000041F8"/>
    <w:rsid w:val="000047B6"/>
    <w:rsid w:val="00004F9B"/>
    <w:rsid w:val="000057F8"/>
    <w:rsid w:val="00006D59"/>
    <w:rsid w:val="000071FC"/>
    <w:rsid w:val="000075C7"/>
    <w:rsid w:val="00010D07"/>
    <w:rsid w:val="00010EBA"/>
    <w:rsid w:val="000129F2"/>
    <w:rsid w:val="0001339B"/>
    <w:rsid w:val="00014317"/>
    <w:rsid w:val="000164D8"/>
    <w:rsid w:val="00017D88"/>
    <w:rsid w:val="000202F4"/>
    <w:rsid w:val="00021179"/>
    <w:rsid w:val="000213FD"/>
    <w:rsid w:val="0002140F"/>
    <w:rsid w:val="00023735"/>
    <w:rsid w:val="00023884"/>
    <w:rsid w:val="0002419A"/>
    <w:rsid w:val="00024FD7"/>
    <w:rsid w:val="00025619"/>
    <w:rsid w:val="000259C7"/>
    <w:rsid w:val="00026C1A"/>
    <w:rsid w:val="00026FBE"/>
    <w:rsid w:val="00030ACF"/>
    <w:rsid w:val="00030BF7"/>
    <w:rsid w:val="00030D06"/>
    <w:rsid w:val="00031023"/>
    <w:rsid w:val="00031432"/>
    <w:rsid w:val="0003186A"/>
    <w:rsid w:val="00031CFF"/>
    <w:rsid w:val="00032801"/>
    <w:rsid w:val="00033701"/>
    <w:rsid w:val="000339AB"/>
    <w:rsid w:val="000341E0"/>
    <w:rsid w:val="00036A82"/>
    <w:rsid w:val="00037693"/>
    <w:rsid w:val="00041499"/>
    <w:rsid w:val="0004290D"/>
    <w:rsid w:val="0004358E"/>
    <w:rsid w:val="00045065"/>
    <w:rsid w:val="0004550E"/>
    <w:rsid w:val="00046200"/>
    <w:rsid w:val="000471CF"/>
    <w:rsid w:val="00054E1F"/>
    <w:rsid w:val="00055AFD"/>
    <w:rsid w:val="000564C6"/>
    <w:rsid w:val="00060EF9"/>
    <w:rsid w:val="00063C71"/>
    <w:rsid w:val="00063E78"/>
    <w:rsid w:val="00064960"/>
    <w:rsid w:val="00064975"/>
    <w:rsid w:val="00065F4B"/>
    <w:rsid w:val="00071129"/>
    <w:rsid w:val="0007233A"/>
    <w:rsid w:val="00073AA0"/>
    <w:rsid w:val="00073C5F"/>
    <w:rsid w:val="00073C60"/>
    <w:rsid w:val="00076235"/>
    <w:rsid w:val="00076EC5"/>
    <w:rsid w:val="00082347"/>
    <w:rsid w:val="000835A0"/>
    <w:rsid w:val="00084DE6"/>
    <w:rsid w:val="00085069"/>
    <w:rsid w:val="0008655C"/>
    <w:rsid w:val="00087569"/>
    <w:rsid w:val="00087980"/>
    <w:rsid w:val="00087E45"/>
    <w:rsid w:val="000902F8"/>
    <w:rsid w:val="0009196C"/>
    <w:rsid w:val="00093AFC"/>
    <w:rsid w:val="00094C09"/>
    <w:rsid w:val="00094F22"/>
    <w:rsid w:val="000959C5"/>
    <w:rsid w:val="00096962"/>
    <w:rsid w:val="00097670"/>
    <w:rsid w:val="000A2D0A"/>
    <w:rsid w:val="000A4134"/>
    <w:rsid w:val="000A501B"/>
    <w:rsid w:val="000A54EC"/>
    <w:rsid w:val="000A5C2B"/>
    <w:rsid w:val="000A5D73"/>
    <w:rsid w:val="000A6133"/>
    <w:rsid w:val="000A722E"/>
    <w:rsid w:val="000A79AA"/>
    <w:rsid w:val="000B0F44"/>
    <w:rsid w:val="000B313C"/>
    <w:rsid w:val="000B5E97"/>
    <w:rsid w:val="000B7CE7"/>
    <w:rsid w:val="000C0D6A"/>
    <w:rsid w:val="000C1AC9"/>
    <w:rsid w:val="000C3775"/>
    <w:rsid w:val="000C3EC6"/>
    <w:rsid w:val="000C55A6"/>
    <w:rsid w:val="000C600A"/>
    <w:rsid w:val="000D1830"/>
    <w:rsid w:val="000D278A"/>
    <w:rsid w:val="000D51F3"/>
    <w:rsid w:val="000D5536"/>
    <w:rsid w:val="000D55BC"/>
    <w:rsid w:val="000D738D"/>
    <w:rsid w:val="000D7BA8"/>
    <w:rsid w:val="000D7FAF"/>
    <w:rsid w:val="000E4C24"/>
    <w:rsid w:val="000E4F60"/>
    <w:rsid w:val="000E630E"/>
    <w:rsid w:val="000E690C"/>
    <w:rsid w:val="000E699F"/>
    <w:rsid w:val="000E6C38"/>
    <w:rsid w:val="000F018A"/>
    <w:rsid w:val="000F08AC"/>
    <w:rsid w:val="000F08C1"/>
    <w:rsid w:val="000F194B"/>
    <w:rsid w:val="000F2A48"/>
    <w:rsid w:val="000F30DC"/>
    <w:rsid w:val="000F3D21"/>
    <w:rsid w:val="000F57C6"/>
    <w:rsid w:val="000F615D"/>
    <w:rsid w:val="000F6D5A"/>
    <w:rsid w:val="00102FDA"/>
    <w:rsid w:val="0010557C"/>
    <w:rsid w:val="00105970"/>
    <w:rsid w:val="001067AD"/>
    <w:rsid w:val="0010761A"/>
    <w:rsid w:val="00110E43"/>
    <w:rsid w:val="001112AB"/>
    <w:rsid w:val="00111438"/>
    <w:rsid w:val="00114207"/>
    <w:rsid w:val="0011480C"/>
    <w:rsid w:val="0011482C"/>
    <w:rsid w:val="001154D8"/>
    <w:rsid w:val="0011667C"/>
    <w:rsid w:val="001200FA"/>
    <w:rsid w:val="00120AEE"/>
    <w:rsid w:val="00120CED"/>
    <w:rsid w:val="001218D1"/>
    <w:rsid w:val="00121C46"/>
    <w:rsid w:val="0012461E"/>
    <w:rsid w:val="00127671"/>
    <w:rsid w:val="00130A0B"/>
    <w:rsid w:val="001312F6"/>
    <w:rsid w:val="00132382"/>
    <w:rsid w:val="00133292"/>
    <w:rsid w:val="00136347"/>
    <w:rsid w:val="00136E1C"/>
    <w:rsid w:val="001376F1"/>
    <w:rsid w:val="00137CB0"/>
    <w:rsid w:val="00137F5A"/>
    <w:rsid w:val="00141D4C"/>
    <w:rsid w:val="00142435"/>
    <w:rsid w:val="00143B9E"/>
    <w:rsid w:val="00143FC1"/>
    <w:rsid w:val="00145358"/>
    <w:rsid w:val="0014559E"/>
    <w:rsid w:val="00145862"/>
    <w:rsid w:val="00145DB1"/>
    <w:rsid w:val="0015067F"/>
    <w:rsid w:val="0015188B"/>
    <w:rsid w:val="0015345E"/>
    <w:rsid w:val="00154B5B"/>
    <w:rsid w:val="001556F2"/>
    <w:rsid w:val="00155BA9"/>
    <w:rsid w:val="001573B8"/>
    <w:rsid w:val="00160576"/>
    <w:rsid w:val="0016081E"/>
    <w:rsid w:val="001609DE"/>
    <w:rsid w:val="00161E8C"/>
    <w:rsid w:val="00162B1B"/>
    <w:rsid w:val="001633F4"/>
    <w:rsid w:val="00164D4B"/>
    <w:rsid w:val="00165364"/>
    <w:rsid w:val="00166185"/>
    <w:rsid w:val="00167315"/>
    <w:rsid w:val="00170330"/>
    <w:rsid w:val="00170383"/>
    <w:rsid w:val="00170795"/>
    <w:rsid w:val="00170BEE"/>
    <w:rsid w:val="00172CCD"/>
    <w:rsid w:val="00172CFB"/>
    <w:rsid w:val="001739A8"/>
    <w:rsid w:val="0017504D"/>
    <w:rsid w:val="00175824"/>
    <w:rsid w:val="0017622B"/>
    <w:rsid w:val="00177744"/>
    <w:rsid w:val="0017795A"/>
    <w:rsid w:val="00177ADA"/>
    <w:rsid w:val="00180329"/>
    <w:rsid w:val="0018058D"/>
    <w:rsid w:val="00183B66"/>
    <w:rsid w:val="00185DED"/>
    <w:rsid w:val="00186635"/>
    <w:rsid w:val="001919CE"/>
    <w:rsid w:val="00191AB6"/>
    <w:rsid w:val="00192C1D"/>
    <w:rsid w:val="00193CC4"/>
    <w:rsid w:val="001940AC"/>
    <w:rsid w:val="00195133"/>
    <w:rsid w:val="0019598A"/>
    <w:rsid w:val="001968C2"/>
    <w:rsid w:val="001973C2"/>
    <w:rsid w:val="001A0108"/>
    <w:rsid w:val="001A0757"/>
    <w:rsid w:val="001A0C23"/>
    <w:rsid w:val="001A0FF1"/>
    <w:rsid w:val="001A18A2"/>
    <w:rsid w:val="001A20DC"/>
    <w:rsid w:val="001A2B52"/>
    <w:rsid w:val="001A2D13"/>
    <w:rsid w:val="001A3C77"/>
    <w:rsid w:val="001A41AA"/>
    <w:rsid w:val="001A4B00"/>
    <w:rsid w:val="001A62BC"/>
    <w:rsid w:val="001B077B"/>
    <w:rsid w:val="001B0BC1"/>
    <w:rsid w:val="001B18B5"/>
    <w:rsid w:val="001B19FD"/>
    <w:rsid w:val="001B2BE2"/>
    <w:rsid w:val="001B3109"/>
    <w:rsid w:val="001B3172"/>
    <w:rsid w:val="001B3A41"/>
    <w:rsid w:val="001B3AE4"/>
    <w:rsid w:val="001B441B"/>
    <w:rsid w:val="001B55AE"/>
    <w:rsid w:val="001B6184"/>
    <w:rsid w:val="001B6655"/>
    <w:rsid w:val="001B729C"/>
    <w:rsid w:val="001C0493"/>
    <w:rsid w:val="001C09C9"/>
    <w:rsid w:val="001C1584"/>
    <w:rsid w:val="001C1AF7"/>
    <w:rsid w:val="001C2D8A"/>
    <w:rsid w:val="001C3037"/>
    <w:rsid w:val="001C31E1"/>
    <w:rsid w:val="001C3585"/>
    <w:rsid w:val="001C3C24"/>
    <w:rsid w:val="001C3F42"/>
    <w:rsid w:val="001C4178"/>
    <w:rsid w:val="001C4CC8"/>
    <w:rsid w:val="001C6261"/>
    <w:rsid w:val="001C7420"/>
    <w:rsid w:val="001C7945"/>
    <w:rsid w:val="001D0090"/>
    <w:rsid w:val="001D0AF4"/>
    <w:rsid w:val="001D0E7B"/>
    <w:rsid w:val="001D2F4B"/>
    <w:rsid w:val="001D6D6D"/>
    <w:rsid w:val="001E01E9"/>
    <w:rsid w:val="001E17D5"/>
    <w:rsid w:val="001E257F"/>
    <w:rsid w:val="001E3289"/>
    <w:rsid w:val="001E4765"/>
    <w:rsid w:val="001E4BA9"/>
    <w:rsid w:val="001E5131"/>
    <w:rsid w:val="001E5844"/>
    <w:rsid w:val="001E68C4"/>
    <w:rsid w:val="001E7C8D"/>
    <w:rsid w:val="001F07CC"/>
    <w:rsid w:val="001F1C51"/>
    <w:rsid w:val="001F489B"/>
    <w:rsid w:val="001F4D27"/>
    <w:rsid w:val="001F73FD"/>
    <w:rsid w:val="001F7B47"/>
    <w:rsid w:val="00200175"/>
    <w:rsid w:val="00200748"/>
    <w:rsid w:val="002007B5"/>
    <w:rsid w:val="00200CB3"/>
    <w:rsid w:val="00202562"/>
    <w:rsid w:val="00202659"/>
    <w:rsid w:val="0020323E"/>
    <w:rsid w:val="00203E9B"/>
    <w:rsid w:val="002054C3"/>
    <w:rsid w:val="002056AD"/>
    <w:rsid w:val="00205967"/>
    <w:rsid w:val="00205F8F"/>
    <w:rsid w:val="002069CB"/>
    <w:rsid w:val="00207873"/>
    <w:rsid w:val="00211529"/>
    <w:rsid w:val="0021433D"/>
    <w:rsid w:val="00214913"/>
    <w:rsid w:val="0021572B"/>
    <w:rsid w:val="0021590E"/>
    <w:rsid w:val="00216BA8"/>
    <w:rsid w:val="002177A1"/>
    <w:rsid w:val="00221209"/>
    <w:rsid w:val="0022142B"/>
    <w:rsid w:val="00223138"/>
    <w:rsid w:val="002238DB"/>
    <w:rsid w:val="002243C4"/>
    <w:rsid w:val="00225B0C"/>
    <w:rsid w:val="00225C45"/>
    <w:rsid w:val="0023010D"/>
    <w:rsid w:val="0023046E"/>
    <w:rsid w:val="002319AB"/>
    <w:rsid w:val="00232977"/>
    <w:rsid w:val="00234FC3"/>
    <w:rsid w:val="002359EB"/>
    <w:rsid w:val="00237FDF"/>
    <w:rsid w:val="00242EE4"/>
    <w:rsid w:val="00243014"/>
    <w:rsid w:val="00243267"/>
    <w:rsid w:val="00243A3F"/>
    <w:rsid w:val="0024549B"/>
    <w:rsid w:val="0024553B"/>
    <w:rsid w:val="00246540"/>
    <w:rsid w:val="002469DB"/>
    <w:rsid w:val="002512F7"/>
    <w:rsid w:val="0025138F"/>
    <w:rsid w:val="00251F5A"/>
    <w:rsid w:val="00252237"/>
    <w:rsid w:val="00252454"/>
    <w:rsid w:val="002526DD"/>
    <w:rsid w:val="002551CB"/>
    <w:rsid w:val="0025623E"/>
    <w:rsid w:val="00256A28"/>
    <w:rsid w:val="0026021A"/>
    <w:rsid w:val="002626C8"/>
    <w:rsid w:val="00263952"/>
    <w:rsid w:val="00264487"/>
    <w:rsid w:val="00264A05"/>
    <w:rsid w:val="00266026"/>
    <w:rsid w:val="00266DC5"/>
    <w:rsid w:val="002719FC"/>
    <w:rsid w:val="00271BC8"/>
    <w:rsid w:val="00271FC3"/>
    <w:rsid w:val="002726EE"/>
    <w:rsid w:val="00274B8A"/>
    <w:rsid w:val="00276E5C"/>
    <w:rsid w:val="002772A9"/>
    <w:rsid w:val="00277376"/>
    <w:rsid w:val="002802A2"/>
    <w:rsid w:val="002803B8"/>
    <w:rsid w:val="00280752"/>
    <w:rsid w:val="00280857"/>
    <w:rsid w:val="0028144F"/>
    <w:rsid w:val="0028148E"/>
    <w:rsid w:val="00284801"/>
    <w:rsid w:val="00284E69"/>
    <w:rsid w:val="0028601D"/>
    <w:rsid w:val="00286E84"/>
    <w:rsid w:val="002906BC"/>
    <w:rsid w:val="00291107"/>
    <w:rsid w:val="00291DD9"/>
    <w:rsid w:val="00292E5F"/>
    <w:rsid w:val="00292F01"/>
    <w:rsid w:val="00293137"/>
    <w:rsid w:val="0029531A"/>
    <w:rsid w:val="00295ADD"/>
    <w:rsid w:val="0029640E"/>
    <w:rsid w:val="00296A3F"/>
    <w:rsid w:val="00297049"/>
    <w:rsid w:val="002970BE"/>
    <w:rsid w:val="0029756F"/>
    <w:rsid w:val="002A0B5E"/>
    <w:rsid w:val="002A2328"/>
    <w:rsid w:val="002A3A31"/>
    <w:rsid w:val="002A4A83"/>
    <w:rsid w:val="002A4C30"/>
    <w:rsid w:val="002A6BDE"/>
    <w:rsid w:val="002A7652"/>
    <w:rsid w:val="002B01EE"/>
    <w:rsid w:val="002B0D81"/>
    <w:rsid w:val="002B134C"/>
    <w:rsid w:val="002B190F"/>
    <w:rsid w:val="002B1F3E"/>
    <w:rsid w:val="002B298B"/>
    <w:rsid w:val="002B3B4D"/>
    <w:rsid w:val="002B564C"/>
    <w:rsid w:val="002B69E4"/>
    <w:rsid w:val="002B6A3F"/>
    <w:rsid w:val="002B76C9"/>
    <w:rsid w:val="002B7BB6"/>
    <w:rsid w:val="002C0AD0"/>
    <w:rsid w:val="002C0C77"/>
    <w:rsid w:val="002C0CD9"/>
    <w:rsid w:val="002C0EDC"/>
    <w:rsid w:val="002C194C"/>
    <w:rsid w:val="002C20C5"/>
    <w:rsid w:val="002C2E95"/>
    <w:rsid w:val="002C402E"/>
    <w:rsid w:val="002C42DB"/>
    <w:rsid w:val="002C6CA4"/>
    <w:rsid w:val="002D12E1"/>
    <w:rsid w:val="002D18AD"/>
    <w:rsid w:val="002D1EEF"/>
    <w:rsid w:val="002D2B57"/>
    <w:rsid w:val="002D2FBE"/>
    <w:rsid w:val="002D311C"/>
    <w:rsid w:val="002D414F"/>
    <w:rsid w:val="002D6AED"/>
    <w:rsid w:val="002D7662"/>
    <w:rsid w:val="002E1DB4"/>
    <w:rsid w:val="002E2A02"/>
    <w:rsid w:val="002E31FA"/>
    <w:rsid w:val="002E32CA"/>
    <w:rsid w:val="002E3302"/>
    <w:rsid w:val="002E34B7"/>
    <w:rsid w:val="002E5E0E"/>
    <w:rsid w:val="002E6FF4"/>
    <w:rsid w:val="002F0724"/>
    <w:rsid w:val="002F10F9"/>
    <w:rsid w:val="002F232F"/>
    <w:rsid w:val="002F2DB1"/>
    <w:rsid w:val="002F34D8"/>
    <w:rsid w:val="002F3AEA"/>
    <w:rsid w:val="002F4B0A"/>
    <w:rsid w:val="002F4DAD"/>
    <w:rsid w:val="002F571F"/>
    <w:rsid w:val="00301CB3"/>
    <w:rsid w:val="00302BC8"/>
    <w:rsid w:val="003045A0"/>
    <w:rsid w:val="00304BE1"/>
    <w:rsid w:val="00306B16"/>
    <w:rsid w:val="00306CA1"/>
    <w:rsid w:val="00307459"/>
    <w:rsid w:val="003113EE"/>
    <w:rsid w:val="00311CFF"/>
    <w:rsid w:val="003122D3"/>
    <w:rsid w:val="00315301"/>
    <w:rsid w:val="003169DD"/>
    <w:rsid w:val="00317B7B"/>
    <w:rsid w:val="00322655"/>
    <w:rsid w:val="003228BA"/>
    <w:rsid w:val="00323833"/>
    <w:rsid w:val="00323F53"/>
    <w:rsid w:val="00324AE6"/>
    <w:rsid w:val="00326868"/>
    <w:rsid w:val="00327635"/>
    <w:rsid w:val="00333771"/>
    <w:rsid w:val="0033500C"/>
    <w:rsid w:val="00337360"/>
    <w:rsid w:val="00340AED"/>
    <w:rsid w:val="003415D9"/>
    <w:rsid w:val="00343459"/>
    <w:rsid w:val="003437D5"/>
    <w:rsid w:val="003445EF"/>
    <w:rsid w:val="00344617"/>
    <w:rsid w:val="003454FB"/>
    <w:rsid w:val="00346241"/>
    <w:rsid w:val="00346541"/>
    <w:rsid w:val="00347206"/>
    <w:rsid w:val="0034758A"/>
    <w:rsid w:val="00347899"/>
    <w:rsid w:val="00350404"/>
    <w:rsid w:val="003511FD"/>
    <w:rsid w:val="003516CC"/>
    <w:rsid w:val="003517E6"/>
    <w:rsid w:val="00351E68"/>
    <w:rsid w:val="003558BA"/>
    <w:rsid w:val="00355F1B"/>
    <w:rsid w:val="00357A67"/>
    <w:rsid w:val="003607B9"/>
    <w:rsid w:val="00360ACE"/>
    <w:rsid w:val="00362DC4"/>
    <w:rsid w:val="0036475F"/>
    <w:rsid w:val="00364B7A"/>
    <w:rsid w:val="00365E04"/>
    <w:rsid w:val="00366C72"/>
    <w:rsid w:val="00366CEC"/>
    <w:rsid w:val="003677E4"/>
    <w:rsid w:val="0037602E"/>
    <w:rsid w:val="0037638E"/>
    <w:rsid w:val="00376600"/>
    <w:rsid w:val="0038109C"/>
    <w:rsid w:val="00382AB4"/>
    <w:rsid w:val="003833F4"/>
    <w:rsid w:val="0038356D"/>
    <w:rsid w:val="003844EE"/>
    <w:rsid w:val="00384B36"/>
    <w:rsid w:val="00387E7C"/>
    <w:rsid w:val="00391488"/>
    <w:rsid w:val="00392744"/>
    <w:rsid w:val="0039336C"/>
    <w:rsid w:val="00394AB6"/>
    <w:rsid w:val="00394BD4"/>
    <w:rsid w:val="00395CFA"/>
    <w:rsid w:val="0039665A"/>
    <w:rsid w:val="00396919"/>
    <w:rsid w:val="003973D1"/>
    <w:rsid w:val="00397BF9"/>
    <w:rsid w:val="003A0343"/>
    <w:rsid w:val="003A06CA"/>
    <w:rsid w:val="003A11C7"/>
    <w:rsid w:val="003A17E2"/>
    <w:rsid w:val="003A29BC"/>
    <w:rsid w:val="003A3A7B"/>
    <w:rsid w:val="003A4214"/>
    <w:rsid w:val="003A4F60"/>
    <w:rsid w:val="003A5345"/>
    <w:rsid w:val="003A631F"/>
    <w:rsid w:val="003A6771"/>
    <w:rsid w:val="003A7E69"/>
    <w:rsid w:val="003B0A82"/>
    <w:rsid w:val="003B2A51"/>
    <w:rsid w:val="003B32ED"/>
    <w:rsid w:val="003B38A4"/>
    <w:rsid w:val="003B7E7C"/>
    <w:rsid w:val="003C17CD"/>
    <w:rsid w:val="003C25B2"/>
    <w:rsid w:val="003C2D33"/>
    <w:rsid w:val="003C7B5E"/>
    <w:rsid w:val="003D042A"/>
    <w:rsid w:val="003D2845"/>
    <w:rsid w:val="003D52C5"/>
    <w:rsid w:val="003D7CEF"/>
    <w:rsid w:val="003E0B0A"/>
    <w:rsid w:val="003E1291"/>
    <w:rsid w:val="003E26F9"/>
    <w:rsid w:val="003E30FD"/>
    <w:rsid w:val="003E3EBA"/>
    <w:rsid w:val="003E5E90"/>
    <w:rsid w:val="003E6102"/>
    <w:rsid w:val="003E70AB"/>
    <w:rsid w:val="003E77D1"/>
    <w:rsid w:val="003E7DFB"/>
    <w:rsid w:val="003F03ED"/>
    <w:rsid w:val="003F117F"/>
    <w:rsid w:val="003F22EA"/>
    <w:rsid w:val="003F2F50"/>
    <w:rsid w:val="003F316F"/>
    <w:rsid w:val="003F4D80"/>
    <w:rsid w:val="003F5C58"/>
    <w:rsid w:val="003F60BB"/>
    <w:rsid w:val="003F60E2"/>
    <w:rsid w:val="003F6EE8"/>
    <w:rsid w:val="0040031A"/>
    <w:rsid w:val="00400494"/>
    <w:rsid w:val="00400C13"/>
    <w:rsid w:val="00401057"/>
    <w:rsid w:val="004019B4"/>
    <w:rsid w:val="0040258A"/>
    <w:rsid w:val="00403563"/>
    <w:rsid w:val="00404EC4"/>
    <w:rsid w:val="00406438"/>
    <w:rsid w:val="00412139"/>
    <w:rsid w:val="00412830"/>
    <w:rsid w:val="00412E27"/>
    <w:rsid w:val="00413369"/>
    <w:rsid w:val="00414079"/>
    <w:rsid w:val="00415563"/>
    <w:rsid w:val="00420E21"/>
    <w:rsid w:val="004218F0"/>
    <w:rsid w:val="00421E71"/>
    <w:rsid w:val="00421FA6"/>
    <w:rsid w:val="00422FA8"/>
    <w:rsid w:val="004233F7"/>
    <w:rsid w:val="004236E0"/>
    <w:rsid w:val="004247E0"/>
    <w:rsid w:val="00424974"/>
    <w:rsid w:val="0042770D"/>
    <w:rsid w:val="00427E88"/>
    <w:rsid w:val="004301E7"/>
    <w:rsid w:val="004313AE"/>
    <w:rsid w:val="00432BB0"/>
    <w:rsid w:val="0043429E"/>
    <w:rsid w:val="00434547"/>
    <w:rsid w:val="0043513C"/>
    <w:rsid w:val="0043725B"/>
    <w:rsid w:val="00437E66"/>
    <w:rsid w:val="00440313"/>
    <w:rsid w:val="00440C79"/>
    <w:rsid w:val="00440D0B"/>
    <w:rsid w:val="00442BC0"/>
    <w:rsid w:val="0044343A"/>
    <w:rsid w:val="0044391F"/>
    <w:rsid w:val="00443EDF"/>
    <w:rsid w:val="0044456E"/>
    <w:rsid w:val="004449BE"/>
    <w:rsid w:val="00445C13"/>
    <w:rsid w:val="0044738D"/>
    <w:rsid w:val="004514D2"/>
    <w:rsid w:val="00453A55"/>
    <w:rsid w:val="0045440A"/>
    <w:rsid w:val="00455184"/>
    <w:rsid w:val="0045621F"/>
    <w:rsid w:val="00456CB8"/>
    <w:rsid w:val="00460220"/>
    <w:rsid w:val="0046050D"/>
    <w:rsid w:val="00460A97"/>
    <w:rsid w:val="00460C44"/>
    <w:rsid w:val="00460D54"/>
    <w:rsid w:val="0046168A"/>
    <w:rsid w:val="0046213C"/>
    <w:rsid w:val="0046232B"/>
    <w:rsid w:val="004635A3"/>
    <w:rsid w:val="00464847"/>
    <w:rsid w:val="0046540D"/>
    <w:rsid w:val="00465FE9"/>
    <w:rsid w:val="00470B68"/>
    <w:rsid w:val="004722EE"/>
    <w:rsid w:val="0047283D"/>
    <w:rsid w:val="00473104"/>
    <w:rsid w:val="00473DBA"/>
    <w:rsid w:val="00473DF9"/>
    <w:rsid w:val="00474BD4"/>
    <w:rsid w:val="00474ED8"/>
    <w:rsid w:val="00475FF3"/>
    <w:rsid w:val="00476145"/>
    <w:rsid w:val="004767EC"/>
    <w:rsid w:val="00476948"/>
    <w:rsid w:val="00476E26"/>
    <w:rsid w:val="004773D8"/>
    <w:rsid w:val="0047789E"/>
    <w:rsid w:val="0048052E"/>
    <w:rsid w:val="00480C78"/>
    <w:rsid w:val="00481223"/>
    <w:rsid w:val="0048123B"/>
    <w:rsid w:val="00482558"/>
    <w:rsid w:val="004825C1"/>
    <w:rsid w:val="00482921"/>
    <w:rsid w:val="00486C20"/>
    <w:rsid w:val="004875DB"/>
    <w:rsid w:val="00487AC0"/>
    <w:rsid w:val="00490DC3"/>
    <w:rsid w:val="00492C3D"/>
    <w:rsid w:val="0049477E"/>
    <w:rsid w:val="004965FB"/>
    <w:rsid w:val="00496D45"/>
    <w:rsid w:val="00497114"/>
    <w:rsid w:val="00497707"/>
    <w:rsid w:val="004A3350"/>
    <w:rsid w:val="004A3EB7"/>
    <w:rsid w:val="004A5C44"/>
    <w:rsid w:val="004A6FC3"/>
    <w:rsid w:val="004A7092"/>
    <w:rsid w:val="004B06F9"/>
    <w:rsid w:val="004B1469"/>
    <w:rsid w:val="004B38BC"/>
    <w:rsid w:val="004B4A69"/>
    <w:rsid w:val="004B5652"/>
    <w:rsid w:val="004B7872"/>
    <w:rsid w:val="004C14D0"/>
    <w:rsid w:val="004C2B8A"/>
    <w:rsid w:val="004C2F65"/>
    <w:rsid w:val="004C3033"/>
    <w:rsid w:val="004C4253"/>
    <w:rsid w:val="004C49CE"/>
    <w:rsid w:val="004C5F94"/>
    <w:rsid w:val="004C62DD"/>
    <w:rsid w:val="004C66A0"/>
    <w:rsid w:val="004C685A"/>
    <w:rsid w:val="004C6D5B"/>
    <w:rsid w:val="004C77BF"/>
    <w:rsid w:val="004C7A96"/>
    <w:rsid w:val="004C7F78"/>
    <w:rsid w:val="004D0D8A"/>
    <w:rsid w:val="004D2790"/>
    <w:rsid w:val="004D2E53"/>
    <w:rsid w:val="004D4132"/>
    <w:rsid w:val="004D4587"/>
    <w:rsid w:val="004D48AF"/>
    <w:rsid w:val="004D4959"/>
    <w:rsid w:val="004D52EC"/>
    <w:rsid w:val="004D5834"/>
    <w:rsid w:val="004D61C9"/>
    <w:rsid w:val="004E0798"/>
    <w:rsid w:val="004E10D5"/>
    <w:rsid w:val="004E36B4"/>
    <w:rsid w:val="004E3D87"/>
    <w:rsid w:val="004E41E0"/>
    <w:rsid w:val="004E60AB"/>
    <w:rsid w:val="004E7AAB"/>
    <w:rsid w:val="004F00FD"/>
    <w:rsid w:val="004F0F42"/>
    <w:rsid w:val="004F2D0F"/>
    <w:rsid w:val="004F32AB"/>
    <w:rsid w:val="004F412F"/>
    <w:rsid w:val="004F4409"/>
    <w:rsid w:val="004F4EB4"/>
    <w:rsid w:val="004F5120"/>
    <w:rsid w:val="004F5429"/>
    <w:rsid w:val="004F5E9D"/>
    <w:rsid w:val="004F71BE"/>
    <w:rsid w:val="004F7964"/>
    <w:rsid w:val="0050079E"/>
    <w:rsid w:val="00501322"/>
    <w:rsid w:val="00501D99"/>
    <w:rsid w:val="005033A2"/>
    <w:rsid w:val="00503895"/>
    <w:rsid w:val="0050438E"/>
    <w:rsid w:val="00504740"/>
    <w:rsid w:val="00504E67"/>
    <w:rsid w:val="0050535B"/>
    <w:rsid w:val="0050545D"/>
    <w:rsid w:val="005059FD"/>
    <w:rsid w:val="00506E21"/>
    <w:rsid w:val="00510B7F"/>
    <w:rsid w:val="00510CEA"/>
    <w:rsid w:val="0051202F"/>
    <w:rsid w:val="00512A71"/>
    <w:rsid w:val="00512E82"/>
    <w:rsid w:val="00513053"/>
    <w:rsid w:val="005136BD"/>
    <w:rsid w:val="00514A37"/>
    <w:rsid w:val="00516FCB"/>
    <w:rsid w:val="0051701F"/>
    <w:rsid w:val="005171E6"/>
    <w:rsid w:val="00520846"/>
    <w:rsid w:val="005208A6"/>
    <w:rsid w:val="00521497"/>
    <w:rsid w:val="005219AD"/>
    <w:rsid w:val="00522B45"/>
    <w:rsid w:val="00523C12"/>
    <w:rsid w:val="00523D13"/>
    <w:rsid w:val="0052609F"/>
    <w:rsid w:val="005306BA"/>
    <w:rsid w:val="005323D2"/>
    <w:rsid w:val="00533243"/>
    <w:rsid w:val="00533554"/>
    <w:rsid w:val="005339AE"/>
    <w:rsid w:val="005374B6"/>
    <w:rsid w:val="0054151D"/>
    <w:rsid w:val="00541796"/>
    <w:rsid w:val="00544AF2"/>
    <w:rsid w:val="00544ED1"/>
    <w:rsid w:val="0054559E"/>
    <w:rsid w:val="00545CAB"/>
    <w:rsid w:val="005460F5"/>
    <w:rsid w:val="0055033C"/>
    <w:rsid w:val="00550481"/>
    <w:rsid w:val="00551873"/>
    <w:rsid w:val="00552214"/>
    <w:rsid w:val="005568E4"/>
    <w:rsid w:val="00556FC4"/>
    <w:rsid w:val="00562534"/>
    <w:rsid w:val="005632E6"/>
    <w:rsid w:val="0056348C"/>
    <w:rsid w:val="00563809"/>
    <w:rsid w:val="00563928"/>
    <w:rsid w:val="0056441A"/>
    <w:rsid w:val="00565F5A"/>
    <w:rsid w:val="005672F0"/>
    <w:rsid w:val="00570D17"/>
    <w:rsid w:val="005729AE"/>
    <w:rsid w:val="00573B2C"/>
    <w:rsid w:val="0057425A"/>
    <w:rsid w:val="00575157"/>
    <w:rsid w:val="00575EA7"/>
    <w:rsid w:val="00576199"/>
    <w:rsid w:val="005775D1"/>
    <w:rsid w:val="005811DF"/>
    <w:rsid w:val="0058168E"/>
    <w:rsid w:val="005824D5"/>
    <w:rsid w:val="005852E6"/>
    <w:rsid w:val="005856DD"/>
    <w:rsid w:val="0058583E"/>
    <w:rsid w:val="005863C1"/>
    <w:rsid w:val="00590224"/>
    <w:rsid w:val="00590E2A"/>
    <w:rsid w:val="005940F6"/>
    <w:rsid w:val="005942F5"/>
    <w:rsid w:val="005960E3"/>
    <w:rsid w:val="00596DAB"/>
    <w:rsid w:val="0059777E"/>
    <w:rsid w:val="005A015D"/>
    <w:rsid w:val="005A02CB"/>
    <w:rsid w:val="005A0731"/>
    <w:rsid w:val="005A3DAB"/>
    <w:rsid w:val="005A4AF2"/>
    <w:rsid w:val="005A4C8D"/>
    <w:rsid w:val="005A5154"/>
    <w:rsid w:val="005A789B"/>
    <w:rsid w:val="005B104E"/>
    <w:rsid w:val="005B1F82"/>
    <w:rsid w:val="005B2DA0"/>
    <w:rsid w:val="005B3D88"/>
    <w:rsid w:val="005B452A"/>
    <w:rsid w:val="005C30A7"/>
    <w:rsid w:val="005C4878"/>
    <w:rsid w:val="005C4890"/>
    <w:rsid w:val="005C49B3"/>
    <w:rsid w:val="005C4B9C"/>
    <w:rsid w:val="005C4F8D"/>
    <w:rsid w:val="005C6D43"/>
    <w:rsid w:val="005D0B73"/>
    <w:rsid w:val="005D2006"/>
    <w:rsid w:val="005D22D0"/>
    <w:rsid w:val="005D3AAC"/>
    <w:rsid w:val="005D3F14"/>
    <w:rsid w:val="005D452F"/>
    <w:rsid w:val="005D5124"/>
    <w:rsid w:val="005D7F8D"/>
    <w:rsid w:val="005E07DA"/>
    <w:rsid w:val="005E1BBD"/>
    <w:rsid w:val="005E22B2"/>
    <w:rsid w:val="005E2568"/>
    <w:rsid w:val="005E2CC7"/>
    <w:rsid w:val="005E4AF2"/>
    <w:rsid w:val="005E51F9"/>
    <w:rsid w:val="005E59A4"/>
    <w:rsid w:val="005E5B6F"/>
    <w:rsid w:val="005E6648"/>
    <w:rsid w:val="005E72DF"/>
    <w:rsid w:val="005F0E4D"/>
    <w:rsid w:val="005F23CA"/>
    <w:rsid w:val="005F25A9"/>
    <w:rsid w:val="005F35AA"/>
    <w:rsid w:val="005F36C0"/>
    <w:rsid w:val="005F376D"/>
    <w:rsid w:val="005F3D7F"/>
    <w:rsid w:val="005F3E72"/>
    <w:rsid w:val="005F57C4"/>
    <w:rsid w:val="005F5C71"/>
    <w:rsid w:val="00601FF6"/>
    <w:rsid w:val="006054EB"/>
    <w:rsid w:val="00605777"/>
    <w:rsid w:val="00605A86"/>
    <w:rsid w:val="00605BF7"/>
    <w:rsid w:val="00607399"/>
    <w:rsid w:val="006078EF"/>
    <w:rsid w:val="00611FAC"/>
    <w:rsid w:val="006129B6"/>
    <w:rsid w:val="00612AA8"/>
    <w:rsid w:val="00612BC9"/>
    <w:rsid w:val="006134A7"/>
    <w:rsid w:val="0061399C"/>
    <w:rsid w:val="00614B1A"/>
    <w:rsid w:val="0061515E"/>
    <w:rsid w:val="006157FE"/>
    <w:rsid w:val="006167EE"/>
    <w:rsid w:val="00617499"/>
    <w:rsid w:val="00620C62"/>
    <w:rsid w:val="00622858"/>
    <w:rsid w:val="00622D0D"/>
    <w:rsid w:val="00624A10"/>
    <w:rsid w:val="00625A55"/>
    <w:rsid w:val="00625EBB"/>
    <w:rsid w:val="006272A8"/>
    <w:rsid w:val="006318BF"/>
    <w:rsid w:val="006319EB"/>
    <w:rsid w:val="00632347"/>
    <w:rsid w:val="00633DE8"/>
    <w:rsid w:val="00634190"/>
    <w:rsid w:val="006347D0"/>
    <w:rsid w:val="00634F95"/>
    <w:rsid w:val="00636C36"/>
    <w:rsid w:val="00641DA8"/>
    <w:rsid w:val="00642745"/>
    <w:rsid w:val="00643D03"/>
    <w:rsid w:val="00643EE8"/>
    <w:rsid w:val="00643FF1"/>
    <w:rsid w:val="0064551D"/>
    <w:rsid w:val="006469BD"/>
    <w:rsid w:val="00647259"/>
    <w:rsid w:val="006505A3"/>
    <w:rsid w:val="0065073D"/>
    <w:rsid w:val="00651B84"/>
    <w:rsid w:val="00651EE6"/>
    <w:rsid w:val="00651F93"/>
    <w:rsid w:val="00652A21"/>
    <w:rsid w:val="00653B25"/>
    <w:rsid w:val="0065460B"/>
    <w:rsid w:val="006552FE"/>
    <w:rsid w:val="00655880"/>
    <w:rsid w:val="00655AF5"/>
    <w:rsid w:val="00655BD3"/>
    <w:rsid w:val="006604F0"/>
    <w:rsid w:val="0066106F"/>
    <w:rsid w:val="00661CF1"/>
    <w:rsid w:val="00662B2E"/>
    <w:rsid w:val="006671EC"/>
    <w:rsid w:val="006673D6"/>
    <w:rsid w:val="006711C9"/>
    <w:rsid w:val="00671C78"/>
    <w:rsid w:val="00677456"/>
    <w:rsid w:val="00677BE0"/>
    <w:rsid w:val="006807B3"/>
    <w:rsid w:val="00681A3B"/>
    <w:rsid w:val="006831E3"/>
    <w:rsid w:val="00683895"/>
    <w:rsid w:val="00683B26"/>
    <w:rsid w:val="00685944"/>
    <w:rsid w:val="00686591"/>
    <w:rsid w:val="00686B76"/>
    <w:rsid w:val="00686FB8"/>
    <w:rsid w:val="00687108"/>
    <w:rsid w:val="0068783D"/>
    <w:rsid w:val="0069068E"/>
    <w:rsid w:val="006914CA"/>
    <w:rsid w:val="00691AC8"/>
    <w:rsid w:val="00691D33"/>
    <w:rsid w:val="00691E67"/>
    <w:rsid w:val="006942EA"/>
    <w:rsid w:val="00695903"/>
    <w:rsid w:val="00695BF3"/>
    <w:rsid w:val="00695FD1"/>
    <w:rsid w:val="006974EF"/>
    <w:rsid w:val="006975EE"/>
    <w:rsid w:val="0069780C"/>
    <w:rsid w:val="00697EA2"/>
    <w:rsid w:val="006A0F0C"/>
    <w:rsid w:val="006A2577"/>
    <w:rsid w:val="006A5604"/>
    <w:rsid w:val="006A6526"/>
    <w:rsid w:val="006A7709"/>
    <w:rsid w:val="006A78FE"/>
    <w:rsid w:val="006A7A17"/>
    <w:rsid w:val="006A7AEA"/>
    <w:rsid w:val="006B0AA4"/>
    <w:rsid w:val="006B283A"/>
    <w:rsid w:val="006B34E7"/>
    <w:rsid w:val="006B5F35"/>
    <w:rsid w:val="006C046A"/>
    <w:rsid w:val="006C07A3"/>
    <w:rsid w:val="006C0EC5"/>
    <w:rsid w:val="006C1273"/>
    <w:rsid w:val="006C225D"/>
    <w:rsid w:val="006C3068"/>
    <w:rsid w:val="006C480C"/>
    <w:rsid w:val="006C4F2F"/>
    <w:rsid w:val="006C5497"/>
    <w:rsid w:val="006C5AE4"/>
    <w:rsid w:val="006C6EBE"/>
    <w:rsid w:val="006C7342"/>
    <w:rsid w:val="006D0068"/>
    <w:rsid w:val="006D1267"/>
    <w:rsid w:val="006D2124"/>
    <w:rsid w:val="006D3581"/>
    <w:rsid w:val="006D384D"/>
    <w:rsid w:val="006D6C77"/>
    <w:rsid w:val="006D71F9"/>
    <w:rsid w:val="006D779F"/>
    <w:rsid w:val="006E04A7"/>
    <w:rsid w:val="006E0DD6"/>
    <w:rsid w:val="006E1866"/>
    <w:rsid w:val="006E2013"/>
    <w:rsid w:val="006E2CDA"/>
    <w:rsid w:val="006E2CEF"/>
    <w:rsid w:val="006E3303"/>
    <w:rsid w:val="006E37E1"/>
    <w:rsid w:val="006E3AB2"/>
    <w:rsid w:val="006E518F"/>
    <w:rsid w:val="006E5CC3"/>
    <w:rsid w:val="006E6507"/>
    <w:rsid w:val="006E7889"/>
    <w:rsid w:val="006E7B8E"/>
    <w:rsid w:val="006F1D0B"/>
    <w:rsid w:val="006F1ED7"/>
    <w:rsid w:val="006F211E"/>
    <w:rsid w:val="006F34F8"/>
    <w:rsid w:val="006F35FC"/>
    <w:rsid w:val="006F403D"/>
    <w:rsid w:val="006F4AC3"/>
    <w:rsid w:val="006F4C61"/>
    <w:rsid w:val="006F5AD2"/>
    <w:rsid w:val="006F6134"/>
    <w:rsid w:val="006F6993"/>
    <w:rsid w:val="006F6B57"/>
    <w:rsid w:val="006F72C8"/>
    <w:rsid w:val="006F76BD"/>
    <w:rsid w:val="00700553"/>
    <w:rsid w:val="007019A7"/>
    <w:rsid w:val="0070330D"/>
    <w:rsid w:val="0070330E"/>
    <w:rsid w:val="0070388D"/>
    <w:rsid w:val="00703A2C"/>
    <w:rsid w:val="00703DF6"/>
    <w:rsid w:val="00704454"/>
    <w:rsid w:val="00705CC2"/>
    <w:rsid w:val="00705E70"/>
    <w:rsid w:val="007062CB"/>
    <w:rsid w:val="007063FF"/>
    <w:rsid w:val="00706BC2"/>
    <w:rsid w:val="00710310"/>
    <w:rsid w:val="00713452"/>
    <w:rsid w:val="00714977"/>
    <w:rsid w:val="0071552D"/>
    <w:rsid w:val="00715C18"/>
    <w:rsid w:val="00720C27"/>
    <w:rsid w:val="00720F63"/>
    <w:rsid w:val="007210AB"/>
    <w:rsid w:val="00721DA9"/>
    <w:rsid w:val="0072328F"/>
    <w:rsid w:val="0072435B"/>
    <w:rsid w:val="00726600"/>
    <w:rsid w:val="007269A3"/>
    <w:rsid w:val="007271AA"/>
    <w:rsid w:val="007277E4"/>
    <w:rsid w:val="00727879"/>
    <w:rsid w:val="00730CF3"/>
    <w:rsid w:val="007310B4"/>
    <w:rsid w:val="0073316A"/>
    <w:rsid w:val="007333C2"/>
    <w:rsid w:val="00734925"/>
    <w:rsid w:val="0073584B"/>
    <w:rsid w:val="0073741C"/>
    <w:rsid w:val="007405CB"/>
    <w:rsid w:val="00740A32"/>
    <w:rsid w:val="0074251B"/>
    <w:rsid w:val="0074317F"/>
    <w:rsid w:val="00743AA2"/>
    <w:rsid w:val="0074480F"/>
    <w:rsid w:val="00744EDA"/>
    <w:rsid w:val="0074527C"/>
    <w:rsid w:val="00745F00"/>
    <w:rsid w:val="0074658B"/>
    <w:rsid w:val="00746B45"/>
    <w:rsid w:val="00746B6E"/>
    <w:rsid w:val="007531FC"/>
    <w:rsid w:val="0075388B"/>
    <w:rsid w:val="00753FB6"/>
    <w:rsid w:val="00755B4B"/>
    <w:rsid w:val="00756945"/>
    <w:rsid w:val="00756BC7"/>
    <w:rsid w:val="00756FBD"/>
    <w:rsid w:val="007571B7"/>
    <w:rsid w:val="0076046D"/>
    <w:rsid w:val="00760475"/>
    <w:rsid w:val="00760FF8"/>
    <w:rsid w:val="00761651"/>
    <w:rsid w:val="0076197C"/>
    <w:rsid w:val="00762CD9"/>
    <w:rsid w:val="00763F74"/>
    <w:rsid w:val="0076542A"/>
    <w:rsid w:val="00765819"/>
    <w:rsid w:val="007662AA"/>
    <w:rsid w:val="007663BA"/>
    <w:rsid w:val="007667EA"/>
    <w:rsid w:val="00771D66"/>
    <w:rsid w:val="00771F9C"/>
    <w:rsid w:val="00772487"/>
    <w:rsid w:val="00772527"/>
    <w:rsid w:val="0077351A"/>
    <w:rsid w:val="007745A9"/>
    <w:rsid w:val="00774EAA"/>
    <w:rsid w:val="00775EE1"/>
    <w:rsid w:val="0077667D"/>
    <w:rsid w:val="007768F3"/>
    <w:rsid w:val="00776992"/>
    <w:rsid w:val="00777918"/>
    <w:rsid w:val="00780907"/>
    <w:rsid w:val="00781AF9"/>
    <w:rsid w:val="0078307B"/>
    <w:rsid w:val="00783314"/>
    <w:rsid w:val="00783F28"/>
    <w:rsid w:val="007851A2"/>
    <w:rsid w:val="00785873"/>
    <w:rsid w:val="00785AC0"/>
    <w:rsid w:val="00786691"/>
    <w:rsid w:val="0078767F"/>
    <w:rsid w:val="00787E88"/>
    <w:rsid w:val="00787EB2"/>
    <w:rsid w:val="00791684"/>
    <w:rsid w:val="00792E2B"/>
    <w:rsid w:val="00794BA6"/>
    <w:rsid w:val="00794FB7"/>
    <w:rsid w:val="00795951"/>
    <w:rsid w:val="00795F43"/>
    <w:rsid w:val="007A0EAB"/>
    <w:rsid w:val="007A13DB"/>
    <w:rsid w:val="007A2CEE"/>
    <w:rsid w:val="007A3729"/>
    <w:rsid w:val="007A4D44"/>
    <w:rsid w:val="007A5898"/>
    <w:rsid w:val="007A78E2"/>
    <w:rsid w:val="007A7A33"/>
    <w:rsid w:val="007B028A"/>
    <w:rsid w:val="007B1BA0"/>
    <w:rsid w:val="007B269A"/>
    <w:rsid w:val="007B40C1"/>
    <w:rsid w:val="007B68FC"/>
    <w:rsid w:val="007C0912"/>
    <w:rsid w:val="007C0AB1"/>
    <w:rsid w:val="007C1000"/>
    <w:rsid w:val="007C2AFF"/>
    <w:rsid w:val="007C5B94"/>
    <w:rsid w:val="007C6DD6"/>
    <w:rsid w:val="007D0BB0"/>
    <w:rsid w:val="007D2386"/>
    <w:rsid w:val="007D41BD"/>
    <w:rsid w:val="007D4811"/>
    <w:rsid w:val="007D5167"/>
    <w:rsid w:val="007D61ED"/>
    <w:rsid w:val="007E2ACF"/>
    <w:rsid w:val="007E2BD0"/>
    <w:rsid w:val="007E5434"/>
    <w:rsid w:val="007F07C8"/>
    <w:rsid w:val="007F0BE4"/>
    <w:rsid w:val="007F156D"/>
    <w:rsid w:val="007F2306"/>
    <w:rsid w:val="007F3E9B"/>
    <w:rsid w:val="007F4024"/>
    <w:rsid w:val="007F4224"/>
    <w:rsid w:val="007F617B"/>
    <w:rsid w:val="007F62EC"/>
    <w:rsid w:val="007F67D1"/>
    <w:rsid w:val="00802773"/>
    <w:rsid w:val="00802C21"/>
    <w:rsid w:val="00804517"/>
    <w:rsid w:val="00805DF5"/>
    <w:rsid w:val="008064B3"/>
    <w:rsid w:val="00807052"/>
    <w:rsid w:val="00807CEF"/>
    <w:rsid w:val="00814CBA"/>
    <w:rsid w:val="008167D7"/>
    <w:rsid w:val="0081692C"/>
    <w:rsid w:val="0081793A"/>
    <w:rsid w:val="00820849"/>
    <w:rsid w:val="0082249A"/>
    <w:rsid w:val="00823C03"/>
    <w:rsid w:val="00824CA3"/>
    <w:rsid w:val="00824F7D"/>
    <w:rsid w:val="00826439"/>
    <w:rsid w:val="00826C0C"/>
    <w:rsid w:val="00826CD2"/>
    <w:rsid w:val="00826D7A"/>
    <w:rsid w:val="00826FF4"/>
    <w:rsid w:val="00827968"/>
    <w:rsid w:val="00831C94"/>
    <w:rsid w:val="00832546"/>
    <w:rsid w:val="00832E99"/>
    <w:rsid w:val="00832FAC"/>
    <w:rsid w:val="00833933"/>
    <w:rsid w:val="0083506F"/>
    <w:rsid w:val="00835A4E"/>
    <w:rsid w:val="008362D1"/>
    <w:rsid w:val="00840E76"/>
    <w:rsid w:val="00844A85"/>
    <w:rsid w:val="00844D48"/>
    <w:rsid w:val="00847E06"/>
    <w:rsid w:val="00851345"/>
    <w:rsid w:val="0085136A"/>
    <w:rsid w:val="00851815"/>
    <w:rsid w:val="00851EE9"/>
    <w:rsid w:val="008530BA"/>
    <w:rsid w:val="0085460B"/>
    <w:rsid w:val="00854CFE"/>
    <w:rsid w:val="00855316"/>
    <w:rsid w:val="008559D5"/>
    <w:rsid w:val="0085668D"/>
    <w:rsid w:val="008570BE"/>
    <w:rsid w:val="008616F3"/>
    <w:rsid w:val="0086194F"/>
    <w:rsid w:val="00863840"/>
    <w:rsid w:val="00864870"/>
    <w:rsid w:val="00864C4F"/>
    <w:rsid w:val="0086619D"/>
    <w:rsid w:val="00866EBA"/>
    <w:rsid w:val="00867EC3"/>
    <w:rsid w:val="008707FC"/>
    <w:rsid w:val="00871C8E"/>
    <w:rsid w:val="00872E14"/>
    <w:rsid w:val="00873C7F"/>
    <w:rsid w:val="008745FF"/>
    <w:rsid w:val="00876812"/>
    <w:rsid w:val="00876B8F"/>
    <w:rsid w:val="00880060"/>
    <w:rsid w:val="00880E00"/>
    <w:rsid w:val="00881197"/>
    <w:rsid w:val="00881205"/>
    <w:rsid w:val="00881543"/>
    <w:rsid w:val="00881F33"/>
    <w:rsid w:val="0088281F"/>
    <w:rsid w:val="008833BF"/>
    <w:rsid w:val="008837FC"/>
    <w:rsid w:val="00885209"/>
    <w:rsid w:val="008861BF"/>
    <w:rsid w:val="00887CFD"/>
    <w:rsid w:val="008938D3"/>
    <w:rsid w:val="00894C41"/>
    <w:rsid w:val="00895793"/>
    <w:rsid w:val="0089585E"/>
    <w:rsid w:val="0089596B"/>
    <w:rsid w:val="008961D8"/>
    <w:rsid w:val="00896B59"/>
    <w:rsid w:val="008A0A85"/>
    <w:rsid w:val="008A17E1"/>
    <w:rsid w:val="008A18B0"/>
    <w:rsid w:val="008A24A1"/>
    <w:rsid w:val="008A35DD"/>
    <w:rsid w:val="008A3D0A"/>
    <w:rsid w:val="008A4BA0"/>
    <w:rsid w:val="008A51E7"/>
    <w:rsid w:val="008A53FE"/>
    <w:rsid w:val="008A54E9"/>
    <w:rsid w:val="008A5D65"/>
    <w:rsid w:val="008A6658"/>
    <w:rsid w:val="008A6F13"/>
    <w:rsid w:val="008B00FB"/>
    <w:rsid w:val="008B118D"/>
    <w:rsid w:val="008B39BF"/>
    <w:rsid w:val="008B3DD3"/>
    <w:rsid w:val="008B4324"/>
    <w:rsid w:val="008B4B3B"/>
    <w:rsid w:val="008B51CB"/>
    <w:rsid w:val="008B5DCA"/>
    <w:rsid w:val="008B756A"/>
    <w:rsid w:val="008B78CE"/>
    <w:rsid w:val="008C04EB"/>
    <w:rsid w:val="008C2823"/>
    <w:rsid w:val="008C3382"/>
    <w:rsid w:val="008C531D"/>
    <w:rsid w:val="008C5A24"/>
    <w:rsid w:val="008C6375"/>
    <w:rsid w:val="008D001B"/>
    <w:rsid w:val="008D02AE"/>
    <w:rsid w:val="008D19AA"/>
    <w:rsid w:val="008D2176"/>
    <w:rsid w:val="008D2312"/>
    <w:rsid w:val="008D2DCF"/>
    <w:rsid w:val="008D4C1F"/>
    <w:rsid w:val="008D4C2A"/>
    <w:rsid w:val="008D4E8C"/>
    <w:rsid w:val="008D5FB2"/>
    <w:rsid w:val="008E120F"/>
    <w:rsid w:val="008E1514"/>
    <w:rsid w:val="008E2333"/>
    <w:rsid w:val="008E2A0E"/>
    <w:rsid w:val="008E4C40"/>
    <w:rsid w:val="008E63CA"/>
    <w:rsid w:val="008E7368"/>
    <w:rsid w:val="008E74D3"/>
    <w:rsid w:val="008E7C80"/>
    <w:rsid w:val="008F1B3D"/>
    <w:rsid w:val="008F31A5"/>
    <w:rsid w:val="008F354B"/>
    <w:rsid w:val="008F3C7B"/>
    <w:rsid w:val="008F57A7"/>
    <w:rsid w:val="008F5BD7"/>
    <w:rsid w:val="008F7596"/>
    <w:rsid w:val="008F7FC3"/>
    <w:rsid w:val="009029EF"/>
    <w:rsid w:val="009031B9"/>
    <w:rsid w:val="00903833"/>
    <w:rsid w:val="00904D3B"/>
    <w:rsid w:val="0090514E"/>
    <w:rsid w:val="009063B8"/>
    <w:rsid w:val="009070FB"/>
    <w:rsid w:val="00907A96"/>
    <w:rsid w:val="00907B9E"/>
    <w:rsid w:val="00907FEF"/>
    <w:rsid w:val="00910D84"/>
    <w:rsid w:val="00911931"/>
    <w:rsid w:val="009137FE"/>
    <w:rsid w:val="00913A44"/>
    <w:rsid w:val="00913B12"/>
    <w:rsid w:val="0091468D"/>
    <w:rsid w:val="00914ED1"/>
    <w:rsid w:val="00916F8B"/>
    <w:rsid w:val="009171FC"/>
    <w:rsid w:val="009205A9"/>
    <w:rsid w:val="00920BF0"/>
    <w:rsid w:val="00921F7C"/>
    <w:rsid w:val="00922588"/>
    <w:rsid w:val="00923532"/>
    <w:rsid w:val="00924D08"/>
    <w:rsid w:val="009262B2"/>
    <w:rsid w:val="0092703D"/>
    <w:rsid w:val="0092798A"/>
    <w:rsid w:val="00927D81"/>
    <w:rsid w:val="00930234"/>
    <w:rsid w:val="0093097B"/>
    <w:rsid w:val="00930D13"/>
    <w:rsid w:val="009310F4"/>
    <w:rsid w:val="00931643"/>
    <w:rsid w:val="00931D7A"/>
    <w:rsid w:val="00932DA2"/>
    <w:rsid w:val="00933A0D"/>
    <w:rsid w:val="00933B07"/>
    <w:rsid w:val="00934607"/>
    <w:rsid w:val="00935CDF"/>
    <w:rsid w:val="00936152"/>
    <w:rsid w:val="0093722A"/>
    <w:rsid w:val="00937888"/>
    <w:rsid w:val="00942315"/>
    <w:rsid w:val="0094337B"/>
    <w:rsid w:val="00944462"/>
    <w:rsid w:val="009468FD"/>
    <w:rsid w:val="00947982"/>
    <w:rsid w:val="00947C05"/>
    <w:rsid w:val="009502E2"/>
    <w:rsid w:val="009506A3"/>
    <w:rsid w:val="00950703"/>
    <w:rsid w:val="00950B89"/>
    <w:rsid w:val="00950C57"/>
    <w:rsid w:val="009523CB"/>
    <w:rsid w:val="00952A8C"/>
    <w:rsid w:val="00952F77"/>
    <w:rsid w:val="00953519"/>
    <w:rsid w:val="00953F4C"/>
    <w:rsid w:val="0095494D"/>
    <w:rsid w:val="0095692A"/>
    <w:rsid w:val="00956DC6"/>
    <w:rsid w:val="0095701C"/>
    <w:rsid w:val="00957A21"/>
    <w:rsid w:val="00960FFD"/>
    <w:rsid w:val="0096128A"/>
    <w:rsid w:val="009614BD"/>
    <w:rsid w:val="00962432"/>
    <w:rsid w:val="009638AE"/>
    <w:rsid w:val="00963BB5"/>
    <w:rsid w:val="00964122"/>
    <w:rsid w:val="00964F79"/>
    <w:rsid w:val="009713EF"/>
    <w:rsid w:val="0097218D"/>
    <w:rsid w:val="009722E4"/>
    <w:rsid w:val="00972E40"/>
    <w:rsid w:val="00972F33"/>
    <w:rsid w:val="0097373D"/>
    <w:rsid w:val="0097397B"/>
    <w:rsid w:val="009746AB"/>
    <w:rsid w:val="00975E38"/>
    <w:rsid w:val="00976276"/>
    <w:rsid w:val="0097684A"/>
    <w:rsid w:val="00980788"/>
    <w:rsid w:val="0098092F"/>
    <w:rsid w:val="0098118C"/>
    <w:rsid w:val="00982EFD"/>
    <w:rsid w:val="0098515E"/>
    <w:rsid w:val="009852BC"/>
    <w:rsid w:val="00987265"/>
    <w:rsid w:val="0098792D"/>
    <w:rsid w:val="00987E46"/>
    <w:rsid w:val="00990EAC"/>
    <w:rsid w:val="00991811"/>
    <w:rsid w:val="009922A0"/>
    <w:rsid w:val="009939D9"/>
    <w:rsid w:val="0099413F"/>
    <w:rsid w:val="009957AD"/>
    <w:rsid w:val="00995B7F"/>
    <w:rsid w:val="00996BC1"/>
    <w:rsid w:val="009970C8"/>
    <w:rsid w:val="00997EF5"/>
    <w:rsid w:val="009A01A4"/>
    <w:rsid w:val="009A0C7F"/>
    <w:rsid w:val="009A11CE"/>
    <w:rsid w:val="009A1768"/>
    <w:rsid w:val="009A2D78"/>
    <w:rsid w:val="009A395A"/>
    <w:rsid w:val="009A3F4C"/>
    <w:rsid w:val="009A5676"/>
    <w:rsid w:val="009A5850"/>
    <w:rsid w:val="009A5FB9"/>
    <w:rsid w:val="009A615F"/>
    <w:rsid w:val="009A7056"/>
    <w:rsid w:val="009A799D"/>
    <w:rsid w:val="009B1303"/>
    <w:rsid w:val="009B2322"/>
    <w:rsid w:val="009B2444"/>
    <w:rsid w:val="009B3CA1"/>
    <w:rsid w:val="009B40B7"/>
    <w:rsid w:val="009B4F60"/>
    <w:rsid w:val="009B5162"/>
    <w:rsid w:val="009B6050"/>
    <w:rsid w:val="009B60C0"/>
    <w:rsid w:val="009C33A3"/>
    <w:rsid w:val="009C3A26"/>
    <w:rsid w:val="009C3D0F"/>
    <w:rsid w:val="009C441C"/>
    <w:rsid w:val="009C4A86"/>
    <w:rsid w:val="009C4AC4"/>
    <w:rsid w:val="009C5EFA"/>
    <w:rsid w:val="009C6020"/>
    <w:rsid w:val="009C7E5C"/>
    <w:rsid w:val="009D2408"/>
    <w:rsid w:val="009D2DA1"/>
    <w:rsid w:val="009D39A7"/>
    <w:rsid w:val="009D41D2"/>
    <w:rsid w:val="009D4D6A"/>
    <w:rsid w:val="009D4F78"/>
    <w:rsid w:val="009D6964"/>
    <w:rsid w:val="009E0780"/>
    <w:rsid w:val="009E0E09"/>
    <w:rsid w:val="009E1048"/>
    <w:rsid w:val="009E13C2"/>
    <w:rsid w:val="009E18C4"/>
    <w:rsid w:val="009E2BC4"/>
    <w:rsid w:val="009E2EA4"/>
    <w:rsid w:val="009E30E5"/>
    <w:rsid w:val="009E3E71"/>
    <w:rsid w:val="009E41FC"/>
    <w:rsid w:val="009E4527"/>
    <w:rsid w:val="009E4CFC"/>
    <w:rsid w:val="009E4D95"/>
    <w:rsid w:val="009E59CA"/>
    <w:rsid w:val="009E6DE2"/>
    <w:rsid w:val="009E702E"/>
    <w:rsid w:val="009E768B"/>
    <w:rsid w:val="009E7A91"/>
    <w:rsid w:val="009F0896"/>
    <w:rsid w:val="009F08D5"/>
    <w:rsid w:val="009F0EFE"/>
    <w:rsid w:val="009F10A8"/>
    <w:rsid w:val="009F1A26"/>
    <w:rsid w:val="009F2B1B"/>
    <w:rsid w:val="009F34F9"/>
    <w:rsid w:val="009F4375"/>
    <w:rsid w:val="009F4586"/>
    <w:rsid w:val="009F5905"/>
    <w:rsid w:val="00A0179C"/>
    <w:rsid w:val="00A02ABA"/>
    <w:rsid w:val="00A034C7"/>
    <w:rsid w:val="00A03B2E"/>
    <w:rsid w:val="00A04059"/>
    <w:rsid w:val="00A0427D"/>
    <w:rsid w:val="00A04612"/>
    <w:rsid w:val="00A04740"/>
    <w:rsid w:val="00A05EA0"/>
    <w:rsid w:val="00A06FC3"/>
    <w:rsid w:val="00A0705D"/>
    <w:rsid w:val="00A07DF2"/>
    <w:rsid w:val="00A1078C"/>
    <w:rsid w:val="00A12094"/>
    <w:rsid w:val="00A14299"/>
    <w:rsid w:val="00A14BC6"/>
    <w:rsid w:val="00A14FDB"/>
    <w:rsid w:val="00A15314"/>
    <w:rsid w:val="00A1653E"/>
    <w:rsid w:val="00A21391"/>
    <w:rsid w:val="00A2217C"/>
    <w:rsid w:val="00A222D1"/>
    <w:rsid w:val="00A23AF2"/>
    <w:rsid w:val="00A24136"/>
    <w:rsid w:val="00A30041"/>
    <w:rsid w:val="00A30879"/>
    <w:rsid w:val="00A32FFB"/>
    <w:rsid w:val="00A33253"/>
    <w:rsid w:val="00A33B04"/>
    <w:rsid w:val="00A33F3D"/>
    <w:rsid w:val="00A343D3"/>
    <w:rsid w:val="00A35C2C"/>
    <w:rsid w:val="00A37B41"/>
    <w:rsid w:val="00A41058"/>
    <w:rsid w:val="00A4176B"/>
    <w:rsid w:val="00A451E0"/>
    <w:rsid w:val="00A45C2B"/>
    <w:rsid w:val="00A46577"/>
    <w:rsid w:val="00A4755F"/>
    <w:rsid w:val="00A515EF"/>
    <w:rsid w:val="00A51891"/>
    <w:rsid w:val="00A51A04"/>
    <w:rsid w:val="00A5202A"/>
    <w:rsid w:val="00A52319"/>
    <w:rsid w:val="00A53762"/>
    <w:rsid w:val="00A5390B"/>
    <w:rsid w:val="00A5399A"/>
    <w:rsid w:val="00A53F4F"/>
    <w:rsid w:val="00A54B60"/>
    <w:rsid w:val="00A553CA"/>
    <w:rsid w:val="00A5549A"/>
    <w:rsid w:val="00A55F56"/>
    <w:rsid w:val="00A55F63"/>
    <w:rsid w:val="00A56664"/>
    <w:rsid w:val="00A57B11"/>
    <w:rsid w:val="00A57D50"/>
    <w:rsid w:val="00A57F7D"/>
    <w:rsid w:val="00A60CB6"/>
    <w:rsid w:val="00A61EC8"/>
    <w:rsid w:val="00A625CA"/>
    <w:rsid w:val="00A627C0"/>
    <w:rsid w:val="00A6289C"/>
    <w:rsid w:val="00A62941"/>
    <w:rsid w:val="00A62F8B"/>
    <w:rsid w:val="00A634E0"/>
    <w:rsid w:val="00A64604"/>
    <w:rsid w:val="00A64A84"/>
    <w:rsid w:val="00A65D7F"/>
    <w:rsid w:val="00A66537"/>
    <w:rsid w:val="00A673C9"/>
    <w:rsid w:val="00A7089F"/>
    <w:rsid w:val="00A70E97"/>
    <w:rsid w:val="00A71390"/>
    <w:rsid w:val="00A714BA"/>
    <w:rsid w:val="00A72E1A"/>
    <w:rsid w:val="00A73DD2"/>
    <w:rsid w:val="00A73F08"/>
    <w:rsid w:val="00A73FF8"/>
    <w:rsid w:val="00A75DFA"/>
    <w:rsid w:val="00A76F32"/>
    <w:rsid w:val="00A7719F"/>
    <w:rsid w:val="00A7740E"/>
    <w:rsid w:val="00A7798C"/>
    <w:rsid w:val="00A806B4"/>
    <w:rsid w:val="00A81027"/>
    <w:rsid w:val="00A82D94"/>
    <w:rsid w:val="00A84071"/>
    <w:rsid w:val="00A84D4B"/>
    <w:rsid w:val="00A84F93"/>
    <w:rsid w:val="00A85421"/>
    <w:rsid w:val="00A85D0F"/>
    <w:rsid w:val="00A85E32"/>
    <w:rsid w:val="00A86077"/>
    <w:rsid w:val="00A86AB2"/>
    <w:rsid w:val="00A86B49"/>
    <w:rsid w:val="00A876F6"/>
    <w:rsid w:val="00A87EFD"/>
    <w:rsid w:val="00A9077B"/>
    <w:rsid w:val="00A90ADC"/>
    <w:rsid w:val="00A912FD"/>
    <w:rsid w:val="00A941C6"/>
    <w:rsid w:val="00A96656"/>
    <w:rsid w:val="00A96A93"/>
    <w:rsid w:val="00A96BBB"/>
    <w:rsid w:val="00A96BBC"/>
    <w:rsid w:val="00AA0A06"/>
    <w:rsid w:val="00AA105A"/>
    <w:rsid w:val="00AA1C9C"/>
    <w:rsid w:val="00AA2903"/>
    <w:rsid w:val="00AA2925"/>
    <w:rsid w:val="00AA2D38"/>
    <w:rsid w:val="00AA3753"/>
    <w:rsid w:val="00AA4757"/>
    <w:rsid w:val="00AA5B46"/>
    <w:rsid w:val="00AA5BD8"/>
    <w:rsid w:val="00AA6060"/>
    <w:rsid w:val="00AA70E3"/>
    <w:rsid w:val="00AA731D"/>
    <w:rsid w:val="00AA74F0"/>
    <w:rsid w:val="00AB03E3"/>
    <w:rsid w:val="00AB0FBE"/>
    <w:rsid w:val="00AB1A8A"/>
    <w:rsid w:val="00AB1E34"/>
    <w:rsid w:val="00AB35FC"/>
    <w:rsid w:val="00AB365A"/>
    <w:rsid w:val="00AB3764"/>
    <w:rsid w:val="00AB49E3"/>
    <w:rsid w:val="00AB5180"/>
    <w:rsid w:val="00AB6319"/>
    <w:rsid w:val="00AB6591"/>
    <w:rsid w:val="00AC01D9"/>
    <w:rsid w:val="00AC049E"/>
    <w:rsid w:val="00AC1F52"/>
    <w:rsid w:val="00AC3A2A"/>
    <w:rsid w:val="00AC4036"/>
    <w:rsid w:val="00AC5D27"/>
    <w:rsid w:val="00AC5F6E"/>
    <w:rsid w:val="00AC621F"/>
    <w:rsid w:val="00AD00FB"/>
    <w:rsid w:val="00AD2182"/>
    <w:rsid w:val="00AD2722"/>
    <w:rsid w:val="00AD2D38"/>
    <w:rsid w:val="00AD3988"/>
    <w:rsid w:val="00AD4077"/>
    <w:rsid w:val="00AD44EA"/>
    <w:rsid w:val="00AD55C6"/>
    <w:rsid w:val="00AD60E4"/>
    <w:rsid w:val="00AE0333"/>
    <w:rsid w:val="00AE1129"/>
    <w:rsid w:val="00AE248C"/>
    <w:rsid w:val="00AE31DA"/>
    <w:rsid w:val="00AE4893"/>
    <w:rsid w:val="00AE4D3F"/>
    <w:rsid w:val="00AE5254"/>
    <w:rsid w:val="00AE596E"/>
    <w:rsid w:val="00AE6ADC"/>
    <w:rsid w:val="00AE749B"/>
    <w:rsid w:val="00AF07E8"/>
    <w:rsid w:val="00AF0C5D"/>
    <w:rsid w:val="00AF0EC2"/>
    <w:rsid w:val="00AF2BB6"/>
    <w:rsid w:val="00AF4755"/>
    <w:rsid w:val="00AF4E8D"/>
    <w:rsid w:val="00AF5211"/>
    <w:rsid w:val="00AF527D"/>
    <w:rsid w:val="00AF5B37"/>
    <w:rsid w:val="00AF6941"/>
    <w:rsid w:val="00AF6CF8"/>
    <w:rsid w:val="00B00236"/>
    <w:rsid w:val="00B012AB"/>
    <w:rsid w:val="00B01AD0"/>
    <w:rsid w:val="00B01FB8"/>
    <w:rsid w:val="00B0203B"/>
    <w:rsid w:val="00B02C9D"/>
    <w:rsid w:val="00B038DF"/>
    <w:rsid w:val="00B03F78"/>
    <w:rsid w:val="00B07552"/>
    <w:rsid w:val="00B07ECE"/>
    <w:rsid w:val="00B1087C"/>
    <w:rsid w:val="00B12505"/>
    <w:rsid w:val="00B150DF"/>
    <w:rsid w:val="00B16806"/>
    <w:rsid w:val="00B170BA"/>
    <w:rsid w:val="00B17200"/>
    <w:rsid w:val="00B2189A"/>
    <w:rsid w:val="00B21C20"/>
    <w:rsid w:val="00B2365E"/>
    <w:rsid w:val="00B23727"/>
    <w:rsid w:val="00B24188"/>
    <w:rsid w:val="00B2540C"/>
    <w:rsid w:val="00B259B0"/>
    <w:rsid w:val="00B27E5A"/>
    <w:rsid w:val="00B3056C"/>
    <w:rsid w:val="00B31A7D"/>
    <w:rsid w:val="00B32C9A"/>
    <w:rsid w:val="00B33BF5"/>
    <w:rsid w:val="00B344EB"/>
    <w:rsid w:val="00B34EEF"/>
    <w:rsid w:val="00B36382"/>
    <w:rsid w:val="00B36ED7"/>
    <w:rsid w:val="00B3750C"/>
    <w:rsid w:val="00B40556"/>
    <w:rsid w:val="00B411FF"/>
    <w:rsid w:val="00B429A7"/>
    <w:rsid w:val="00B42EA2"/>
    <w:rsid w:val="00B45A70"/>
    <w:rsid w:val="00B4649B"/>
    <w:rsid w:val="00B519C6"/>
    <w:rsid w:val="00B52E90"/>
    <w:rsid w:val="00B5363A"/>
    <w:rsid w:val="00B53855"/>
    <w:rsid w:val="00B54C08"/>
    <w:rsid w:val="00B54CA3"/>
    <w:rsid w:val="00B55227"/>
    <w:rsid w:val="00B55BCF"/>
    <w:rsid w:val="00B55CA6"/>
    <w:rsid w:val="00B568E7"/>
    <w:rsid w:val="00B56914"/>
    <w:rsid w:val="00B5724D"/>
    <w:rsid w:val="00B57293"/>
    <w:rsid w:val="00B57F38"/>
    <w:rsid w:val="00B60BF3"/>
    <w:rsid w:val="00B6150F"/>
    <w:rsid w:val="00B6264B"/>
    <w:rsid w:val="00B63452"/>
    <w:rsid w:val="00B63701"/>
    <w:rsid w:val="00B64C33"/>
    <w:rsid w:val="00B64FEB"/>
    <w:rsid w:val="00B655DF"/>
    <w:rsid w:val="00B66CC6"/>
    <w:rsid w:val="00B66CFF"/>
    <w:rsid w:val="00B67BCA"/>
    <w:rsid w:val="00B70673"/>
    <w:rsid w:val="00B706ED"/>
    <w:rsid w:val="00B70ED0"/>
    <w:rsid w:val="00B745D6"/>
    <w:rsid w:val="00B75142"/>
    <w:rsid w:val="00B7597C"/>
    <w:rsid w:val="00B76072"/>
    <w:rsid w:val="00B76568"/>
    <w:rsid w:val="00B77182"/>
    <w:rsid w:val="00B7745A"/>
    <w:rsid w:val="00B7745D"/>
    <w:rsid w:val="00B80ECE"/>
    <w:rsid w:val="00B810EC"/>
    <w:rsid w:val="00B81350"/>
    <w:rsid w:val="00B824F9"/>
    <w:rsid w:val="00B8347F"/>
    <w:rsid w:val="00B83E33"/>
    <w:rsid w:val="00B84B53"/>
    <w:rsid w:val="00B84FCB"/>
    <w:rsid w:val="00B85665"/>
    <w:rsid w:val="00B859E0"/>
    <w:rsid w:val="00B86AB1"/>
    <w:rsid w:val="00B86BDB"/>
    <w:rsid w:val="00B8711B"/>
    <w:rsid w:val="00B874D1"/>
    <w:rsid w:val="00B900F0"/>
    <w:rsid w:val="00B92695"/>
    <w:rsid w:val="00B92E75"/>
    <w:rsid w:val="00B93068"/>
    <w:rsid w:val="00B967B9"/>
    <w:rsid w:val="00BA1A8D"/>
    <w:rsid w:val="00BA282E"/>
    <w:rsid w:val="00BA28D1"/>
    <w:rsid w:val="00BA3857"/>
    <w:rsid w:val="00BA40FE"/>
    <w:rsid w:val="00BA4AD2"/>
    <w:rsid w:val="00BA5512"/>
    <w:rsid w:val="00BA5DC7"/>
    <w:rsid w:val="00BA5E0A"/>
    <w:rsid w:val="00BA671F"/>
    <w:rsid w:val="00BA6E40"/>
    <w:rsid w:val="00BB0E74"/>
    <w:rsid w:val="00BB1635"/>
    <w:rsid w:val="00BB18F5"/>
    <w:rsid w:val="00BB1C2A"/>
    <w:rsid w:val="00BB2E0D"/>
    <w:rsid w:val="00BB365A"/>
    <w:rsid w:val="00BB3E03"/>
    <w:rsid w:val="00BB489F"/>
    <w:rsid w:val="00BB5EED"/>
    <w:rsid w:val="00BC3DB2"/>
    <w:rsid w:val="00BC615E"/>
    <w:rsid w:val="00BC749F"/>
    <w:rsid w:val="00BD0385"/>
    <w:rsid w:val="00BD04E1"/>
    <w:rsid w:val="00BD2367"/>
    <w:rsid w:val="00BD23D0"/>
    <w:rsid w:val="00BD2E26"/>
    <w:rsid w:val="00BD2EB0"/>
    <w:rsid w:val="00BD45BA"/>
    <w:rsid w:val="00BD4637"/>
    <w:rsid w:val="00BD4AEA"/>
    <w:rsid w:val="00BD5ADE"/>
    <w:rsid w:val="00BD5E1B"/>
    <w:rsid w:val="00BD6091"/>
    <w:rsid w:val="00BD668A"/>
    <w:rsid w:val="00BD67DE"/>
    <w:rsid w:val="00BD6AC0"/>
    <w:rsid w:val="00BD729C"/>
    <w:rsid w:val="00BD7983"/>
    <w:rsid w:val="00BE0FB8"/>
    <w:rsid w:val="00BE10EB"/>
    <w:rsid w:val="00BE130B"/>
    <w:rsid w:val="00BE1AEB"/>
    <w:rsid w:val="00BE3EB8"/>
    <w:rsid w:val="00BE4065"/>
    <w:rsid w:val="00BE4FE4"/>
    <w:rsid w:val="00BE530B"/>
    <w:rsid w:val="00BE7709"/>
    <w:rsid w:val="00BF2381"/>
    <w:rsid w:val="00BF2E7B"/>
    <w:rsid w:val="00BF3126"/>
    <w:rsid w:val="00BF3456"/>
    <w:rsid w:val="00BF4ABB"/>
    <w:rsid w:val="00BF4D25"/>
    <w:rsid w:val="00BF6502"/>
    <w:rsid w:val="00BF6AC7"/>
    <w:rsid w:val="00BF6C2C"/>
    <w:rsid w:val="00BF70D9"/>
    <w:rsid w:val="00BF752E"/>
    <w:rsid w:val="00C02904"/>
    <w:rsid w:val="00C02F54"/>
    <w:rsid w:val="00C032B2"/>
    <w:rsid w:val="00C038A8"/>
    <w:rsid w:val="00C03E57"/>
    <w:rsid w:val="00C0457A"/>
    <w:rsid w:val="00C049ED"/>
    <w:rsid w:val="00C052A7"/>
    <w:rsid w:val="00C055AA"/>
    <w:rsid w:val="00C0578E"/>
    <w:rsid w:val="00C0640B"/>
    <w:rsid w:val="00C06E73"/>
    <w:rsid w:val="00C06F8F"/>
    <w:rsid w:val="00C116A3"/>
    <w:rsid w:val="00C116F9"/>
    <w:rsid w:val="00C12F35"/>
    <w:rsid w:val="00C1341A"/>
    <w:rsid w:val="00C145FB"/>
    <w:rsid w:val="00C146F9"/>
    <w:rsid w:val="00C14D04"/>
    <w:rsid w:val="00C15DA3"/>
    <w:rsid w:val="00C16912"/>
    <w:rsid w:val="00C171E4"/>
    <w:rsid w:val="00C17381"/>
    <w:rsid w:val="00C2128B"/>
    <w:rsid w:val="00C21813"/>
    <w:rsid w:val="00C23646"/>
    <w:rsid w:val="00C24F49"/>
    <w:rsid w:val="00C2507B"/>
    <w:rsid w:val="00C2736A"/>
    <w:rsid w:val="00C304AA"/>
    <w:rsid w:val="00C30E4E"/>
    <w:rsid w:val="00C31D90"/>
    <w:rsid w:val="00C31D9B"/>
    <w:rsid w:val="00C3254B"/>
    <w:rsid w:val="00C3331E"/>
    <w:rsid w:val="00C3444F"/>
    <w:rsid w:val="00C358D7"/>
    <w:rsid w:val="00C35E9E"/>
    <w:rsid w:val="00C363D7"/>
    <w:rsid w:val="00C3666F"/>
    <w:rsid w:val="00C371D5"/>
    <w:rsid w:val="00C37215"/>
    <w:rsid w:val="00C37384"/>
    <w:rsid w:val="00C3775B"/>
    <w:rsid w:val="00C428C4"/>
    <w:rsid w:val="00C42B50"/>
    <w:rsid w:val="00C42E53"/>
    <w:rsid w:val="00C4358A"/>
    <w:rsid w:val="00C45598"/>
    <w:rsid w:val="00C460CF"/>
    <w:rsid w:val="00C51603"/>
    <w:rsid w:val="00C51A8A"/>
    <w:rsid w:val="00C522F7"/>
    <w:rsid w:val="00C52C46"/>
    <w:rsid w:val="00C53662"/>
    <w:rsid w:val="00C5493E"/>
    <w:rsid w:val="00C57CB2"/>
    <w:rsid w:val="00C57FC8"/>
    <w:rsid w:val="00C64132"/>
    <w:rsid w:val="00C64607"/>
    <w:rsid w:val="00C64C7F"/>
    <w:rsid w:val="00C658DA"/>
    <w:rsid w:val="00C65ACB"/>
    <w:rsid w:val="00C67A6A"/>
    <w:rsid w:val="00C705C6"/>
    <w:rsid w:val="00C70792"/>
    <w:rsid w:val="00C71D7B"/>
    <w:rsid w:val="00C72C78"/>
    <w:rsid w:val="00C72F10"/>
    <w:rsid w:val="00C73741"/>
    <w:rsid w:val="00C752FF"/>
    <w:rsid w:val="00C7602F"/>
    <w:rsid w:val="00C775CF"/>
    <w:rsid w:val="00C77652"/>
    <w:rsid w:val="00C77CE3"/>
    <w:rsid w:val="00C80769"/>
    <w:rsid w:val="00C810E9"/>
    <w:rsid w:val="00C815C0"/>
    <w:rsid w:val="00C83AB6"/>
    <w:rsid w:val="00C84E58"/>
    <w:rsid w:val="00C8541A"/>
    <w:rsid w:val="00C871F9"/>
    <w:rsid w:val="00C87298"/>
    <w:rsid w:val="00C90A84"/>
    <w:rsid w:val="00C92CDA"/>
    <w:rsid w:val="00C93A6C"/>
    <w:rsid w:val="00C93A98"/>
    <w:rsid w:val="00C9428B"/>
    <w:rsid w:val="00C94BBC"/>
    <w:rsid w:val="00C95060"/>
    <w:rsid w:val="00C95107"/>
    <w:rsid w:val="00C97B18"/>
    <w:rsid w:val="00CA0EFB"/>
    <w:rsid w:val="00CA1BC8"/>
    <w:rsid w:val="00CA223D"/>
    <w:rsid w:val="00CA22C7"/>
    <w:rsid w:val="00CA32C5"/>
    <w:rsid w:val="00CA39F5"/>
    <w:rsid w:val="00CA3BFF"/>
    <w:rsid w:val="00CA447C"/>
    <w:rsid w:val="00CA4B35"/>
    <w:rsid w:val="00CA4B6B"/>
    <w:rsid w:val="00CA5D60"/>
    <w:rsid w:val="00CA6D34"/>
    <w:rsid w:val="00CA73D8"/>
    <w:rsid w:val="00CA7B8C"/>
    <w:rsid w:val="00CA7C3F"/>
    <w:rsid w:val="00CB2CF7"/>
    <w:rsid w:val="00CB3CC7"/>
    <w:rsid w:val="00CB7F45"/>
    <w:rsid w:val="00CC062B"/>
    <w:rsid w:val="00CC0A03"/>
    <w:rsid w:val="00CC2821"/>
    <w:rsid w:val="00CC47AE"/>
    <w:rsid w:val="00CC4C3E"/>
    <w:rsid w:val="00CC5002"/>
    <w:rsid w:val="00CC5663"/>
    <w:rsid w:val="00CC5F82"/>
    <w:rsid w:val="00CC7E29"/>
    <w:rsid w:val="00CD14B8"/>
    <w:rsid w:val="00CD27FD"/>
    <w:rsid w:val="00CD291E"/>
    <w:rsid w:val="00CD30FC"/>
    <w:rsid w:val="00CD3AC2"/>
    <w:rsid w:val="00CD40A1"/>
    <w:rsid w:val="00CD441B"/>
    <w:rsid w:val="00CD451B"/>
    <w:rsid w:val="00CD5D41"/>
    <w:rsid w:val="00CD754D"/>
    <w:rsid w:val="00CE1137"/>
    <w:rsid w:val="00CE18A3"/>
    <w:rsid w:val="00CE2EE7"/>
    <w:rsid w:val="00CE3852"/>
    <w:rsid w:val="00CE39E1"/>
    <w:rsid w:val="00CE7138"/>
    <w:rsid w:val="00CF0A90"/>
    <w:rsid w:val="00CF270B"/>
    <w:rsid w:val="00CF30D9"/>
    <w:rsid w:val="00CF748D"/>
    <w:rsid w:val="00D0080D"/>
    <w:rsid w:val="00D06356"/>
    <w:rsid w:val="00D06C3B"/>
    <w:rsid w:val="00D1384A"/>
    <w:rsid w:val="00D13D91"/>
    <w:rsid w:val="00D154C9"/>
    <w:rsid w:val="00D156DE"/>
    <w:rsid w:val="00D16EE4"/>
    <w:rsid w:val="00D17C18"/>
    <w:rsid w:val="00D21AE6"/>
    <w:rsid w:val="00D21C13"/>
    <w:rsid w:val="00D24058"/>
    <w:rsid w:val="00D259E4"/>
    <w:rsid w:val="00D302F1"/>
    <w:rsid w:val="00D322B3"/>
    <w:rsid w:val="00D32E9F"/>
    <w:rsid w:val="00D33C73"/>
    <w:rsid w:val="00D34409"/>
    <w:rsid w:val="00D34ADB"/>
    <w:rsid w:val="00D350E4"/>
    <w:rsid w:val="00D35115"/>
    <w:rsid w:val="00D37773"/>
    <w:rsid w:val="00D4036A"/>
    <w:rsid w:val="00D409F0"/>
    <w:rsid w:val="00D412B1"/>
    <w:rsid w:val="00D423C2"/>
    <w:rsid w:val="00D431C8"/>
    <w:rsid w:val="00D4331B"/>
    <w:rsid w:val="00D4336E"/>
    <w:rsid w:val="00D43428"/>
    <w:rsid w:val="00D43F52"/>
    <w:rsid w:val="00D447A7"/>
    <w:rsid w:val="00D447F8"/>
    <w:rsid w:val="00D44C8A"/>
    <w:rsid w:val="00D45274"/>
    <w:rsid w:val="00D45E0E"/>
    <w:rsid w:val="00D46D14"/>
    <w:rsid w:val="00D47187"/>
    <w:rsid w:val="00D516CF"/>
    <w:rsid w:val="00D52A7A"/>
    <w:rsid w:val="00D532FA"/>
    <w:rsid w:val="00D5487F"/>
    <w:rsid w:val="00D556E6"/>
    <w:rsid w:val="00D5590D"/>
    <w:rsid w:val="00D5624C"/>
    <w:rsid w:val="00D56EC6"/>
    <w:rsid w:val="00D6096C"/>
    <w:rsid w:val="00D60C9A"/>
    <w:rsid w:val="00D60D9A"/>
    <w:rsid w:val="00D62FE4"/>
    <w:rsid w:val="00D6431F"/>
    <w:rsid w:val="00D64A32"/>
    <w:rsid w:val="00D666DC"/>
    <w:rsid w:val="00D66D76"/>
    <w:rsid w:val="00D66DB7"/>
    <w:rsid w:val="00D67612"/>
    <w:rsid w:val="00D7056B"/>
    <w:rsid w:val="00D70C39"/>
    <w:rsid w:val="00D728A1"/>
    <w:rsid w:val="00D755B2"/>
    <w:rsid w:val="00D759FF"/>
    <w:rsid w:val="00D75E0C"/>
    <w:rsid w:val="00D76415"/>
    <w:rsid w:val="00D7693B"/>
    <w:rsid w:val="00D7769F"/>
    <w:rsid w:val="00D81936"/>
    <w:rsid w:val="00D82221"/>
    <w:rsid w:val="00D830A9"/>
    <w:rsid w:val="00D85801"/>
    <w:rsid w:val="00D86EDB"/>
    <w:rsid w:val="00D91156"/>
    <w:rsid w:val="00D9204A"/>
    <w:rsid w:val="00D93703"/>
    <w:rsid w:val="00D93E30"/>
    <w:rsid w:val="00D93E89"/>
    <w:rsid w:val="00D945A0"/>
    <w:rsid w:val="00D965AE"/>
    <w:rsid w:val="00D96C40"/>
    <w:rsid w:val="00D96DD3"/>
    <w:rsid w:val="00D973A6"/>
    <w:rsid w:val="00DA16D6"/>
    <w:rsid w:val="00DA1B7C"/>
    <w:rsid w:val="00DA1CB4"/>
    <w:rsid w:val="00DA34FC"/>
    <w:rsid w:val="00DA5471"/>
    <w:rsid w:val="00DA65E7"/>
    <w:rsid w:val="00DB5C4C"/>
    <w:rsid w:val="00DB6E6F"/>
    <w:rsid w:val="00DC311D"/>
    <w:rsid w:val="00DC3D9D"/>
    <w:rsid w:val="00DC4411"/>
    <w:rsid w:val="00DC4577"/>
    <w:rsid w:val="00DC54DF"/>
    <w:rsid w:val="00DC5926"/>
    <w:rsid w:val="00DD12EC"/>
    <w:rsid w:val="00DD3067"/>
    <w:rsid w:val="00DD3C58"/>
    <w:rsid w:val="00DD411A"/>
    <w:rsid w:val="00DD4163"/>
    <w:rsid w:val="00DD629A"/>
    <w:rsid w:val="00DD66FB"/>
    <w:rsid w:val="00DD6E1F"/>
    <w:rsid w:val="00DE00A7"/>
    <w:rsid w:val="00DE0CD0"/>
    <w:rsid w:val="00DE201A"/>
    <w:rsid w:val="00DE2A2D"/>
    <w:rsid w:val="00DE3AAE"/>
    <w:rsid w:val="00DE4612"/>
    <w:rsid w:val="00DE5559"/>
    <w:rsid w:val="00DE56C7"/>
    <w:rsid w:val="00DE5CA2"/>
    <w:rsid w:val="00DF0141"/>
    <w:rsid w:val="00DF1329"/>
    <w:rsid w:val="00DF2483"/>
    <w:rsid w:val="00DF3A0D"/>
    <w:rsid w:val="00DF4B35"/>
    <w:rsid w:val="00DF5646"/>
    <w:rsid w:val="00DF57BF"/>
    <w:rsid w:val="00DF593B"/>
    <w:rsid w:val="00DF6427"/>
    <w:rsid w:val="00DF796A"/>
    <w:rsid w:val="00E013CF"/>
    <w:rsid w:val="00E0290D"/>
    <w:rsid w:val="00E02B7E"/>
    <w:rsid w:val="00E02D9C"/>
    <w:rsid w:val="00E030D7"/>
    <w:rsid w:val="00E054F2"/>
    <w:rsid w:val="00E05906"/>
    <w:rsid w:val="00E061EB"/>
    <w:rsid w:val="00E07F51"/>
    <w:rsid w:val="00E1027D"/>
    <w:rsid w:val="00E11B98"/>
    <w:rsid w:val="00E12084"/>
    <w:rsid w:val="00E12418"/>
    <w:rsid w:val="00E149A2"/>
    <w:rsid w:val="00E14D01"/>
    <w:rsid w:val="00E15C02"/>
    <w:rsid w:val="00E16691"/>
    <w:rsid w:val="00E2075F"/>
    <w:rsid w:val="00E220B5"/>
    <w:rsid w:val="00E22344"/>
    <w:rsid w:val="00E229A3"/>
    <w:rsid w:val="00E22DE6"/>
    <w:rsid w:val="00E23962"/>
    <w:rsid w:val="00E25445"/>
    <w:rsid w:val="00E25602"/>
    <w:rsid w:val="00E25A4B"/>
    <w:rsid w:val="00E26D9F"/>
    <w:rsid w:val="00E309E0"/>
    <w:rsid w:val="00E30C87"/>
    <w:rsid w:val="00E31054"/>
    <w:rsid w:val="00E31CB0"/>
    <w:rsid w:val="00E325CB"/>
    <w:rsid w:val="00E3282F"/>
    <w:rsid w:val="00E33A0A"/>
    <w:rsid w:val="00E33DBB"/>
    <w:rsid w:val="00E349E8"/>
    <w:rsid w:val="00E362EF"/>
    <w:rsid w:val="00E36F63"/>
    <w:rsid w:val="00E41693"/>
    <w:rsid w:val="00E418DC"/>
    <w:rsid w:val="00E4374F"/>
    <w:rsid w:val="00E4466C"/>
    <w:rsid w:val="00E47B4E"/>
    <w:rsid w:val="00E5013B"/>
    <w:rsid w:val="00E50CCA"/>
    <w:rsid w:val="00E5156F"/>
    <w:rsid w:val="00E516CD"/>
    <w:rsid w:val="00E51CDB"/>
    <w:rsid w:val="00E52360"/>
    <w:rsid w:val="00E5498E"/>
    <w:rsid w:val="00E560BF"/>
    <w:rsid w:val="00E57091"/>
    <w:rsid w:val="00E573D2"/>
    <w:rsid w:val="00E60AE7"/>
    <w:rsid w:val="00E61392"/>
    <w:rsid w:val="00E61E77"/>
    <w:rsid w:val="00E6238F"/>
    <w:rsid w:val="00E6353A"/>
    <w:rsid w:val="00E63622"/>
    <w:rsid w:val="00E6371B"/>
    <w:rsid w:val="00E6466B"/>
    <w:rsid w:val="00E64909"/>
    <w:rsid w:val="00E652E0"/>
    <w:rsid w:val="00E65F26"/>
    <w:rsid w:val="00E6614F"/>
    <w:rsid w:val="00E664FB"/>
    <w:rsid w:val="00E66543"/>
    <w:rsid w:val="00E66AC3"/>
    <w:rsid w:val="00E707AE"/>
    <w:rsid w:val="00E70B20"/>
    <w:rsid w:val="00E71C1B"/>
    <w:rsid w:val="00E72045"/>
    <w:rsid w:val="00E72434"/>
    <w:rsid w:val="00E724A7"/>
    <w:rsid w:val="00E73F60"/>
    <w:rsid w:val="00E74109"/>
    <w:rsid w:val="00E7444F"/>
    <w:rsid w:val="00E74EC9"/>
    <w:rsid w:val="00E759E0"/>
    <w:rsid w:val="00E7630F"/>
    <w:rsid w:val="00E824F3"/>
    <w:rsid w:val="00E838B6"/>
    <w:rsid w:val="00E83A00"/>
    <w:rsid w:val="00E83AA3"/>
    <w:rsid w:val="00E8423F"/>
    <w:rsid w:val="00E84D66"/>
    <w:rsid w:val="00E85B86"/>
    <w:rsid w:val="00E86607"/>
    <w:rsid w:val="00E869F7"/>
    <w:rsid w:val="00E86CCD"/>
    <w:rsid w:val="00E86EFB"/>
    <w:rsid w:val="00E9309D"/>
    <w:rsid w:val="00E93125"/>
    <w:rsid w:val="00E945EF"/>
    <w:rsid w:val="00E95A11"/>
    <w:rsid w:val="00E9663B"/>
    <w:rsid w:val="00E976A4"/>
    <w:rsid w:val="00EA0DA1"/>
    <w:rsid w:val="00EA26DE"/>
    <w:rsid w:val="00EA2E37"/>
    <w:rsid w:val="00EA4694"/>
    <w:rsid w:val="00EA4D74"/>
    <w:rsid w:val="00EA690A"/>
    <w:rsid w:val="00EB10A4"/>
    <w:rsid w:val="00EB33D2"/>
    <w:rsid w:val="00EB391D"/>
    <w:rsid w:val="00EB3AEB"/>
    <w:rsid w:val="00EB49DD"/>
    <w:rsid w:val="00EB4B45"/>
    <w:rsid w:val="00EB7E3A"/>
    <w:rsid w:val="00EC1B80"/>
    <w:rsid w:val="00EC2908"/>
    <w:rsid w:val="00EC43FF"/>
    <w:rsid w:val="00EC5410"/>
    <w:rsid w:val="00EC6DFD"/>
    <w:rsid w:val="00EC7103"/>
    <w:rsid w:val="00EC7C3F"/>
    <w:rsid w:val="00ED07EC"/>
    <w:rsid w:val="00ED1E9F"/>
    <w:rsid w:val="00ED2D87"/>
    <w:rsid w:val="00ED68F3"/>
    <w:rsid w:val="00ED7AE5"/>
    <w:rsid w:val="00EE0894"/>
    <w:rsid w:val="00EE0D9B"/>
    <w:rsid w:val="00EE0F9A"/>
    <w:rsid w:val="00EE1E7A"/>
    <w:rsid w:val="00EE24D3"/>
    <w:rsid w:val="00EE324D"/>
    <w:rsid w:val="00EE36E9"/>
    <w:rsid w:val="00EE450B"/>
    <w:rsid w:val="00EE4544"/>
    <w:rsid w:val="00EE47B5"/>
    <w:rsid w:val="00EE48EA"/>
    <w:rsid w:val="00EE4E28"/>
    <w:rsid w:val="00EE7141"/>
    <w:rsid w:val="00EE7CFF"/>
    <w:rsid w:val="00EF08CB"/>
    <w:rsid w:val="00EF0BF0"/>
    <w:rsid w:val="00EF1ACF"/>
    <w:rsid w:val="00EF3899"/>
    <w:rsid w:val="00EF442F"/>
    <w:rsid w:val="00EF50C0"/>
    <w:rsid w:val="00EF57AF"/>
    <w:rsid w:val="00EF6D71"/>
    <w:rsid w:val="00EF6FFB"/>
    <w:rsid w:val="00F00BD3"/>
    <w:rsid w:val="00F03209"/>
    <w:rsid w:val="00F04748"/>
    <w:rsid w:val="00F05AF0"/>
    <w:rsid w:val="00F05DED"/>
    <w:rsid w:val="00F0617E"/>
    <w:rsid w:val="00F10642"/>
    <w:rsid w:val="00F11913"/>
    <w:rsid w:val="00F11945"/>
    <w:rsid w:val="00F11DB3"/>
    <w:rsid w:val="00F138C9"/>
    <w:rsid w:val="00F13D60"/>
    <w:rsid w:val="00F14FE1"/>
    <w:rsid w:val="00F167FA"/>
    <w:rsid w:val="00F20180"/>
    <w:rsid w:val="00F21257"/>
    <w:rsid w:val="00F21E12"/>
    <w:rsid w:val="00F22A63"/>
    <w:rsid w:val="00F23281"/>
    <w:rsid w:val="00F233A5"/>
    <w:rsid w:val="00F2558E"/>
    <w:rsid w:val="00F30B3B"/>
    <w:rsid w:val="00F321A6"/>
    <w:rsid w:val="00F35B65"/>
    <w:rsid w:val="00F36D94"/>
    <w:rsid w:val="00F37204"/>
    <w:rsid w:val="00F427CA"/>
    <w:rsid w:val="00F43047"/>
    <w:rsid w:val="00F446A0"/>
    <w:rsid w:val="00F44797"/>
    <w:rsid w:val="00F510A0"/>
    <w:rsid w:val="00F519B8"/>
    <w:rsid w:val="00F51A2B"/>
    <w:rsid w:val="00F52A16"/>
    <w:rsid w:val="00F5322A"/>
    <w:rsid w:val="00F53D1E"/>
    <w:rsid w:val="00F5467D"/>
    <w:rsid w:val="00F55593"/>
    <w:rsid w:val="00F56353"/>
    <w:rsid w:val="00F57756"/>
    <w:rsid w:val="00F600D4"/>
    <w:rsid w:val="00F60A89"/>
    <w:rsid w:val="00F6192D"/>
    <w:rsid w:val="00F64C25"/>
    <w:rsid w:val="00F64E7E"/>
    <w:rsid w:val="00F658E8"/>
    <w:rsid w:val="00F66FA3"/>
    <w:rsid w:val="00F67F1F"/>
    <w:rsid w:val="00F71AAB"/>
    <w:rsid w:val="00F71C5C"/>
    <w:rsid w:val="00F730C8"/>
    <w:rsid w:val="00F73206"/>
    <w:rsid w:val="00F76F67"/>
    <w:rsid w:val="00F834E6"/>
    <w:rsid w:val="00F83E8F"/>
    <w:rsid w:val="00F84E9D"/>
    <w:rsid w:val="00F869E4"/>
    <w:rsid w:val="00F90197"/>
    <w:rsid w:val="00F90875"/>
    <w:rsid w:val="00F92662"/>
    <w:rsid w:val="00F92E66"/>
    <w:rsid w:val="00F932BC"/>
    <w:rsid w:val="00F9338A"/>
    <w:rsid w:val="00F94D56"/>
    <w:rsid w:val="00F95142"/>
    <w:rsid w:val="00F95294"/>
    <w:rsid w:val="00F96CC2"/>
    <w:rsid w:val="00F97653"/>
    <w:rsid w:val="00F978F3"/>
    <w:rsid w:val="00FA0C5B"/>
    <w:rsid w:val="00FA2027"/>
    <w:rsid w:val="00FA39C1"/>
    <w:rsid w:val="00FA445B"/>
    <w:rsid w:val="00FA66DA"/>
    <w:rsid w:val="00FA6C72"/>
    <w:rsid w:val="00FA701E"/>
    <w:rsid w:val="00FB08F7"/>
    <w:rsid w:val="00FB1187"/>
    <w:rsid w:val="00FB1937"/>
    <w:rsid w:val="00FB2E5A"/>
    <w:rsid w:val="00FB3DC0"/>
    <w:rsid w:val="00FB4183"/>
    <w:rsid w:val="00FB5637"/>
    <w:rsid w:val="00FB5A1F"/>
    <w:rsid w:val="00FB5E4E"/>
    <w:rsid w:val="00FB6531"/>
    <w:rsid w:val="00FB7094"/>
    <w:rsid w:val="00FC0EFA"/>
    <w:rsid w:val="00FC28B2"/>
    <w:rsid w:val="00FC3B39"/>
    <w:rsid w:val="00FC3E64"/>
    <w:rsid w:val="00FC4E2B"/>
    <w:rsid w:val="00FC6E46"/>
    <w:rsid w:val="00FC71F1"/>
    <w:rsid w:val="00FD042E"/>
    <w:rsid w:val="00FD09E6"/>
    <w:rsid w:val="00FD0B84"/>
    <w:rsid w:val="00FD1166"/>
    <w:rsid w:val="00FD1ADF"/>
    <w:rsid w:val="00FD4C63"/>
    <w:rsid w:val="00FD515C"/>
    <w:rsid w:val="00FD7E58"/>
    <w:rsid w:val="00FE0139"/>
    <w:rsid w:val="00FE0F63"/>
    <w:rsid w:val="00FE174B"/>
    <w:rsid w:val="00FE23C9"/>
    <w:rsid w:val="00FE26A4"/>
    <w:rsid w:val="00FE551C"/>
    <w:rsid w:val="00FE5A1D"/>
    <w:rsid w:val="00FE6704"/>
    <w:rsid w:val="00FE674B"/>
    <w:rsid w:val="00FE6A6D"/>
    <w:rsid w:val="00FF2811"/>
    <w:rsid w:val="00FF3ECD"/>
    <w:rsid w:val="00FF4BBE"/>
    <w:rsid w:val="00FF7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792A42C9"/>
  <w15:docId w15:val="{C9109B5A-B679-4B23-903A-09D27FDD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TableTextChar">
    <w:name w:val="Table Text Char"/>
    <w:basedOn w:val="DefaultParagraphFont"/>
    <w:link w:val="TableText"/>
    <w:uiPriority w:val="13"/>
    <w:rsid w:val="00496D45"/>
    <w:rPr>
      <w:rFonts w:eastAsiaTheme="minorHAnsi" w:cstheme="minorBidi"/>
      <w:sz w:val="18"/>
      <w:szCs w:val="22"/>
      <w:lang w:eastAsia="en-US"/>
    </w:rPr>
  </w:style>
  <w:style w:type="paragraph" w:customStyle="1" w:styleId="EndNoteBibliographyTitle">
    <w:name w:val="EndNote Bibliography Title"/>
    <w:basedOn w:val="Normal"/>
    <w:link w:val="EndNoteBibliographyTitleChar"/>
    <w:rsid w:val="00744ED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44EDA"/>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744EDA"/>
    <w:pPr>
      <w:spacing w:line="240" w:lineRule="auto"/>
    </w:pPr>
    <w:rPr>
      <w:noProof/>
      <w:lang w:val="en-US"/>
    </w:rPr>
  </w:style>
  <w:style w:type="character" w:customStyle="1" w:styleId="EndNoteBibliographyChar">
    <w:name w:val="EndNote Bibliography Char"/>
    <w:basedOn w:val="DefaultParagraphFont"/>
    <w:link w:val="EndNoteBibliography"/>
    <w:rsid w:val="00744EDA"/>
    <w:rPr>
      <w:rFonts w:eastAsiaTheme="minorHAnsi" w:cstheme="minorBidi"/>
      <w:noProof/>
      <w:sz w:val="22"/>
      <w:szCs w:val="22"/>
      <w:lang w:val="en-US" w:eastAsia="en-US"/>
    </w:rPr>
  </w:style>
  <w:style w:type="paragraph" w:customStyle="1" w:styleId="TSSC">
    <w:name w:val="TSSC"/>
    <w:basedOn w:val="Normal"/>
    <w:qFormat/>
    <w:rsid w:val="0009196C"/>
    <w:pPr>
      <w:numPr>
        <w:numId w:val="19"/>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690705">
      <w:bodyDiv w:val="1"/>
      <w:marLeft w:val="0"/>
      <w:marRight w:val="0"/>
      <w:marTop w:val="0"/>
      <w:marBottom w:val="0"/>
      <w:divBdr>
        <w:top w:val="none" w:sz="0" w:space="0" w:color="auto"/>
        <w:left w:val="none" w:sz="0" w:space="0" w:color="auto"/>
        <w:bottom w:val="none" w:sz="0" w:space="0" w:color="auto"/>
        <w:right w:val="none" w:sz="0" w:space="0" w:color="auto"/>
      </w:divBdr>
    </w:div>
    <w:div w:id="3577002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8628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95762">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470">
      <w:bodyDiv w:val="1"/>
      <w:marLeft w:val="0"/>
      <w:marRight w:val="0"/>
      <w:marTop w:val="0"/>
      <w:marBottom w:val="0"/>
      <w:divBdr>
        <w:top w:val="none" w:sz="0" w:space="0" w:color="auto"/>
        <w:left w:val="none" w:sz="0" w:space="0" w:color="auto"/>
        <w:bottom w:val="none" w:sz="0" w:space="0" w:color="auto"/>
        <w:right w:val="none" w:sz="0" w:space="0" w:color="auto"/>
      </w:divBdr>
    </w:div>
    <w:div w:id="1179805798">
      <w:bodyDiv w:val="1"/>
      <w:marLeft w:val="0"/>
      <w:marRight w:val="0"/>
      <w:marTop w:val="0"/>
      <w:marBottom w:val="0"/>
      <w:divBdr>
        <w:top w:val="none" w:sz="0" w:space="0" w:color="auto"/>
        <w:left w:val="none" w:sz="0" w:space="0" w:color="auto"/>
        <w:bottom w:val="none" w:sz="0" w:space="0" w:color="auto"/>
        <w:right w:val="none" w:sz="0" w:space="0" w:color="auto"/>
      </w:divBdr>
    </w:div>
    <w:div w:id="124780735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4117368">
      <w:bodyDiv w:val="1"/>
      <w:marLeft w:val="0"/>
      <w:marRight w:val="0"/>
      <w:marTop w:val="0"/>
      <w:marBottom w:val="0"/>
      <w:divBdr>
        <w:top w:val="none" w:sz="0" w:space="0" w:color="auto"/>
        <w:left w:val="none" w:sz="0" w:space="0" w:color="auto"/>
        <w:bottom w:val="none" w:sz="0" w:space="0" w:color="auto"/>
        <w:right w:val="none" w:sz="0" w:space="0" w:color="auto"/>
      </w:divBdr>
    </w:div>
    <w:div w:id="1620142577">
      <w:bodyDiv w:val="1"/>
      <w:marLeft w:val="0"/>
      <w:marRight w:val="0"/>
      <w:marTop w:val="0"/>
      <w:marBottom w:val="0"/>
      <w:divBdr>
        <w:top w:val="none" w:sz="0" w:space="0" w:color="auto"/>
        <w:left w:val="none" w:sz="0" w:space="0" w:color="auto"/>
        <w:bottom w:val="none" w:sz="0" w:space="0" w:color="auto"/>
        <w:right w:val="none" w:sz="0" w:space="0" w:color="auto"/>
      </w:divBdr>
      <w:divsChild>
        <w:div w:id="1069963242">
          <w:marLeft w:val="0"/>
          <w:marRight w:val="0"/>
          <w:marTop w:val="0"/>
          <w:marBottom w:val="0"/>
          <w:divBdr>
            <w:top w:val="none" w:sz="0" w:space="0" w:color="auto"/>
            <w:left w:val="none" w:sz="0" w:space="0" w:color="auto"/>
            <w:bottom w:val="none" w:sz="0" w:space="0" w:color="auto"/>
            <w:right w:val="none" w:sz="0" w:space="0" w:color="auto"/>
          </w:divBdr>
        </w:div>
      </w:divsChild>
    </w:div>
    <w:div w:id="1635409394">
      <w:bodyDiv w:val="1"/>
      <w:marLeft w:val="0"/>
      <w:marRight w:val="0"/>
      <w:marTop w:val="0"/>
      <w:marBottom w:val="0"/>
      <w:divBdr>
        <w:top w:val="none" w:sz="0" w:space="0" w:color="auto"/>
        <w:left w:val="none" w:sz="0" w:space="0" w:color="auto"/>
        <w:bottom w:val="none" w:sz="0" w:space="0" w:color="auto"/>
        <w:right w:val="none" w:sz="0" w:space="0" w:color="auto"/>
      </w:divBdr>
    </w:div>
    <w:div w:id="166003361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8922193">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biocache.ala.org.au/occurrences/15d3e5c1-bfab-4d7f-b557-cb8e7a892ec4" TargetMode="External"/><Relationship Id="rId39" Type="http://schemas.openxmlformats.org/officeDocument/2006/relationships/hyperlink" Target="https://www.environment.nsw.gov.au/threatenedSpeciesApp/profileData.aspx?id=10359&amp;cmaName=South+Eastern+Queensland" TargetMode="External"/><Relationship Id="rId21" Type="http://schemas.openxmlformats.org/officeDocument/2006/relationships/header" Target="header2.xml"/><Relationship Id="rId34" Type="http://schemas.openxmlformats.org/officeDocument/2006/relationships/hyperlink" Target="http://www.anbg.gov.au/apu/" TargetMode="External"/><Relationship Id="rId42" Type="http://schemas.openxmlformats.org/officeDocument/2006/relationships/hyperlink" Target="https://dx.doi.org/10.2305/IUCN.UK.2020-2.RLTS.T112646721A113309215.en" TargetMode="External"/><Relationship Id="rId47" Type="http://schemas.openxmlformats.org/officeDocument/2006/relationships/hyperlink" Target="http://www.environment.gov.au/system/files/pages/d72dfd1a-f0d8-4699-8d43-5d95bbb02428/files/tssc-guidelines-assessing-species-2018.pdf" TargetMode="External"/><Relationship Id="rId50" Type="http://schemas.openxmlformats.org/officeDocument/2006/relationships/image" Target="media/image4.png"/><Relationship Id="rId55"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www.environment.gov.au/science/erin/databases-maps/snes" TargetMode="Externa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www.environment.gov.au/biodiversity/threatened/publications/threat-abatement-plan-disease-natural-ecosystems-caused-phytophthora-cinnamomi-2018" TargetMode="External"/><Relationship Id="rId37" Type="http://schemas.openxmlformats.org/officeDocument/2006/relationships/hyperlink" Target="https://www.dpi.nsw.gov.au/climate-and-emergencies/droughthub/drought-in-nsw" TargetMode="External"/><Relationship Id="rId40" Type="http://schemas.openxmlformats.org/officeDocument/2006/relationships/hyperlink" Target="https://www.environment.nsw.gov.au/savingourspeciesapp/project.aspx?ProfileID=10359" TargetMode="External"/><Relationship Id="rId45" Type="http://schemas.openxmlformats.org/officeDocument/2006/relationships/hyperlink" Target="https://www.rfs.nsw.gov.au/__data/assets/pdf_file/0017/24335/Web-Version-ThreatenedSpeciesHazardReductionList-Part1-Plants-06-04-2017.pdf" TargetMode="External"/><Relationship Id="rId53" Type="http://schemas.openxmlformats.org/officeDocument/2006/relationships/hyperlink" Target="http://www.environment.gov.au/cgi-bin/sprat/public/publicspecies.pl?taxon_id=64677" TargetMode="External"/><Relationship Id="rId58" Type="http://schemas.openxmlformats.org/officeDocument/2006/relationships/footer" Target="footer3.xml"/><Relationship Id="rId61" Type="http://schemas.openxmlformats.org/officeDocument/2006/relationships/theme" Target="theme/theme1.xml"/><Relationship Id="rId19" Type="http://schemas.openxmlformats.org/officeDocument/2006/relationships/hyperlink" Target="https://www.awe.gov.au/about/commitment/privacy" TargetMode="External"/><Relationship Id="rId14" Type="http://schemas.openxmlformats.org/officeDocument/2006/relationships/hyperlink" Target="https://www.awe.gov.au/environment/biodiversity/threatened/recovery-plans" TargetMode="External"/><Relationship Id="rId22" Type="http://schemas.openxmlformats.org/officeDocument/2006/relationships/footer" Target="footer1.xml"/><Relationship Id="rId27" Type="http://schemas.openxmlformats.org/officeDocument/2006/relationships/hyperlink" Target="http://www.environment.gov.au/cgi-bin/sprat/public/sprat.pl" TargetMode="External"/><Relationship Id="rId30" Type="http://schemas.openxmlformats.org/officeDocument/2006/relationships/hyperlink" Target="https://www.environment.nsw.gov.au/savingourspeciesapp/project.aspx?ProfileID=10359" TargetMode="External"/><Relationship Id="rId35" Type="http://schemas.openxmlformats.org/officeDocument/2006/relationships/hyperlink" Target="https://avh.ala.org.au/occurrences/search?taxa=Pinus+elliottii" TargetMode="External"/><Relationship Id="rId43" Type="http://schemas.openxmlformats.org/officeDocument/2006/relationships/hyperlink" Target="https://www.nationalparks.nsw.gov.au/visit-a-park/parks/banyabba-nature-reserve" TargetMode="External"/><Relationship Id="rId48" Type="http://schemas.openxmlformats.org/officeDocument/2006/relationships/hyperlink" Target="https://nc.iucnredlist.org/redlist/content/attachment_files/RedListGuidelines.pdf" TargetMode="External"/><Relationship Id="rId56"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hyperlink" Target="https://creativecommons.org/licenses/by/4.0/legalcode" TargetMode="Externa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image" Target="media/image2.jpeg"/><Relationship Id="rId33" Type="http://schemas.openxmlformats.org/officeDocument/2006/relationships/hyperlink" Target="https://bie.ala.org.au/species/b9765dc9-8d1b-4d70-b20d-01aff1edda8d" TargetMode="External"/><Relationship Id="rId38" Type="http://schemas.openxmlformats.org/officeDocument/2006/relationships/hyperlink" Target="https://www.environment.nsw.gov.au/threatenedSpeciesApp/profile.aspx?id=10359" TargetMode="External"/><Relationship Id="rId46" Type="http://schemas.openxmlformats.org/officeDocument/2006/relationships/hyperlink" Target="https://www.rbg.vic.gov.au/documents/Top_10_Australian_bush_tucker_plants_FINAL.pdf" TargetMode="External"/><Relationship Id="rId59"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www.environment.gov.au/biodiversity/bushfire-recovery/priority-plants" TargetMode="External"/><Relationship Id="rId54" Type="http://schemas.openxmlformats.org/officeDocument/2006/relationships/hyperlink" Target="http://agriculture.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eader" Target="header3.xml"/><Relationship Id="rId28" Type="http://schemas.openxmlformats.org/officeDocument/2006/relationships/image" Target="media/image3.jpeg"/><Relationship Id="rId36" Type="http://schemas.openxmlformats.org/officeDocument/2006/relationships/hyperlink" Target="https://avh.ala.org.au/occurrences/search?taxa=Pinus+taeda" TargetMode="External"/><Relationship Id="rId49" Type="http://schemas.openxmlformats.org/officeDocument/2006/relationships/hyperlink" Target="http://www.environment.gov.au/biodiversity/threatened/cam" TargetMode="External"/><Relationship Id="rId57" Type="http://schemas.openxmlformats.org/officeDocument/2006/relationships/header" Target="header6.xml"/><Relationship Id="rId10" Type="http://schemas.openxmlformats.org/officeDocument/2006/relationships/webSettings" Target="webSettings.xml"/><Relationship Id="rId31" Type="http://schemas.openxmlformats.org/officeDocument/2006/relationships/hyperlink" Target="https://www.environment.gov.au/resource/northern-rivers-regional-biodiversity-management-plan" TargetMode="External"/><Relationship Id="rId44" Type="http://schemas.openxmlformats.org/officeDocument/2006/relationships/hyperlink" Target="https://www.nationalparks.nsw.gov.au/visit-a-park/parks/banyabba-state-conservation-area" TargetMode="External"/><Relationship Id="rId52" Type="http://schemas.openxmlformats.org/officeDocument/2006/relationships/hyperlink" Target="mailto:copyright@awe.gov.au" TargetMode="External"/><Relationship Id="rId6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7454\OneDrive%20-%20Environment\HomeDrive\Profile\Desktop\6.16.1%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B6E45C5EDD4C3FBEFE2E26F0A3C8D8"/>
        <w:category>
          <w:name w:val="General"/>
          <w:gallery w:val="placeholder"/>
        </w:category>
        <w:types>
          <w:type w:val="bbPlcHdr"/>
        </w:types>
        <w:behaviors>
          <w:behavior w:val="content"/>
        </w:behaviors>
        <w:guid w:val="{4BAF77BC-807D-418F-8D3C-70E0D8CDA0A5}"/>
      </w:docPartPr>
      <w:docPartBody>
        <w:p w:rsidR="00A55BAC" w:rsidRDefault="00510F49" w:rsidP="00510F49">
          <w:pPr>
            <w:pStyle w:val="34B6E45C5EDD4C3FBEFE2E26F0A3C8D8"/>
          </w:pPr>
          <w:r w:rsidRPr="0045331C">
            <w:rPr>
              <w:rStyle w:val="PlaceholderText"/>
            </w:rPr>
            <w:t>Choose an item.</w:t>
          </w:r>
        </w:p>
      </w:docPartBody>
    </w:docPart>
    <w:docPart>
      <w:docPartPr>
        <w:name w:val="D660E852D6194D728FC97FDEFECDE800"/>
        <w:category>
          <w:name w:val="General"/>
          <w:gallery w:val="placeholder"/>
        </w:category>
        <w:types>
          <w:type w:val="bbPlcHdr"/>
        </w:types>
        <w:behaviors>
          <w:behavior w:val="content"/>
        </w:behaviors>
        <w:guid w:val="{7B3456BF-7B30-4F57-BEC2-F92504509EFF}"/>
      </w:docPartPr>
      <w:docPartBody>
        <w:p w:rsidR="00A55BAC" w:rsidRDefault="00510F49" w:rsidP="00510F49">
          <w:pPr>
            <w:pStyle w:val="D660E852D6194D728FC97FDEFECDE800"/>
          </w:pPr>
          <w:r w:rsidRPr="0045331C">
            <w:rPr>
              <w:rStyle w:val="PlaceholderText"/>
            </w:rPr>
            <w:t>Choose an item.</w:t>
          </w:r>
        </w:p>
      </w:docPartBody>
    </w:docPart>
    <w:docPart>
      <w:docPartPr>
        <w:name w:val="81C04FC5633945EB9FE0C2224EEAEECD"/>
        <w:category>
          <w:name w:val="General"/>
          <w:gallery w:val="placeholder"/>
        </w:category>
        <w:types>
          <w:type w:val="bbPlcHdr"/>
        </w:types>
        <w:behaviors>
          <w:behavior w:val="content"/>
        </w:behaviors>
        <w:guid w:val="{F322BCBD-E65C-4770-BA79-F089C105E399}"/>
      </w:docPartPr>
      <w:docPartBody>
        <w:p w:rsidR="00F2559F" w:rsidRDefault="001227D8" w:rsidP="001227D8">
          <w:pPr>
            <w:pStyle w:val="81C04FC5633945EB9FE0C2224EEAEECD"/>
          </w:pPr>
          <w:r w:rsidRPr="004D61C9">
            <w:rPr>
              <w:rStyle w:val="PlaceholderText"/>
              <w:highlight w:val="yellow"/>
            </w:rPr>
            <w:t>Choose an item.</w:t>
          </w:r>
        </w:p>
      </w:docPartBody>
    </w:docPart>
    <w:docPart>
      <w:docPartPr>
        <w:name w:val="7584B147BD564E67836C912AF29ED8C9"/>
        <w:category>
          <w:name w:val="General"/>
          <w:gallery w:val="placeholder"/>
        </w:category>
        <w:types>
          <w:type w:val="bbPlcHdr"/>
        </w:types>
        <w:behaviors>
          <w:behavior w:val="content"/>
        </w:behaviors>
        <w:guid w:val="{379CDA1F-FD3E-4974-91F8-7BCA6D98C013}"/>
      </w:docPartPr>
      <w:docPartBody>
        <w:p w:rsidR="00016AD6" w:rsidRDefault="006D71B1" w:rsidP="006D71B1">
          <w:pPr>
            <w:pStyle w:val="7584B147BD564E67836C912AF29ED8C9"/>
          </w:pPr>
          <w:r w:rsidRPr="0045331C">
            <w:rPr>
              <w:rStyle w:val="PlaceholderText"/>
            </w:rPr>
            <w:t>Choose an item.</w:t>
          </w:r>
        </w:p>
      </w:docPartBody>
    </w:docPart>
    <w:docPart>
      <w:docPartPr>
        <w:name w:val="30B3AA2CCF32421AB611F458B3EF40CE"/>
        <w:category>
          <w:name w:val="General"/>
          <w:gallery w:val="placeholder"/>
        </w:category>
        <w:types>
          <w:type w:val="bbPlcHdr"/>
        </w:types>
        <w:behaviors>
          <w:behavior w:val="content"/>
        </w:behaviors>
        <w:guid w:val="{6D7D6C90-F11B-4699-ABE8-4A1498E6AE60}"/>
      </w:docPartPr>
      <w:docPartBody>
        <w:p w:rsidR="00427634" w:rsidRDefault="000510C2" w:rsidP="000510C2">
          <w:pPr>
            <w:pStyle w:val="30B3AA2CCF32421AB611F458B3EF40CE"/>
          </w:pPr>
          <w:r w:rsidRPr="0045331C">
            <w:rPr>
              <w:rStyle w:val="PlaceholderText"/>
            </w:rPr>
            <w:t>Choose an item.</w:t>
          </w:r>
        </w:p>
      </w:docPartBody>
    </w:docPart>
    <w:docPart>
      <w:docPartPr>
        <w:name w:val="A07E8E49B6DE47CEA2E93EADC35C2FA8"/>
        <w:category>
          <w:name w:val="General"/>
          <w:gallery w:val="placeholder"/>
        </w:category>
        <w:types>
          <w:type w:val="bbPlcHdr"/>
        </w:types>
        <w:behaviors>
          <w:behavior w:val="content"/>
        </w:behaviors>
        <w:guid w:val="{2A002204-418A-4A14-AB68-6C5083A52694}"/>
      </w:docPartPr>
      <w:docPartBody>
        <w:p w:rsidR="00427634" w:rsidRDefault="000510C2" w:rsidP="000510C2">
          <w:pPr>
            <w:pStyle w:val="A07E8E49B6DE47CEA2E93EADC35C2FA8"/>
          </w:pPr>
          <w:r w:rsidRPr="0045331C">
            <w:rPr>
              <w:rStyle w:val="PlaceholderText"/>
            </w:rPr>
            <w:t>Click here to enter a date.</w:t>
          </w:r>
        </w:p>
      </w:docPartBody>
    </w:docPart>
    <w:docPart>
      <w:docPartPr>
        <w:name w:val="14D16EBF5A1242A088CDCCB033B19F8D"/>
        <w:category>
          <w:name w:val="General"/>
          <w:gallery w:val="placeholder"/>
        </w:category>
        <w:types>
          <w:type w:val="bbPlcHdr"/>
        </w:types>
        <w:behaviors>
          <w:behavior w:val="content"/>
        </w:behaviors>
        <w:guid w:val="{BBE92FA9-D551-4E22-A156-35D6B183D491}"/>
      </w:docPartPr>
      <w:docPartBody>
        <w:p w:rsidR="00363B01" w:rsidRDefault="00CA585A" w:rsidP="00CA585A">
          <w:pPr>
            <w:pStyle w:val="14D16EBF5A1242A088CDCCB033B19F8D"/>
          </w:pPr>
          <w:r w:rsidRPr="0045331C">
            <w:rPr>
              <w:rStyle w:val="PlaceholderText"/>
            </w:rPr>
            <w:t>Choose an item.</w:t>
          </w:r>
        </w:p>
      </w:docPartBody>
    </w:docPart>
    <w:docPart>
      <w:docPartPr>
        <w:name w:val="154586A5A0B34E3A8956EB5CD6D25FBD"/>
        <w:category>
          <w:name w:val="General"/>
          <w:gallery w:val="placeholder"/>
        </w:category>
        <w:types>
          <w:type w:val="bbPlcHdr"/>
        </w:types>
        <w:behaviors>
          <w:behavior w:val="content"/>
        </w:behaviors>
        <w:guid w:val="{367A3E2A-A5DB-483A-8DBE-654684EB836A}"/>
      </w:docPartPr>
      <w:docPartBody>
        <w:p w:rsidR="00363B01" w:rsidRDefault="00CA585A" w:rsidP="00CA585A">
          <w:pPr>
            <w:pStyle w:val="154586A5A0B34E3A8956EB5CD6D25FBD"/>
          </w:pPr>
          <w:r w:rsidRPr="0045331C">
            <w:rPr>
              <w:rStyle w:val="PlaceholderText"/>
            </w:rPr>
            <w:t>Choose an item.</w:t>
          </w:r>
        </w:p>
      </w:docPartBody>
    </w:docPart>
    <w:docPart>
      <w:docPartPr>
        <w:name w:val="02C9E2E286814D8485852EC737792DF9"/>
        <w:category>
          <w:name w:val="General"/>
          <w:gallery w:val="placeholder"/>
        </w:category>
        <w:types>
          <w:type w:val="bbPlcHdr"/>
        </w:types>
        <w:behaviors>
          <w:behavior w:val="content"/>
        </w:behaviors>
        <w:guid w:val="{A5816293-FAAA-4483-B9A2-36EB10370C19}"/>
      </w:docPartPr>
      <w:docPartBody>
        <w:p w:rsidR="00363B01" w:rsidRDefault="00CA585A" w:rsidP="00CA585A">
          <w:pPr>
            <w:pStyle w:val="02C9E2E286814D8485852EC737792DF9"/>
          </w:pPr>
          <w:r w:rsidRPr="00F20180">
            <w:rPr>
              <w:rStyle w:val="PlaceholderText"/>
              <w:highlight w:val="yellow"/>
            </w:rPr>
            <w:t>Choose an item.</w:t>
          </w:r>
        </w:p>
      </w:docPartBody>
    </w:docPart>
    <w:docPart>
      <w:docPartPr>
        <w:name w:val="241E32C4DEE24D87B540B580F5B7E74A"/>
        <w:category>
          <w:name w:val="General"/>
          <w:gallery w:val="placeholder"/>
        </w:category>
        <w:types>
          <w:type w:val="bbPlcHdr"/>
        </w:types>
        <w:behaviors>
          <w:behavior w:val="content"/>
        </w:behaviors>
        <w:guid w:val="{AB257FA3-E7BE-420C-8853-DFF217BFAFEE}"/>
      </w:docPartPr>
      <w:docPartBody>
        <w:p w:rsidR="00363B01" w:rsidRDefault="00CA585A" w:rsidP="00CA585A">
          <w:pPr>
            <w:pStyle w:val="241E32C4DEE24D87B540B580F5B7E74A"/>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49"/>
    <w:rsid w:val="0001643A"/>
    <w:rsid w:val="00016AD6"/>
    <w:rsid w:val="000251DC"/>
    <w:rsid w:val="000404A3"/>
    <w:rsid w:val="000510C2"/>
    <w:rsid w:val="00067F76"/>
    <w:rsid w:val="001227D8"/>
    <w:rsid w:val="001350BD"/>
    <w:rsid w:val="00201E85"/>
    <w:rsid w:val="002418FF"/>
    <w:rsid w:val="00270410"/>
    <w:rsid w:val="00281067"/>
    <w:rsid w:val="0030650C"/>
    <w:rsid w:val="00324067"/>
    <w:rsid w:val="00363B01"/>
    <w:rsid w:val="003833A7"/>
    <w:rsid w:val="003F7001"/>
    <w:rsid w:val="004027C8"/>
    <w:rsid w:val="0041094E"/>
    <w:rsid w:val="00427634"/>
    <w:rsid w:val="004451B5"/>
    <w:rsid w:val="004C1006"/>
    <w:rsid w:val="00510F49"/>
    <w:rsid w:val="00552A8E"/>
    <w:rsid w:val="005B2D13"/>
    <w:rsid w:val="005E2F3C"/>
    <w:rsid w:val="006562D6"/>
    <w:rsid w:val="006A4946"/>
    <w:rsid w:val="006D71B1"/>
    <w:rsid w:val="0078308A"/>
    <w:rsid w:val="007B5551"/>
    <w:rsid w:val="008209C7"/>
    <w:rsid w:val="00851C9E"/>
    <w:rsid w:val="008C18F9"/>
    <w:rsid w:val="009F595B"/>
    <w:rsid w:val="00A36FA2"/>
    <w:rsid w:val="00A55595"/>
    <w:rsid w:val="00A55BAC"/>
    <w:rsid w:val="00AD11EE"/>
    <w:rsid w:val="00BF0031"/>
    <w:rsid w:val="00CA585A"/>
    <w:rsid w:val="00D515D6"/>
    <w:rsid w:val="00ED0D68"/>
    <w:rsid w:val="00EF5341"/>
    <w:rsid w:val="00F003DC"/>
    <w:rsid w:val="00F25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85A"/>
    <w:rPr>
      <w:color w:val="808080"/>
    </w:rPr>
  </w:style>
  <w:style w:type="paragraph" w:customStyle="1" w:styleId="34B6E45C5EDD4C3FBEFE2E26F0A3C8D8">
    <w:name w:val="34B6E45C5EDD4C3FBEFE2E26F0A3C8D8"/>
    <w:rsid w:val="00510F49"/>
  </w:style>
  <w:style w:type="paragraph" w:customStyle="1" w:styleId="D660E852D6194D728FC97FDEFECDE800">
    <w:name w:val="D660E852D6194D728FC97FDEFECDE800"/>
    <w:rsid w:val="00510F49"/>
  </w:style>
  <w:style w:type="paragraph" w:customStyle="1" w:styleId="81C04FC5633945EB9FE0C2224EEAEECD">
    <w:name w:val="81C04FC5633945EB9FE0C2224EEAEECD"/>
    <w:rsid w:val="001227D8"/>
  </w:style>
  <w:style w:type="paragraph" w:customStyle="1" w:styleId="7584B147BD564E67836C912AF29ED8C9">
    <w:name w:val="7584B147BD564E67836C912AF29ED8C9"/>
    <w:rsid w:val="006D71B1"/>
  </w:style>
  <w:style w:type="paragraph" w:customStyle="1" w:styleId="30B3AA2CCF32421AB611F458B3EF40CE">
    <w:name w:val="30B3AA2CCF32421AB611F458B3EF40CE"/>
    <w:rsid w:val="000510C2"/>
  </w:style>
  <w:style w:type="paragraph" w:customStyle="1" w:styleId="A07E8E49B6DE47CEA2E93EADC35C2FA8">
    <w:name w:val="A07E8E49B6DE47CEA2E93EADC35C2FA8"/>
    <w:rsid w:val="000510C2"/>
  </w:style>
  <w:style w:type="paragraph" w:customStyle="1" w:styleId="14D16EBF5A1242A088CDCCB033B19F8D">
    <w:name w:val="14D16EBF5A1242A088CDCCB033B19F8D"/>
    <w:rsid w:val="00CA585A"/>
  </w:style>
  <w:style w:type="paragraph" w:customStyle="1" w:styleId="154586A5A0B34E3A8956EB5CD6D25FBD">
    <w:name w:val="154586A5A0B34E3A8956EB5CD6D25FBD"/>
    <w:rsid w:val="00CA585A"/>
  </w:style>
  <w:style w:type="paragraph" w:customStyle="1" w:styleId="02C9E2E286814D8485852EC737792DF9">
    <w:name w:val="02C9E2E286814D8485852EC737792DF9"/>
    <w:rsid w:val="00CA585A"/>
  </w:style>
  <w:style w:type="paragraph" w:customStyle="1" w:styleId="241E32C4DEE24D87B540B580F5B7E74A">
    <w:name w:val="241E32C4DEE24D87B540B580F5B7E74A"/>
    <w:rsid w:val="00CA5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7AAA1B3-41A6-4C0C-8F1C-F913CB05D2CB}"/>
</file>

<file path=customXml/itemProps3.xml><?xml version="1.0" encoding="utf-8"?>
<ds:datastoreItem xmlns:ds="http://schemas.openxmlformats.org/officeDocument/2006/customXml" ds:itemID="{DBBF3DFD-C208-456F-90FD-91465DAED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5.xml><?xml version="1.0" encoding="utf-8"?>
<ds:datastoreItem xmlns:ds="http://schemas.openxmlformats.org/officeDocument/2006/customXml" ds:itemID="{06C61ADF-DA79-47E8-BF2F-8C62A96B99D1}">
  <ds:schemaRefs>
    <ds:schemaRef ds:uri="http://schemas.microsoft.com/office/2006/metadata/customXsn"/>
  </ds:schemaRefs>
</ds:datastoreItem>
</file>

<file path=customXml/itemProps6.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6.16.1 Conservation Advice template.dotx</Template>
  <TotalTime>0</TotalTime>
  <Pages>49</Pages>
  <Words>17567</Words>
  <Characters>100133</Characters>
  <Application>Microsoft Office Word</Application>
  <DocSecurity>4</DocSecurity>
  <Lines>834</Lines>
  <Paragraphs>234</Paragraphs>
  <ScaleCrop>false</ScaleCrop>
  <HeadingPairs>
    <vt:vector size="2" baseType="variant">
      <vt:variant>
        <vt:lpstr>Title</vt:lpstr>
      </vt:variant>
      <vt:variant>
        <vt:i4>1</vt:i4>
      </vt:variant>
    </vt:vector>
  </HeadingPairs>
  <TitlesOfParts>
    <vt:vector size="1" baseType="lpstr">
      <vt:lpstr>Consultation on Species Listing Eligibility and Conservation Actions Grevillea banyabba</vt:lpstr>
    </vt:vector>
  </TitlesOfParts>
  <Company/>
  <LinksUpToDate>false</LinksUpToDate>
  <CharactersWithSpaces>117466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Grevillea banyabba</dc:title>
  <dc:creator>Department of Agriculture, Water and Environment</dc:creator>
  <cp:lastModifiedBy>Bec Durack</cp:lastModifiedBy>
  <cp:revision>2</cp:revision>
  <cp:lastPrinted>2020-12-10T04:50:00Z</cp:lastPrinted>
  <dcterms:created xsi:type="dcterms:W3CDTF">2021-12-03T01:41:00Z</dcterms:created>
  <dcterms:modified xsi:type="dcterms:W3CDTF">2021-12-03T01:41:00Z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{6782983c-a756-428c-9d11-47e0b94c4de0}</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