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7857" w14:textId="77777777" w:rsidR="00FD02C1" w:rsidRPr="00AE7AEA" w:rsidRDefault="00FD02C1" w:rsidP="00FD02C1">
      <w:pPr>
        <w:jc w:val="center"/>
        <w:rPr>
          <w:rFonts w:ascii="Arial" w:hAnsi="Arial" w:cs="Arial"/>
          <w:b/>
          <w:sz w:val="28"/>
          <w:szCs w:val="28"/>
        </w:rPr>
      </w:pPr>
      <w:r w:rsidRPr="003A6857">
        <w:rPr>
          <w:rFonts w:ascii="Arial" w:hAnsi="Arial" w:cs="Arial"/>
          <w:b/>
          <w:sz w:val="28"/>
          <w:szCs w:val="28"/>
        </w:rPr>
        <w:t>Consultation Document on Listing Eligibility and Conservation Actions</w:t>
      </w:r>
    </w:p>
    <w:p w14:paraId="43659046" w14:textId="1D8FA8AF" w:rsidR="00FD02C1" w:rsidRPr="003A6857" w:rsidRDefault="00FD02C1" w:rsidP="00FD02C1">
      <w:pPr>
        <w:pStyle w:val="Title"/>
        <w:jc w:val="center"/>
        <w:rPr>
          <w:rFonts w:ascii="Arial" w:hAnsi="Arial" w:cs="Arial"/>
          <w:sz w:val="24"/>
          <w:szCs w:val="24"/>
          <w:lang w:val="en-US"/>
        </w:rPr>
      </w:pPr>
      <w:proofErr w:type="spellStart"/>
      <w:r w:rsidRPr="00FD02C1">
        <w:rPr>
          <w:rFonts w:ascii="Arial" w:hAnsi="Arial" w:cs="Arial"/>
          <w:i/>
          <w:iCs/>
          <w:sz w:val="22"/>
          <w:szCs w:val="22"/>
        </w:rPr>
        <w:t>Neophema</w:t>
      </w:r>
      <w:proofErr w:type="spellEnd"/>
      <w:r w:rsidRPr="00FD02C1">
        <w:rPr>
          <w:rFonts w:ascii="Arial" w:hAnsi="Arial" w:cs="Arial"/>
          <w:i/>
          <w:iCs/>
          <w:sz w:val="22"/>
          <w:szCs w:val="22"/>
        </w:rPr>
        <w:t xml:space="preserve"> </w:t>
      </w:r>
      <w:proofErr w:type="spellStart"/>
      <w:r w:rsidRPr="00FD02C1">
        <w:rPr>
          <w:rFonts w:ascii="Arial" w:hAnsi="Arial" w:cs="Arial"/>
          <w:i/>
          <w:iCs/>
          <w:sz w:val="22"/>
          <w:szCs w:val="22"/>
        </w:rPr>
        <w:t>chrysostoma</w:t>
      </w:r>
      <w:proofErr w:type="spellEnd"/>
      <w:r w:rsidRPr="00FD02C1">
        <w:rPr>
          <w:rFonts w:ascii="Arial" w:hAnsi="Arial" w:cs="Arial"/>
          <w:i/>
          <w:iCs/>
          <w:sz w:val="22"/>
          <w:szCs w:val="22"/>
        </w:rPr>
        <w:t xml:space="preserve"> </w:t>
      </w:r>
      <w:r w:rsidRPr="00FD02C1">
        <w:rPr>
          <w:rFonts w:ascii="Arial" w:hAnsi="Arial" w:cs="Arial"/>
          <w:sz w:val="22"/>
          <w:szCs w:val="22"/>
        </w:rPr>
        <w:t>(Blue-winged Parrot)</w:t>
      </w:r>
    </w:p>
    <w:p w14:paraId="2A5CB223" w14:textId="77777777" w:rsidR="00FD02C1" w:rsidRDefault="00FD02C1" w:rsidP="00FD02C1">
      <w:pPr>
        <w:pStyle w:val="NormalWeb"/>
        <w:spacing w:before="120" w:after="240"/>
        <w:rPr>
          <w:rFonts w:ascii="Arial" w:hAnsi="Arial" w:cs="Arial"/>
          <w:sz w:val="22"/>
          <w:szCs w:val="22"/>
        </w:rPr>
      </w:pPr>
      <w:r w:rsidRPr="00616F58">
        <w:rPr>
          <w:rFonts w:ascii="Arial" w:hAnsi="Arial" w:cs="Arial"/>
          <w:sz w:val="22"/>
          <w:szCs w:val="22"/>
        </w:rPr>
        <w:t xml:space="preserve">You are invited to provide </w:t>
      </w:r>
      <w:r>
        <w:rPr>
          <w:rFonts w:ascii="Arial" w:hAnsi="Arial" w:cs="Arial"/>
          <w:sz w:val="22"/>
          <w:szCs w:val="22"/>
        </w:rPr>
        <w:t>your views and supporting reasons related to:</w:t>
      </w:r>
    </w:p>
    <w:p w14:paraId="412AA0FC" w14:textId="31CEECEB" w:rsidR="00FD02C1" w:rsidRDefault="00FD02C1" w:rsidP="00FD02C1">
      <w:pPr>
        <w:pStyle w:val="NormalWeb"/>
        <w:tabs>
          <w:tab w:val="left" w:pos="426"/>
        </w:tabs>
        <w:spacing w:before="120" w:after="240"/>
        <w:ind w:left="426" w:hanging="426"/>
        <w:rPr>
          <w:rFonts w:ascii="Arial" w:hAnsi="Arial" w:cs="Arial"/>
          <w:sz w:val="22"/>
          <w:szCs w:val="22"/>
        </w:rPr>
      </w:pPr>
      <w:r>
        <w:rPr>
          <w:rFonts w:ascii="Arial" w:hAnsi="Arial" w:cs="Arial"/>
          <w:sz w:val="22"/>
          <w:szCs w:val="22"/>
        </w:rPr>
        <w:t>1)</w:t>
      </w:r>
      <w:r>
        <w:rPr>
          <w:rFonts w:ascii="Arial" w:hAnsi="Arial" w:cs="Arial"/>
          <w:sz w:val="22"/>
          <w:szCs w:val="22"/>
        </w:rPr>
        <w:tab/>
        <w:t xml:space="preserve">the eligibility of </w:t>
      </w:r>
      <w:proofErr w:type="spellStart"/>
      <w:r w:rsidRPr="00FD02C1">
        <w:rPr>
          <w:rFonts w:ascii="Arial" w:hAnsi="Arial" w:cs="Arial"/>
          <w:i/>
          <w:iCs/>
          <w:sz w:val="22"/>
          <w:szCs w:val="22"/>
        </w:rPr>
        <w:t>Neophema</w:t>
      </w:r>
      <w:proofErr w:type="spellEnd"/>
      <w:r w:rsidRPr="00FD02C1">
        <w:rPr>
          <w:rFonts w:ascii="Arial" w:hAnsi="Arial" w:cs="Arial"/>
          <w:i/>
          <w:iCs/>
          <w:sz w:val="22"/>
          <w:szCs w:val="22"/>
        </w:rPr>
        <w:t xml:space="preserve"> </w:t>
      </w:r>
      <w:proofErr w:type="spellStart"/>
      <w:r w:rsidRPr="00FD02C1">
        <w:rPr>
          <w:rFonts w:ascii="Arial" w:hAnsi="Arial" w:cs="Arial"/>
          <w:i/>
          <w:iCs/>
          <w:sz w:val="22"/>
          <w:szCs w:val="22"/>
        </w:rPr>
        <w:t>chrysostoma</w:t>
      </w:r>
      <w:proofErr w:type="spellEnd"/>
      <w:r w:rsidRPr="00FD02C1">
        <w:rPr>
          <w:rFonts w:ascii="Arial" w:hAnsi="Arial" w:cs="Arial"/>
          <w:i/>
          <w:iCs/>
          <w:sz w:val="22"/>
          <w:szCs w:val="22"/>
        </w:rPr>
        <w:t xml:space="preserve"> </w:t>
      </w:r>
      <w:r w:rsidRPr="00FD02C1">
        <w:rPr>
          <w:rFonts w:ascii="Arial" w:hAnsi="Arial" w:cs="Arial"/>
          <w:sz w:val="22"/>
          <w:szCs w:val="22"/>
        </w:rPr>
        <w:t>(Blue-winged Parrot)</w:t>
      </w:r>
      <w:r w:rsidRPr="00FD02C1">
        <w:rPr>
          <w:rFonts w:ascii="Arial" w:hAnsi="Arial" w:cs="Arial"/>
          <w:i/>
          <w:iCs/>
          <w:sz w:val="22"/>
          <w:szCs w:val="22"/>
        </w:rPr>
        <w:t xml:space="preserve"> </w:t>
      </w:r>
      <w:r>
        <w:rPr>
          <w:rFonts w:ascii="Arial" w:hAnsi="Arial" w:cs="Arial"/>
          <w:sz w:val="22"/>
          <w:szCs w:val="22"/>
        </w:rPr>
        <w:t>for inclusion o</w:t>
      </w:r>
      <w:r w:rsidRPr="00B61DDB">
        <w:rPr>
          <w:rFonts w:ascii="Arial" w:hAnsi="Arial" w:cs="Arial"/>
          <w:sz w:val="22"/>
          <w:szCs w:val="22"/>
        </w:rPr>
        <w:t xml:space="preserve">n the </w:t>
      </w:r>
      <w:r w:rsidRPr="00B61DDB">
        <w:rPr>
          <w:rStyle w:val="HTMLAcronym"/>
          <w:rFonts w:ascii="Arial" w:hAnsi="Arial" w:cs="Arial"/>
          <w:sz w:val="22"/>
          <w:szCs w:val="22"/>
        </w:rPr>
        <w:t>EPBC</w:t>
      </w:r>
      <w:r w:rsidRPr="00B61DDB">
        <w:rPr>
          <w:rFonts w:ascii="Arial" w:hAnsi="Arial" w:cs="Arial"/>
          <w:sz w:val="22"/>
          <w:szCs w:val="22"/>
        </w:rPr>
        <w:t xml:space="preserve"> Act</w:t>
      </w:r>
      <w:r>
        <w:rPr>
          <w:rFonts w:ascii="Arial" w:hAnsi="Arial" w:cs="Arial"/>
          <w:sz w:val="22"/>
          <w:szCs w:val="22"/>
        </w:rPr>
        <w:t xml:space="preserve"> threatened species</w:t>
      </w:r>
      <w:r w:rsidRPr="00B61DDB">
        <w:rPr>
          <w:rFonts w:ascii="Arial" w:hAnsi="Arial" w:cs="Arial"/>
          <w:sz w:val="22"/>
          <w:szCs w:val="22"/>
        </w:rPr>
        <w:t xml:space="preserve"> list</w:t>
      </w:r>
      <w:r>
        <w:rPr>
          <w:rFonts w:ascii="Arial" w:hAnsi="Arial" w:cs="Arial"/>
          <w:sz w:val="22"/>
          <w:szCs w:val="22"/>
        </w:rPr>
        <w:t xml:space="preserve"> in the Vulnerable category; and </w:t>
      </w:r>
    </w:p>
    <w:p w14:paraId="1B6ECD33" w14:textId="77777777" w:rsidR="00FD02C1" w:rsidRDefault="00FD02C1" w:rsidP="00FD02C1">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04C2D55A" w14:textId="77777777" w:rsidR="00FD02C1" w:rsidRDefault="00FD02C1" w:rsidP="00FD02C1">
      <w:pPr>
        <w:spacing w:before="120" w:after="240"/>
        <w:rPr>
          <w:rFonts w:ascii="Arial" w:hAnsi="Arial" w:cs="Arial"/>
        </w:rPr>
      </w:pPr>
      <w:r>
        <w:rPr>
          <w:rFonts w:ascii="Arial" w:hAnsi="Arial" w:cs="Arial"/>
        </w:rPr>
        <w:t>Evidence provided by</w:t>
      </w:r>
      <w:r w:rsidRPr="00616F58">
        <w:rPr>
          <w:rFonts w:ascii="Arial" w:hAnsi="Arial" w:cs="Arial"/>
        </w:rPr>
        <w:t xml:space="preserve"> experts, stak</w:t>
      </w:r>
      <w:r>
        <w:rPr>
          <w:rFonts w:ascii="Arial" w:hAnsi="Arial" w:cs="Arial"/>
        </w:rPr>
        <w:t xml:space="preserve">eholders and the </w:t>
      </w:r>
      <w:proofErr w:type="gramStart"/>
      <w:r>
        <w:rPr>
          <w:rFonts w:ascii="Arial" w:hAnsi="Arial" w:cs="Arial"/>
        </w:rPr>
        <w:t>general public</w:t>
      </w:r>
      <w:proofErr w:type="gramEnd"/>
      <w:r>
        <w:rPr>
          <w:rFonts w:ascii="Arial" w:hAnsi="Arial" w:cs="Arial"/>
        </w:rPr>
        <w:t xml:space="preserve"> are welcome. R</w:t>
      </w:r>
      <w:r w:rsidRPr="00616F58">
        <w:rPr>
          <w:rFonts w:ascii="Arial" w:hAnsi="Arial" w:cs="Arial"/>
        </w:rPr>
        <w:t xml:space="preserve">esponses can be </w:t>
      </w:r>
      <w:r>
        <w:rPr>
          <w:rFonts w:ascii="Arial" w:hAnsi="Arial" w:cs="Arial"/>
        </w:rPr>
        <w:t xml:space="preserve">provided by any interested person. </w:t>
      </w:r>
    </w:p>
    <w:p w14:paraId="417F9D89" w14:textId="77777777" w:rsidR="00FD02C1" w:rsidRDefault="00FD02C1" w:rsidP="00FD02C1">
      <w:pPr>
        <w:rPr>
          <w:rFonts w:ascii="Arial" w:hAnsi="Arial" w:cs="Arial"/>
        </w:rPr>
      </w:pPr>
      <w:r w:rsidRPr="00616F58">
        <w:rPr>
          <w:rFonts w:ascii="Arial" w:hAnsi="Arial" w:cs="Arial"/>
        </w:rPr>
        <w:t xml:space="preserve">Anyone may nominate a native species, ecological </w:t>
      </w:r>
      <w:proofErr w:type="gramStart"/>
      <w:r w:rsidRPr="00616F58">
        <w:rPr>
          <w:rFonts w:ascii="Arial" w:hAnsi="Arial" w:cs="Arial"/>
        </w:rPr>
        <w:t>community</w:t>
      </w:r>
      <w:proofErr w:type="gramEnd"/>
      <w:r w:rsidRPr="00616F58">
        <w:rPr>
          <w:rFonts w:ascii="Arial" w:hAnsi="Arial" w:cs="Arial"/>
        </w:rPr>
        <w:t xml:space="preserve"> or threatening process for listing under the </w:t>
      </w:r>
      <w:r w:rsidRPr="00616F58">
        <w:rPr>
          <w:rFonts w:ascii="Arial" w:hAnsi="Arial" w:cs="Arial"/>
          <w:i/>
          <w:iCs/>
        </w:rPr>
        <w:t>Environment Protection and Biodiversity Conservation Act 1999</w:t>
      </w:r>
      <w:r w:rsidRPr="00616F58">
        <w:rPr>
          <w:rFonts w:ascii="Arial" w:hAnsi="Arial" w:cs="Arial"/>
        </w:rPr>
        <w:t xml:space="preserve"> (</w:t>
      </w:r>
      <w:r>
        <w:rPr>
          <w:rFonts w:ascii="Arial" w:hAnsi="Arial" w:cs="Arial"/>
        </w:rPr>
        <w:t>EPBC Act) or for a transfer of an item already on the list to a new listing category.</w:t>
      </w:r>
      <w:r w:rsidRPr="00B61DDB">
        <w:rPr>
          <w:rFonts w:ascii="Arial" w:hAnsi="Arial" w:cs="Arial"/>
        </w:rPr>
        <w:t xml:space="preserve"> The Threatened Species Scientific Committee (the Committee) undertakes the assessment of </w:t>
      </w:r>
      <w:r>
        <w:rPr>
          <w:rFonts w:ascii="Arial" w:hAnsi="Arial" w:cs="Arial"/>
        </w:rPr>
        <w:t>species to determine</w:t>
      </w:r>
      <w:r w:rsidRPr="00B61DDB">
        <w:rPr>
          <w:rFonts w:ascii="Arial" w:hAnsi="Arial" w:cs="Arial"/>
        </w:rPr>
        <w:t xml:space="preserve"> eligibility for inclusion in the list of threatened </w:t>
      </w:r>
      <w:r>
        <w:rPr>
          <w:rFonts w:ascii="Arial" w:hAnsi="Arial" w:cs="Arial"/>
        </w:rPr>
        <w:t>species</w:t>
      </w:r>
      <w:r w:rsidRPr="00B61DDB">
        <w:rPr>
          <w:rFonts w:ascii="Arial" w:hAnsi="Arial" w:cs="Arial"/>
        </w:rPr>
        <w:t xml:space="preserve"> and provides its recommendation to the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57CB6151" w14:textId="77777777" w:rsidR="00FD02C1" w:rsidRDefault="00FD02C1" w:rsidP="00FD02C1">
      <w:pPr>
        <w:rPr>
          <w:rFonts w:ascii="Arial" w:hAnsi="Arial" w:cs="Arial"/>
        </w:rPr>
      </w:pPr>
      <w:r>
        <w:rPr>
          <w:rFonts w:ascii="Arial" w:hAnsi="Arial" w:cs="Arial"/>
        </w:rPr>
        <w:t xml:space="preserve">Responses are to be </w:t>
      </w:r>
      <w:r w:rsidRPr="00616F58">
        <w:rPr>
          <w:rFonts w:ascii="Arial" w:hAnsi="Arial" w:cs="Arial"/>
        </w:rPr>
        <w:t xml:space="preserve">provided </w:t>
      </w:r>
      <w:r>
        <w:rPr>
          <w:rFonts w:ascii="Arial" w:hAnsi="Arial" w:cs="Arial"/>
        </w:rPr>
        <w:t xml:space="preserve">in writing either </w:t>
      </w:r>
      <w:r w:rsidRPr="00616F58">
        <w:rPr>
          <w:rFonts w:ascii="Arial" w:hAnsi="Arial" w:cs="Arial"/>
        </w:rPr>
        <w:t>by email to</w:t>
      </w:r>
      <w:r>
        <w:rPr>
          <w:rFonts w:ascii="Arial" w:hAnsi="Arial" w:cs="Arial"/>
        </w:rPr>
        <w:t xml:space="preserve">: </w:t>
      </w:r>
      <w:hyperlink r:id="rId13" w:history="1">
        <w:r w:rsidRPr="00616F58">
          <w:rPr>
            <w:rStyle w:val="Hyperlink"/>
            <w:rFonts w:ascii="Arial" w:hAnsi="Arial" w:cs="Arial"/>
          </w:rPr>
          <w:t>species.consultation@</w:t>
        </w:r>
        <w:r w:rsidRPr="004F6E9D">
          <w:rPr>
            <w:rStyle w:val="Hyperlink"/>
            <w:rFonts w:ascii="Arial" w:hAnsi="Arial" w:cs="Arial"/>
          </w:rPr>
          <w:t>environment</w:t>
        </w:r>
        <w:r w:rsidRPr="00616F58">
          <w:rPr>
            <w:rStyle w:val="Hyperlink"/>
            <w:rFonts w:ascii="Arial" w:hAnsi="Arial" w:cs="Arial"/>
          </w:rPr>
          <w:t>.gov.au</w:t>
        </w:r>
      </w:hyperlink>
      <w:r w:rsidRPr="00616F58">
        <w:rPr>
          <w:rFonts w:ascii="Arial" w:hAnsi="Arial" w:cs="Arial"/>
        </w:rPr>
        <w:t xml:space="preserve"> </w:t>
      </w:r>
    </w:p>
    <w:p w14:paraId="30614462" w14:textId="77777777" w:rsidR="00FD02C1" w:rsidRPr="00AE7AEA" w:rsidRDefault="00FD02C1" w:rsidP="00FD02C1">
      <w:pPr>
        <w:rPr>
          <w:rFonts w:ascii="Arial" w:hAnsi="Arial" w:cs="Arial"/>
        </w:rPr>
      </w:pPr>
      <w:r w:rsidRPr="00616F58">
        <w:rPr>
          <w:rFonts w:ascii="Arial" w:hAnsi="Arial" w:cs="Arial"/>
          <w:color w:val="000000"/>
        </w:rPr>
        <w:t>or by mail to</w:t>
      </w:r>
      <w:r>
        <w:rPr>
          <w:rFonts w:ascii="Arial" w:hAnsi="Arial" w:cs="Arial"/>
          <w:color w:val="000000"/>
        </w:rPr>
        <w:t>:</w:t>
      </w:r>
      <w:r w:rsidRPr="00616F58">
        <w:rPr>
          <w:rFonts w:ascii="Arial" w:hAnsi="Arial" w:cs="Arial"/>
          <w:color w:val="000000"/>
        </w:rPr>
        <w:t xml:space="preserve"> </w:t>
      </w:r>
    </w:p>
    <w:p w14:paraId="1E8922EB" w14:textId="77777777" w:rsidR="00FD02C1" w:rsidRPr="00665ED7" w:rsidRDefault="00FD02C1" w:rsidP="00FD02C1">
      <w:pPr>
        <w:spacing w:after="0"/>
        <w:ind w:left="426"/>
        <w:rPr>
          <w:rFonts w:ascii="Arial" w:hAnsi="Arial" w:cs="Arial"/>
        </w:rPr>
      </w:pPr>
      <w:r w:rsidRPr="00665ED7">
        <w:rPr>
          <w:rFonts w:ascii="Arial" w:hAnsi="Arial" w:cs="Arial"/>
        </w:rPr>
        <w:t>The Director</w:t>
      </w:r>
    </w:p>
    <w:p w14:paraId="0E0D5782" w14:textId="77777777" w:rsidR="00FD02C1" w:rsidRPr="00665ED7" w:rsidRDefault="00FD02C1" w:rsidP="00FD02C1">
      <w:pPr>
        <w:spacing w:after="0"/>
        <w:ind w:left="426"/>
        <w:rPr>
          <w:rFonts w:ascii="Arial" w:hAnsi="Arial" w:cs="Arial"/>
        </w:rPr>
      </w:pPr>
      <w:r w:rsidRPr="00665ED7">
        <w:rPr>
          <w:rFonts w:ascii="Arial" w:hAnsi="Arial" w:cs="Arial"/>
        </w:rPr>
        <w:t>Migratory Species Section</w:t>
      </w:r>
    </w:p>
    <w:p w14:paraId="30E2CA4E" w14:textId="77777777" w:rsidR="00FD02C1" w:rsidRDefault="00FD02C1" w:rsidP="00FD02C1">
      <w:pPr>
        <w:spacing w:after="0"/>
        <w:ind w:left="426"/>
        <w:rPr>
          <w:rFonts w:ascii="Arial" w:hAnsi="Arial" w:cs="Arial"/>
          <w:color w:val="000000"/>
        </w:rPr>
      </w:pPr>
      <w:r>
        <w:rPr>
          <w:rFonts w:ascii="Arial" w:hAnsi="Arial" w:cs="Arial"/>
          <w:color w:val="000000"/>
        </w:rPr>
        <w:t>Biodiversity Conservation Division</w:t>
      </w:r>
    </w:p>
    <w:p w14:paraId="0777CF08" w14:textId="77777777" w:rsidR="00FD02C1" w:rsidRPr="00B61DDB" w:rsidRDefault="00FD02C1" w:rsidP="00FD02C1">
      <w:pPr>
        <w:spacing w:after="0"/>
        <w:ind w:left="426"/>
        <w:rPr>
          <w:rFonts w:ascii="Arial" w:hAnsi="Arial" w:cs="Arial"/>
          <w:color w:val="000000"/>
        </w:rPr>
      </w:pPr>
      <w:r>
        <w:rPr>
          <w:rFonts w:ascii="Arial" w:hAnsi="Arial" w:cs="Arial"/>
          <w:color w:val="000000"/>
        </w:rPr>
        <w:t xml:space="preserve">Department of Agriculture, </w:t>
      </w:r>
      <w:proofErr w:type="gramStart"/>
      <w:r>
        <w:rPr>
          <w:rFonts w:ascii="Arial" w:hAnsi="Arial" w:cs="Arial"/>
          <w:color w:val="000000"/>
        </w:rPr>
        <w:t>Water</w:t>
      </w:r>
      <w:proofErr w:type="gramEnd"/>
      <w:r>
        <w:rPr>
          <w:rFonts w:ascii="Arial" w:hAnsi="Arial" w:cs="Arial"/>
          <w:color w:val="000000"/>
        </w:rPr>
        <w:t xml:space="preserve"> and the Environment</w:t>
      </w:r>
    </w:p>
    <w:p w14:paraId="1A4E1E54" w14:textId="77777777" w:rsidR="00FD02C1" w:rsidRPr="00616F58" w:rsidRDefault="00FD02C1" w:rsidP="00FD02C1">
      <w:pPr>
        <w:spacing w:after="0"/>
        <w:ind w:left="426"/>
        <w:rPr>
          <w:rFonts w:ascii="Arial" w:hAnsi="Arial" w:cs="Arial"/>
          <w:color w:val="000000"/>
        </w:rPr>
      </w:pPr>
      <w:r w:rsidRPr="00B61DDB">
        <w:rPr>
          <w:rFonts w:ascii="Arial" w:hAnsi="Arial" w:cs="Arial"/>
          <w:color w:val="000000"/>
        </w:rPr>
        <w:t xml:space="preserve">PO Box </w:t>
      </w:r>
      <w:r>
        <w:rPr>
          <w:rFonts w:ascii="Arial" w:hAnsi="Arial" w:cs="Arial"/>
          <w:color w:val="000000"/>
        </w:rPr>
        <w:t>858</w:t>
      </w:r>
    </w:p>
    <w:p w14:paraId="41EE4DBD" w14:textId="77777777" w:rsidR="00FD02C1" w:rsidRDefault="00FD02C1" w:rsidP="00FD02C1">
      <w:pPr>
        <w:ind w:left="426"/>
        <w:rPr>
          <w:rFonts w:ascii="Arial" w:hAnsi="Arial" w:cs="Arial"/>
          <w:color w:val="000000"/>
        </w:rPr>
      </w:pPr>
      <w:r w:rsidRPr="00616F58">
        <w:rPr>
          <w:rFonts w:ascii="Arial" w:hAnsi="Arial" w:cs="Arial"/>
          <w:color w:val="000000"/>
        </w:rPr>
        <w:t>Canberra ACT 2601</w:t>
      </w:r>
    </w:p>
    <w:p w14:paraId="6E29219A" w14:textId="464AF1FF" w:rsidR="00FD02C1" w:rsidRDefault="00FD02C1" w:rsidP="00FD02C1">
      <w:pPr>
        <w:spacing w:after="120"/>
        <w:rPr>
          <w:rFonts w:ascii="Arial" w:hAnsi="Arial" w:cs="Arial"/>
          <w:color w:val="000000"/>
        </w:rPr>
      </w:pPr>
      <w:r w:rsidRPr="001C0C0C">
        <w:rPr>
          <w:rFonts w:ascii="Arial" w:hAnsi="Arial" w:cs="Arial"/>
          <w:b/>
        </w:rPr>
        <w:t>Responses are required to be submitted by</w:t>
      </w:r>
      <w:r w:rsidR="001A46D1">
        <w:rPr>
          <w:rFonts w:ascii="Arial" w:hAnsi="Arial" w:cs="Arial"/>
          <w:b/>
        </w:rPr>
        <w:t xml:space="preserve"> 18 March 2022.</w:t>
      </w:r>
    </w:p>
    <w:tbl>
      <w:tblPr>
        <w:tblW w:w="9854" w:type="dxa"/>
        <w:tblLayout w:type="fixed"/>
        <w:tblLook w:val="04A0" w:firstRow="1" w:lastRow="0" w:firstColumn="1" w:lastColumn="0" w:noHBand="0" w:noVBand="1"/>
      </w:tblPr>
      <w:tblGrid>
        <w:gridCol w:w="9039"/>
        <w:gridCol w:w="815"/>
      </w:tblGrid>
      <w:tr w:rsidR="00FD02C1" w:rsidRPr="00CE5A35" w14:paraId="5F4C6C4C" w14:textId="77777777" w:rsidTr="00FD02C1">
        <w:tc>
          <w:tcPr>
            <w:tcW w:w="9039" w:type="dxa"/>
            <w:tcBorders>
              <w:top w:val="single" w:sz="4" w:space="0" w:color="auto"/>
              <w:left w:val="single" w:sz="4" w:space="0" w:color="auto"/>
              <w:bottom w:val="single" w:sz="4" w:space="0" w:color="auto"/>
              <w:right w:val="single" w:sz="4" w:space="0" w:color="auto"/>
            </w:tcBorders>
            <w:shd w:val="pct15" w:color="auto" w:fill="auto"/>
          </w:tcPr>
          <w:p w14:paraId="3AFAF7E6" w14:textId="77777777" w:rsidR="00FD02C1" w:rsidRPr="00E20C53" w:rsidRDefault="00FD02C1" w:rsidP="00FD02C1">
            <w:pPr>
              <w:rPr>
                <w:rFonts w:ascii="Arial" w:hAnsi="Arial" w:cs="Arial"/>
                <w:b/>
              </w:rPr>
            </w:pPr>
            <w:r w:rsidRPr="00D06A4A">
              <w:rPr>
                <w:rFonts w:ascii="Arial"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904FC35" w14:textId="77777777" w:rsidR="00FD02C1" w:rsidRPr="00E20C53" w:rsidRDefault="00FD02C1" w:rsidP="00FD02C1">
            <w:pPr>
              <w:rPr>
                <w:rFonts w:ascii="Arial" w:hAnsi="Arial" w:cs="Arial"/>
                <w:b/>
                <w:bCs/>
              </w:rPr>
            </w:pPr>
            <w:r w:rsidRPr="00E20C53">
              <w:rPr>
                <w:rFonts w:ascii="Arial" w:hAnsi="Arial" w:cs="Arial"/>
                <w:b/>
                <w:bCs/>
              </w:rPr>
              <w:t>Page</w:t>
            </w:r>
          </w:p>
        </w:tc>
      </w:tr>
      <w:tr w:rsidR="00FD02C1" w:rsidRPr="00CE5A35" w14:paraId="64DA5873" w14:textId="77777777" w:rsidTr="00FD02C1">
        <w:tc>
          <w:tcPr>
            <w:tcW w:w="9039" w:type="dxa"/>
            <w:tcBorders>
              <w:top w:val="single" w:sz="4" w:space="0" w:color="auto"/>
              <w:left w:val="single" w:sz="4" w:space="0" w:color="auto"/>
              <w:bottom w:val="single" w:sz="4" w:space="0" w:color="auto"/>
              <w:right w:val="single" w:sz="4" w:space="0" w:color="auto"/>
            </w:tcBorders>
          </w:tcPr>
          <w:p w14:paraId="11E380CB" w14:textId="77777777" w:rsidR="00FD02C1" w:rsidRPr="006E11B4" w:rsidRDefault="00FD02C1" w:rsidP="00FD02C1">
            <w:pPr>
              <w:rPr>
                <w:rFonts w:ascii="Arial" w:hAnsi="Arial" w:cs="Arial"/>
              </w:rPr>
            </w:pPr>
            <w:r w:rsidRPr="006E11B4">
              <w:rPr>
                <w:rFonts w:ascii="Arial"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5FD0B5C6" w14:textId="77777777" w:rsidR="00FD02C1" w:rsidRPr="00AE557F" w:rsidRDefault="00FD02C1" w:rsidP="00FD02C1">
            <w:pPr>
              <w:jc w:val="center"/>
              <w:rPr>
                <w:rFonts w:ascii="Arial" w:hAnsi="Arial" w:cs="Arial"/>
              </w:rPr>
            </w:pPr>
            <w:r>
              <w:rPr>
                <w:rFonts w:ascii="Arial" w:hAnsi="Arial" w:cs="Arial"/>
              </w:rPr>
              <w:t>2</w:t>
            </w:r>
          </w:p>
        </w:tc>
      </w:tr>
      <w:tr w:rsidR="00FD02C1" w:rsidRPr="00CE5A35" w14:paraId="7073754C" w14:textId="77777777" w:rsidTr="00FD02C1">
        <w:tc>
          <w:tcPr>
            <w:tcW w:w="9039" w:type="dxa"/>
            <w:tcBorders>
              <w:top w:val="single" w:sz="4" w:space="0" w:color="auto"/>
              <w:left w:val="single" w:sz="4" w:space="0" w:color="auto"/>
              <w:bottom w:val="single" w:sz="4" w:space="0" w:color="auto"/>
              <w:right w:val="single" w:sz="4" w:space="0" w:color="auto"/>
            </w:tcBorders>
          </w:tcPr>
          <w:p w14:paraId="278026B8" w14:textId="77777777" w:rsidR="00FD02C1" w:rsidRPr="006E11B4" w:rsidRDefault="00FD02C1" w:rsidP="00FD02C1">
            <w:pPr>
              <w:rPr>
                <w:rFonts w:ascii="Arial" w:hAnsi="Arial" w:cs="Arial"/>
              </w:rPr>
            </w:pPr>
            <w:r w:rsidRPr="006E11B4">
              <w:rPr>
                <w:rFonts w:ascii="Arial"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7A5A2CBE" w14:textId="77777777" w:rsidR="00FD02C1" w:rsidRPr="00AE557F" w:rsidRDefault="00FD02C1" w:rsidP="00FD02C1">
            <w:pPr>
              <w:jc w:val="center"/>
              <w:rPr>
                <w:rFonts w:ascii="Arial" w:hAnsi="Arial" w:cs="Arial"/>
              </w:rPr>
            </w:pPr>
            <w:r>
              <w:rPr>
                <w:rFonts w:ascii="Arial" w:hAnsi="Arial" w:cs="Arial"/>
              </w:rPr>
              <w:t>3</w:t>
            </w:r>
          </w:p>
        </w:tc>
      </w:tr>
      <w:tr w:rsidR="00FD02C1" w:rsidRPr="00CE5A35" w14:paraId="162105CF" w14:textId="77777777" w:rsidTr="00FD02C1">
        <w:tc>
          <w:tcPr>
            <w:tcW w:w="9039" w:type="dxa"/>
            <w:tcBorders>
              <w:top w:val="single" w:sz="4" w:space="0" w:color="auto"/>
              <w:left w:val="single" w:sz="4" w:space="0" w:color="auto"/>
              <w:bottom w:val="single" w:sz="4" w:space="0" w:color="auto"/>
              <w:right w:val="single" w:sz="4" w:space="0" w:color="auto"/>
            </w:tcBorders>
          </w:tcPr>
          <w:p w14:paraId="1867E39E" w14:textId="26FDDCFA" w:rsidR="00FD02C1" w:rsidRPr="00CE5A35" w:rsidRDefault="00FD02C1" w:rsidP="00FD02C1">
            <w:pPr>
              <w:rPr>
                <w:rFonts w:ascii="Arial" w:hAnsi="Arial" w:cs="Arial"/>
              </w:rPr>
            </w:pPr>
            <w:r w:rsidRPr="00CE5A35">
              <w:rPr>
                <w:rFonts w:ascii="Arial" w:hAnsi="Arial" w:cs="Arial"/>
              </w:rPr>
              <w:t xml:space="preserve">Draft information </w:t>
            </w:r>
            <w:r w:rsidRPr="00F929C0">
              <w:rPr>
                <w:rFonts w:ascii="Arial" w:hAnsi="Arial" w:cs="Arial"/>
              </w:rPr>
              <w:t xml:space="preserve">about </w:t>
            </w:r>
            <w:r>
              <w:rPr>
                <w:rFonts w:ascii="Arial" w:hAnsi="Arial" w:cs="Arial"/>
                <w:iCs/>
              </w:rPr>
              <w:t xml:space="preserve">the </w:t>
            </w:r>
            <w:r>
              <w:rPr>
                <w:rFonts w:ascii="Arial" w:hAnsi="Arial" w:cs="Arial"/>
              </w:rPr>
              <w:t>Blue-</w:t>
            </w:r>
            <w:r w:rsidR="004D3570">
              <w:rPr>
                <w:rFonts w:ascii="Arial" w:hAnsi="Arial" w:cs="Arial"/>
              </w:rPr>
              <w:t>w</w:t>
            </w:r>
            <w:r>
              <w:rPr>
                <w:rFonts w:ascii="Arial" w:hAnsi="Arial" w:cs="Arial"/>
              </w:rPr>
              <w:t>inged Parrot</w:t>
            </w:r>
            <w:r w:rsidRPr="00F929C0">
              <w:rPr>
                <w:rFonts w:ascii="Arial" w:hAnsi="Arial" w:cs="Arial"/>
              </w:rPr>
              <w:t xml:space="preserve"> and its eligibility</w:t>
            </w:r>
            <w:r>
              <w:rPr>
                <w:rFonts w:ascii="Arial" w:hAnsi="Arial" w:cs="Arial"/>
              </w:rPr>
              <w:t xml:space="preserve"> for listing</w:t>
            </w:r>
          </w:p>
        </w:tc>
        <w:tc>
          <w:tcPr>
            <w:tcW w:w="815" w:type="dxa"/>
            <w:tcBorders>
              <w:top w:val="single" w:sz="4" w:space="0" w:color="auto"/>
              <w:left w:val="single" w:sz="4" w:space="0" w:color="auto"/>
              <w:bottom w:val="single" w:sz="4" w:space="0" w:color="auto"/>
              <w:right w:val="single" w:sz="4" w:space="0" w:color="auto"/>
            </w:tcBorders>
          </w:tcPr>
          <w:p w14:paraId="6493D360" w14:textId="77777777" w:rsidR="00FD02C1" w:rsidRPr="004C741D" w:rsidRDefault="00FD02C1" w:rsidP="00FD02C1">
            <w:pPr>
              <w:jc w:val="center"/>
              <w:rPr>
                <w:rFonts w:ascii="Arial" w:hAnsi="Arial" w:cs="Arial"/>
              </w:rPr>
            </w:pPr>
            <w:r w:rsidRPr="004C741D">
              <w:rPr>
                <w:rFonts w:ascii="Arial" w:hAnsi="Arial" w:cs="Arial"/>
              </w:rPr>
              <w:t>4</w:t>
            </w:r>
          </w:p>
        </w:tc>
      </w:tr>
      <w:tr w:rsidR="00FD02C1" w:rsidRPr="00CE5A35" w14:paraId="17303270" w14:textId="77777777" w:rsidTr="00FD02C1">
        <w:tc>
          <w:tcPr>
            <w:tcW w:w="9039" w:type="dxa"/>
            <w:tcBorders>
              <w:top w:val="single" w:sz="4" w:space="0" w:color="auto"/>
              <w:left w:val="single" w:sz="4" w:space="0" w:color="auto"/>
              <w:bottom w:val="single" w:sz="4" w:space="0" w:color="auto"/>
              <w:right w:val="single" w:sz="4" w:space="0" w:color="auto"/>
            </w:tcBorders>
          </w:tcPr>
          <w:p w14:paraId="0BE89A50" w14:textId="77777777" w:rsidR="00FD02C1" w:rsidRPr="00AE557F" w:rsidRDefault="00FD02C1" w:rsidP="00FD02C1">
            <w:pPr>
              <w:rPr>
                <w:rFonts w:ascii="Arial" w:hAnsi="Arial" w:cs="Arial"/>
              </w:rPr>
            </w:pPr>
            <w:r w:rsidRPr="00AE557F">
              <w:rPr>
                <w:rFonts w:ascii="Arial" w:hAnsi="Arial" w:cs="Arial"/>
              </w:rPr>
              <w:t xml:space="preserve">Conservation actions for </w:t>
            </w:r>
            <w:r>
              <w:rPr>
                <w:rFonts w:ascii="Arial" w:hAnsi="Arial" w:cs="Arial"/>
              </w:rPr>
              <w:t>the</w:t>
            </w:r>
            <w:r w:rsidRPr="00AE557F">
              <w:rPr>
                <w:rFonts w:ascii="Arial" w:hAnsi="Arial" w:cs="Arial"/>
              </w:rPr>
              <w:t xml:space="preserve"> species</w:t>
            </w:r>
          </w:p>
        </w:tc>
        <w:tc>
          <w:tcPr>
            <w:tcW w:w="815" w:type="dxa"/>
            <w:tcBorders>
              <w:top w:val="single" w:sz="4" w:space="0" w:color="auto"/>
              <w:left w:val="single" w:sz="4" w:space="0" w:color="auto"/>
              <w:bottom w:val="single" w:sz="4" w:space="0" w:color="auto"/>
              <w:right w:val="single" w:sz="4" w:space="0" w:color="auto"/>
            </w:tcBorders>
          </w:tcPr>
          <w:p w14:paraId="7574A6CE" w14:textId="77777777" w:rsidR="00FD02C1" w:rsidRPr="004C741D" w:rsidRDefault="00FD02C1" w:rsidP="00FD02C1">
            <w:pPr>
              <w:jc w:val="center"/>
              <w:rPr>
                <w:rFonts w:ascii="Arial" w:hAnsi="Arial" w:cs="Arial"/>
              </w:rPr>
            </w:pPr>
            <w:r w:rsidRPr="004C741D">
              <w:rPr>
                <w:rFonts w:ascii="Arial" w:hAnsi="Arial" w:cs="Arial"/>
              </w:rPr>
              <w:t>10</w:t>
            </w:r>
          </w:p>
        </w:tc>
      </w:tr>
      <w:tr w:rsidR="00FD02C1" w:rsidRPr="00CE5A35" w14:paraId="6048E549" w14:textId="77777777" w:rsidTr="00FD02C1">
        <w:tc>
          <w:tcPr>
            <w:tcW w:w="9039" w:type="dxa"/>
            <w:tcBorders>
              <w:top w:val="single" w:sz="4" w:space="0" w:color="auto"/>
              <w:left w:val="single" w:sz="4" w:space="0" w:color="auto"/>
              <w:bottom w:val="single" w:sz="4" w:space="0" w:color="auto"/>
              <w:right w:val="single" w:sz="4" w:space="0" w:color="auto"/>
            </w:tcBorders>
          </w:tcPr>
          <w:p w14:paraId="2F0BA112" w14:textId="77777777" w:rsidR="00FD02C1" w:rsidRPr="00AE557F" w:rsidRDefault="00FD02C1" w:rsidP="00FD02C1">
            <w:pPr>
              <w:rPr>
                <w:rFonts w:ascii="Arial" w:hAnsi="Arial" w:cs="Arial"/>
              </w:rPr>
            </w:pPr>
            <w:r w:rsidRPr="00AE557F">
              <w:rPr>
                <w:rFonts w:ascii="Arial" w:hAnsi="Arial" w:cs="Arial"/>
              </w:rPr>
              <w:t xml:space="preserve">References cited </w:t>
            </w:r>
          </w:p>
        </w:tc>
        <w:tc>
          <w:tcPr>
            <w:tcW w:w="815" w:type="dxa"/>
            <w:tcBorders>
              <w:top w:val="single" w:sz="4" w:space="0" w:color="auto"/>
              <w:left w:val="single" w:sz="4" w:space="0" w:color="auto"/>
              <w:bottom w:val="single" w:sz="4" w:space="0" w:color="auto"/>
              <w:right w:val="single" w:sz="4" w:space="0" w:color="auto"/>
            </w:tcBorders>
          </w:tcPr>
          <w:p w14:paraId="6C2EF3B9" w14:textId="77777777" w:rsidR="00FD02C1" w:rsidRPr="004C741D" w:rsidRDefault="00FD02C1" w:rsidP="00FD02C1">
            <w:pPr>
              <w:jc w:val="center"/>
              <w:rPr>
                <w:rFonts w:ascii="Arial" w:hAnsi="Arial" w:cs="Arial"/>
              </w:rPr>
            </w:pPr>
            <w:r w:rsidRPr="004C741D">
              <w:rPr>
                <w:rFonts w:ascii="Arial" w:hAnsi="Arial" w:cs="Arial"/>
              </w:rPr>
              <w:t>12</w:t>
            </w:r>
          </w:p>
        </w:tc>
      </w:tr>
      <w:tr w:rsidR="00FD02C1" w:rsidRPr="00CE5A35" w14:paraId="46D44624" w14:textId="77777777" w:rsidTr="00FD02C1">
        <w:tc>
          <w:tcPr>
            <w:tcW w:w="9039" w:type="dxa"/>
            <w:tcBorders>
              <w:top w:val="single" w:sz="4" w:space="0" w:color="auto"/>
              <w:left w:val="single" w:sz="4" w:space="0" w:color="auto"/>
              <w:bottom w:val="single" w:sz="4" w:space="0" w:color="auto"/>
              <w:right w:val="single" w:sz="4" w:space="0" w:color="auto"/>
            </w:tcBorders>
          </w:tcPr>
          <w:p w14:paraId="6790FCB5" w14:textId="77777777" w:rsidR="00FD02C1" w:rsidRPr="00AE557F" w:rsidRDefault="00FD02C1" w:rsidP="00FD02C1">
            <w:pPr>
              <w:rPr>
                <w:rFonts w:ascii="Arial" w:hAnsi="Arial" w:cs="Arial"/>
              </w:rPr>
            </w:pPr>
            <w:r w:rsidRPr="00AE557F">
              <w:rPr>
                <w:rFonts w:ascii="Arial" w:hAnsi="Arial" w:cs="Arial"/>
              </w:rPr>
              <w:t>Collective list of questions – your views</w:t>
            </w:r>
          </w:p>
        </w:tc>
        <w:tc>
          <w:tcPr>
            <w:tcW w:w="815" w:type="dxa"/>
            <w:tcBorders>
              <w:top w:val="single" w:sz="4" w:space="0" w:color="auto"/>
              <w:left w:val="single" w:sz="4" w:space="0" w:color="auto"/>
              <w:bottom w:val="single" w:sz="4" w:space="0" w:color="auto"/>
              <w:right w:val="single" w:sz="4" w:space="0" w:color="auto"/>
            </w:tcBorders>
          </w:tcPr>
          <w:p w14:paraId="403B87C4" w14:textId="13BD189A" w:rsidR="00FD02C1" w:rsidRPr="004C741D" w:rsidRDefault="00712F0D" w:rsidP="00FD02C1">
            <w:pPr>
              <w:jc w:val="center"/>
              <w:rPr>
                <w:rFonts w:ascii="Arial" w:hAnsi="Arial" w:cs="Arial"/>
              </w:rPr>
            </w:pPr>
            <w:r>
              <w:rPr>
                <w:rFonts w:ascii="Arial" w:hAnsi="Arial" w:cs="Arial"/>
              </w:rPr>
              <w:t>2</w:t>
            </w:r>
            <w:r w:rsidR="009A7849">
              <w:rPr>
                <w:rFonts w:ascii="Arial" w:hAnsi="Arial" w:cs="Arial"/>
              </w:rPr>
              <w:t>4</w:t>
            </w:r>
          </w:p>
        </w:tc>
      </w:tr>
    </w:tbl>
    <w:p w14:paraId="5893A80C" w14:textId="77777777" w:rsidR="00FD02C1" w:rsidRPr="00BA49B4" w:rsidRDefault="00FD02C1" w:rsidP="00FD02C1">
      <w:pPr>
        <w:rPr>
          <w:rFonts w:ascii="Arial" w:hAnsi="Arial" w:cs="Arial"/>
          <w:b/>
        </w:rPr>
      </w:pPr>
      <w:r w:rsidRPr="00A16DF6">
        <w:rPr>
          <w:rFonts w:ascii="Arial" w:hAnsi="Arial" w:cs="Arial"/>
        </w:rPr>
        <w:br w:type="page"/>
      </w:r>
      <w:r>
        <w:rPr>
          <w:rFonts w:ascii="Arial" w:hAnsi="Arial" w:cs="Arial"/>
          <w:b/>
        </w:rPr>
        <w:lastRenderedPageBreak/>
        <w:t>General background information</w:t>
      </w:r>
      <w:r w:rsidRPr="00732E63">
        <w:rPr>
          <w:rFonts w:ascii="Arial" w:hAnsi="Arial" w:cs="Arial"/>
          <w:b/>
        </w:rPr>
        <w:t xml:space="preserve"> about </w:t>
      </w:r>
      <w:r w:rsidRPr="00331826">
        <w:rPr>
          <w:rFonts w:ascii="Arial" w:hAnsi="Arial" w:cs="Arial"/>
          <w:b/>
        </w:rPr>
        <w:t>listing threatened species</w:t>
      </w:r>
    </w:p>
    <w:p w14:paraId="33A2AD73" w14:textId="77777777" w:rsidR="00FD02C1" w:rsidRDefault="00FD02C1" w:rsidP="00FD02C1">
      <w:pPr>
        <w:rPr>
          <w:rFonts w:ascii="Arial" w:hAnsi="Arial" w:cs="Arial"/>
        </w:rPr>
      </w:pPr>
      <w:r w:rsidRPr="007D3CBD">
        <w:rPr>
          <w:rFonts w:ascii="Arial" w:hAnsi="Arial" w:cs="Arial"/>
        </w:rPr>
        <w:t xml:space="preserve">The Australian Government helps protect species at risk </w:t>
      </w:r>
      <w:r>
        <w:rPr>
          <w:rFonts w:ascii="Arial" w:hAnsi="Arial" w:cs="Arial"/>
        </w:rPr>
        <w:t xml:space="preserve">of extinction </w:t>
      </w:r>
      <w:r w:rsidRPr="007D3CBD">
        <w:rPr>
          <w:rFonts w:ascii="Arial" w:hAnsi="Arial" w:cs="Arial"/>
        </w:rPr>
        <w:t>by listing them as threatened under Part 13 of the EPBC Act. Once listed</w:t>
      </w:r>
      <w:r>
        <w:rPr>
          <w:rFonts w:ascii="Arial" w:hAnsi="Arial" w:cs="Arial"/>
        </w:rPr>
        <w:t xml:space="preserve"> under the EPBC Act</w:t>
      </w:r>
      <w:r w:rsidRPr="007D3CBD">
        <w:rPr>
          <w:rFonts w:ascii="Arial" w:hAnsi="Arial" w:cs="Arial"/>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rPr>
        <w:t xml:space="preserve">More information about </w:t>
      </w:r>
      <w:r>
        <w:rPr>
          <w:rFonts w:ascii="Arial" w:hAnsi="Arial" w:cs="Arial"/>
        </w:rPr>
        <w:t>threatened species</w:t>
      </w:r>
      <w:r w:rsidRPr="00FD5B5C">
        <w:rPr>
          <w:rFonts w:ascii="Arial" w:hAnsi="Arial" w:cs="Arial"/>
        </w:rPr>
        <w:t xml:space="preserve"> is available on the department’s website at: </w:t>
      </w:r>
      <w:hyperlink r:id="rId14" w:history="1">
        <w:r w:rsidRPr="001A7A83">
          <w:rPr>
            <w:rStyle w:val="Hyperlink"/>
            <w:rFonts w:ascii="Arial" w:hAnsi="Arial" w:cs="Arial"/>
          </w:rPr>
          <w:t>http://www.environment.gov.au/biodiversity/threatened/index.html</w:t>
        </w:r>
      </w:hyperlink>
      <w:r>
        <w:rPr>
          <w:rFonts w:ascii="Arial" w:hAnsi="Arial" w:cs="Arial"/>
        </w:rPr>
        <w:t>.</w:t>
      </w:r>
    </w:p>
    <w:p w14:paraId="02E4ED7F" w14:textId="77777777" w:rsidR="00FD02C1" w:rsidRPr="00650D63" w:rsidRDefault="00FD02C1" w:rsidP="00FD02C1">
      <w:pPr>
        <w:rPr>
          <w:color w:val="1F497D"/>
        </w:rPr>
      </w:pPr>
      <w:r w:rsidRPr="00FD5B5C">
        <w:rPr>
          <w:rFonts w:ascii="Arial" w:hAnsi="Arial" w:cs="Arial"/>
        </w:rPr>
        <w:t xml:space="preserve">Public nominations to list </w:t>
      </w:r>
      <w:r>
        <w:rPr>
          <w:rFonts w:ascii="Arial" w:hAnsi="Arial" w:cs="Arial"/>
        </w:rPr>
        <w:t>threatened species</w:t>
      </w:r>
      <w:r w:rsidRPr="00FD5B5C">
        <w:rPr>
          <w:rFonts w:ascii="Arial" w:hAnsi="Arial" w:cs="Arial"/>
        </w:rPr>
        <w:t xml:space="preserve"> under the EPBC Act are rece</w:t>
      </w:r>
      <w:r>
        <w:rPr>
          <w:rFonts w:ascii="Arial" w:hAnsi="Arial" w:cs="Arial"/>
        </w:rPr>
        <w:t>ived annually by the Department</w:t>
      </w:r>
      <w:r w:rsidRPr="00FD5B5C">
        <w:rPr>
          <w:rFonts w:ascii="Arial" w:hAnsi="Arial" w:cs="Arial"/>
        </w:rPr>
        <w:t xml:space="preserve">. </w:t>
      </w:r>
      <w:proofErr w:type="gramStart"/>
      <w:r w:rsidRPr="00616F58">
        <w:rPr>
          <w:rFonts w:ascii="Arial" w:hAnsi="Arial" w:cs="Arial"/>
        </w:rPr>
        <w:t>In order to</w:t>
      </w:r>
      <w:proofErr w:type="gramEnd"/>
      <w:r w:rsidRPr="00616F58">
        <w:rPr>
          <w:rFonts w:ascii="Arial" w:hAnsi="Arial" w:cs="Arial"/>
        </w:rPr>
        <w:t xml:space="preserve"> determine if a species is eligible for listing</w:t>
      </w:r>
      <w:r>
        <w:rPr>
          <w:rFonts w:ascii="Arial" w:hAnsi="Arial" w:cs="Arial"/>
        </w:rPr>
        <w:t xml:space="preserve"> as threatened</w:t>
      </w:r>
      <w:r w:rsidRPr="00616F58">
        <w:rPr>
          <w:rFonts w:ascii="Arial" w:hAnsi="Arial" w:cs="Arial"/>
        </w:rPr>
        <w:t xml:space="preserve"> under the EPBC Act, the </w:t>
      </w:r>
      <w:r>
        <w:rPr>
          <w:rFonts w:ascii="Arial" w:hAnsi="Arial" w:cs="Arial"/>
        </w:rPr>
        <w:t xml:space="preserve">Threatened Species Scientific </w:t>
      </w:r>
      <w:r w:rsidRPr="00616F58">
        <w:rPr>
          <w:rFonts w:ascii="Arial" w:hAnsi="Arial" w:cs="Arial"/>
        </w:rPr>
        <w:t>Committee</w:t>
      </w:r>
      <w:r>
        <w:rPr>
          <w:rFonts w:ascii="Arial" w:hAnsi="Arial" w:cs="Arial"/>
        </w:rPr>
        <w:t xml:space="preserve"> (the Committee) undertakes</w:t>
      </w:r>
      <w:r w:rsidRPr="00616F58">
        <w:rPr>
          <w:rFonts w:ascii="Arial" w:hAnsi="Arial" w:cs="Arial"/>
        </w:rPr>
        <w:t xml:space="preserve"> a rigorous scientific assessment of its </w:t>
      </w:r>
      <w:r>
        <w:rPr>
          <w:rFonts w:ascii="Arial" w:hAnsi="Arial" w:cs="Arial"/>
        </w:rPr>
        <w:t xml:space="preserve">status </w:t>
      </w:r>
      <w:r w:rsidRPr="00616F58">
        <w:rPr>
          <w:rFonts w:ascii="Arial" w:hAnsi="Arial" w:cs="Arial"/>
        </w:rPr>
        <w:t xml:space="preserve">to determine if </w:t>
      </w:r>
      <w:r>
        <w:rPr>
          <w:rFonts w:ascii="Arial" w:hAnsi="Arial" w:cs="Arial"/>
        </w:rPr>
        <w:t xml:space="preserve">the species </w:t>
      </w:r>
      <w:r w:rsidRPr="00616F58">
        <w:rPr>
          <w:rFonts w:ascii="Arial" w:hAnsi="Arial" w:cs="Arial"/>
        </w:rPr>
        <w:t>is eligible for listing against a set of criteria</w:t>
      </w:r>
      <w:r>
        <w:rPr>
          <w:rFonts w:ascii="Arial" w:hAnsi="Arial" w:cs="Arial"/>
        </w:rPr>
        <w:t xml:space="preserve">. These </w:t>
      </w:r>
      <w:r w:rsidRPr="00616F58">
        <w:rPr>
          <w:rFonts w:ascii="Arial" w:hAnsi="Arial" w:cs="Arial"/>
        </w:rPr>
        <w:t>criteria</w:t>
      </w:r>
      <w:r>
        <w:rPr>
          <w:rFonts w:ascii="Arial" w:hAnsi="Arial" w:cs="Arial"/>
        </w:rPr>
        <w:t xml:space="preserve"> are </w:t>
      </w:r>
      <w:r w:rsidRPr="00616F58">
        <w:rPr>
          <w:rFonts w:ascii="Arial" w:hAnsi="Arial" w:cs="Arial"/>
        </w:rPr>
        <w:t>available</w:t>
      </w:r>
      <w:r>
        <w:rPr>
          <w:rFonts w:ascii="Arial" w:hAnsi="Arial" w:cs="Arial"/>
        </w:rPr>
        <w:t xml:space="preserve"> on the Department’s website</w:t>
      </w:r>
      <w:r w:rsidRPr="00616F58">
        <w:rPr>
          <w:rFonts w:ascii="Arial" w:hAnsi="Arial" w:cs="Arial"/>
        </w:rPr>
        <w:t xml:space="preserve"> at:</w:t>
      </w:r>
      <w:r>
        <w:rPr>
          <w:rFonts w:ascii="Arial" w:hAnsi="Arial" w:cs="Arial"/>
        </w:rPr>
        <w:t xml:space="preserve"> </w:t>
      </w:r>
      <w:hyperlink r:id="rId15" w:history="1">
        <w:r w:rsidRPr="001A7A83">
          <w:rPr>
            <w:rStyle w:val="Hyperlink"/>
            <w:rFonts w:ascii="Arial" w:hAnsi="Arial" w:cs="Arial"/>
          </w:rPr>
          <w:t>http://www.environment.gov.au/system/files/pages/d72dfd1a-f0d8-4699-8d43-5d95bbb02428/files/tssc-guidelines-assessing-species-2018.pdf</w:t>
        </w:r>
      </w:hyperlink>
      <w:r w:rsidRPr="00FB2C14">
        <w:rPr>
          <w:color w:val="1F497D"/>
        </w:rPr>
        <w:t>.</w:t>
      </w:r>
    </w:p>
    <w:p w14:paraId="2377D703" w14:textId="77777777" w:rsidR="00FD02C1" w:rsidRDefault="00FD02C1" w:rsidP="00FD02C1">
      <w:pPr>
        <w:rPr>
          <w:rFonts w:ascii="Arial" w:hAnsi="Arial" w:cs="Arial"/>
        </w:rPr>
      </w:pPr>
      <w:r w:rsidRPr="00FD5B5C">
        <w:rPr>
          <w:rFonts w:ascii="Arial" w:hAnsi="Arial" w:cs="Arial"/>
        </w:rPr>
        <w:t xml:space="preserve">As part of the assessment process, the Committee consults with the public and stakeholders to obtain specific details </w:t>
      </w:r>
      <w:r>
        <w:rPr>
          <w:rFonts w:ascii="Arial" w:hAnsi="Arial" w:cs="Arial"/>
        </w:rPr>
        <w:t>about</w:t>
      </w:r>
      <w:r w:rsidRPr="00FD5B5C">
        <w:rPr>
          <w:rFonts w:ascii="Arial" w:hAnsi="Arial" w:cs="Arial"/>
        </w:rPr>
        <w:t xml:space="preserve"> the </w:t>
      </w:r>
      <w:r>
        <w:rPr>
          <w:rFonts w:ascii="Arial" w:hAnsi="Arial" w:cs="Arial"/>
        </w:rPr>
        <w:t>species</w:t>
      </w:r>
      <w:r w:rsidRPr="00FD5B5C">
        <w:rPr>
          <w:rFonts w:ascii="Arial" w:hAnsi="Arial" w:cs="Arial"/>
        </w:rPr>
        <w:t xml:space="preserve">, as well as advice on what </w:t>
      </w:r>
      <w:r>
        <w:rPr>
          <w:rFonts w:ascii="Arial" w:hAnsi="Arial" w:cs="Arial"/>
        </w:rPr>
        <w:t>conservation</w:t>
      </w:r>
      <w:r w:rsidRPr="00FD5B5C">
        <w:rPr>
          <w:rFonts w:ascii="Arial" w:hAnsi="Arial" w:cs="Arial"/>
        </w:rPr>
        <w:t xml:space="preserve"> actions might be appropriate. Information provided through the consultation process is considered by the Committee in its assessment. </w:t>
      </w:r>
      <w:r>
        <w:rPr>
          <w:rFonts w:ascii="Arial" w:hAnsi="Arial" w:cs="Arial"/>
        </w:rPr>
        <w:t>The Committee provides its advice on the assessment (together with comments received) to</w:t>
      </w:r>
      <w:r w:rsidRPr="00FD5B5C">
        <w:rPr>
          <w:rFonts w:ascii="Arial" w:hAnsi="Arial" w:cs="Arial"/>
        </w:rPr>
        <w:t xml:space="preserve"> the Minister regarding the eligibility of the </w:t>
      </w:r>
      <w:r>
        <w:rPr>
          <w:rFonts w:ascii="Arial" w:hAnsi="Arial" w:cs="Arial"/>
        </w:rPr>
        <w:t>species</w:t>
      </w:r>
      <w:r w:rsidRPr="00FD5B5C">
        <w:rPr>
          <w:rFonts w:ascii="Arial" w:hAnsi="Arial" w:cs="Arial"/>
        </w:rPr>
        <w:t xml:space="preserve"> for listing</w:t>
      </w:r>
      <w:r>
        <w:rPr>
          <w:rFonts w:ascii="Arial" w:hAnsi="Arial" w:cs="Arial"/>
        </w:rPr>
        <w:t xml:space="preserve"> under a particular category</w:t>
      </w:r>
      <w:r w:rsidRPr="00FD5B5C">
        <w:rPr>
          <w:rFonts w:ascii="Arial" w:hAnsi="Arial" w:cs="Arial"/>
        </w:rPr>
        <w:t xml:space="preserve"> and what </w:t>
      </w:r>
      <w:r>
        <w:rPr>
          <w:rFonts w:ascii="Arial" w:hAnsi="Arial" w:cs="Arial"/>
        </w:rPr>
        <w:t>conservation</w:t>
      </w:r>
      <w:r w:rsidRPr="00FD5B5C">
        <w:rPr>
          <w:rFonts w:ascii="Arial" w:hAnsi="Arial" w:cs="Arial"/>
        </w:rPr>
        <w:t xml:space="preserve"> actions might be appropriate. The Minister decides to add, or not to add, </w:t>
      </w:r>
      <w:r>
        <w:rPr>
          <w:rFonts w:ascii="Arial" w:hAnsi="Arial" w:cs="Arial"/>
        </w:rPr>
        <w:t>the species to the list of threatened species</w:t>
      </w:r>
      <w:r w:rsidRPr="00FD5B5C">
        <w:rPr>
          <w:rFonts w:ascii="Arial" w:hAnsi="Arial" w:cs="Arial"/>
        </w:rPr>
        <w:t xml:space="preserve"> under the EPBC Act.</w:t>
      </w:r>
      <w:r w:rsidRPr="00E04B1E">
        <w:rPr>
          <w:rFonts w:ascii="Arial" w:hAnsi="Arial" w:cs="Arial"/>
        </w:rPr>
        <w:t xml:space="preserve"> </w:t>
      </w:r>
      <w:r w:rsidRPr="007D3CBD">
        <w:rPr>
          <w:rFonts w:ascii="Arial" w:hAnsi="Arial" w:cs="Arial"/>
        </w:rPr>
        <w:t>More detailed information about the</w:t>
      </w:r>
      <w:r>
        <w:rPr>
          <w:rFonts w:ascii="Arial" w:hAnsi="Arial" w:cs="Arial"/>
        </w:rPr>
        <w:t xml:space="preserve"> listing process is at: </w:t>
      </w:r>
      <w:hyperlink r:id="rId16" w:history="1">
        <w:r w:rsidRPr="007C4BD5">
          <w:rPr>
            <w:rStyle w:val="Hyperlink"/>
            <w:rFonts w:ascii="Arial" w:hAnsi="Arial" w:cs="Arial"/>
          </w:rPr>
          <w:t>http://www.environment.gov.au/biodiversity/threatened/nominations.html</w:t>
        </w:r>
      </w:hyperlink>
      <w:r>
        <w:rPr>
          <w:rFonts w:ascii="Arial" w:hAnsi="Arial" w:cs="Arial"/>
        </w:rPr>
        <w:t>.</w:t>
      </w:r>
    </w:p>
    <w:p w14:paraId="47805892" w14:textId="77777777" w:rsidR="00FD02C1" w:rsidRDefault="00FD02C1" w:rsidP="00FD02C1">
      <w:pPr>
        <w:rPr>
          <w:rFonts w:ascii="Arial" w:hAnsi="Arial" w:cs="Arial"/>
        </w:rPr>
      </w:pPr>
      <w:r w:rsidRPr="007D3CBD">
        <w:rPr>
          <w:rFonts w:ascii="Arial" w:hAnsi="Arial" w:cs="Arial"/>
        </w:rPr>
        <w:t xml:space="preserve">To promote the recovery of listed threatened species and ecological communities, conservation </w:t>
      </w:r>
      <w:proofErr w:type="gramStart"/>
      <w:r w:rsidRPr="007D3CBD">
        <w:rPr>
          <w:rFonts w:ascii="Arial" w:hAnsi="Arial" w:cs="Arial"/>
        </w:rPr>
        <w:t>advices</w:t>
      </w:r>
      <w:proofErr w:type="gramEnd"/>
      <w:r w:rsidRPr="007D3CBD">
        <w:rPr>
          <w:rFonts w:ascii="Arial" w:hAnsi="Arial" w:cs="Arial"/>
        </w:rPr>
        <w:t xml:space="preserve"> and</w:t>
      </w:r>
      <w:r>
        <w:rPr>
          <w:rFonts w:ascii="Arial" w:hAnsi="Arial" w:cs="Arial"/>
        </w:rPr>
        <w:t xml:space="preserve"> where required,</w:t>
      </w:r>
      <w:r w:rsidRPr="007D3CBD">
        <w:rPr>
          <w:rFonts w:ascii="Arial" w:hAnsi="Arial" w:cs="Arial"/>
        </w:rPr>
        <w:t xml:space="preserve"> recovery plans are made or adopted in accordance with Part 13 of the EPBC Act. Conservation </w:t>
      </w:r>
      <w:proofErr w:type="gramStart"/>
      <w:r w:rsidRPr="007D3CBD">
        <w:rPr>
          <w:rFonts w:ascii="Arial" w:hAnsi="Arial" w:cs="Arial"/>
        </w:rPr>
        <w:t>advices</w:t>
      </w:r>
      <w:proofErr w:type="gramEnd"/>
      <w:r w:rsidRPr="007D3CBD">
        <w:rPr>
          <w:rFonts w:ascii="Arial"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rPr>
        <w:t>I</w:t>
      </w:r>
      <w:r w:rsidRPr="007D3CBD">
        <w:rPr>
          <w:rFonts w:ascii="Arial" w:hAnsi="Arial" w:cs="Arial"/>
        </w:rPr>
        <w:t xml:space="preserve">nformation about recovery plans is available on the department’s website at: </w:t>
      </w:r>
      <w:hyperlink r:id="rId17" w:history="1">
        <w:r w:rsidRPr="00806CE6">
          <w:rPr>
            <w:rStyle w:val="Hyperlink"/>
            <w:rFonts w:ascii="Arial" w:hAnsi="Arial" w:cs="Arial"/>
          </w:rPr>
          <w:t>http://www.environment.gov.au/biodiversity/threatened/recovery.html</w:t>
        </w:r>
      </w:hyperlink>
      <w:r>
        <w:rPr>
          <w:rFonts w:ascii="Arial" w:hAnsi="Arial" w:cs="Arial"/>
        </w:rPr>
        <w:t>.</w:t>
      </w:r>
    </w:p>
    <w:p w14:paraId="21D2B8A6" w14:textId="77777777" w:rsidR="00FD02C1" w:rsidRPr="001111B2" w:rsidRDefault="00FD02C1" w:rsidP="00FD02C1">
      <w:pPr>
        <w:rPr>
          <w:rFonts w:ascii="Arial" w:hAnsi="Arial" w:cs="Arial"/>
          <w:b/>
        </w:rPr>
      </w:pPr>
      <w:r w:rsidRPr="001111B2">
        <w:rPr>
          <w:rFonts w:ascii="Arial" w:hAnsi="Arial" w:cs="Arial"/>
          <w:b/>
        </w:rPr>
        <w:t>Privacy notice</w:t>
      </w:r>
    </w:p>
    <w:p w14:paraId="2C028974" w14:textId="77777777" w:rsidR="00FD02C1" w:rsidRPr="001111B2" w:rsidRDefault="00FD02C1" w:rsidP="00FD02C1">
      <w:pPr>
        <w:rPr>
          <w:rFonts w:ascii="Arial" w:hAnsi="Arial" w:cs="Arial"/>
        </w:rPr>
      </w:pPr>
      <w:r w:rsidRPr="001111B2">
        <w:rPr>
          <w:rFonts w:ascii="Arial" w:hAnsi="Arial" w:cs="Arial"/>
        </w:rPr>
        <w:t xml:space="preserve">The Department will collect, use, store and disclose the personal information you provide in a manner consistent with the Department’s obligations under the </w:t>
      </w:r>
      <w:r w:rsidRPr="00986028">
        <w:rPr>
          <w:rFonts w:ascii="Arial" w:hAnsi="Arial" w:cs="Arial"/>
          <w:i/>
        </w:rPr>
        <w:t>Privacy Act 1988</w:t>
      </w:r>
      <w:r w:rsidRPr="001111B2">
        <w:rPr>
          <w:rFonts w:ascii="Arial" w:hAnsi="Arial" w:cs="Arial"/>
        </w:rPr>
        <w:t xml:space="preserve"> (</w:t>
      </w:r>
      <w:proofErr w:type="spellStart"/>
      <w:r w:rsidRPr="001111B2">
        <w:rPr>
          <w:rFonts w:ascii="Arial" w:hAnsi="Arial" w:cs="Arial"/>
        </w:rPr>
        <w:t>Cwth</w:t>
      </w:r>
      <w:proofErr w:type="spellEnd"/>
      <w:r w:rsidRPr="001111B2">
        <w:rPr>
          <w:rFonts w:ascii="Arial" w:hAnsi="Arial" w:cs="Arial"/>
        </w:rPr>
        <w:t>) and the Department’s Privacy Policy.</w:t>
      </w:r>
    </w:p>
    <w:p w14:paraId="785FF61D" w14:textId="77777777" w:rsidR="00FD02C1" w:rsidRPr="001111B2" w:rsidRDefault="00FD02C1" w:rsidP="00FD02C1">
      <w:pPr>
        <w:rPr>
          <w:rFonts w:ascii="Arial" w:hAnsi="Arial" w:cs="Arial"/>
        </w:rPr>
      </w:pPr>
      <w:r w:rsidRPr="001111B2">
        <w:rPr>
          <w:rFonts w:ascii="Arial"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1471A19C" w14:textId="77777777" w:rsidR="00FD02C1" w:rsidRPr="001111B2" w:rsidRDefault="00FD02C1" w:rsidP="00FD02C1">
      <w:pPr>
        <w:rPr>
          <w:rFonts w:ascii="Arial" w:hAnsi="Arial" w:cs="Arial"/>
        </w:rPr>
      </w:pPr>
      <w:r w:rsidRPr="001111B2">
        <w:rPr>
          <w:rFonts w:ascii="Arial"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1111B2">
        <w:rPr>
          <w:rFonts w:ascii="Arial" w:hAnsi="Arial" w:cs="Arial"/>
        </w:rPr>
        <w:t>making a decision</w:t>
      </w:r>
      <w:proofErr w:type="gramEnd"/>
      <w:r w:rsidRPr="001111B2">
        <w:rPr>
          <w:rFonts w:ascii="Arial" w:hAnsi="Arial" w:cs="Arial"/>
        </w:rPr>
        <w:t xml:space="preserve"> on </w:t>
      </w:r>
      <w:r w:rsidRPr="001111B2">
        <w:rPr>
          <w:rFonts w:ascii="Arial" w:hAnsi="Arial" w:cs="Arial"/>
        </w:rPr>
        <w:lastRenderedPageBreak/>
        <w:t xml:space="preserve">the status of a potentially threatened species. This is also known as the </w:t>
      </w:r>
      <w:hyperlink r:id="rId18" w:history="1">
        <w:r w:rsidRPr="001111B2">
          <w:rPr>
            <w:rStyle w:val="Hyperlink"/>
            <w:rFonts w:ascii="Arial" w:hAnsi="Arial" w:cs="Arial"/>
          </w:rPr>
          <w:t>‘common assessment method’</w:t>
        </w:r>
      </w:hyperlink>
      <w:r w:rsidRPr="001111B2">
        <w:rPr>
          <w:rFonts w:ascii="Arial" w:hAnsi="Arial" w:cs="Arial"/>
        </w:rPr>
        <w:t xml:space="preserve">.  As a result, any personal information that you have provided in connection with your comments may be shared between Commonwealth, State or Territory government entities to assist with their assessment processes. </w:t>
      </w:r>
    </w:p>
    <w:p w14:paraId="6651A6E0" w14:textId="77777777" w:rsidR="00FD02C1" w:rsidRPr="00BA49B4" w:rsidRDefault="00FD02C1" w:rsidP="00FD02C1">
      <w:pPr>
        <w:rPr>
          <w:rFonts w:ascii="Arial" w:hAnsi="Arial" w:cs="Arial"/>
        </w:rPr>
      </w:pPr>
      <w:r w:rsidRPr="001111B2">
        <w:rPr>
          <w:rFonts w:ascii="Arial"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sidRPr="00667AE5">
          <w:rPr>
            <w:rStyle w:val="Hyperlink"/>
            <w:rFonts w:ascii="Arial" w:hAnsi="Arial" w:cs="Arial"/>
          </w:rPr>
          <w:t>http://environment.gov.au/privacy-policy</w:t>
        </w:r>
      </w:hyperlink>
      <w:r>
        <w:rPr>
          <w:rFonts w:ascii="Arial" w:hAnsi="Arial" w:cs="Arial"/>
        </w:rPr>
        <w:t xml:space="preserve"> .</w:t>
      </w:r>
    </w:p>
    <w:p w14:paraId="657BCAF8" w14:textId="77777777" w:rsidR="00FD02C1" w:rsidRPr="00BA49B4" w:rsidRDefault="00FD02C1" w:rsidP="00FD02C1">
      <w:pPr>
        <w:rPr>
          <w:rFonts w:ascii="Arial" w:hAnsi="Arial" w:cs="Arial"/>
          <w:b/>
        </w:rPr>
      </w:pPr>
      <w:r>
        <w:rPr>
          <w:rFonts w:ascii="Arial" w:hAnsi="Arial" w:cs="Arial"/>
          <w:b/>
        </w:rPr>
        <w:t xml:space="preserve">Information about this </w:t>
      </w:r>
      <w:r w:rsidRPr="00D06A4A">
        <w:rPr>
          <w:rFonts w:ascii="Arial" w:hAnsi="Arial" w:cs="Arial"/>
          <w:b/>
        </w:rPr>
        <w:t>consultation</w:t>
      </w:r>
      <w:r>
        <w:rPr>
          <w:rFonts w:ascii="Arial" w:hAnsi="Arial" w:cs="Arial"/>
          <w:b/>
        </w:rPr>
        <w:t xml:space="preserve"> process</w:t>
      </w:r>
    </w:p>
    <w:p w14:paraId="59268600" w14:textId="77777777" w:rsidR="00FD02C1" w:rsidRDefault="00FD02C1" w:rsidP="00FD02C1">
      <w:pPr>
        <w:rPr>
          <w:rFonts w:ascii="Arial" w:hAnsi="Arial" w:cs="Arial"/>
        </w:rPr>
      </w:pPr>
      <w:r>
        <w:rPr>
          <w:rFonts w:ascii="Arial" w:hAnsi="Arial" w:cs="Arial"/>
        </w:rPr>
        <w:t>R</w:t>
      </w:r>
      <w:r w:rsidRPr="00616F58">
        <w:rPr>
          <w:rFonts w:ascii="Arial" w:hAnsi="Arial" w:cs="Arial"/>
        </w:rPr>
        <w:t xml:space="preserve">esponses to this consultation </w:t>
      </w:r>
      <w:r>
        <w:rPr>
          <w:rFonts w:ascii="Arial" w:hAnsi="Arial" w:cs="Arial"/>
        </w:rPr>
        <w:t xml:space="preserve">can be provided electronically or in hard copy to the contact addresses provided on Page 1. All responses received </w:t>
      </w:r>
      <w:r w:rsidRPr="00616F58">
        <w:rPr>
          <w:rFonts w:ascii="Arial" w:hAnsi="Arial" w:cs="Arial"/>
        </w:rPr>
        <w:t>will be provided in full to the</w:t>
      </w:r>
      <w:r>
        <w:rPr>
          <w:rFonts w:ascii="Arial" w:hAnsi="Arial" w:cs="Arial"/>
        </w:rPr>
        <w:t xml:space="preserve"> Committee and then to the</w:t>
      </w:r>
      <w:r w:rsidRPr="00616F58">
        <w:rPr>
          <w:rFonts w:ascii="Arial" w:hAnsi="Arial" w:cs="Arial"/>
        </w:rPr>
        <w:t xml:space="preserve"> </w:t>
      </w:r>
      <w:r>
        <w:rPr>
          <w:rFonts w:ascii="Arial" w:hAnsi="Arial" w:cs="Arial"/>
        </w:rPr>
        <w:t xml:space="preserve">Australian Government </w:t>
      </w:r>
      <w:r w:rsidRPr="00616F58">
        <w:rPr>
          <w:rFonts w:ascii="Arial" w:hAnsi="Arial" w:cs="Arial"/>
        </w:rPr>
        <w:t>Minister for</w:t>
      </w:r>
      <w:r>
        <w:rPr>
          <w:rFonts w:ascii="Arial" w:hAnsi="Arial" w:cs="Arial"/>
        </w:rPr>
        <w:t xml:space="preserve"> the Environment.</w:t>
      </w:r>
    </w:p>
    <w:p w14:paraId="35EF9C25" w14:textId="77777777" w:rsidR="00FD02C1" w:rsidRPr="00616F58" w:rsidRDefault="00FD02C1" w:rsidP="00FD02C1">
      <w:pPr>
        <w:rPr>
          <w:rFonts w:ascii="Arial" w:hAnsi="Arial" w:cs="Arial"/>
        </w:rPr>
      </w:pPr>
      <w:r w:rsidRPr="00616F58">
        <w:rPr>
          <w:rFonts w:ascii="Arial" w:hAnsi="Arial" w:cs="Arial"/>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rPr>
        <w:t xml:space="preserve">a </w:t>
      </w:r>
      <w:r w:rsidRPr="00616F58">
        <w:rPr>
          <w:rFonts w:ascii="Arial" w:hAnsi="Arial" w:cs="Arial"/>
        </w:rPr>
        <w:t>‘personal communication’ unless you provide references or otherwise attribute this information</w:t>
      </w:r>
      <w:r>
        <w:rPr>
          <w:rFonts w:ascii="Arial" w:hAnsi="Arial" w:cs="Arial"/>
        </w:rPr>
        <w:t xml:space="preserve"> (please specify if your organisation requires that this information is attributed to your organisation instead of yourself)</w:t>
      </w:r>
      <w:r w:rsidRPr="00616F58">
        <w:rPr>
          <w:rFonts w:ascii="Arial" w:hAnsi="Arial" w:cs="Arial"/>
        </w:rPr>
        <w:t>.</w:t>
      </w:r>
      <w:r>
        <w:rPr>
          <w:rFonts w:ascii="Arial" w:hAnsi="Arial" w:cs="Arial"/>
        </w:rPr>
        <w:t xml:space="preserve"> </w:t>
      </w:r>
      <w:r w:rsidRPr="00616F58">
        <w:rPr>
          <w:rFonts w:ascii="Arial" w:hAnsi="Arial" w:cs="Arial"/>
        </w:rPr>
        <w:t xml:space="preserve">The final advice </w:t>
      </w:r>
      <w:r>
        <w:rPr>
          <w:rFonts w:ascii="Arial" w:hAnsi="Arial" w:cs="Arial"/>
        </w:rPr>
        <w:t xml:space="preserve">by the Committee </w:t>
      </w:r>
      <w:r w:rsidRPr="00616F58">
        <w:rPr>
          <w:rFonts w:ascii="Arial" w:hAnsi="Arial" w:cs="Arial"/>
        </w:rPr>
        <w:t xml:space="preserve">will be published on the department’s website </w:t>
      </w:r>
      <w:r>
        <w:rPr>
          <w:rFonts w:ascii="Arial" w:hAnsi="Arial" w:cs="Arial"/>
        </w:rPr>
        <w:t>following the listing</w:t>
      </w:r>
      <w:r w:rsidRPr="00616F58">
        <w:rPr>
          <w:rFonts w:ascii="Arial" w:hAnsi="Arial" w:cs="Arial"/>
        </w:rPr>
        <w:t xml:space="preserve"> decision </w:t>
      </w:r>
      <w:r>
        <w:rPr>
          <w:rFonts w:ascii="Arial" w:hAnsi="Arial" w:cs="Arial"/>
        </w:rPr>
        <w:t>by the Minister.</w:t>
      </w:r>
    </w:p>
    <w:p w14:paraId="02067810" w14:textId="77777777" w:rsidR="00036B82" w:rsidRDefault="00FD02C1" w:rsidP="00FD02C1">
      <w:pPr>
        <w:rPr>
          <w:rFonts w:ascii="Arial" w:hAnsi="Arial" w:cs="Arial"/>
        </w:rPr>
        <w:sectPr w:rsidR="00036B82" w:rsidSect="005208A6">
          <w:headerReference w:type="even" r:id="rId20"/>
          <w:headerReference w:type="default" r:id="rId21"/>
          <w:footerReference w:type="default" r:id="rId22"/>
          <w:headerReference w:type="first" r:id="rId23"/>
          <w:footerReference w:type="first" r:id="rId24"/>
          <w:pgSz w:w="11906" w:h="16838"/>
          <w:pgMar w:top="1418" w:right="1418" w:bottom="1418" w:left="1418" w:header="567" w:footer="284" w:gutter="0"/>
          <w:cols w:space="708"/>
          <w:titlePg/>
          <w:docGrid w:linePitch="360"/>
        </w:sectPr>
      </w:pPr>
      <w:r w:rsidRPr="00616F58">
        <w:rPr>
          <w:rFonts w:ascii="Arial" w:hAnsi="Arial" w:cs="Arial"/>
        </w:rPr>
        <w:t>Information provided through consultation may be subject to freedom of information legislation and court processes. It is also important to note that under the EPBC Act,</w:t>
      </w:r>
      <w:r w:rsidRPr="00616F58">
        <w:rPr>
          <w:rFonts w:ascii="Arial" w:hAnsi="Arial" w:cs="Arial"/>
          <w:i/>
        </w:rPr>
        <w:t xml:space="preserve"> </w:t>
      </w:r>
      <w:r w:rsidRPr="00616F58">
        <w:rPr>
          <w:rFonts w:ascii="Arial" w:hAnsi="Arial" w:cs="Arial"/>
        </w:rPr>
        <w:t>the deliberations and recommendations of the Committee are confidential until the Minister has made a final decision on the nomination, unless otherwise determined by the Minister.</w:t>
      </w:r>
    </w:p>
    <w:p w14:paraId="56667D40" w14:textId="355C443B" w:rsidR="003113EE" w:rsidRPr="003113EE" w:rsidRDefault="00FD02C1" w:rsidP="003113EE">
      <w:pPr>
        <w:pStyle w:val="Heading1"/>
      </w:pPr>
      <w:r>
        <w:lastRenderedPageBreak/>
        <w:t>Consultation Document</w:t>
      </w:r>
      <w:r w:rsidR="00460C44">
        <w:t xml:space="preserve"> for </w:t>
      </w:r>
      <w:r w:rsidR="00B16806">
        <w:br/>
      </w:r>
      <w:proofErr w:type="spellStart"/>
      <w:r w:rsidRPr="00FD02C1">
        <w:rPr>
          <w:rStyle w:val="Emphasis"/>
        </w:rPr>
        <w:t>Neophema</w:t>
      </w:r>
      <w:proofErr w:type="spellEnd"/>
      <w:r w:rsidRPr="00FD02C1">
        <w:rPr>
          <w:rStyle w:val="Emphasis"/>
        </w:rPr>
        <w:t xml:space="preserve"> </w:t>
      </w:r>
      <w:proofErr w:type="spellStart"/>
      <w:r w:rsidRPr="00FD02C1">
        <w:rPr>
          <w:rStyle w:val="Emphasis"/>
        </w:rPr>
        <w:t>chrysostoma</w:t>
      </w:r>
      <w:proofErr w:type="spellEnd"/>
      <w:r w:rsidRPr="00FD02C1">
        <w:rPr>
          <w:rStyle w:val="Emphasis"/>
        </w:rPr>
        <w:t xml:space="preserve"> </w:t>
      </w:r>
      <w:r w:rsidR="00460C44" w:rsidRPr="002B01EE">
        <w:t>(</w:t>
      </w:r>
      <w:r>
        <w:t>Blue-winged Parrot</w:t>
      </w:r>
      <w:r w:rsidR="00460C44" w:rsidRPr="002B01EE">
        <w:t>)</w:t>
      </w:r>
    </w:p>
    <w:p w14:paraId="1CC129E9" w14:textId="78545BB0" w:rsidR="002A68A6" w:rsidRDefault="003C5E7F" w:rsidP="002A68A6">
      <w:pPr>
        <w:pStyle w:val="FigureTableNoteSource"/>
        <w:jc w:val="center"/>
        <w:rPr>
          <w:color w:val="C00000"/>
          <w:highlight w:val="yellow"/>
        </w:rPr>
      </w:pPr>
      <w:bookmarkStart w:id="1" w:name="_Hlk46319602"/>
      <w:r>
        <w:rPr>
          <w:noProof/>
          <w:color w:val="C00000"/>
        </w:rPr>
        <w:drawing>
          <wp:inline distT="0" distB="0" distL="0" distR="0" wp14:anchorId="574E6EEA" wp14:editId="6779C552">
            <wp:extent cx="5759403" cy="29578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5" cstate="print">
                      <a:extLst>
                        <a:ext uri="{28A0092B-C50C-407E-A947-70E740481C1C}">
                          <a14:useLocalDpi xmlns:a14="http://schemas.microsoft.com/office/drawing/2010/main" val="0"/>
                        </a:ext>
                      </a:extLst>
                    </a:blip>
                    <a:srcRect t="13872" b="9109"/>
                    <a:stretch/>
                  </pic:blipFill>
                  <pic:spPr bwMode="auto">
                    <a:xfrm>
                      <a:off x="0" y="0"/>
                      <a:ext cx="5759450" cy="2957910"/>
                    </a:xfrm>
                    <a:prstGeom prst="rect">
                      <a:avLst/>
                    </a:prstGeom>
                    <a:ln>
                      <a:noFill/>
                    </a:ln>
                    <a:extLst>
                      <a:ext uri="{53640926-AAD7-44D8-BBD7-CCE9431645EC}">
                        <a14:shadowObscured xmlns:a14="http://schemas.microsoft.com/office/drawing/2010/main"/>
                      </a:ext>
                    </a:extLst>
                  </pic:spPr>
                </pic:pic>
              </a:graphicData>
            </a:graphic>
          </wp:inline>
        </w:drawing>
      </w:r>
    </w:p>
    <w:p w14:paraId="2BF0493E" w14:textId="01369F10" w:rsidR="000A6133" w:rsidRPr="009023A9" w:rsidRDefault="003C5E7F" w:rsidP="00E84D66">
      <w:pPr>
        <w:pStyle w:val="FigureTableNoteSource"/>
      </w:pPr>
      <w:r w:rsidRPr="009023A9">
        <w:t>Blue-winged parrot</w:t>
      </w:r>
      <w:r w:rsidR="00344617" w:rsidRPr="009023A9">
        <w:t xml:space="preserve"> </w:t>
      </w:r>
      <w:r w:rsidR="00A81027" w:rsidRPr="009023A9">
        <w:t>©</w:t>
      </w:r>
      <w:r w:rsidR="000A6133" w:rsidRPr="009023A9">
        <w:t xml:space="preserve"> Copyright, </w:t>
      </w:r>
      <w:r w:rsidRPr="009023A9">
        <w:t>Wright Out There</w:t>
      </w:r>
      <w:r w:rsidR="000A6133" w:rsidRPr="009023A9">
        <w:t xml:space="preserve"> (from </w:t>
      </w:r>
      <w:r w:rsidRPr="009023A9">
        <w:t>Shutter</w:t>
      </w:r>
      <w:r w:rsidR="009023A9" w:rsidRPr="009023A9">
        <w:t>s</w:t>
      </w:r>
      <w:r w:rsidRPr="009023A9">
        <w:t>tock</w:t>
      </w:r>
      <w:r w:rsidR="000A6133" w:rsidRPr="009023A9">
        <w:t xml:space="preserve">) </w:t>
      </w:r>
    </w:p>
    <w:bookmarkEnd w:id="1"/>
    <w:p w14:paraId="60289CE8" w14:textId="0B69E6C5" w:rsidR="006D3581" w:rsidRPr="00AC3A2A" w:rsidRDefault="006D3581" w:rsidP="006D3581">
      <w:pPr>
        <w:pStyle w:val="Heading2"/>
        <w:ind w:left="720" w:hanging="720"/>
      </w:pPr>
      <w:r>
        <w:t>Conservation status</w:t>
      </w:r>
    </w:p>
    <w:p w14:paraId="147F981C" w14:textId="2F84BB17" w:rsidR="00FD02C1" w:rsidRDefault="00FD02C1" w:rsidP="00FD02C1">
      <w:proofErr w:type="spellStart"/>
      <w:r w:rsidRPr="00FD02C1">
        <w:rPr>
          <w:i/>
          <w:iCs/>
        </w:rPr>
        <w:t>Neophema</w:t>
      </w:r>
      <w:proofErr w:type="spellEnd"/>
      <w:r w:rsidRPr="00FD02C1">
        <w:rPr>
          <w:i/>
          <w:iCs/>
        </w:rPr>
        <w:t xml:space="preserve"> </w:t>
      </w:r>
      <w:proofErr w:type="spellStart"/>
      <w:r w:rsidRPr="00FD02C1">
        <w:rPr>
          <w:i/>
          <w:iCs/>
        </w:rPr>
        <w:t>chrysostoma</w:t>
      </w:r>
      <w:proofErr w:type="spellEnd"/>
      <w:r w:rsidRPr="00FD02C1">
        <w:t xml:space="preserve"> </w:t>
      </w:r>
      <w:r>
        <w:t>is being</w:t>
      </w:r>
      <w:r w:rsidRPr="008615F4">
        <w:t xml:space="preserve"> assessed by the Threatened Species Scientific Committee to be eligible for listing </w:t>
      </w:r>
      <w:r w:rsidRPr="00E37B1D">
        <w:t>under the EPBC Act. The Committee’s preliminary assessment is at Attachment A. The Committee’s preliminary assessmen</w:t>
      </w:r>
      <w:r w:rsidRPr="008615F4">
        <w:t xml:space="preserve">t of the </w:t>
      </w:r>
      <w:r w:rsidR="00ED6CB0">
        <w:t>species</w:t>
      </w:r>
      <w:r w:rsidRPr="008615F4">
        <w:t>’ eligibility against each of the listing criteria is:</w:t>
      </w:r>
    </w:p>
    <w:p w14:paraId="4B74EDD6" w14:textId="64B99017" w:rsidR="004D2790" w:rsidRDefault="004D2790" w:rsidP="004D2790">
      <w:pPr>
        <w:pStyle w:val="ListBullet"/>
      </w:pPr>
      <w:r>
        <w:t>Criterion 1: A2</w:t>
      </w:r>
      <w:r w:rsidR="008A6F13">
        <w:t>bc</w:t>
      </w:r>
      <w:r w:rsidR="006F5E36">
        <w:t xml:space="preserve">: </w:t>
      </w:r>
      <w:sdt>
        <w:sdtPr>
          <w:id w:val="-922017822"/>
          <w:placeholder>
            <w:docPart w:val="E191959FFBA442F3A285B2F257F8588F"/>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1342C">
            <w:t>Vulnerable</w:t>
          </w:r>
        </w:sdtContent>
      </w:sdt>
    </w:p>
    <w:p w14:paraId="5FD50674" w14:textId="76E9FBDC" w:rsidR="004D2790" w:rsidRDefault="004D2790" w:rsidP="004D2790">
      <w:pPr>
        <w:pStyle w:val="ListBullet"/>
      </w:pPr>
      <w:r>
        <w:t xml:space="preserve">Criterion 2: </w:t>
      </w:r>
      <w:r w:rsidR="006F5E36">
        <w:t>Not eligible</w:t>
      </w:r>
    </w:p>
    <w:p w14:paraId="0A657692" w14:textId="70849962" w:rsidR="004D2790" w:rsidRDefault="004D2790" w:rsidP="004D2790">
      <w:pPr>
        <w:pStyle w:val="ListBullet"/>
      </w:pPr>
      <w:r>
        <w:t xml:space="preserve">Criterion 3: </w:t>
      </w:r>
      <w:r w:rsidR="006F5E36">
        <w:t>Not eligible</w:t>
      </w:r>
    </w:p>
    <w:p w14:paraId="76DE35F5" w14:textId="14B1678B" w:rsidR="002E32CA" w:rsidRDefault="004D2790" w:rsidP="004D2790">
      <w:pPr>
        <w:pStyle w:val="ListBullet"/>
      </w:pPr>
      <w:r>
        <w:t xml:space="preserve">Criterion 4: </w:t>
      </w:r>
      <w:r w:rsidR="006F5E36">
        <w:t>Not eligible</w:t>
      </w:r>
    </w:p>
    <w:p w14:paraId="433A9160" w14:textId="72F233D7" w:rsidR="005306BA" w:rsidRDefault="004D2790" w:rsidP="003A06CA">
      <w:pPr>
        <w:pStyle w:val="ListBullet"/>
      </w:pPr>
      <w:r>
        <w:t xml:space="preserve">Criterion 5: </w:t>
      </w:r>
      <w:sdt>
        <w:sdtPr>
          <w:id w:val="-1783184277"/>
          <w:placeholder>
            <w:docPart w:val="23FEE637678849D58D5E543056D887A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1342C">
            <w:t>Insufficient data</w:t>
          </w:r>
        </w:sdtContent>
      </w:sdt>
    </w:p>
    <w:p w14:paraId="73C38E7E" w14:textId="6E1248E2" w:rsidR="008347B9" w:rsidRDefault="004D2790" w:rsidP="008347B9">
      <w:pPr>
        <w:rPr>
          <w:lang w:eastAsia="ja-JP"/>
        </w:rPr>
      </w:pPr>
      <w:r>
        <w:t>The main factors</w:t>
      </w:r>
      <w:r w:rsidR="00FD02C1">
        <w:t xml:space="preserve"> that appear to</w:t>
      </w:r>
      <w:r>
        <w:t xml:space="preserve"> make the species eligible for listing in the </w:t>
      </w:r>
      <w:sdt>
        <w:sdtPr>
          <w:id w:val="-503740357"/>
          <w:placeholder>
            <w:docPart w:val="F6169CF4034A4C27A26C8230CCB0ECD9"/>
          </w:placeholder>
          <w:dropDownList>
            <w:listItem w:displayText="Critically Endangered" w:value="Critically Endangered"/>
            <w:listItem w:displayText="Endangered" w:value="Endangered"/>
            <w:listItem w:displayText="Vulnerable" w:value="Vulnerable"/>
          </w:dropDownList>
        </w:sdtPr>
        <w:sdtEndPr/>
        <w:sdtContent>
          <w:r w:rsidR="0091342C">
            <w:t>Vulnerable</w:t>
          </w:r>
        </w:sdtContent>
      </w:sdt>
      <w:r w:rsidR="00624A10">
        <w:t xml:space="preserve"> </w:t>
      </w:r>
      <w:r>
        <w:t xml:space="preserve">category </w:t>
      </w:r>
      <w:proofErr w:type="gramStart"/>
      <w:r>
        <w:t>are</w:t>
      </w:r>
      <w:proofErr w:type="gramEnd"/>
      <w:r w:rsidR="007A7CF8">
        <w:t xml:space="preserve"> that the </w:t>
      </w:r>
      <w:r w:rsidR="007A7CF8">
        <w:rPr>
          <w:lang w:eastAsia="ja-JP"/>
        </w:rPr>
        <w:t>population appears to have declined by 30–50</w:t>
      </w:r>
      <w:r w:rsidR="00A54788">
        <w:rPr>
          <w:lang w:eastAsia="ja-JP"/>
        </w:rPr>
        <w:t>%</w:t>
      </w:r>
      <w:r w:rsidR="007A7CF8">
        <w:rPr>
          <w:lang w:eastAsia="ja-JP"/>
        </w:rPr>
        <w:t xml:space="preserve"> in three generations (11 years)</w:t>
      </w:r>
      <w:r w:rsidR="008347B9">
        <w:rPr>
          <w:lang w:eastAsia="ja-JP"/>
        </w:rPr>
        <w:t xml:space="preserve"> (Holdsworth et al. 2021).</w:t>
      </w:r>
      <w:r w:rsidR="007A7CF8">
        <w:rPr>
          <w:lang w:eastAsia="ja-JP"/>
        </w:rPr>
        <w:t xml:space="preserve"> </w:t>
      </w:r>
      <w:r w:rsidR="008347B9" w:rsidRPr="008347B9">
        <w:rPr>
          <w:lang w:eastAsia="ja-JP"/>
        </w:rPr>
        <w:t xml:space="preserve">There are currently </w:t>
      </w:r>
      <w:r w:rsidR="008A1B04">
        <w:rPr>
          <w:lang w:eastAsia="ja-JP"/>
        </w:rPr>
        <w:t xml:space="preserve">an </w:t>
      </w:r>
      <w:r w:rsidR="008347B9" w:rsidRPr="008347B9">
        <w:rPr>
          <w:lang w:eastAsia="ja-JP"/>
        </w:rPr>
        <w:t>estimated 1</w:t>
      </w:r>
      <w:r w:rsidR="008347B9">
        <w:rPr>
          <w:lang w:eastAsia="ja-JP"/>
        </w:rPr>
        <w:t>0</w:t>
      </w:r>
      <w:r w:rsidR="008347B9" w:rsidRPr="008347B9">
        <w:rPr>
          <w:lang w:eastAsia="ja-JP"/>
        </w:rPr>
        <w:t xml:space="preserve">,000 (range </w:t>
      </w:r>
      <w:r w:rsidR="008347B9">
        <w:rPr>
          <w:lang w:eastAsia="ja-JP"/>
        </w:rPr>
        <w:t>7,5</w:t>
      </w:r>
      <w:r w:rsidR="008347B9" w:rsidRPr="008347B9">
        <w:rPr>
          <w:lang w:eastAsia="ja-JP"/>
        </w:rPr>
        <w:t>00–</w:t>
      </w:r>
      <w:r w:rsidR="008347B9">
        <w:rPr>
          <w:lang w:eastAsia="ja-JP"/>
        </w:rPr>
        <w:t>15</w:t>
      </w:r>
      <w:r w:rsidR="008347B9" w:rsidRPr="008347B9">
        <w:rPr>
          <w:lang w:eastAsia="ja-JP"/>
        </w:rPr>
        <w:t xml:space="preserve">,000) mature </w:t>
      </w:r>
      <w:r w:rsidR="008347B9">
        <w:rPr>
          <w:lang w:eastAsia="ja-JP"/>
        </w:rPr>
        <w:t>Blue-winged Parrots</w:t>
      </w:r>
      <w:r w:rsidR="008347B9" w:rsidRPr="008347B9">
        <w:rPr>
          <w:lang w:eastAsia="ja-JP"/>
        </w:rPr>
        <w:t xml:space="preserve"> i</w:t>
      </w:r>
      <w:r w:rsidR="008347B9">
        <w:rPr>
          <w:lang w:eastAsia="ja-JP"/>
        </w:rPr>
        <w:t>n</w:t>
      </w:r>
      <w:r w:rsidR="008347B9" w:rsidRPr="008347B9">
        <w:rPr>
          <w:lang w:eastAsia="ja-JP"/>
        </w:rPr>
        <w:t xml:space="preserve"> the wild </w:t>
      </w:r>
      <w:r w:rsidR="008347B9">
        <w:rPr>
          <w:lang w:eastAsia="ja-JP"/>
        </w:rPr>
        <w:t xml:space="preserve">with a declining trend </w:t>
      </w:r>
      <w:r w:rsidR="008347B9" w:rsidRPr="008347B9">
        <w:rPr>
          <w:lang w:eastAsia="ja-JP"/>
        </w:rPr>
        <w:t>(</w:t>
      </w:r>
      <w:r w:rsidR="008347B9">
        <w:rPr>
          <w:lang w:eastAsia="ja-JP"/>
        </w:rPr>
        <w:t>Holdsworth et al. 2021</w:t>
      </w:r>
      <w:r w:rsidR="008347B9" w:rsidRPr="008347B9">
        <w:rPr>
          <w:lang w:eastAsia="ja-JP"/>
        </w:rPr>
        <w:t xml:space="preserve">). The extent of occurrence (EOO) for the species is estimated to be </w:t>
      </w:r>
      <w:r w:rsidR="008347B9">
        <w:rPr>
          <w:lang w:eastAsia="ja-JP"/>
        </w:rPr>
        <w:t>17</w:t>
      </w:r>
      <w:r w:rsidR="008347B9" w:rsidRPr="008347B9">
        <w:rPr>
          <w:lang w:eastAsia="ja-JP"/>
        </w:rPr>
        <w:t>0,000 km</w:t>
      </w:r>
      <w:r w:rsidR="008347B9" w:rsidRPr="008347B9">
        <w:rPr>
          <w:vertAlign w:val="superscript"/>
          <w:lang w:eastAsia="ja-JP"/>
        </w:rPr>
        <w:t>2</w:t>
      </w:r>
      <w:r w:rsidR="008347B9" w:rsidRPr="008347B9">
        <w:rPr>
          <w:lang w:eastAsia="ja-JP"/>
        </w:rPr>
        <w:t xml:space="preserve"> (range 1</w:t>
      </w:r>
      <w:r w:rsidR="008347B9">
        <w:rPr>
          <w:lang w:eastAsia="ja-JP"/>
        </w:rPr>
        <w:t>55</w:t>
      </w:r>
      <w:r w:rsidR="008347B9" w:rsidRPr="008347B9">
        <w:rPr>
          <w:lang w:eastAsia="ja-JP"/>
        </w:rPr>
        <w:t>,000–1</w:t>
      </w:r>
      <w:r w:rsidR="008347B9">
        <w:rPr>
          <w:lang w:eastAsia="ja-JP"/>
        </w:rPr>
        <w:t>90</w:t>
      </w:r>
      <w:r w:rsidR="008347B9" w:rsidRPr="008347B9">
        <w:rPr>
          <w:lang w:eastAsia="ja-JP"/>
        </w:rPr>
        <w:t>,000 km</w:t>
      </w:r>
      <w:r w:rsidR="008347B9" w:rsidRPr="008347B9">
        <w:rPr>
          <w:vertAlign w:val="superscript"/>
          <w:lang w:eastAsia="ja-JP"/>
        </w:rPr>
        <w:t>2</w:t>
      </w:r>
      <w:r w:rsidR="008347B9">
        <w:rPr>
          <w:lang w:eastAsia="ja-JP"/>
        </w:rPr>
        <w:t>, stable trend),</w:t>
      </w:r>
      <w:r w:rsidR="008347B9" w:rsidRPr="008347B9">
        <w:rPr>
          <w:lang w:eastAsia="ja-JP"/>
        </w:rPr>
        <w:t xml:space="preserve"> however the area of occupancy (AOO) is contracting and is estimated to be </w:t>
      </w:r>
      <w:r w:rsidR="008347B9">
        <w:rPr>
          <w:lang w:eastAsia="ja-JP"/>
        </w:rPr>
        <w:t>11</w:t>
      </w:r>
      <w:r w:rsidR="008347B9" w:rsidRPr="008347B9">
        <w:rPr>
          <w:lang w:eastAsia="ja-JP"/>
        </w:rPr>
        <w:t>,000 km</w:t>
      </w:r>
      <w:r w:rsidR="008347B9" w:rsidRPr="008347B9">
        <w:rPr>
          <w:vertAlign w:val="superscript"/>
          <w:lang w:eastAsia="ja-JP"/>
        </w:rPr>
        <w:t>2</w:t>
      </w:r>
      <w:r w:rsidR="008347B9" w:rsidRPr="008347B9">
        <w:rPr>
          <w:lang w:eastAsia="ja-JP"/>
        </w:rPr>
        <w:t xml:space="preserve"> (range </w:t>
      </w:r>
      <w:r w:rsidR="008347B9">
        <w:rPr>
          <w:lang w:eastAsia="ja-JP"/>
        </w:rPr>
        <w:t>9,0</w:t>
      </w:r>
      <w:r w:rsidR="008347B9" w:rsidRPr="008347B9">
        <w:rPr>
          <w:lang w:eastAsia="ja-JP"/>
        </w:rPr>
        <w:t>00–</w:t>
      </w:r>
      <w:r w:rsidR="008347B9">
        <w:rPr>
          <w:lang w:eastAsia="ja-JP"/>
        </w:rPr>
        <w:t>19</w:t>
      </w:r>
      <w:r w:rsidR="008347B9" w:rsidRPr="008347B9">
        <w:rPr>
          <w:lang w:eastAsia="ja-JP"/>
        </w:rPr>
        <w:t>,000 km</w:t>
      </w:r>
      <w:r w:rsidR="008347B9" w:rsidRPr="008347B9">
        <w:rPr>
          <w:vertAlign w:val="superscript"/>
          <w:lang w:eastAsia="ja-JP"/>
        </w:rPr>
        <w:t>2</w:t>
      </w:r>
      <w:r w:rsidR="008347B9" w:rsidRPr="008347B9">
        <w:rPr>
          <w:lang w:eastAsia="ja-JP"/>
        </w:rPr>
        <w:t>)</w:t>
      </w:r>
      <w:r w:rsidR="00974178">
        <w:rPr>
          <w:lang w:eastAsia="ja-JP"/>
        </w:rPr>
        <w:t xml:space="preserve"> (Holdsworth et al. 2021)</w:t>
      </w:r>
      <w:r w:rsidR="008347B9">
        <w:rPr>
          <w:lang w:eastAsia="ja-JP"/>
        </w:rPr>
        <w:t xml:space="preserve">. </w:t>
      </w:r>
      <w:r w:rsidR="008347B9">
        <w:t xml:space="preserve">Significant declines in reporting rates </w:t>
      </w:r>
      <w:r w:rsidR="008347B9">
        <w:lastRenderedPageBreak/>
        <w:t>in the core range in Tasmania and Victoria are considered indicative of a population wide decline. This is</w:t>
      </w:r>
      <w:r w:rsidR="008347B9">
        <w:rPr>
          <w:lang w:eastAsia="ja-JP"/>
        </w:rPr>
        <w:t xml:space="preserve"> </w:t>
      </w:r>
      <w:r w:rsidR="007A7CF8">
        <w:rPr>
          <w:lang w:eastAsia="ja-JP"/>
        </w:rPr>
        <w:t xml:space="preserve">likely </w:t>
      </w:r>
      <w:r w:rsidR="008347B9">
        <w:rPr>
          <w:lang w:eastAsia="ja-JP"/>
        </w:rPr>
        <w:t>due to</w:t>
      </w:r>
      <w:r w:rsidR="007A7CF8">
        <w:rPr>
          <w:lang w:eastAsia="ja-JP"/>
        </w:rPr>
        <w:t xml:space="preserve"> </w:t>
      </w:r>
      <w:r w:rsidR="008347B9">
        <w:rPr>
          <w:lang w:eastAsia="ja-JP"/>
        </w:rPr>
        <w:t>changes in</w:t>
      </w:r>
      <w:r w:rsidR="007A7CF8">
        <w:rPr>
          <w:lang w:eastAsia="ja-JP"/>
        </w:rPr>
        <w:t xml:space="preserve"> habitat quality (H</w:t>
      </w:r>
      <w:r w:rsidR="008347B9">
        <w:rPr>
          <w:lang w:eastAsia="ja-JP"/>
        </w:rPr>
        <w:t>oldsworth et al. 2021).</w:t>
      </w:r>
    </w:p>
    <w:p w14:paraId="3EF58D0D" w14:textId="5D215146"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6" w:history="1">
        <w:r w:rsidR="00624A10" w:rsidRPr="00624A10">
          <w:rPr>
            <w:rStyle w:val="Hyperlink"/>
          </w:rPr>
          <w:t>Species Profile and Threat Database</w:t>
        </w:r>
      </w:hyperlink>
      <w:r w:rsidR="00624A10">
        <w:t>.</w:t>
      </w:r>
    </w:p>
    <w:p w14:paraId="1C311306" w14:textId="2CE84D89" w:rsidR="006D3581" w:rsidRDefault="006D3581" w:rsidP="006D3581">
      <w:pPr>
        <w:pStyle w:val="Heading2"/>
        <w:ind w:left="720" w:hanging="720"/>
      </w:pPr>
      <w:r>
        <w:t>Species information</w:t>
      </w:r>
    </w:p>
    <w:p w14:paraId="2ECDEC20" w14:textId="66F3464D" w:rsidR="006D3581" w:rsidRDefault="006D3581" w:rsidP="00476948">
      <w:pPr>
        <w:pStyle w:val="Heading3"/>
      </w:pPr>
      <w:r>
        <w:t>Taxonomy</w:t>
      </w:r>
    </w:p>
    <w:p w14:paraId="564AA7AA" w14:textId="50EEDD6A" w:rsidR="00FD02C1" w:rsidRDefault="006D3581" w:rsidP="006D3581">
      <w:bookmarkStart w:id="2" w:name="_Hlk46319676"/>
      <w:r>
        <w:t xml:space="preserve">Conventionally accepted as </w:t>
      </w:r>
      <w:proofErr w:type="spellStart"/>
      <w:r w:rsidR="00FD02C1" w:rsidRPr="00FD02C1">
        <w:rPr>
          <w:rStyle w:val="Emphasis"/>
        </w:rPr>
        <w:t>Neophema</w:t>
      </w:r>
      <w:proofErr w:type="spellEnd"/>
      <w:r w:rsidR="00FD02C1" w:rsidRPr="00FD02C1">
        <w:rPr>
          <w:rStyle w:val="Emphasis"/>
        </w:rPr>
        <w:t xml:space="preserve"> </w:t>
      </w:r>
      <w:proofErr w:type="spellStart"/>
      <w:r w:rsidR="00FD02C1" w:rsidRPr="00FD02C1">
        <w:rPr>
          <w:rStyle w:val="Emphasis"/>
        </w:rPr>
        <w:t>chrysostoma</w:t>
      </w:r>
      <w:proofErr w:type="spellEnd"/>
      <w:r w:rsidR="00FD02C1">
        <w:rPr>
          <w:rStyle w:val="Emphasis"/>
        </w:rPr>
        <w:t xml:space="preserve"> </w:t>
      </w:r>
      <w:r w:rsidRPr="00FD02C1">
        <w:t>(</w:t>
      </w:r>
      <w:r w:rsidR="00974178" w:rsidRPr="00FD02C1">
        <w:rPr>
          <w:rStyle w:val="Emphasis"/>
          <w:i w:val="0"/>
          <w:iCs w:val="0"/>
        </w:rPr>
        <w:t>Kuhl</w:t>
      </w:r>
      <w:r w:rsidR="00974178" w:rsidRPr="00FD02C1">
        <w:t xml:space="preserve"> </w:t>
      </w:r>
      <w:r w:rsidR="00FD02C1" w:rsidRPr="00FD02C1">
        <w:t>1820</w:t>
      </w:r>
      <w:r>
        <w:t>).</w:t>
      </w:r>
    </w:p>
    <w:p w14:paraId="4191DE45" w14:textId="77777777" w:rsidR="008064B3" w:rsidRPr="008064B3" w:rsidRDefault="008064B3" w:rsidP="008064B3">
      <w:pPr>
        <w:pStyle w:val="Heading3"/>
      </w:pPr>
      <w:bookmarkStart w:id="3" w:name="_Ref445985062"/>
      <w:bookmarkStart w:id="4" w:name="_Toc409769199"/>
      <w:bookmarkStart w:id="5" w:name="_Toc454439316"/>
      <w:bookmarkEnd w:id="2"/>
      <w:r w:rsidRPr="008064B3">
        <w:t>Description</w:t>
      </w:r>
    </w:p>
    <w:p w14:paraId="3C321D9F" w14:textId="61F3D6BF" w:rsidR="001A3C77" w:rsidRDefault="00092E0C" w:rsidP="005D69A6">
      <w:r w:rsidRPr="005D69A6">
        <w:t>Up to 24 cm</w:t>
      </w:r>
      <w:r>
        <w:t xml:space="preserve"> in length with a weight of </w:t>
      </w:r>
      <w:r w:rsidR="00604039">
        <w:t>less than 50 g</w:t>
      </w:r>
      <w:r>
        <w:t>, t</w:t>
      </w:r>
      <w:r w:rsidR="006F5E36" w:rsidRPr="006F5E36">
        <w:t>he Blue-winged Parrot is a slender parrot with an olive-green head and upper body, grading to light green on the fore-neck</w:t>
      </w:r>
      <w:r>
        <w:t xml:space="preserve"> (Higgins 1999)</w:t>
      </w:r>
      <w:r w:rsidR="006F5E36" w:rsidRPr="006F5E36">
        <w:t xml:space="preserve">. The upper tail is </w:t>
      </w:r>
      <w:proofErr w:type="gramStart"/>
      <w:r w:rsidR="006F5E36" w:rsidRPr="006F5E36">
        <w:t>green-blue</w:t>
      </w:r>
      <w:proofErr w:type="gramEnd"/>
      <w:r w:rsidR="006F5E36" w:rsidRPr="006F5E36">
        <w:t>, with yellow sides. The underparts are yellow, and there may be orange in the centre of the belly. A yellow facial patch extends back to the eye</w:t>
      </w:r>
      <w:r>
        <w:t xml:space="preserve"> (Higgins 1999)</w:t>
      </w:r>
      <w:r w:rsidR="006F5E36" w:rsidRPr="006F5E36">
        <w:t xml:space="preserve">. A narrow, dark blue band runs from eye to eye across the forehead. The Blue-winged Parrot gets its name from the large, dark blue patch on the wings. The female is </w:t>
      </w:r>
      <w:proofErr w:type="gramStart"/>
      <w:r w:rsidR="006F5E36" w:rsidRPr="006F5E36">
        <w:t>similar to</w:t>
      </w:r>
      <w:proofErr w:type="gramEnd"/>
      <w:r w:rsidR="006F5E36" w:rsidRPr="006F5E36">
        <w:t xml:space="preserve"> the male, but with slightly duller colours</w:t>
      </w:r>
      <w:r>
        <w:t xml:space="preserve"> (Higgins 1999)</w:t>
      </w:r>
      <w:r w:rsidR="006F5E36" w:rsidRPr="006F5E36">
        <w:t xml:space="preserve">. </w:t>
      </w:r>
    </w:p>
    <w:p w14:paraId="314EDDC8" w14:textId="77777777" w:rsidR="008064B3" w:rsidRPr="008064B3" w:rsidRDefault="008064B3" w:rsidP="008064B3">
      <w:pPr>
        <w:pStyle w:val="Heading3"/>
      </w:pPr>
      <w:r w:rsidRPr="008064B3">
        <w:t>Distribution</w:t>
      </w:r>
    </w:p>
    <w:p w14:paraId="561F0F0A" w14:textId="0CE89C28" w:rsidR="008F6EBB" w:rsidRDefault="00FD02C1" w:rsidP="008064B3">
      <w:r>
        <w:t xml:space="preserve">Blue‐winged Parrots breed on mainland Australia south of the Great Dividing Range in southern Victoria from Port Albert in Gippsland west to Nelson, and sometimes in the far south‐east of South Australia, and the north‐western, </w:t>
      </w:r>
      <w:proofErr w:type="gramStart"/>
      <w:r>
        <w:t>central</w:t>
      </w:r>
      <w:proofErr w:type="gramEnd"/>
      <w:r>
        <w:t xml:space="preserve"> and eastern parts of Tasmania (</w:t>
      </w:r>
      <w:r w:rsidR="00ED6CB0">
        <w:fldChar w:fldCharType="begin"/>
      </w:r>
      <w:r w:rsidR="00ED6CB0">
        <w:instrText xml:space="preserve"> REF _Ref80693488 \h </w:instrText>
      </w:r>
      <w:r w:rsidR="00ED6CB0">
        <w:fldChar w:fldCharType="separate"/>
      </w:r>
      <w:r w:rsidR="00A95726" w:rsidRPr="00894B1A">
        <w:t xml:space="preserve">Map </w:t>
      </w:r>
      <w:r w:rsidR="00A95726">
        <w:rPr>
          <w:noProof/>
        </w:rPr>
        <w:t>1</w:t>
      </w:r>
      <w:r w:rsidR="00ED6CB0">
        <w:fldChar w:fldCharType="end"/>
      </w:r>
      <w:r w:rsidR="00ED6CB0">
        <w:t xml:space="preserve">; </w:t>
      </w:r>
      <w:proofErr w:type="spellStart"/>
      <w:r>
        <w:t>Emison</w:t>
      </w:r>
      <w:proofErr w:type="spellEnd"/>
      <w:r>
        <w:t xml:space="preserve"> et al. 1987; Higgins 1999)</w:t>
      </w:r>
      <w:r w:rsidR="00ED6CB0">
        <w:t xml:space="preserve">. </w:t>
      </w:r>
    </w:p>
    <w:p w14:paraId="28CEDEB9" w14:textId="490168D2" w:rsidR="008064B3" w:rsidRPr="008064B3" w:rsidRDefault="00FD02C1" w:rsidP="008064B3">
      <w:r>
        <w:t xml:space="preserve">A partial migrant, variable numbers of birds migrate across Bass Strait in winter, apparently making the flight non‐stop based on the scarcity of records from the Bass Strait islands. During the non‐breeding period, from autumn to early spring, birds are recorded from northern Victoria, eastern South Australia, south‐western </w:t>
      </w:r>
      <w:proofErr w:type="gramStart"/>
      <w:r>
        <w:t>Queensland</w:t>
      </w:r>
      <w:proofErr w:type="gramEnd"/>
      <w:r>
        <w:t xml:space="preserve"> and western New South Wales</w:t>
      </w:r>
      <w:r w:rsidR="00ED6CB0">
        <w:t>,</w:t>
      </w:r>
      <w:r>
        <w:t xml:space="preserve"> with some birds reaching south‐eastern New South Wales and eastern Victoria, particularly on the southern migration (Higgins 1999).</w:t>
      </w:r>
    </w:p>
    <w:p w14:paraId="76A88D7E" w14:textId="3DD8AE0D" w:rsidR="00E362EF" w:rsidRPr="00894B1A" w:rsidRDefault="007C5B94" w:rsidP="008064B3">
      <w:pPr>
        <w:pStyle w:val="Caption"/>
      </w:pPr>
      <w:bookmarkStart w:id="6" w:name="_Ref80693488"/>
      <w:r w:rsidRPr="00894B1A">
        <w:lastRenderedPageBreak/>
        <w:t xml:space="preserve">Map </w:t>
      </w:r>
      <w:r w:rsidRPr="00894B1A">
        <w:rPr>
          <w:noProof/>
        </w:rPr>
        <w:fldChar w:fldCharType="begin"/>
      </w:r>
      <w:r w:rsidRPr="00894B1A">
        <w:rPr>
          <w:noProof/>
        </w:rPr>
        <w:instrText xml:space="preserve"> SEQ Map \* ARABIC </w:instrText>
      </w:r>
      <w:r w:rsidRPr="00894B1A">
        <w:rPr>
          <w:noProof/>
        </w:rPr>
        <w:fldChar w:fldCharType="separate"/>
      </w:r>
      <w:r w:rsidR="00A95726">
        <w:rPr>
          <w:noProof/>
        </w:rPr>
        <w:t>1</w:t>
      </w:r>
      <w:r w:rsidRPr="00894B1A">
        <w:rPr>
          <w:noProof/>
        </w:rPr>
        <w:fldChar w:fldCharType="end"/>
      </w:r>
      <w:bookmarkEnd w:id="3"/>
      <w:bookmarkEnd w:id="6"/>
      <w:r w:rsidRPr="00894B1A">
        <w:t xml:space="preserve"> </w:t>
      </w:r>
      <w:bookmarkEnd w:id="4"/>
      <w:bookmarkEnd w:id="5"/>
      <w:r w:rsidR="008064B3" w:rsidRPr="00894B1A">
        <w:t xml:space="preserve">Modelled distribution </w:t>
      </w:r>
      <w:r w:rsidR="004C7F78" w:rsidRPr="00894B1A">
        <w:t xml:space="preserve">of </w:t>
      </w:r>
      <w:r w:rsidR="00FD02C1" w:rsidRPr="00894B1A">
        <w:t>Blue-winged Parrot</w:t>
      </w:r>
    </w:p>
    <w:p w14:paraId="1FE5BA19" w14:textId="4C4B7889" w:rsidR="00894B1A" w:rsidRPr="00894B1A" w:rsidRDefault="00894B1A" w:rsidP="00894B1A">
      <w:pPr>
        <w:pStyle w:val="FigureTableNoteSource"/>
        <w:jc w:val="center"/>
      </w:pPr>
      <w:r w:rsidRPr="00894B1A">
        <w:rPr>
          <w:noProof/>
        </w:rPr>
        <w:drawing>
          <wp:inline distT="0" distB="0" distL="0" distR="0" wp14:anchorId="065BFC4F" wp14:editId="3E3A030F">
            <wp:extent cx="5759450" cy="406400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59450" cy="4064000"/>
                    </a:xfrm>
                    <a:prstGeom prst="rect">
                      <a:avLst/>
                    </a:prstGeom>
                  </pic:spPr>
                </pic:pic>
              </a:graphicData>
            </a:graphic>
          </wp:inline>
        </w:drawing>
      </w:r>
    </w:p>
    <w:p w14:paraId="7C66741E" w14:textId="49E98D7C" w:rsidR="00E362EF" w:rsidRPr="00B52CFA" w:rsidRDefault="007C5B94">
      <w:pPr>
        <w:pStyle w:val="FigureTableNoteSource"/>
      </w:pPr>
      <w:r w:rsidRPr="00894B1A">
        <w:t xml:space="preserve">Source: </w:t>
      </w:r>
      <w:r w:rsidR="00A12094" w:rsidRPr="00894B1A">
        <w:t xml:space="preserve">Base map </w:t>
      </w:r>
      <w:r w:rsidR="008064B3" w:rsidRPr="00894B1A">
        <w:t xml:space="preserve">Geoscience Australia; </w:t>
      </w:r>
      <w:r w:rsidR="00A12094" w:rsidRPr="00894B1A">
        <w:t xml:space="preserve">species distribution data </w:t>
      </w:r>
      <w:hyperlink r:id="rId28" w:history="1">
        <w:r w:rsidR="008064B3" w:rsidRPr="00894B1A">
          <w:rPr>
            <w:rStyle w:val="Hyperlink"/>
            <w:color w:val="auto"/>
          </w:rPr>
          <w:t>Species of National Environmental Significance</w:t>
        </w:r>
      </w:hyperlink>
      <w:r w:rsidR="008064B3" w:rsidRPr="00894B1A">
        <w:t xml:space="preserve"> database.</w:t>
      </w:r>
    </w:p>
    <w:p w14:paraId="27651BAA" w14:textId="27BBC53B" w:rsidR="00C304AA" w:rsidRDefault="00C304AA" w:rsidP="00C304AA">
      <w:pPr>
        <w:pStyle w:val="Heading3"/>
        <w:ind w:left="964" w:hanging="964"/>
      </w:pPr>
      <w:r>
        <w:t>Cultural and community significance</w:t>
      </w:r>
    </w:p>
    <w:p w14:paraId="0614B49B" w14:textId="3E8A6718" w:rsidR="00120CED" w:rsidRPr="00FD02C1" w:rsidRDefault="00FD02C1" w:rsidP="00FD02C1">
      <w:pPr>
        <w:rPr>
          <w:b/>
          <w:bCs/>
        </w:rPr>
      </w:pPr>
      <w:r>
        <w:t xml:space="preserve">Blue-winged Parrots are known to occur on the lands of the following Indigenous </w:t>
      </w:r>
      <w:r w:rsidRPr="00FD02C1">
        <w:t xml:space="preserve">Peoples: Adnyamathanha, </w:t>
      </w:r>
      <w:proofErr w:type="spellStart"/>
      <w:r w:rsidRPr="00FD02C1">
        <w:t>Barapa</w:t>
      </w:r>
      <w:proofErr w:type="spellEnd"/>
      <w:r w:rsidRPr="00FD02C1">
        <w:t xml:space="preserve"> </w:t>
      </w:r>
      <w:proofErr w:type="spellStart"/>
      <w:r w:rsidRPr="00FD02C1">
        <w:t>Barap</w:t>
      </w:r>
      <w:proofErr w:type="spellEnd"/>
      <w:r w:rsidRPr="00FD02C1">
        <w:t xml:space="preserve">, </w:t>
      </w:r>
      <w:proofErr w:type="spellStart"/>
      <w:r w:rsidRPr="00FD02C1">
        <w:t>Barkindji</w:t>
      </w:r>
      <w:proofErr w:type="spellEnd"/>
      <w:r w:rsidRPr="00FD02C1">
        <w:t xml:space="preserve">, </w:t>
      </w:r>
      <w:proofErr w:type="spellStart"/>
      <w:r w:rsidRPr="00FD02C1">
        <w:t>Barngarla</w:t>
      </w:r>
      <w:proofErr w:type="spellEnd"/>
      <w:r w:rsidRPr="00FD02C1">
        <w:t xml:space="preserve">, </w:t>
      </w:r>
      <w:proofErr w:type="spellStart"/>
      <w:r w:rsidRPr="00FD02C1">
        <w:t>Bidawal</w:t>
      </w:r>
      <w:proofErr w:type="spellEnd"/>
      <w:r w:rsidRPr="00FD02C1">
        <w:t xml:space="preserve">, </w:t>
      </w:r>
      <w:proofErr w:type="spellStart"/>
      <w:r w:rsidRPr="00FD02C1">
        <w:t>Boandik</w:t>
      </w:r>
      <w:proofErr w:type="spellEnd"/>
      <w:r w:rsidRPr="00FD02C1">
        <w:t xml:space="preserve">, Boon Wurrung, </w:t>
      </w:r>
      <w:proofErr w:type="spellStart"/>
      <w:r w:rsidRPr="00FD02C1">
        <w:t>Budjiti</w:t>
      </w:r>
      <w:proofErr w:type="spellEnd"/>
      <w:r w:rsidRPr="00FD02C1">
        <w:t xml:space="preserve">, Bunurong, </w:t>
      </w:r>
      <w:proofErr w:type="spellStart"/>
      <w:r w:rsidRPr="00FD02C1">
        <w:t>Dieri</w:t>
      </w:r>
      <w:proofErr w:type="spellEnd"/>
      <w:r w:rsidRPr="00FD02C1">
        <w:t xml:space="preserve">, </w:t>
      </w:r>
      <w:proofErr w:type="spellStart"/>
      <w:r w:rsidRPr="00FD02C1">
        <w:t>Dja</w:t>
      </w:r>
      <w:proofErr w:type="spellEnd"/>
      <w:r w:rsidRPr="00FD02C1">
        <w:t xml:space="preserve"> </w:t>
      </w:r>
      <w:proofErr w:type="spellStart"/>
      <w:r w:rsidRPr="00FD02C1">
        <w:t>Dja</w:t>
      </w:r>
      <w:proofErr w:type="spellEnd"/>
      <w:r w:rsidRPr="00FD02C1">
        <w:t xml:space="preserve"> Wurrung, Eastern Maar, First People of River Murray &amp; Mallee, </w:t>
      </w:r>
      <w:proofErr w:type="spellStart"/>
      <w:r w:rsidRPr="00FD02C1">
        <w:t>Gunaikurnai</w:t>
      </w:r>
      <w:proofErr w:type="spellEnd"/>
      <w:r w:rsidRPr="00FD02C1">
        <w:t xml:space="preserve">, </w:t>
      </w:r>
      <w:proofErr w:type="spellStart"/>
      <w:r w:rsidRPr="00FD02C1">
        <w:t>Gunditjimara</w:t>
      </w:r>
      <w:proofErr w:type="spellEnd"/>
      <w:r w:rsidRPr="00FD02C1">
        <w:t xml:space="preserve">, </w:t>
      </w:r>
      <w:proofErr w:type="spellStart"/>
      <w:r w:rsidRPr="00FD02C1">
        <w:t>Jaadwa</w:t>
      </w:r>
      <w:proofErr w:type="spellEnd"/>
      <w:r w:rsidRPr="00FD02C1">
        <w:t xml:space="preserve">, </w:t>
      </w:r>
      <w:proofErr w:type="spellStart"/>
      <w:r w:rsidRPr="00FD02C1">
        <w:t>Jadawadjali</w:t>
      </w:r>
      <w:proofErr w:type="spellEnd"/>
      <w:r w:rsidRPr="00FD02C1">
        <w:t xml:space="preserve">, </w:t>
      </w:r>
      <w:proofErr w:type="spellStart"/>
      <w:r w:rsidRPr="00FD02C1">
        <w:t>Jupagulk</w:t>
      </w:r>
      <w:proofErr w:type="spellEnd"/>
      <w:r w:rsidRPr="00FD02C1">
        <w:t xml:space="preserve">, Kaurna, </w:t>
      </w:r>
      <w:proofErr w:type="spellStart"/>
      <w:r w:rsidRPr="00FD02C1">
        <w:t>Kokatha</w:t>
      </w:r>
      <w:proofErr w:type="spellEnd"/>
      <w:r w:rsidRPr="00FD02C1">
        <w:t xml:space="preserve">, </w:t>
      </w:r>
      <w:proofErr w:type="spellStart"/>
      <w:r w:rsidRPr="00FD02C1">
        <w:t>Kullilli</w:t>
      </w:r>
      <w:proofErr w:type="spellEnd"/>
      <w:r w:rsidRPr="00FD02C1">
        <w:t xml:space="preserve">, </w:t>
      </w:r>
      <w:proofErr w:type="spellStart"/>
      <w:r w:rsidRPr="00FD02C1">
        <w:t>Kunja</w:t>
      </w:r>
      <w:proofErr w:type="spellEnd"/>
      <w:r w:rsidRPr="00FD02C1">
        <w:t xml:space="preserve">, </w:t>
      </w:r>
      <w:proofErr w:type="spellStart"/>
      <w:r w:rsidRPr="00FD02C1">
        <w:t>Latji</w:t>
      </w:r>
      <w:proofErr w:type="spellEnd"/>
      <w:r w:rsidRPr="00FD02C1">
        <w:t xml:space="preserve"> </w:t>
      </w:r>
      <w:proofErr w:type="spellStart"/>
      <w:r w:rsidRPr="00FD02C1">
        <w:t>Latji</w:t>
      </w:r>
      <w:proofErr w:type="spellEnd"/>
      <w:r w:rsidRPr="00FD02C1">
        <w:t xml:space="preserve">, </w:t>
      </w:r>
      <w:proofErr w:type="spellStart"/>
      <w:r w:rsidRPr="00FD02C1">
        <w:t>Malyangapa</w:t>
      </w:r>
      <w:proofErr w:type="spellEnd"/>
      <w:r w:rsidRPr="00FD02C1">
        <w:t xml:space="preserve">, </w:t>
      </w:r>
      <w:proofErr w:type="spellStart"/>
      <w:r w:rsidRPr="00FD02C1">
        <w:t>Murrawarri</w:t>
      </w:r>
      <w:proofErr w:type="spellEnd"/>
      <w:r w:rsidRPr="00FD02C1">
        <w:t xml:space="preserve">, Nari </w:t>
      </w:r>
      <w:proofErr w:type="spellStart"/>
      <w:r w:rsidRPr="00FD02C1">
        <w:t>Nari</w:t>
      </w:r>
      <w:proofErr w:type="spellEnd"/>
      <w:r w:rsidRPr="00FD02C1">
        <w:t xml:space="preserve">, </w:t>
      </w:r>
      <w:proofErr w:type="spellStart"/>
      <w:r w:rsidRPr="00FD02C1">
        <w:t>Narungga</w:t>
      </w:r>
      <w:proofErr w:type="spellEnd"/>
      <w:r w:rsidRPr="00FD02C1">
        <w:t xml:space="preserve">, </w:t>
      </w:r>
      <w:proofErr w:type="spellStart"/>
      <w:r w:rsidRPr="00FD02C1">
        <w:t>Ngadjuri</w:t>
      </w:r>
      <w:proofErr w:type="spellEnd"/>
      <w:r w:rsidRPr="00FD02C1">
        <w:t xml:space="preserve">, Ngarrindjeri, </w:t>
      </w:r>
      <w:proofErr w:type="spellStart"/>
      <w:r w:rsidRPr="00FD02C1">
        <w:t>Ngemba</w:t>
      </w:r>
      <w:proofErr w:type="spellEnd"/>
      <w:r w:rsidRPr="00FD02C1">
        <w:t xml:space="preserve">, </w:t>
      </w:r>
      <w:proofErr w:type="spellStart"/>
      <w:r w:rsidRPr="00FD02C1">
        <w:t>Ngintait</w:t>
      </w:r>
      <w:proofErr w:type="spellEnd"/>
      <w:r w:rsidRPr="00FD02C1">
        <w:t xml:space="preserve">, </w:t>
      </w:r>
      <w:proofErr w:type="spellStart"/>
      <w:r w:rsidRPr="00FD02C1">
        <w:t>Nindi‐Ngudjam</w:t>
      </w:r>
      <w:proofErr w:type="spellEnd"/>
      <w:r w:rsidRPr="00FD02C1">
        <w:t xml:space="preserve"> </w:t>
      </w:r>
      <w:proofErr w:type="spellStart"/>
      <w:r w:rsidRPr="00FD02C1">
        <w:t>Ngarigu</w:t>
      </w:r>
      <w:proofErr w:type="spellEnd"/>
      <w:r w:rsidRPr="00FD02C1">
        <w:t xml:space="preserve"> </w:t>
      </w:r>
      <w:proofErr w:type="spellStart"/>
      <w:r w:rsidRPr="00FD02C1">
        <w:t>Monero</w:t>
      </w:r>
      <w:proofErr w:type="spellEnd"/>
      <w:r w:rsidRPr="00FD02C1">
        <w:t xml:space="preserve">, </w:t>
      </w:r>
      <w:proofErr w:type="spellStart"/>
      <w:r w:rsidRPr="00FD02C1">
        <w:t>Nukunu</w:t>
      </w:r>
      <w:proofErr w:type="spellEnd"/>
      <w:r w:rsidRPr="00FD02C1">
        <w:t xml:space="preserve">, Nyeri </w:t>
      </w:r>
      <w:proofErr w:type="spellStart"/>
      <w:r w:rsidRPr="00FD02C1">
        <w:t>Nyeri</w:t>
      </w:r>
      <w:proofErr w:type="spellEnd"/>
      <w:r w:rsidRPr="00FD02C1">
        <w:t xml:space="preserve">, Palawa, </w:t>
      </w:r>
      <w:proofErr w:type="spellStart"/>
      <w:r w:rsidRPr="00FD02C1">
        <w:t>Perrepa</w:t>
      </w:r>
      <w:proofErr w:type="spellEnd"/>
      <w:r w:rsidRPr="00FD02C1">
        <w:t xml:space="preserve"> </w:t>
      </w:r>
      <w:proofErr w:type="spellStart"/>
      <w:r w:rsidRPr="00FD02C1">
        <w:t>Perrepa</w:t>
      </w:r>
      <w:proofErr w:type="spellEnd"/>
      <w:r w:rsidRPr="00FD02C1">
        <w:t xml:space="preserve">, </w:t>
      </w:r>
      <w:proofErr w:type="spellStart"/>
      <w:r w:rsidRPr="00FD02C1">
        <w:t>Ualarai</w:t>
      </w:r>
      <w:proofErr w:type="spellEnd"/>
      <w:r w:rsidRPr="00FD02C1">
        <w:t xml:space="preserve">, </w:t>
      </w:r>
      <w:proofErr w:type="spellStart"/>
      <w:r w:rsidRPr="00FD02C1">
        <w:t>Wadawurrung</w:t>
      </w:r>
      <w:proofErr w:type="spellEnd"/>
      <w:r w:rsidRPr="00FD02C1">
        <w:t xml:space="preserve">, Wadi </w:t>
      </w:r>
      <w:proofErr w:type="spellStart"/>
      <w:r w:rsidRPr="00FD02C1">
        <w:t>Wadi</w:t>
      </w:r>
      <w:proofErr w:type="spellEnd"/>
      <w:r w:rsidRPr="00FD02C1">
        <w:t xml:space="preserve">, </w:t>
      </w:r>
      <w:proofErr w:type="spellStart"/>
      <w:r w:rsidRPr="00FD02C1">
        <w:t>Wadigali</w:t>
      </w:r>
      <w:proofErr w:type="spellEnd"/>
      <w:r w:rsidRPr="00FD02C1">
        <w:t xml:space="preserve">, Wamba </w:t>
      </w:r>
      <w:proofErr w:type="spellStart"/>
      <w:r w:rsidRPr="00FD02C1">
        <w:t>Wamba</w:t>
      </w:r>
      <w:proofErr w:type="spellEnd"/>
      <w:r w:rsidRPr="00FD02C1">
        <w:t xml:space="preserve">, </w:t>
      </w:r>
      <w:proofErr w:type="spellStart"/>
      <w:r w:rsidRPr="00FD02C1">
        <w:t>Wangaaypuwan</w:t>
      </w:r>
      <w:proofErr w:type="spellEnd"/>
      <w:r w:rsidRPr="00FD02C1">
        <w:t xml:space="preserve">, </w:t>
      </w:r>
      <w:proofErr w:type="spellStart"/>
      <w:r w:rsidRPr="00FD02C1">
        <w:t>Wangkangurru</w:t>
      </w:r>
      <w:proofErr w:type="spellEnd"/>
      <w:r w:rsidRPr="00FD02C1">
        <w:t>/</w:t>
      </w:r>
      <w:proofErr w:type="spellStart"/>
      <w:r w:rsidRPr="00FD02C1">
        <w:t>Yarluyandi</w:t>
      </w:r>
      <w:proofErr w:type="spellEnd"/>
      <w:r w:rsidRPr="00FD02C1">
        <w:t xml:space="preserve">, </w:t>
      </w:r>
      <w:proofErr w:type="spellStart"/>
      <w:r w:rsidRPr="00FD02C1">
        <w:t>Wayilwan</w:t>
      </w:r>
      <w:proofErr w:type="spellEnd"/>
      <w:r w:rsidRPr="00FD02C1">
        <w:t xml:space="preserve">, </w:t>
      </w:r>
      <w:proofErr w:type="spellStart"/>
      <w:r w:rsidRPr="00FD02C1">
        <w:t>Wemba</w:t>
      </w:r>
      <w:proofErr w:type="spellEnd"/>
      <w:r w:rsidRPr="00FD02C1">
        <w:t xml:space="preserve"> Wamba, </w:t>
      </w:r>
      <w:proofErr w:type="spellStart"/>
      <w:r w:rsidRPr="00FD02C1">
        <w:t>Wergaia</w:t>
      </w:r>
      <w:proofErr w:type="spellEnd"/>
      <w:r w:rsidRPr="00FD02C1">
        <w:t xml:space="preserve">, </w:t>
      </w:r>
      <w:proofErr w:type="spellStart"/>
      <w:r w:rsidRPr="00FD02C1">
        <w:t>Wilyakali</w:t>
      </w:r>
      <w:proofErr w:type="spellEnd"/>
      <w:r w:rsidRPr="00FD02C1">
        <w:t xml:space="preserve">, Wiradjuri, </w:t>
      </w:r>
      <w:proofErr w:type="spellStart"/>
      <w:r w:rsidRPr="00FD02C1">
        <w:t>Wongaibon</w:t>
      </w:r>
      <w:proofErr w:type="spellEnd"/>
      <w:r w:rsidRPr="00FD02C1">
        <w:t xml:space="preserve">, </w:t>
      </w:r>
      <w:proofErr w:type="spellStart"/>
      <w:r w:rsidRPr="00FD02C1">
        <w:t>Wongkumara</w:t>
      </w:r>
      <w:proofErr w:type="spellEnd"/>
      <w:r w:rsidRPr="00FD02C1">
        <w:t xml:space="preserve">, </w:t>
      </w:r>
      <w:proofErr w:type="spellStart"/>
      <w:r w:rsidRPr="00FD02C1">
        <w:t>Wotjobaluk</w:t>
      </w:r>
      <w:proofErr w:type="spellEnd"/>
      <w:r w:rsidRPr="00FD02C1">
        <w:t xml:space="preserve">, Wurundjeri, </w:t>
      </w:r>
      <w:proofErr w:type="spellStart"/>
      <w:r w:rsidRPr="00FD02C1">
        <w:t>Yandruwandha</w:t>
      </w:r>
      <w:proofErr w:type="spellEnd"/>
      <w:r w:rsidRPr="00FD02C1">
        <w:t>/</w:t>
      </w:r>
      <w:proofErr w:type="spellStart"/>
      <w:r w:rsidRPr="00FD02C1">
        <w:t>Yawarrawarrka</w:t>
      </w:r>
      <w:proofErr w:type="spellEnd"/>
      <w:r w:rsidRPr="00FD02C1">
        <w:t xml:space="preserve"> and Yorta </w:t>
      </w:r>
      <w:proofErr w:type="spellStart"/>
      <w:r w:rsidRPr="00FD02C1">
        <w:t>Yorta</w:t>
      </w:r>
      <w:proofErr w:type="spellEnd"/>
      <w:r w:rsidR="00974178">
        <w:t xml:space="preserve"> (Holdsworth et al. 2021)</w:t>
      </w:r>
      <w:r w:rsidRPr="00FD02C1">
        <w:t xml:space="preserve">. The cultural and community significance of the </w:t>
      </w:r>
      <w:r w:rsidR="00ED6CB0">
        <w:t>species</w:t>
      </w:r>
      <w:r w:rsidRPr="00FD02C1">
        <w:t xml:space="preserve"> is not known. Further research into the subject area may benefit the conservation of the </w:t>
      </w:r>
      <w:r w:rsidR="00ED6CB0">
        <w:t>species</w:t>
      </w:r>
      <w:r w:rsidR="00ED6CB0" w:rsidRPr="00FD02C1">
        <w:t xml:space="preserve"> </w:t>
      </w:r>
      <w:r w:rsidRPr="00FD02C1">
        <w:t>by providing insights about traditional culture and land management.</w:t>
      </w:r>
      <w:r w:rsidRPr="00E72404">
        <w:t xml:space="preserve"> </w:t>
      </w:r>
    </w:p>
    <w:p w14:paraId="5F76E77A" w14:textId="558942CC" w:rsidR="00C304AA" w:rsidRDefault="00C304AA" w:rsidP="00C304AA">
      <w:pPr>
        <w:pStyle w:val="Heading3"/>
        <w:ind w:left="964" w:hanging="964"/>
      </w:pPr>
      <w:r>
        <w:t>Relevant biology and ecology</w:t>
      </w:r>
    </w:p>
    <w:p w14:paraId="58618F66" w14:textId="622F702A" w:rsidR="007A4D29" w:rsidRDefault="007A4D29" w:rsidP="007A4D29">
      <w:r>
        <w:t>Blue-winged Parrot</w:t>
      </w:r>
      <w:r w:rsidR="001F2730">
        <w:t>s</w:t>
      </w:r>
      <w:r>
        <w:t xml:space="preserve"> inhabit a range of habitats from coastal, sub-coastal and inland areas, through to semi-arid zones. </w:t>
      </w:r>
      <w:r w:rsidR="2C07C060">
        <w:t>They</w:t>
      </w:r>
      <w:r>
        <w:t xml:space="preserve"> tend to favour grasslands and grassy woodlands and are often found near wetlands both near the coast and in semi-arid zones</w:t>
      </w:r>
      <w:r w:rsidR="00974178">
        <w:t xml:space="preserve"> (Higgins 1999; Holdsworth et al. 2021)</w:t>
      </w:r>
      <w:r>
        <w:t>. The species can also be seen in altered environments such as airfields, golf-</w:t>
      </w:r>
      <w:proofErr w:type="gramStart"/>
      <w:r>
        <w:t>courses</w:t>
      </w:r>
      <w:proofErr w:type="gramEnd"/>
      <w:r>
        <w:t xml:space="preserve"> and paddocks.</w:t>
      </w:r>
      <w:r w:rsidR="001F2730">
        <w:t xml:space="preserve"> </w:t>
      </w:r>
      <w:r>
        <w:t xml:space="preserve">Pairs or small parties of Blue-winged Parrots forage mainly near or on the ground for seeds of a wide range of native and introduced grasses, </w:t>
      </w:r>
      <w:proofErr w:type="gramStart"/>
      <w:r>
        <w:t>herbs</w:t>
      </w:r>
      <w:proofErr w:type="gramEnd"/>
      <w:r>
        <w:t xml:space="preserve"> and shrubs (Higgins 1999). </w:t>
      </w:r>
    </w:p>
    <w:p w14:paraId="03E7D851" w14:textId="207503DA" w:rsidR="002E2AE6" w:rsidRDefault="002E2AE6" w:rsidP="2C975C7E">
      <w:r>
        <w:lastRenderedPageBreak/>
        <w:t xml:space="preserve">Blue-winged Parrots breed in Tasmania, coastal south-eastern South </w:t>
      </w:r>
      <w:proofErr w:type="gramStart"/>
      <w:r>
        <w:t>Australia</w:t>
      </w:r>
      <w:proofErr w:type="gramEnd"/>
      <w:r>
        <w:t xml:space="preserve"> and southern Victoria. During the breeding season (spring and summer), birds occupy eucalypt forests and woodlands</w:t>
      </w:r>
      <w:r w:rsidR="00974178">
        <w:t xml:space="preserve"> (Higgins 1999)</w:t>
      </w:r>
      <w:r>
        <w:t>. Blue-winged Parrots form monogamous pairs. Nests are made</w:t>
      </w:r>
      <w:r w:rsidR="3AF8B789">
        <w:t xml:space="preserve"> </w:t>
      </w:r>
      <w:r w:rsidR="3AF8B789" w:rsidRPr="2C975C7E">
        <w:rPr>
          <w:rFonts w:eastAsia="Cambria" w:cs="Cambria"/>
        </w:rPr>
        <w:t>in hollows, preferably with a vertical opening, in live or dead</w:t>
      </w:r>
      <w:r>
        <w:t xml:space="preserve"> tree</w:t>
      </w:r>
      <w:r w:rsidR="670479BE">
        <w:t>s</w:t>
      </w:r>
      <w:r>
        <w:t xml:space="preserve"> o</w:t>
      </w:r>
      <w:r w:rsidR="00DD47F1">
        <w:t xml:space="preserve">r </w:t>
      </w:r>
      <w:r>
        <w:t>stumps. Usually 4–6 eggs are laid on a bed of decaying wood</w:t>
      </w:r>
      <w:r w:rsidR="00974178">
        <w:t xml:space="preserve"> (Higgins 1999)</w:t>
      </w:r>
      <w:r>
        <w:t>. The female alone incubates the eggs, leaving the nest at intervals to be fed by the male. Both parents feed the nestlings. In Victoria, birds are known to breed mainly in heathy forests and woodlands and in wetter forests soon after fire or logging (</w:t>
      </w:r>
      <w:proofErr w:type="spellStart"/>
      <w:r>
        <w:t>Emison</w:t>
      </w:r>
      <w:proofErr w:type="spellEnd"/>
      <w:r>
        <w:t xml:space="preserve"> et al. 1987).</w:t>
      </w:r>
    </w:p>
    <w:p w14:paraId="2503CBCA" w14:textId="595196A4" w:rsidR="002E2AE6" w:rsidRDefault="006E4497" w:rsidP="00FD02C1">
      <w:r>
        <w:t>Before migrating from Tasmania in autumn, many birds congregate on saltmarshes and agricultural land before departing north</w:t>
      </w:r>
      <w:r w:rsidR="00974178">
        <w:t xml:space="preserve"> (Higgin 1999)</w:t>
      </w:r>
      <w:r>
        <w:t>. While on the mainland, mobile flocks feed in saltmarsh and rough pasture in coastal Victoria. Birds are known to move more than 100 km inland during winter to feed in semi‐arid chenopod shrubland and sparse grassland</w:t>
      </w:r>
      <w:r w:rsidR="00974178">
        <w:t xml:space="preserve"> (Holdsworth et al. 2021)</w:t>
      </w:r>
      <w:r>
        <w:t>. Many aspects of the movements of the Blue-winged Parrot are poorly understood. Researchers know that most Blue-winged Parrots that breed in Tasmania migrate to the mainland, leaving a handful behind. However, detailed information about their wintering migrat</w:t>
      </w:r>
      <w:r w:rsidR="3BC339DC">
        <w:t>ion</w:t>
      </w:r>
      <w:r>
        <w:t xml:space="preserve"> routes </w:t>
      </w:r>
      <w:r w:rsidR="1811F649">
        <w:t>is lacking</w:t>
      </w:r>
      <w:r>
        <w:t xml:space="preserve">. </w:t>
      </w:r>
    </w:p>
    <w:p w14:paraId="0732922C" w14:textId="20C1A1EA" w:rsidR="00C304AA" w:rsidRDefault="00C304AA" w:rsidP="00C304AA">
      <w:pPr>
        <w:pStyle w:val="Heading3"/>
        <w:ind w:left="964" w:hanging="964"/>
      </w:pPr>
      <w:r>
        <w:t>Habitat critical to the survival</w:t>
      </w:r>
    </w:p>
    <w:p w14:paraId="7AEFFAF5" w14:textId="77777777" w:rsidR="00CE3EC7" w:rsidRPr="00B019AE" w:rsidRDefault="00CE3EC7" w:rsidP="00CE3EC7">
      <w:bookmarkStart w:id="7" w:name="_Hlk83028446"/>
      <w:bookmarkStart w:id="8" w:name="_Hlk68591241"/>
      <w:r w:rsidRPr="00B019AE">
        <w:t>Habitat critical to the survival or important habitats of a species or ecological community refers to areas that are necessary:</w:t>
      </w:r>
    </w:p>
    <w:p w14:paraId="637B8EE6" w14:textId="64633AB8" w:rsidR="00CE3EC7" w:rsidRPr="00B019AE" w:rsidRDefault="00ED33DA" w:rsidP="00CE3EC7">
      <w:pPr>
        <w:pStyle w:val="ListBullet"/>
      </w:pPr>
      <w:r>
        <w:t>F</w:t>
      </w:r>
      <w:r w:rsidR="00CE3EC7" w:rsidRPr="00B019AE">
        <w:t xml:space="preserve">or activities such as foraging, breeding, roosting, or </w:t>
      </w:r>
      <w:proofErr w:type="gramStart"/>
      <w:r w:rsidR="00CE3EC7" w:rsidRPr="00B019AE">
        <w:t>dispersal;</w:t>
      </w:r>
      <w:proofErr w:type="gramEnd"/>
    </w:p>
    <w:p w14:paraId="1625FE2D" w14:textId="77777777" w:rsidR="00CE3EC7" w:rsidRPr="00B019AE" w:rsidRDefault="00CE3EC7" w:rsidP="00CE3EC7">
      <w:pPr>
        <w:pStyle w:val="ListBullet"/>
      </w:pPr>
      <w:r w:rsidRPr="00B019AE">
        <w:t>for the long-term maintenance of the species or ecological community (including the maintenance of species essential to the survival of the species or ecological community, such as pollinators</w:t>
      </w:r>
      <w:proofErr w:type="gramStart"/>
      <w:r w:rsidRPr="00B019AE">
        <w:t>);</w:t>
      </w:r>
      <w:proofErr w:type="gramEnd"/>
    </w:p>
    <w:p w14:paraId="4A94B80C" w14:textId="77777777" w:rsidR="00CE3EC7" w:rsidRPr="00B019AE" w:rsidRDefault="00CE3EC7" w:rsidP="00CE3EC7">
      <w:pPr>
        <w:pStyle w:val="ListBullet"/>
      </w:pPr>
      <w:r w:rsidRPr="00B019AE">
        <w:t>to maintain genetic diversity and long-term evolutionary development; or</w:t>
      </w:r>
    </w:p>
    <w:p w14:paraId="46658AF0" w14:textId="77777777" w:rsidR="00CE3EC7" w:rsidRPr="00B019AE" w:rsidRDefault="00CE3EC7" w:rsidP="00CE3EC7">
      <w:pPr>
        <w:pStyle w:val="ListBullet"/>
      </w:pPr>
      <w:r w:rsidRPr="00B019AE">
        <w:t>for the reintroduction of populations or recovery of the species or ecological community.</w:t>
      </w:r>
    </w:p>
    <w:bookmarkEnd w:id="7"/>
    <w:p w14:paraId="64C7FEBA" w14:textId="617818CC" w:rsidR="008A6241" w:rsidRDefault="00B172B8" w:rsidP="008A6241">
      <w:r w:rsidRPr="00B172B8">
        <w:t>Habitat critical to the survival of the</w:t>
      </w:r>
      <w:r w:rsidR="00CE3EC7">
        <w:t xml:space="preserve"> Blue-winged Parrot include</w:t>
      </w:r>
      <w:r w:rsidR="00D65BF7">
        <w:t xml:space="preserve"> areas that include</w:t>
      </w:r>
      <w:r w:rsidR="00CE3EC7">
        <w:t>:</w:t>
      </w:r>
    </w:p>
    <w:p w14:paraId="7D9411CA" w14:textId="4E95D396" w:rsidR="00D911FE" w:rsidRDefault="006928AB" w:rsidP="006928AB">
      <w:pPr>
        <w:pStyle w:val="ListBullet"/>
      </w:pPr>
      <w:r>
        <w:t>F</w:t>
      </w:r>
      <w:r w:rsidR="00057806">
        <w:t xml:space="preserve">oraging </w:t>
      </w:r>
      <w:r w:rsidR="2075DE5F">
        <w:t xml:space="preserve">and staging </w:t>
      </w:r>
      <w:r w:rsidR="00057806">
        <w:t>habitats found from coastal, sub-coastal and inland areas, right through to semi-arid zones</w:t>
      </w:r>
      <w:r>
        <w:t xml:space="preserve"> </w:t>
      </w:r>
      <w:proofErr w:type="gramStart"/>
      <w:r>
        <w:t>including:</w:t>
      </w:r>
      <w:proofErr w:type="gramEnd"/>
      <w:r>
        <w:t xml:space="preserve"> grasslands, grassy woodlands and semi‐arid chenopod shrubland with native and introduced grasses, herbs and shrubs</w:t>
      </w:r>
      <w:r w:rsidR="00ED33DA">
        <w:t>.</w:t>
      </w:r>
    </w:p>
    <w:p w14:paraId="348E2B4F" w14:textId="431526F9" w:rsidR="00057806" w:rsidRDefault="00ED33DA" w:rsidP="00057806">
      <w:pPr>
        <w:pStyle w:val="ListBullet"/>
      </w:pPr>
      <w:r>
        <w:t>W</w:t>
      </w:r>
      <w:r w:rsidR="00057806">
        <w:t>etlands both near the coast and in semi-arid zones used for foraging</w:t>
      </w:r>
      <w:r w:rsidR="59ADF19A">
        <w:t xml:space="preserve"> and staging</w:t>
      </w:r>
      <w:r>
        <w:t>.</w:t>
      </w:r>
    </w:p>
    <w:p w14:paraId="3926EB18" w14:textId="55798210" w:rsidR="00057806" w:rsidRDefault="00ED33DA" w:rsidP="00057806">
      <w:pPr>
        <w:pStyle w:val="ListBullet"/>
      </w:pPr>
      <w:r>
        <w:t>E</w:t>
      </w:r>
      <w:r w:rsidR="00057806" w:rsidRPr="00057806">
        <w:t>ucalypt forests and woodlands</w:t>
      </w:r>
      <w:r w:rsidR="00057806">
        <w:t xml:space="preserve"> within the breeding range in </w:t>
      </w:r>
      <w:r w:rsidR="00057806" w:rsidRPr="006F5E36">
        <w:t xml:space="preserve">Tasmania, coastal south-eastern South </w:t>
      </w:r>
      <w:proofErr w:type="gramStart"/>
      <w:r w:rsidR="00057806" w:rsidRPr="006F5E36">
        <w:t>Australia</w:t>
      </w:r>
      <w:proofErr w:type="gramEnd"/>
      <w:r w:rsidR="00057806" w:rsidRPr="006F5E36">
        <w:t xml:space="preserve"> and southern Victoria</w:t>
      </w:r>
      <w:r>
        <w:t>.</w:t>
      </w:r>
    </w:p>
    <w:p w14:paraId="6E66205C" w14:textId="01065D61" w:rsidR="00057806" w:rsidRDefault="00ED33DA" w:rsidP="00057806">
      <w:pPr>
        <w:pStyle w:val="ListBullet"/>
      </w:pPr>
      <w:r>
        <w:t>L</w:t>
      </w:r>
      <w:r w:rsidR="00057806">
        <w:t xml:space="preserve">ive and dead trees and stumps with </w:t>
      </w:r>
      <w:r w:rsidR="00D65BF7">
        <w:t xml:space="preserve">suitable </w:t>
      </w:r>
      <w:r w:rsidR="00057806">
        <w:t>hollows within the breeding range.</w:t>
      </w:r>
    </w:p>
    <w:p w14:paraId="5A3B5816" w14:textId="045CDA59" w:rsidR="00CE3EC7" w:rsidRDefault="00CE3EC7" w:rsidP="00CE3EC7">
      <w:pPr>
        <w:pStyle w:val="ListBullet"/>
        <w:numPr>
          <w:ilvl w:val="0"/>
          <w:numId w:val="0"/>
        </w:numPr>
      </w:pPr>
      <w:r w:rsidRPr="008B5DAD">
        <w:t xml:space="preserve">Any known or likely habitat </w:t>
      </w:r>
      <w:r>
        <w:t xml:space="preserve">(Map 1) </w:t>
      </w:r>
      <w:r w:rsidRPr="008B5DAD">
        <w:t xml:space="preserve">should be considered as habitat critical to the survival of the species. </w:t>
      </w:r>
      <w:r w:rsidRPr="00FC6D82">
        <w:t>Additionally, areas that are not currently occupied by the species due to recent disturbance (</w:t>
      </w:r>
      <w:proofErr w:type="gramStart"/>
      <w:r w:rsidRPr="00FC6D82">
        <w:t>e.g.</w:t>
      </w:r>
      <w:proofErr w:type="gramEnd"/>
      <w:r w:rsidRPr="00FC6D82">
        <w:t xml:space="preserve"> fire, grazing or human activity), but should became suitable again in the future, should also be considered habitat critical to the survival of the species</w:t>
      </w:r>
      <w:r>
        <w:t>.</w:t>
      </w:r>
    </w:p>
    <w:p w14:paraId="4F4334C9" w14:textId="77777777" w:rsidR="00D65BF7" w:rsidRDefault="00D65BF7" w:rsidP="00D65BF7">
      <w:r>
        <w:t>No Critical Habitat as defined under section 207A of the EPBC Act has been identified or included in the Register of Critical Habitat.</w:t>
      </w:r>
    </w:p>
    <w:p w14:paraId="0D9EC5FA" w14:textId="519B5394" w:rsidR="00D911FE" w:rsidRDefault="008A6241" w:rsidP="008A6241">
      <w:r>
        <w:lastRenderedPageBreak/>
        <w:t>Blue-winged Parrot habitat occurs</w:t>
      </w:r>
      <w:r w:rsidR="00D65BF7">
        <w:t xml:space="preserve"> across</w:t>
      </w:r>
      <w:r>
        <w:t xml:space="preserve"> a wide range of land </w:t>
      </w:r>
      <w:r w:rsidR="00D65BF7">
        <w:t xml:space="preserve">tenues and </w:t>
      </w:r>
      <w:r>
        <w:t>ownership arrangements, including on private land, travelling stock routes and reserves, state forests and state reserves, and National Parks</w:t>
      </w:r>
      <w:r w:rsidR="005055C9">
        <w:t xml:space="preserve"> (including the Tasmanian Wilderness World Heritage Area)</w:t>
      </w:r>
      <w:r>
        <w:t>. It is essential that the highest level of protection is provided to these areas and that enhancement and protection measures target these productive sites.</w:t>
      </w:r>
      <w:r w:rsidR="00D911FE" w:rsidRPr="00D911FE">
        <w:t xml:space="preserve"> </w:t>
      </w:r>
    </w:p>
    <w:p w14:paraId="6B90A864" w14:textId="27121697" w:rsidR="00CE3EC7" w:rsidRPr="00651F93" w:rsidRDefault="0099018A" w:rsidP="00CE3EC7">
      <w:pPr>
        <w:pStyle w:val="ListBullet"/>
        <w:numPr>
          <w:ilvl w:val="0"/>
          <w:numId w:val="0"/>
        </w:numPr>
      </w:pPr>
      <w:r>
        <w:t xml:space="preserve">Habitat critical to the survival should not be cleared, </w:t>
      </w:r>
      <w:proofErr w:type="gramStart"/>
      <w:r>
        <w:t>fragmented</w:t>
      </w:r>
      <w:proofErr w:type="gramEnd"/>
      <w:r>
        <w:t xml:space="preserve"> or degraded. If removal of habitat critical to the survival cannot be avoided or mitigated, then an offset should be provided.  </w:t>
      </w:r>
      <w:r w:rsidR="0093062F">
        <w:t>A</w:t>
      </w:r>
      <w:r w:rsidR="00CE3EC7">
        <w:t>ctions identified in this document may form suitable offsets.</w:t>
      </w:r>
    </w:p>
    <w:bookmarkEnd w:id="8"/>
    <w:p w14:paraId="317B8450" w14:textId="77777777" w:rsidR="00C304AA" w:rsidRDefault="00C304AA" w:rsidP="001E5131">
      <w:pPr>
        <w:pStyle w:val="Heading3"/>
        <w:ind w:left="964" w:hanging="964"/>
      </w:pPr>
      <w:r>
        <w:t>Threats</w:t>
      </w:r>
    </w:p>
    <w:p w14:paraId="5EE75579" w14:textId="0F271A33" w:rsidR="00C06F63" w:rsidRDefault="0068625B" w:rsidP="2C975C7E">
      <w:bookmarkStart w:id="9" w:name="_Ref40886856"/>
      <w:r>
        <w:t>Though there</w:t>
      </w:r>
      <w:r w:rsidR="00FD02C1">
        <w:t xml:space="preserve"> is no </w:t>
      </w:r>
      <w:r w:rsidR="00774FE8">
        <w:t xml:space="preserve">clear </w:t>
      </w:r>
      <w:r w:rsidR="00FD02C1">
        <w:t>explanation for the population decline</w:t>
      </w:r>
      <w:r w:rsidR="0054273A">
        <w:t xml:space="preserve"> </w:t>
      </w:r>
      <w:r w:rsidR="00774FE8">
        <w:t>of Blue-winged Parrots</w:t>
      </w:r>
      <w:r w:rsidR="00DD1675">
        <w:t xml:space="preserve">, </w:t>
      </w:r>
      <w:r>
        <w:t>d</w:t>
      </w:r>
      <w:r w:rsidR="00A17B19">
        <w:t xml:space="preserve">eclines </w:t>
      </w:r>
      <w:r w:rsidR="00EF6912">
        <w:t>have likely been</w:t>
      </w:r>
      <w:r w:rsidR="00A17B19">
        <w:t xml:space="preserve"> caused by habitat loss and</w:t>
      </w:r>
      <w:r>
        <w:t xml:space="preserve"> </w:t>
      </w:r>
      <w:r w:rsidR="00A17B19">
        <w:t>deterioration in habitat quality</w:t>
      </w:r>
      <w:r w:rsidR="00774FE8">
        <w:t xml:space="preserve"> (Holdsworth et al. 2021)</w:t>
      </w:r>
      <w:r w:rsidR="00A17B19">
        <w:t>. For example, i</w:t>
      </w:r>
      <w:r w:rsidR="00A17B19" w:rsidRPr="00A17B19">
        <w:t>n Tasmania land clearing for agriculture continues to remove</w:t>
      </w:r>
      <w:r>
        <w:t xml:space="preserve"> Blue-winged Parrot</w:t>
      </w:r>
      <w:r w:rsidR="00A17B19" w:rsidRPr="00A17B19">
        <w:t xml:space="preserve"> habitat</w:t>
      </w:r>
      <w:r w:rsidR="00555345">
        <w:t xml:space="preserve"> (FDA 2020)</w:t>
      </w:r>
      <w:r>
        <w:t>;</w:t>
      </w:r>
      <w:r w:rsidR="00A17B19">
        <w:t xml:space="preserve"> while livestock grazing throughout the species’ range</w:t>
      </w:r>
      <w:r w:rsidR="002F28F8">
        <w:t xml:space="preserve"> likely</w:t>
      </w:r>
      <w:r w:rsidR="003F1F8E">
        <w:t xml:space="preserve"> </w:t>
      </w:r>
      <w:r>
        <w:t>degrades grassland habitat</w:t>
      </w:r>
      <w:r w:rsidR="003F1F8E">
        <w:t xml:space="preserve"> and reduces see</w:t>
      </w:r>
      <w:r w:rsidR="00EF6912">
        <w:t>d availability</w:t>
      </w:r>
      <w:r w:rsidR="002860E3">
        <w:t xml:space="preserve"> (Seddon et al. 2003)</w:t>
      </w:r>
      <w:r>
        <w:t xml:space="preserve">. </w:t>
      </w:r>
    </w:p>
    <w:p w14:paraId="5B59624E" w14:textId="1CDDBC9B" w:rsidR="00DD1675" w:rsidRDefault="00A54788" w:rsidP="2C975C7E">
      <w:r>
        <w:t xml:space="preserve">Other threats that may impact the species </w:t>
      </w:r>
      <w:proofErr w:type="gramStart"/>
      <w:r>
        <w:t>include</w:t>
      </w:r>
      <w:r w:rsidR="00774FE8">
        <w:t>:</w:t>
      </w:r>
      <w:proofErr w:type="gramEnd"/>
      <w:r>
        <w:t xml:space="preserve"> </w:t>
      </w:r>
      <w:r w:rsidR="00774FE8">
        <w:t>droughts which reduce the productivity of coastal saltmarsh and other habitats used in the non‐breeding season (Boon et al. 2011, 2012); and fires</w:t>
      </w:r>
      <w:r w:rsidR="00294FD5">
        <w:t xml:space="preserve"> </w:t>
      </w:r>
      <w:r w:rsidR="00774FE8">
        <w:t>(Evans et al. 2017; Di Virgilio et al. 2019; Dowdy et al. 2019)</w:t>
      </w:r>
      <w:r w:rsidR="00FD02C1">
        <w:t xml:space="preserve">. </w:t>
      </w:r>
      <w:r w:rsidR="00DD1675">
        <w:t xml:space="preserve">Cats </w:t>
      </w:r>
      <w:r>
        <w:t>(</w:t>
      </w:r>
      <w:r w:rsidR="00DD1675" w:rsidRPr="00DD1675">
        <w:rPr>
          <w:i/>
          <w:iCs/>
        </w:rPr>
        <w:t xml:space="preserve">Felis </w:t>
      </w:r>
      <w:proofErr w:type="spellStart"/>
      <w:r w:rsidR="00DD1675" w:rsidRPr="00DD1675">
        <w:rPr>
          <w:i/>
          <w:iCs/>
        </w:rPr>
        <w:t>catus</w:t>
      </w:r>
      <w:proofErr w:type="spellEnd"/>
      <w:r>
        <w:t>)</w:t>
      </w:r>
      <w:r w:rsidR="00DD1675">
        <w:t xml:space="preserve"> and, on the mainland, foxes </w:t>
      </w:r>
      <w:r>
        <w:t>(</w:t>
      </w:r>
      <w:r w:rsidR="00DD1675" w:rsidRPr="00DD1675">
        <w:rPr>
          <w:i/>
          <w:iCs/>
        </w:rPr>
        <w:t>Vulpes vulpes</w:t>
      </w:r>
      <w:r>
        <w:t>)</w:t>
      </w:r>
      <w:r w:rsidR="00DD1675">
        <w:t>, may take some birds given they feed on the ground</w:t>
      </w:r>
      <w:r>
        <w:t xml:space="preserve"> (</w:t>
      </w:r>
      <w:r w:rsidR="00774FE8" w:rsidRPr="00774FE8">
        <w:t>DELWP 2016</w:t>
      </w:r>
      <w:r w:rsidR="00774FE8">
        <w:t xml:space="preserve">; </w:t>
      </w:r>
      <w:proofErr w:type="spellStart"/>
      <w:r>
        <w:t>Woinarski</w:t>
      </w:r>
      <w:proofErr w:type="spellEnd"/>
      <w:r>
        <w:t xml:space="preserve"> et al. 2017</w:t>
      </w:r>
      <w:r w:rsidR="00774FE8" w:rsidRPr="00774FE8">
        <w:t>)</w:t>
      </w:r>
      <w:r w:rsidR="00774FE8">
        <w:t xml:space="preserve">. </w:t>
      </w:r>
      <w:r w:rsidR="00DD1675">
        <w:t xml:space="preserve">Nesting birds may also be subject to excessive predation by introduced sugar gliders </w:t>
      </w:r>
      <w:r>
        <w:t>(</w:t>
      </w:r>
      <w:r w:rsidR="00DD1675" w:rsidRPr="00DD1675">
        <w:rPr>
          <w:i/>
          <w:iCs/>
        </w:rPr>
        <w:t xml:space="preserve">Petaurus </w:t>
      </w:r>
      <w:proofErr w:type="spellStart"/>
      <w:r w:rsidR="00DD1675" w:rsidRPr="00DD1675">
        <w:rPr>
          <w:i/>
          <w:iCs/>
        </w:rPr>
        <w:t>breviceps</w:t>
      </w:r>
      <w:proofErr w:type="spellEnd"/>
      <w:r>
        <w:t>)</w:t>
      </w:r>
      <w:r w:rsidR="00DD1675">
        <w:t xml:space="preserve"> (</w:t>
      </w:r>
      <w:proofErr w:type="spellStart"/>
      <w:r w:rsidR="00DD1675">
        <w:t>Stojanovic</w:t>
      </w:r>
      <w:proofErr w:type="spellEnd"/>
      <w:r w:rsidR="00DD1675">
        <w:t xml:space="preserve"> et al. 2014), though this remains unproven and Blue-winged Parrots nest in the presence of Sugar Gliders in Victoria. Psittacine Beak and Feather Disease (PBFD) may also have reduced survival and reproductive success of the species (</w:t>
      </w:r>
      <w:proofErr w:type="spellStart"/>
      <w:r w:rsidR="00DD1675">
        <w:t>Raidal</w:t>
      </w:r>
      <w:proofErr w:type="spellEnd"/>
      <w:r w:rsidR="00DD1675">
        <w:t xml:space="preserve"> &amp; Peters 2018).</w:t>
      </w:r>
      <w:r w:rsidR="64092E72">
        <w:t xml:space="preserve"> </w:t>
      </w:r>
    </w:p>
    <w:p w14:paraId="2DC62AEF" w14:textId="087CDA75" w:rsidR="00957A21" w:rsidRDefault="00957A21" w:rsidP="009502E2">
      <w:pPr>
        <w:pStyle w:val="Caption"/>
      </w:pPr>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A95726">
        <w:rPr>
          <w:noProof/>
        </w:rPr>
        <w:t>1</w:t>
      </w:r>
      <w:r w:rsidR="003A06CA">
        <w:rPr>
          <w:noProof/>
        </w:rPr>
        <w:fldChar w:fldCharType="end"/>
      </w:r>
      <w:bookmarkEnd w:id="9"/>
      <w:r>
        <w:t xml:space="preserve"> Threats impacting </w:t>
      </w:r>
      <w:r w:rsidR="00FD02C1">
        <w:t>Blue-winged Parrot</w:t>
      </w:r>
    </w:p>
    <w:tbl>
      <w:tblPr>
        <w:tblStyle w:val="TableGrid"/>
        <w:tblW w:w="0" w:type="auto"/>
        <w:tblLayout w:type="fixed"/>
        <w:tblLook w:val="04A0" w:firstRow="1" w:lastRow="0" w:firstColumn="1" w:lastColumn="0" w:noHBand="0" w:noVBand="1"/>
      </w:tblPr>
      <w:tblGrid>
        <w:gridCol w:w="3020"/>
        <w:gridCol w:w="3020"/>
        <w:gridCol w:w="3020"/>
      </w:tblGrid>
      <w:tr w:rsidR="00957A21" w14:paraId="078C9F1A" w14:textId="77777777" w:rsidTr="3792A324">
        <w:trPr>
          <w:cantSplit/>
          <w:tblHeader/>
        </w:trPr>
        <w:tc>
          <w:tcPr>
            <w:tcW w:w="3020" w:type="dxa"/>
          </w:tcPr>
          <w:p w14:paraId="494D8524" w14:textId="155E55D1" w:rsidR="00957A21" w:rsidRPr="00FD02C1" w:rsidRDefault="00957A21" w:rsidP="00D945A0">
            <w:pPr>
              <w:pStyle w:val="TableHeading"/>
            </w:pPr>
            <w:r w:rsidRPr="00FD02C1">
              <w:t xml:space="preserve">Threat </w:t>
            </w:r>
          </w:p>
        </w:tc>
        <w:tc>
          <w:tcPr>
            <w:tcW w:w="3020" w:type="dxa"/>
          </w:tcPr>
          <w:p w14:paraId="3DF9A4AC" w14:textId="5C531070" w:rsidR="00957A21" w:rsidRPr="00FD02C1" w:rsidRDefault="00935CDF" w:rsidP="00D945A0">
            <w:pPr>
              <w:pStyle w:val="TableHeading"/>
            </w:pPr>
            <w:r w:rsidRPr="00FD02C1">
              <w:t>S</w:t>
            </w:r>
            <w:r w:rsidR="00957A21" w:rsidRPr="00FD02C1">
              <w:t xml:space="preserve">tatus and severity </w:t>
            </w:r>
            <w:r w:rsidR="00957A21" w:rsidRPr="00FD02C1">
              <w:rPr>
                <w:rStyle w:val="Strong"/>
                <w:vertAlign w:val="superscript"/>
              </w:rPr>
              <w:t>a</w:t>
            </w:r>
          </w:p>
        </w:tc>
        <w:tc>
          <w:tcPr>
            <w:tcW w:w="3020" w:type="dxa"/>
          </w:tcPr>
          <w:p w14:paraId="2D2F3839" w14:textId="79AA86D4" w:rsidR="00957A21" w:rsidRPr="00FD02C1" w:rsidRDefault="00957A21" w:rsidP="00D945A0">
            <w:pPr>
              <w:pStyle w:val="TableHeading"/>
            </w:pPr>
            <w:r w:rsidRPr="00FD02C1">
              <w:t xml:space="preserve">Evidence </w:t>
            </w:r>
          </w:p>
        </w:tc>
      </w:tr>
      <w:tr w:rsidR="00AC049E" w:rsidRPr="008A24A1" w14:paraId="59A4856E" w14:textId="77777777" w:rsidTr="3792A324">
        <w:tc>
          <w:tcPr>
            <w:tcW w:w="9060" w:type="dxa"/>
            <w:gridSpan w:val="3"/>
          </w:tcPr>
          <w:p w14:paraId="36A7ACFF" w14:textId="3BD42B8D" w:rsidR="008A24A1" w:rsidRPr="00FD02C1" w:rsidRDefault="00C06F63" w:rsidP="00FD02C1">
            <w:pPr>
              <w:pStyle w:val="TableText"/>
              <w:rPr>
                <w:highlight w:val="lightGray"/>
              </w:rPr>
            </w:pPr>
            <w:r w:rsidRPr="00903010">
              <w:t xml:space="preserve">Habitat loss, </w:t>
            </w:r>
            <w:proofErr w:type="gramStart"/>
            <w:r w:rsidR="00A17B19">
              <w:t>degradation</w:t>
            </w:r>
            <w:proofErr w:type="gramEnd"/>
            <w:r w:rsidR="00A17B19" w:rsidRPr="00903010">
              <w:t xml:space="preserve"> </w:t>
            </w:r>
            <w:r>
              <w:t xml:space="preserve">and </w:t>
            </w:r>
            <w:r w:rsidR="00A17B19" w:rsidRPr="00903010">
              <w:t>fragmentation</w:t>
            </w:r>
          </w:p>
        </w:tc>
      </w:tr>
      <w:tr w:rsidR="00957A21" w14:paraId="20BECFD2" w14:textId="77777777" w:rsidTr="3792A324">
        <w:tc>
          <w:tcPr>
            <w:tcW w:w="3020" w:type="dxa"/>
          </w:tcPr>
          <w:p w14:paraId="10609E34" w14:textId="3001D4A3" w:rsidR="008A24A1" w:rsidRPr="00FD02C1" w:rsidRDefault="007E463C" w:rsidP="007366FB">
            <w:pPr>
              <w:pStyle w:val="TableText"/>
            </w:pPr>
            <w:r>
              <w:t>Habitat loss caused by clearing for agriculture</w:t>
            </w:r>
          </w:p>
        </w:tc>
        <w:tc>
          <w:tcPr>
            <w:tcW w:w="3020" w:type="dxa"/>
          </w:tcPr>
          <w:p w14:paraId="012682F6" w14:textId="6B68C917" w:rsidR="00284E69" w:rsidRPr="001E3B37" w:rsidRDefault="00284E69" w:rsidP="00D945A0">
            <w:pPr>
              <w:pStyle w:val="TableBullet1"/>
              <w:keepNext/>
            </w:pPr>
            <w:r w:rsidRPr="00FD02C1">
              <w:t xml:space="preserve">Status: </w:t>
            </w:r>
            <w:r w:rsidRPr="001E3B37">
              <w:t>current</w:t>
            </w:r>
            <w:r w:rsidR="00FD7377">
              <w:t xml:space="preserve"> &amp; </w:t>
            </w:r>
            <w:r w:rsidRPr="001E3B37">
              <w:t>future</w:t>
            </w:r>
          </w:p>
          <w:p w14:paraId="3D7ABAA9" w14:textId="28338FD1" w:rsidR="00284E69" w:rsidRPr="001E3B37" w:rsidRDefault="00284E69" w:rsidP="00D945A0">
            <w:pPr>
              <w:pStyle w:val="TableBullet1"/>
              <w:keepNext/>
            </w:pPr>
            <w:r w:rsidRPr="001E3B37">
              <w:t xml:space="preserve">Confidence: </w:t>
            </w:r>
            <w:r w:rsidR="001E3B37" w:rsidRPr="001E3B37">
              <w:t>inferred</w:t>
            </w:r>
          </w:p>
          <w:p w14:paraId="2857AE14" w14:textId="16794F1B" w:rsidR="00284E69" w:rsidRPr="001E3B37" w:rsidRDefault="00284E69" w:rsidP="00D945A0">
            <w:pPr>
              <w:pStyle w:val="TableBullet1"/>
              <w:keepNext/>
            </w:pPr>
            <w:r w:rsidRPr="001E3B37">
              <w:t>Consequence: moderate</w:t>
            </w:r>
          </w:p>
          <w:p w14:paraId="46BDFB8C" w14:textId="62EC7A8E" w:rsidR="00284E69" w:rsidRPr="001E3B37" w:rsidRDefault="00284E69" w:rsidP="00D945A0">
            <w:pPr>
              <w:pStyle w:val="TableBullet1"/>
              <w:keepNext/>
            </w:pPr>
            <w:r w:rsidRPr="001E3B37">
              <w:t>Trend: static</w:t>
            </w:r>
          </w:p>
          <w:p w14:paraId="65A1E0D8" w14:textId="35B28980" w:rsidR="00957A21" w:rsidRPr="00FD02C1" w:rsidRDefault="00284E69" w:rsidP="00D945A0">
            <w:pPr>
              <w:pStyle w:val="TableBullet1"/>
              <w:keepNext/>
            </w:pPr>
            <w:r w:rsidRPr="001E3B37">
              <w:t>Extent: across part of its range</w:t>
            </w:r>
          </w:p>
        </w:tc>
        <w:tc>
          <w:tcPr>
            <w:tcW w:w="3020" w:type="dxa"/>
          </w:tcPr>
          <w:p w14:paraId="1A75BA17" w14:textId="5067E7AB" w:rsidR="002A5FBB" w:rsidRDefault="0C33482A" w:rsidP="007366FB">
            <w:pPr>
              <w:pStyle w:val="TableText"/>
            </w:pPr>
            <w:r>
              <w:t>The main threat to bird survival in agricultural areas is habitat loss caused by over-clearing of native vegetation, and subsequent degradation of the remnants of vegetation (Stevens 2001). Since European settlement over 80</w:t>
            </w:r>
            <w:r w:rsidR="00956494">
              <w:t>%</w:t>
            </w:r>
            <w:r>
              <w:t xml:space="preserve"> of woodlands in south-east Australia have been cleared (Bradshaw 2012). Remaining remnants are generally isolated and small, and often below the critical size needed to sustain healthy populations of many bird species (Olsen et al. 2005).</w:t>
            </w:r>
          </w:p>
          <w:p w14:paraId="60F9C6FD" w14:textId="43000FE4" w:rsidR="002A5FBB" w:rsidRDefault="0C33482A" w:rsidP="002A5FBB">
            <w:pPr>
              <w:pStyle w:val="TableText"/>
            </w:pPr>
            <w:r>
              <w:t>Additionally, as habitats become increasingly fragmented due to clearing, native birds become more vulnerable to the other threats, such as predation by feral species and destructive fires, and lose the ability to recolonise once suitable habitat</w:t>
            </w:r>
            <w:r w:rsidR="447196F7">
              <w:t xml:space="preserve"> recovers</w:t>
            </w:r>
            <w:r>
              <w:t xml:space="preserve"> (Olsen et al. 2005). The ongoing fragmentation and </w:t>
            </w:r>
            <w:r>
              <w:lastRenderedPageBreak/>
              <w:t xml:space="preserve">degradation of remnant vegetation can also disrupt essential ecosystem processes such as pollination, seed dispersal and regeneration (Jackson et al. 2016).  </w:t>
            </w:r>
          </w:p>
          <w:p w14:paraId="0E3BA1E7" w14:textId="24AF5066" w:rsidR="00EC085A" w:rsidRPr="00FD02C1" w:rsidRDefault="007366FB" w:rsidP="00FD02C1">
            <w:pPr>
              <w:pStyle w:val="TableText"/>
            </w:pPr>
            <w:r>
              <w:t xml:space="preserve">Land clearing for agriculture continues to remove habitat particularly in Tasmania, given that up to 40 ha can now be cleared without a permit (FDA 2020). </w:t>
            </w:r>
            <w:r w:rsidR="00D92BFA">
              <w:t xml:space="preserve">These activities may negatively impact Blue-winged Parrots. </w:t>
            </w:r>
            <w:r w:rsidR="0C33482A">
              <w:t>Retention and replanting of native vegetation in agricultural areas are needed, as is the cessation of land clearing.</w:t>
            </w:r>
          </w:p>
        </w:tc>
      </w:tr>
      <w:tr w:rsidR="00A17B19" w14:paraId="64A92160" w14:textId="77777777" w:rsidTr="3792A324">
        <w:tc>
          <w:tcPr>
            <w:tcW w:w="3020" w:type="dxa"/>
          </w:tcPr>
          <w:p w14:paraId="6AF07E8D" w14:textId="1F95BDAE" w:rsidR="00A17B19" w:rsidRDefault="00A17B19" w:rsidP="007366FB">
            <w:pPr>
              <w:pStyle w:val="TableText"/>
            </w:pPr>
            <w:r>
              <w:lastRenderedPageBreak/>
              <w:t xml:space="preserve">Habitat degradation caused by </w:t>
            </w:r>
            <w:r w:rsidR="0064100F">
              <w:t xml:space="preserve">domestic </w:t>
            </w:r>
            <w:r>
              <w:t>livestock grazing</w:t>
            </w:r>
          </w:p>
        </w:tc>
        <w:tc>
          <w:tcPr>
            <w:tcW w:w="3020" w:type="dxa"/>
          </w:tcPr>
          <w:p w14:paraId="515263B8" w14:textId="77777777" w:rsidR="00DD1675" w:rsidRDefault="00DD1675" w:rsidP="00DD1675">
            <w:pPr>
              <w:pStyle w:val="TableBullet1"/>
            </w:pPr>
            <w:r>
              <w:t>Status: historical, current &amp; future</w:t>
            </w:r>
          </w:p>
          <w:p w14:paraId="60C86BC6" w14:textId="3E8BBDE1" w:rsidR="00DD1675" w:rsidRDefault="00DD1675" w:rsidP="00DD1675">
            <w:pPr>
              <w:pStyle w:val="TableBullet1"/>
            </w:pPr>
            <w:r>
              <w:t xml:space="preserve">Confidence: </w:t>
            </w:r>
            <w:r w:rsidR="0032479C">
              <w:t>inferred</w:t>
            </w:r>
          </w:p>
          <w:p w14:paraId="03DB7448" w14:textId="20A22789" w:rsidR="00DD1675" w:rsidRDefault="00DD1675" w:rsidP="00DD1675">
            <w:pPr>
              <w:pStyle w:val="TableBullet1"/>
            </w:pPr>
            <w:r>
              <w:t>Consequence:</w:t>
            </w:r>
            <w:r w:rsidR="0032479C">
              <w:t xml:space="preserve"> moderate</w:t>
            </w:r>
          </w:p>
          <w:p w14:paraId="1508B079" w14:textId="77777777" w:rsidR="00DD1675" w:rsidRDefault="00DD1675" w:rsidP="00DD1675">
            <w:pPr>
              <w:pStyle w:val="TableBullet1"/>
            </w:pPr>
            <w:r>
              <w:t>Trend: increasing</w:t>
            </w:r>
          </w:p>
          <w:p w14:paraId="2733D226" w14:textId="0966BBEC" w:rsidR="00A17B19" w:rsidRPr="00FD02C1" w:rsidRDefault="00DD1675" w:rsidP="00DD1675">
            <w:pPr>
              <w:pStyle w:val="TableBullet1"/>
            </w:pPr>
            <w:r>
              <w:t>Extent: across part of its range</w:t>
            </w:r>
          </w:p>
        </w:tc>
        <w:tc>
          <w:tcPr>
            <w:tcW w:w="3020" w:type="dxa"/>
          </w:tcPr>
          <w:p w14:paraId="1DA0A825" w14:textId="0504F3D9" w:rsidR="00A17B19" w:rsidRDefault="00A17B19" w:rsidP="00A17B19">
            <w:pPr>
              <w:pStyle w:val="TableText"/>
            </w:pPr>
            <w:r>
              <w:t xml:space="preserve">Native grassy woodland groundcover species are highly susceptible to domestic </w:t>
            </w:r>
            <w:r w:rsidR="0064100F">
              <w:t>live</w:t>
            </w:r>
            <w:r>
              <w:t>stock grazing (Seddon et al. 2003).</w:t>
            </w:r>
            <w:r w:rsidR="00733B8B">
              <w:t xml:space="preserve"> </w:t>
            </w:r>
            <w:r>
              <w:t xml:space="preserve">Unlike native herbivores, most domestic stock </w:t>
            </w:r>
            <w:proofErr w:type="gramStart"/>
            <w:r>
              <w:t>are</w:t>
            </w:r>
            <w:proofErr w:type="gramEnd"/>
            <w:r>
              <w:t xml:space="preserve"> hard-hoofed and cause significantly more damage to soil structure from compaction, and damage to native plants by trampling (</w:t>
            </w:r>
            <w:proofErr w:type="spellStart"/>
            <w:r>
              <w:t>Willson</w:t>
            </w:r>
            <w:proofErr w:type="spellEnd"/>
            <w:r>
              <w:t xml:space="preserve"> &amp; </w:t>
            </w:r>
            <w:proofErr w:type="spellStart"/>
            <w:r>
              <w:t>Bignall</w:t>
            </w:r>
            <w:proofErr w:type="spellEnd"/>
            <w:r>
              <w:t xml:space="preserve"> 2009). A reduction or removal of understorey habitat (e.g., native herbs and grasses) can reduce foraging sites, reduce shelter, and consequently increase the risk of predation (Olsen et al. 2005).</w:t>
            </w:r>
          </w:p>
          <w:p w14:paraId="0A11B714" w14:textId="375F44BF" w:rsidR="00A17B19" w:rsidRDefault="00A17B19" w:rsidP="00A17B19">
            <w:pPr>
              <w:pStyle w:val="TableText"/>
            </w:pPr>
            <w:r>
              <w:t>The other major influence of livestock grazing is its interaction with weed invasion (Martine &amp; Alan 2005). Livestock grazing can exacerbate weed spread through seed dispersal, soil and vegetation disturbance, and nutrient enrichment (Martine &amp; Alan 2005).</w:t>
            </w:r>
          </w:p>
        </w:tc>
      </w:tr>
      <w:tr w:rsidR="001E3B37" w14:paraId="71189D7D" w14:textId="77777777" w:rsidTr="3792A324">
        <w:tc>
          <w:tcPr>
            <w:tcW w:w="3020" w:type="dxa"/>
          </w:tcPr>
          <w:p w14:paraId="1ECA7961" w14:textId="72415CF9" w:rsidR="001E3B37" w:rsidRDefault="001E3B37" w:rsidP="00FD02C1">
            <w:pPr>
              <w:pStyle w:val="TableText"/>
            </w:pPr>
            <w:r>
              <w:t>Invasive weeds</w:t>
            </w:r>
          </w:p>
        </w:tc>
        <w:tc>
          <w:tcPr>
            <w:tcW w:w="3020" w:type="dxa"/>
          </w:tcPr>
          <w:p w14:paraId="03C2F79D" w14:textId="77777777" w:rsidR="001E3B37" w:rsidRDefault="001E3B37" w:rsidP="001E3B37">
            <w:pPr>
              <w:pStyle w:val="TableBullet1"/>
              <w:keepNext/>
            </w:pPr>
            <w:r>
              <w:t>Status: current</w:t>
            </w:r>
          </w:p>
          <w:p w14:paraId="69A1E673" w14:textId="77777777" w:rsidR="001E3B37" w:rsidRDefault="001E3B37" w:rsidP="001E3B37">
            <w:pPr>
              <w:pStyle w:val="TableBullet1"/>
              <w:keepNext/>
            </w:pPr>
            <w:r>
              <w:t>Confidence: inferred</w:t>
            </w:r>
          </w:p>
          <w:p w14:paraId="0312AE43" w14:textId="4E485B1F" w:rsidR="001E3B37" w:rsidRPr="00B45055" w:rsidRDefault="001E3B37" w:rsidP="001E3B37">
            <w:pPr>
              <w:pStyle w:val="TableBullet1"/>
              <w:keepNext/>
            </w:pPr>
            <w:r>
              <w:t>Consequence</w:t>
            </w:r>
            <w:r w:rsidRPr="00B45055">
              <w:t xml:space="preserve">: </w:t>
            </w:r>
            <w:r>
              <w:t>moderate</w:t>
            </w:r>
          </w:p>
          <w:p w14:paraId="7EB3E3B4" w14:textId="77777777" w:rsidR="001E3B37" w:rsidRPr="00B45055" w:rsidRDefault="001E3B37" w:rsidP="001E3B37">
            <w:pPr>
              <w:pStyle w:val="TableBullet1"/>
              <w:keepNext/>
            </w:pPr>
            <w:r w:rsidRPr="00B45055">
              <w:t>Trend: static</w:t>
            </w:r>
          </w:p>
          <w:p w14:paraId="589F4199" w14:textId="56336667" w:rsidR="001E3B37" w:rsidRPr="00FD02C1" w:rsidRDefault="001E3B37" w:rsidP="001E3B37">
            <w:pPr>
              <w:pStyle w:val="TableBullet1"/>
              <w:keepNext/>
            </w:pPr>
            <w:r w:rsidRPr="00B45055">
              <w:t>Extent: across part of its range</w:t>
            </w:r>
          </w:p>
        </w:tc>
        <w:tc>
          <w:tcPr>
            <w:tcW w:w="3020" w:type="dxa"/>
          </w:tcPr>
          <w:p w14:paraId="70A47B3C" w14:textId="17738AF3" w:rsidR="001E3B37" w:rsidRPr="00EC085A" w:rsidRDefault="001E3B37" w:rsidP="001E3B37">
            <w:pPr>
              <w:pStyle w:val="TableText"/>
            </w:pPr>
            <w:r>
              <w:t xml:space="preserve">Invasive weeds </w:t>
            </w:r>
            <w:proofErr w:type="gramStart"/>
            <w:r>
              <w:t>have the ability to</w:t>
            </w:r>
            <w:proofErr w:type="gramEnd"/>
            <w:r>
              <w:t xml:space="preserve"> change the floristic and structural characteristics of habitat, thereby changing resource availability (French &amp; </w:t>
            </w:r>
            <w:proofErr w:type="spellStart"/>
            <w:r>
              <w:t>Zubovic</w:t>
            </w:r>
            <w:proofErr w:type="spellEnd"/>
            <w:r>
              <w:t xml:space="preserve"> 1997). Furthermore, some weeds may increase the flammability of the habitat, amplifying bushfire risks (Salvo Aires 2014).</w:t>
            </w:r>
            <w:r w:rsidR="007366FB">
              <w:t xml:space="preserve"> </w:t>
            </w:r>
            <w:r>
              <w:t>More research is required to assess the specific species which may impact Blue-winged Parrot feeding and breeding habitats, and the extent of this threat.</w:t>
            </w:r>
          </w:p>
        </w:tc>
      </w:tr>
      <w:tr w:rsidR="007A6D2C" w14:paraId="1EFE3205" w14:textId="77777777" w:rsidTr="3792A324">
        <w:tc>
          <w:tcPr>
            <w:tcW w:w="9060" w:type="dxa"/>
            <w:gridSpan w:val="3"/>
          </w:tcPr>
          <w:p w14:paraId="69593975" w14:textId="0A506919" w:rsidR="007A6D2C" w:rsidRDefault="007A6D2C" w:rsidP="001F6AF1">
            <w:pPr>
              <w:pStyle w:val="TableText"/>
            </w:pPr>
            <w:r>
              <w:t>Climate change</w:t>
            </w:r>
          </w:p>
        </w:tc>
      </w:tr>
      <w:tr w:rsidR="001F6AF1" w14:paraId="032F8FE3" w14:textId="77777777" w:rsidTr="3792A324">
        <w:tc>
          <w:tcPr>
            <w:tcW w:w="3020" w:type="dxa"/>
          </w:tcPr>
          <w:p w14:paraId="307133EE" w14:textId="027BFB63" w:rsidR="001F6AF1" w:rsidRDefault="001F6AF1" w:rsidP="001F6AF1">
            <w:pPr>
              <w:pStyle w:val="TableText"/>
            </w:pPr>
            <w:r w:rsidRPr="00127B77">
              <w:t xml:space="preserve">Increased likelihood of extreme events (i.e., </w:t>
            </w:r>
            <w:r w:rsidR="00FC6D82">
              <w:t xml:space="preserve">wildfire, </w:t>
            </w:r>
            <w:proofErr w:type="gramStart"/>
            <w:r w:rsidRPr="00127B77">
              <w:t>heatwave</w:t>
            </w:r>
            <w:proofErr w:type="gramEnd"/>
            <w:r w:rsidRPr="00127B77">
              <w:t xml:space="preserve"> and drought)</w:t>
            </w:r>
          </w:p>
        </w:tc>
        <w:tc>
          <w:tcPr>
            <w:tcW w:w="3020" w:type="dxa"/>
          </w:tcPr>
          <w:p w14:paraId="1226C2FD" w14:textId="77777777" w:rsidR="001F6AF1" w:rsidRPr="00804EC9" w:rsidRDefault="001F6AF1" w:rsidP="001F6AF1">
            <w:pPr>
              <w:pStyle w:val="TableBullet1"/>
              <w:keepNext/>
            </w:pPr>
            <w:r w:rsidRPr="00804EC9">
              <w:t>Status: current &amp; future</w:t>
            </w:r>
          </w:p>
          <w:p w14:paraId="74131E5B" w14:textId="77777777" w:rsidR="001F6AF1" w:rsidRPr="00804EC9" w:rsidRDefault="001F6AF1" w:rsidP="001F6AF1">
            <w:pPr>
              <w:pStyle w:val="TableBullet1"/>
              <w:keepNext/>
            </w:pPr>
            <w:r w:rsidRPr="00804EC9">
              <w:t xml:space="preserve">Confidence: </w:t>
            </w:r>
            <w:r>
              <w:t>inferred</w:t>
            </w:r>
          </w:p>
          <w:p w14:paraId="1C806D9D" w14:textId="77777777" w:rsidR="001F6AF1" w:rsidRPr="00804EC9" w:rsidRDefault="001F6AF1" w:rsidP="001F6AF1">
            <w:pPr>
              <w:pStyle w:val="TableBullet1"/>
              <w:keepNext/>
            </w:pPr>
            <w:r w:rsidRPr="00804EC9">
              <w:t>Consequence: moderate</w:t>
            </w:r>
          </w:p>
          <w:p w14:paraId="05F9F0E3" w14:textId="77777777" w:rsidR="001F6AF1" w:rsidRPr="00804EC9" w:rsidRDefault="001F6AF1" w:rsidP="001F6AF1">
            <w:pPr>
              <w:pStyle w:val="TableBullet1"/>
              <w:keepNext/>
            </w:pPr>
            <w:r w:rsidRPr="00804EC9">
              <w:t>Trend: increasing</w:t>
            </w:r>
          </w:p>
          <w:p w14:paraId="01E1F3A0" w14:textId="609AE790" w:rsidR="001F6AF1" w:rsidRDefault="001F6AF1" w:rsidP="001F6AF1">
            <w:pPr>
              <w:pStyle w:val="TableBullet1"/>
              <w:keepNext/>
            </w:pPr>
            <w:r w:rsidRPr="00804EC9">
              <w:t xml:space="preserve">Extent: across the entire range </w:t>
            </w:r>
          </w:p>
        </w:tc>
        <w:tc>
          <w:tcPr>
            <w:tcW w:w="3020" w:type="dxa"/>
          </w:tcPr>
          <w:p w14:paraId="31B27ADF" w14:textId="7EC1D204" w:rsidR="001F6AF1" w:rsidRDefault="001F6AF1" w:rsidP="001F6AF1">
            <w:pPr>
              <w:pStyle w:val="TableText"/>
            </w:pPr>
            <w:r>
              <w:t>Since 1950, the number of record hot days (above 35</w:t>
            </w:r>
            <w:r w:rsidR="001A71E1">
              <w:t>°C</w:t>
            </w:r>
            <w:r>
              <w:t>) across Australia has more than doubled and the mean temperature has increased by about 1.4</w:t>
            </w:r>
            <w:r w:rsidR="001A71E1">
              <w:t xml:space="preserve">°C </w:t>
            </w:r>
            <w:r>
              <w:t xml:space="preserve">since 1910 (BOM &amp; CSIRO 2020; </w:t>
            </w:r>
            <w:r w:rsidRPr="005876EC">
              <w:t>IPCC 2021</w:t>
            </w:r>
            <w:r>
              <w:t xml:space="preserve">). Heatwaves are also lasting longer, </w:t>
            </w:r>
            <w:r>
              <w:lastRenderedPageBreak/>
              <w:t xml:space="preserve">reaching more extreme maximum temperatures, and occurring more frequently over many regions of Australia, including south-eastern Australia (Perkins-Kirkpatrick et al. 2016; Evans et al. 2017; Herold et al. 2018; </w:t>
            </w:r>
            <w:r w:rsidRPr="002F7AD3">
              <w:t>BOM &amp; CSIRO 2020</w:t>
            </w:r>
            <w:r>
              <w:t xml:space="preserve">). Heatwaves also exacerbate drought, which in turn can also increase bushfire risk (Climate Council 2014) and adversely impact resource availability </w:t>
            </w:r>
            <w:r w:rsidRPr="002F7AD3">
              <w:t>(BOM &amp; CSIRO 2020)</w:t>
            </w:r>
            <w:r>
              <w:t>. Birds are also vulnerable to extreme heatwaves that overwhelm their physiological limits (McKechnie et al. 2012).</w:t>
            </w:r>
          </w:p>
          <w:p w14:paraId="0AB3BAD9" w14:textId="7876C072" w:rsidR="00774FE8" w:rsidRDefault="00774FE8" w:rsidP="001F6AF1">
            <w:pPr>
              <w:pStyle w:val="TableText"/>
            </w:pPr>
            <w:r>
              <w:t xml:space="preserve">Droughts </w:t>
            </w:r>
            <w:r w:rsidRPr="00774FE8">
              <w:t>may have reduced productivity of coastal saltmarsh and other habitats used in the non‐breeding season</w:t>
            </w:r>
            <w:r>
              <w:t xml:space="preserve"> (</w:t>
            </w:r>
            <w:r w:rsidR="00294FD5" w:rsidRPr="00294FD5">
              <w:t>Holdsworth et al. 2021</w:t>
            </w:r>
            <w:r>
              <w:t xml:space="preserve">). </w:t>
            </w:r>
          </w:p>
          <w:p w14:paraId="544C0383" w14:textId="2392A91A" w:rsidR="001F6AF1" w:rsidRDefault="001F6AF1" w:rsidP="001F6AF1">
            <w:pPr>
              <w:pStyle w:val="TableText"/>
            </w:pPr>
            <w:r>
              <w:rPr>
                <w:szCs w:val="18"/>
              </w:rPr>
              <w:t xml:space="preserve">The cumulative effect of the climate anomalies has led to and will continue to increase the likelihood of extreme events such as wildfire, </w:t>
            </w:r>
            <w:proofErr w:type="gramStart"/>
            <w:r>
              <w:rPr>
                <w:szCs w:val="18"/>
              </w:rPr>
              <w:t>drought</w:t>
            </w:r>
            <w:proofErr w:type="gramEnd"/>
            <w:r>
              <w:rPr>
                <w:szCs w:val="18"/>
              </w:rPr>
              <w:t xml:space="preserve"> and heatwave (</w:t>
            </w:r>
            <w:r w:rsidRPr="0029216D">
              <w:rPr>
                <w:szCs w:val="18"/>
              </w:rPr>
              <w:t>Di Virgilio et al. 2019</w:t>
            </w:r>
            <w:r>
              <w:rPr>
                <w:szCs w:val="18"/>
              </w:rPr>
              <w:t>;</w:t>
            </w:r>
            <w:r w:rsidRPr="004F6B3C">
              <w:rPr>
                <w:szCs w:val="18"/>
              </w:rPr>
              <w:t xml:space="preserve"> BOM &amp; CSIRO </w:t>
            </w:r>
            <w:r>
              <w:rPr>
                <w:szCs w:val="18"/>
              </w:rPr>
              <w:t>2020) which may have detrimental impacts on Blue-winged Parrots and their habitats.</w:t>
            </w:r>
          </w:p>
        </w:tc>
      </w:tr>
      <w:tr w:rsidR="00C8121C" w14:paraId="2AEEB33A" w14:textId="77777777" w:rsidTr="3792A324">
        <w:tc>
          <w:tcPr>
            <w:tcW w:w="9060" w:type="dxa"/>
            <w:gridSpan w:val="3"/>
          </w:tcPr>
          <w:p w14:paraId="6C985480" w14:textId="4FC5C71B" w:rsidR="00C8121C" w:rsidRDefault="00C8121C" w:rsidP="00C8121C">
            <w:pPr>
              <w:pStyle w:val="TableText"/>
            </w:pPr>
            <w:r w:rsidRPr="00804EC9">
              <w:lastRenderedPageBreak/>
              <w:t>Fire</w:t>
            </w:r>
          </w:p>
        </w:tc>
      </w:tr>
      <w:tr w:rsidR="00C8121C" w14:paraId="1432E70C" w14:textId="77777777" w:rsidTr="3792A324">
        <w:tc>
          <w:tcPr>
            <w:tcW w:w="3020" w:type="dxa"/>
          </w:tcPr>
          <w:p w14:paraId="3A9E35EB" w14:textId="3D2F6B68" w:rsidR="00C8121C" w:rsidRDefault="0576453E" w:rsidP="00C8121C">
            <w:pPr>
              <w:pStyle w:val="TableText"/>
            </w:pPr>
            <w:r>
              <w:t xml:space="preserve">Inappropriate </w:t>
            </w:r>
            <w:r w:rsidR="00FC6D82">
              <w:t>fire regimes</w:t>
            </w:r>
          </w:p>
        </w:tc>
        <w:tc>
          <w:tcPr>
            <w:tcW w:w="3020" w:type="dxa"/>
          </w:tcPr>
          <w:p w14:paraId="6F6D4719" w14:textId="77777777" w:rsidR="00C8121C" w:rsidRPr="00804EC9" w:rsidRDefault="00C8121C" w:rsidP="00C8121C">
            <w:pPr>
              <w:pStyle w:val="TableBullet1"/>
              <w:keepNext/>
            </w:pPr>
            <w:r w:rsidRPr="00804EC9">
              <w:t>Status: current/future</w:t>
            </w:r>
          </w:p>
          <w:p w14:paraId="4E4D6E69" w14:textId="77777777" w:rsidR="00C8121C" w:rsidRPr="00804EC9" w:rsidRDefault="00C8121C" w:rsidP="00C8121C">
            <w:pPr>
              <w:pStyle w:val="TableBullet1"/>
              <w:keepNext/>
            </w:pPr>
            <w:r w:rsidRPr="00804EC9">
              <w:t xml:space="preserve">Confidence: </w:t>
            </w:r>
            <w:r>
              <w:t>inferred</w:t>
            </w:r>
          </w:p>
          <w:p w14:paraId="0B919461" w14:textId="77777777" w:rsidR="00C8121C" w:rsidRPr="00804EC9" w:rsidRDefault="00C8121C" w:rsidP="00C8121C">
            <w:pPr>
              <w:pStyle w:val="TableBullet1"/>
              <w:keepNext/>
            </w:pPr>
            <w:r w:rsidRPr="00804EC9">
              <w:t>Consequence: moderate</w:t>
            </w:r>
          </w:p>
          <w:p w14:paraId="6AF605BB" w14:textId="77777777" w:rsidR="00C8121C" w:rsidRPr="00804EC9" w:rsidRDefault="00C8121C" w:rsidP="00C8121C">
            <w:pPr>
              <w:pStyle w:val="TableBullet1"/>
              <w:keepNext/>
            </w:pPr>
            <w:r w:rsidRPr="00804EC9">
              <w:t>Trend: increasing</w:t>
            </w:r>
          </w:p>
          <w:p w14:paraId="62873F2D" w14:textId="7B46D57C" w:rsidR="00C8121C" w:rsidRPr="00804EC9" w:rsidRDefault="00C8121C" w:rsidP="00C8121C">
            <w:pPr>
              <w:pStyle w:val="TableBullet1"/>
              <w:keepNext/>
            </w:pPr>
            <w:r w:rsidRPr="00804EC9">
              <w:t>Extent: across the entire range</w:t>
            </w:r>
          </w:p>
        </w:tc>
        <w:tc>
          <w:tcPr>
            <w:tcW w:w="3020" w:type="dxa"/>
          </w:tcPr>
          <w:p w14:paraId="4773CCBA" w14:textId="2DCE9FC5" w:rsidR="005B791A" w:rsidRPr="00585AA7" w:rsidRDefault="00C8121C" w:rsidP="00653B0F">
            <w:pPr>
              <w:pStyle w:val="TableText"/>
              <w:keepNext/>
            </w:pPr>
            <w:r>
              <w:t xml:space="preserve">Inappropriate fire regimes are the greatest threat to Australia’s birds after </w:t>
            </w:r>
            <w:r w:rsidRPr="002860E3">
              <w:t>direct human destruction and alteration of habitats</w:t>
            </w:r>
            <w:r w:rsidR="00EB2B1A" w:rsidRPr="002860E3">
              <w:t xml:space="preserve"> (Kearney et al. 2020)</w:t>
            </w:r>
            <w:r w:rsidRPr="002860E3">
              <w:t xml:space="preserve">. </w:t>
            </w:r>
            <w:r w:rsidR="00585AA7" w:rsidRPr="002860E3">
              <w:t xml:space="preserve">Frequent fires can deplete the soil seed </w:t>
            </w:r>
            <w:proofErr w:type="gramStart"/>
            <w:r w:rsidR="00585AA7" w:rsidRPr="002860E3">
              <w:t>bank, and</w:t>
            </w:r>
            <w:proofErr w:type="gramEnd"/>
            <w:r w:rsidR="00585AA7" w:rsidRPr="002860E3">
              <w:t xml:space="preserve"> reduce soil seed viability (Wilson &amp; </w:t>
            </w:r>
            <w:proofErr w:type="spellStart"/>
            <w:r w:rsidR="00585AA7" w:rsidRPr="002860E3">
              <w:t>Bignall</w:t>
            </w:r>
            <w:proofErr w:type="spellEnd"/>
            <w:r w:rsidR="00585AA7" w:rsidRPr="002860E3">
              <w:t xml:space="preserve"> 2009). For example, g</w:t>
            </w:r>
            <w:r w:rsidR="009A134A" w:rsidRPr="002860E3">
              <w:t>rass seeds on or very close to the soil surface</w:t>
            </w:r>
            <w:r w:rsidR="002860E3" w:rsidRPr="002860E3">
              <w:t xml:space="preserve"> are </w:t>
            </w:r>
            <w:r w:rsidR="009A134A" w:rsidRPr="002860E3">
              <w:t xml:space="preserve">vulnerable to being destroyed or sterilised </w:t>
            </w:r>
            <w:r w:rsidR="002860E3" w:rsidRPr="002860E3">
              <w:t>as</w:t>
            </w:r>
            <w:r w:rsidR="009A134A" w:rsidRPr="002860E3">
              <w:t xml:space="preserve"> fire passes</w:t>
            </w:r>
            <w:r w:rsidR="00CC6B45" w:rsidRPr="002860E3">
              <w:t xml:space="preserve"> (</w:t>
            </w:r>
            <w:r w:rsidR="002860E3">
              <w:t>DPIRD</w:t>
            </w:r>
            <w:r w:rsidR="002860E3" w:rsidRPr="002860E3">
              <w:t xml:space="preserve"> 2021</w:t>
            </w:r>
            <w:r w:rsidR="00CC6B45" w:rsidRPr="002860E3">
              <w:t>)</w:t>
            </w:r>
            <w:r w:rsidR="009A134A" w:rsidRPr="002860E3">
              <w:t>.</w:t>
            </w:r>
            <w:r w:rsidR="00CC6B45" w:rsidRPr="002860E3">
              <w:t xml:space="preserve"> </w:t>
            </w:r>
            <w:r w:rsidR="002E1462" w:rsidRPr="002860E3">
              <w:t xml:space="preserve">This </w:t>
            </w:r>
            <w:r w:rsidR="00F802E9" w:rsidRPr="002860E3">
              <w:t>may</w:t>
            </w:r>
            <w:r w:rsidR="00653B0F" w:rsidRPr="002860E3">
              <w:t xml:space="preserve"> </w:t>
            </w:r>
            <w:r w:rsidRPr="002860E3">
              <w:t>contribute to Blue-winged Parrot decline through</w:t>
            </w:r>
            <w:r w:rsidR="0014734D" w:rsidRPr="002860E3">
              <w:t xml:space="preserve"> reduced seed availability leading to food shortages.</w:t>
            </w:r>
            <w:r w:rsidR="007973FE" w:rsidRPr="002860E3">
              <w:t xml:space="preserve"> </w:t>
            </w:r>
            <w:r w:rsidR="00585AA7" w:rsidRPr="002860E3">
              <w:t>Long-term, the composition and/or structure of vegetation may change so that it is no longer suitable (Spencer &amp; Baxter 2006).</w:t>
            </w:r>
          </w:p>
          <w:p w14:paraId="169E34F7" w14:textId="3BB1C658" w:rsidR="00F802E9" w:rsidRDefault="00F802E9" w:rsidP="00C8121C">
            <w:pPr>
              <w:pStyle w:val="TableText"/>
              <w:keepNext/>
            </w:pPr>
            <w:r>
              <w:t xml:space="preserve">Fire suppression can be as detrimental as too frequent fires (Wilson &amp; </w:t>
            </w:r>
            <w:proofErr w:type="spellStart"/>
            <w:r>
              <w:t>Bignall</w:t>
            </w:r>
            <w:proofErr w:type="spellEnd"/>
            <w:r>
              <w:t xml:space="preserve"> 2009). Fire plays an important role in environmental ecology, and is needed to trigger natural processes, such as stimulating seed germination (Olsen et al. 2005). Infrequent fire results in wood thickening and loss of grassy woodlands, granivorous </w:t>
            </w:r>
            <w:r>
              <w:lastRenderedPageBreak/>
              <w:t>species and general biodiversity (Olsen et al. 2005).</w:t>
            </w:r>
          </w:p>
          <w:p w14:paraId="798F9422" w14:textId="0E8FFDE9" w:rsidR="00C8121C" w:rsidRPr="00EC085A" w:rsidRDefault="00C8121C" w:rsidP="00C8121C">
            <w:pPr>
              <w:pStyle w:val="TableText"/>
            </w:pPr>
            <w:r>
              <w:t>Since little is known about the appropriate fire regime for the species, particularly in fragmented landscapes, the potential for negative outcomes from management actions is high. A greater level of understanding is required to achieve effective management.</w:t>
            </w:r>
            <w:r w:rsidR="00880B41">
              <w:t xml:space="preserve">  </w:t>
            </w:r>
          </w:p>
        </w:tc>
      </w:tr>
      <w:tr w:rsidR="007A58D4" w14:paraId="19530747" w14:textId="77777777" w:rsidTr="3792A324">
        <w:tc>
          <w:tcPr>
            <w:tcW w:w="9060" w:type="dxa"/>
            <w:gridSpan w:val="3"/>
          </w:tcPr>
          <w:p w14:paraId="66244AB6" w14:textId="0715287E" w:rsidR="007A58D4" w:rsidRPr="00EC085A" w:rsidRDefault="007A58D4" w:rsidP="00C8121C">
            <w:pPr>
              <w:pStyle w:val="TableText"/>
            </w:pPr>
            <w:r w:rsidRPr="00185941">
              <w:lastRenderedPageBreak/>
              <w:t>Predation</w:t>
            </w:r>
          </w:p>
        </w:tc>
      </w:tr>
      <w:tr w:rsidR="009938DC" w14:paraId="1F9A105A" w14:textId="77777777" w:rsidTr="3792A324">
        <w:tc>
          <w:tcPr>
            <w:tcW w:w="3020" w:type="dxa"/>
          </w:tcPr>
          <w:p w14:paraId="1224A138" w14:textId="70421A77" w:rsidR="009938DC" w:rsidRPr="005A7A81" w:rsidRDefault="009938DC" w:rsidP="009938DC">
            <w:pPr>
              <w:pStyle w:val="TableText"/>
            </w:pPr>
            <w:r>
              <w:t>Predation by introduced Sugar Gliders</w:t>
            </w:r>
            <w:r w:rsidR="00192BD6">
              <w:t xml:space="preserve"> i</w:t>
            </w:r>
            <w:r w:rsidR="005A7A81">
              <w:t>n Tasmania</w:t>
            </w:r>
          </w:p>
        </w:tc>
        <w:tc>
          <w:tcPr>
            <w:tcW w:w="3020" w:type="dxa"/>
          </w:tcPr>
          <w:p w14:paraId="1EC18EE7" w14:textId="77777777" w:rsidR="009938DC" w:rsidRPr="00804EC9" w:rsidRDefault="009938DC" w:rsidP="009938DC">
            <w:pPr>
              <w:pStyle w:val="TableBullet1"/>
              <w:keepNext/>
            </w:pPr>
            <w:r w:rsidRPr="00804EC9">
              <w:t>Status: current &amp; future</w:t>
            </w:r>
          </w:p>
          <w:p w14:paraId="0293F5A2" w14:textId="45A8123A" w:rsidR="009938DC" w:rsidRPr="00804EC9" w:rsidRDefault="009938DC" w:rsidP="009938DC">
            <w:pPr>
              <w:pStyle w:val="TableBullet1"/>
              <w:keepNext/>
            </w:pPr>
            <w:r w:rsidRPr="00804EC9">
              <w:t xml:space="preserve">Confidence: </w:t>
            </w:r>
            <w:r w:rsidR="0032479C">
              <w:t>suspected</w:t>
            </w:r>
          </w:p>
          <w:p w14:paraId="014306CC" w14:textId="77777777" w:rsidR="009938DC" w:rsidRPr="00804EC9" w:rsidRDefault="009938DC" w:rsidP="009938DC">
            <w:pPr>
              <w:pStyle w:val="TableBullet1"/>
              <w:keepNext/>
            </w:pPr>
            <w:r w:rsidRPr="00804EC9">
              <w:t xml:space="preserve">Consequence: </w:t>
            </w:r>
            <w:r>
              <w:t>unknown</w:t>
            </w:r>
          </w:p>
          <w:p w14:paraId="03686368" w14:textId="77777777" w:rsidR="009938DC" w:rsidRPr="00804EC9" w:rsidRDefault="009938DC" w:rsidP="009938DC">
            <w:pPr>
              <w:pStyle w:val="TableBullet1"/>
              <w:keepNext/>
            </w:pPr>
            <w:r w:rsidRPr="00804EC9">
              <w:t>Trend: static</w:t>
            </w:r>
          </w:p>
          <w:p w14:paraId="224991AD" w14:textId="56BA4618" w:rsidR="009938DC" w:rsidRPr="00804EC9" w:rsidRDefault="009938DC" w:rsidP="009938DC">
            <w:pPr>
              <w:pStyle w:val="TableBullet1"/>
              <w:keepNext/>
            </w:pPr>
            <w:r w:rsidRPr="00804EC9">
              <w:t>Extent: across part of its range</w:t>
            </w:r>
          </w:p>
        </w:tc>
        <w:tc>
          <w:tcPr>
            <w:tcW w:w="3020" w:type="dxa"/>
          </w:tcPr>
          <w:p w14:paraId="7B665364" w14:textId="5DBCD974" w:rsidR="009938DC" w:rsidRPr="00567D68" w:rsidRDefault="009938DC" w:rsidP="009938DC">
            <w:pPr>
              <w:pStyle w:val="TableText"/>
              <w:keepNext/>
            </w:pPr>
            <w:r>
              <w:t xml:space="preserve">While considered a species native to the Australian mainland, Sugar Gliders are thought to be introduced to mainland Tasmania (Gunn 1851; Rounsevell et al. 1991; </w:t>
            </w:r>
            <w:proofErr w:type="spellStart"/>
            <w:r>
              <w:t>Lindenmayer</w:t>
            </w:r>
            <w:proofErr w:type="spellEnd"/>
            <w:r>
              <w:t xml:space="preserve"> 2002; Hui 2006). Nest predation by Sugar Gliders may pose a threat to Blue-winged Parrots breeding in Tasmania as inferred by research on Swift Parrots (Stojanovic et al. 2014; Heinsohn et al. 2015). Sugar Gliders not only pre</w:t>
            </w:r>
            <w:r w:rsidR="2BAC4601">
              <w:t>y</w:t>
            </w:r>
            <w:r>
              <w:t xml:space="preserve"> on nesting young and eggs</w:t>
            </w:r>
            <w:r w:rsidR="526BDE8F">
              <w:t xml:space="preserve"> of Swift Parrots</w:t>
            </w:r>
            <w:r>
              <w:t>, but also often kill the sitting female (Stojanovic et al. 2014; Heinsohn et al. 2015).</w:t>
            </w:r>
          </w:p>
        </w:tc>
      </w:tr>
      <w:tr w:rsidR="009938DC" w14:paraId="3CA9F08E" w14:textId="77777777" w:rsidTr="3792A324">
        <w:tc>
          <w:tcPr>
            <w:tcW w:w="3020" w:type="dxa"/>
          </w:tcPr>
          <w:p w14:paraId="1A16B182" w14:textId="5AB1F936" w:rsidR="009938DC" w:rsidRPr="00127B77" w:rsidRDefault="009938DC" w:rsidP="009938DC">
            <w:pPr>
              <w:pStyle w:val="TableText"/>
            </w:pPr>
            <w:r>
              <w:t>Predation by c</w:t>
            </w:r>
            <w:r w:rsidRPr="00185941">
              <w:t>ats and foxes</w:t>
            </w:r>
            <w:r w:rsidRPr="00185941">
              <w:rPr>
                <w:i/>
                <w:iCs/>
              </w:rPr>
              <w:t xml:space="preserve"> </w:t>
            </w:r>
          </w:p>
        </w:tc>
        <w:tc>
          <w:tcPr>
            <w:tcW w:w="3020" w:type="dxa"/>
          </w:tcPr>
          <w:p w14:paraId="5F8AC0C8" w14:textId="77777777" w:rsidR="009938DC" w:rsidRPr="00804EC9" w:rsidRDefault="009938DC" w:rsidP="009938DC">
            <w:pPr>
              <w:pStyle w:val="TableBullet1"/>
              <w:keepNext/>
            </w:pPr>
            <w:r w:rsidRPr="00804EC9">
              <w:t>Status: current &amp; future</w:t>
            </w:r>
          </w:p>
          <w:p w14:paraId="6912AD18" w14:textId="77777777" w:rsidR="009938DC" w:rsidRPr="00804EC9" w:rsidRDefault="009938DC" w:rsidP="009938DC">
            <w:pPr>
              <w:pStyle w:val="TableBullet1"/>
              <w:keepNext/>
            </w:pPr>
            <w:r w:rsidRPr="00804EC9">
              <w:t>Confidence: known</w:t>
            </w:r>
          </w:p>
          <w:p w14:paraId="0C8755E7" w14:textId="77777777" w:rsidR="009938DC" w:rsidRPr="00804EC9" w:rsidRDefault="009938DC" w:rsidP="009938DC">
            <w:pPr>
              <w:pStyle w:val="TableBullet1"/>
              <w:keepNext/>
            </w:pPr>
            <w:r w:rsidRPr="00804EC9">
              <w:t>Consequence: low</w:t>
            </w:r>
          </w:p>
          <w:p w14:paraId="3EF72CC6" w14:textId="77777777" w:rsidR="009938DC" w:rsidRPr="00804EC9" w:rsidRDefault="009938DC" w:rsidP="009938DC">
            <w:pPr>
              <w:pStyle w:val="TableBullet1"/>
              <w:keepNext/>
            </w:pPr>
            <w:r w:rsidRPr="00804EC9">
              <w:t>Trend: static</w:t>
            </w:r>
          </w:p>
          <w:p w14:paraId="73A48F55" w14:textId="2B7D8810" w:rsidR="009938DC" w:rsidRPr="00804EC9" w:rsidRDefault="009938DC" w:rsidP="009938DC">
            <w:pPr>
              <w:pStyle w:val="TableBullet1"/>
              <w:keepNext/>
            </w:pPr>
            <w:r w:rsidRPr="00804EC9">
              <w:t>Extent: across part of its range</w:t>
            </w:r>
          </w:p>
        </w:tc>
        <w:tc>
          <w:tcPr>
            <w:tcW w:w="3020" w:type="dxa"/>
          </w:tcPr>
          <w:p w14:paraId="09D9A961" w14:textId="32FE3826" w:rsidR="009938DC" w:rsidRDefault="009938DC" w:rsidP="009938DC">
            <w:pPr>
              <w:pStyle w:val="TableText"/>
              <w:keepNext/>
            </w:pPr>
            <w:r>
              <w:t xml:space="preserve">Predation by feral cats (Commonwealth of Australia 2015a, 2015b) is a threat to Blue-winged Parrots, as documented by </w:t>
            </w:r>
            <w:proofErr w:type="spellStart"/>
            <w:r>
              <w:t>Woinarski</w:t>
            </w:r>
            <w:proofErr w:type="spellEnd"/>
            <w:r>
              <w:t xml:space="preserve"> et al. (2017). The threat of cats </w:t>
            </w:r>
            <w:r w:rsidR="0F2C1B25">
              <w:t>may be</w:t>
            </w:r>
            <w:r>
              <w:t xml:space="preserve"> amplified by bushfires as they take advantage of recently burnt areas (McGregor et al. 2016), as they prefer to hunt in open habitats (McGregor et al. 2015).</w:t>
            </w:r>
          </w:p>
          <w:p w14:paraId="0B1B982F" w14:textId="30EF1434" w:rsidR="009938DC" w:rsidRDefault="009938DC" w:rsidP="009938DC">
            <w:pPr>
              <w:pStyle w:val="TableText"/>
            </w:pPr>
            <w:r>
              <w:t xml:space="preserve">Foxes </w:t>
            </w:r>
            <w:r w:rsidRPr="00804EC9">
              <w:t xml:space="preserve">may </w:t>
            </w:r>
            <w:r>
              <w:t xml:space="preserve">kill </w:t>
            </w:r>
            <w:r w:rsidRPr="00804EC9">
              <w:t xml:space="preserve">some birds </w:t>
            </w:r>
            <w:r>
              <w:t xml:space="preserve">on the mainland, </w:t>
            </w:r>
            <w:r w:rsidRPr="00804EC9">
              <w:t>given the</w:t>
            </w:r>
            <w:r>
              <w:t xml:space="preserve"> species</w:t>
            </w:r>
            <w:r w:rsidRPr="00804EC9">
              <w:t xml:space="preserve"> f</w:t>
            </w:r>
            <w:r>
              <w:t>orages</w:t>
            </w:r>
            <w:r w:rsidRPr="00804EC9">
              <w:t xml:space="preserve"> on the ground</w:t>
            </w:r>
            <w:r>
              <w:t xml:space="preserve"> (</w:t>
            </w:r>
            <w:r w:rsidRPr="00974178">
              <w:t>Commonwealth of Australia 2008a, 2008b; Holdsworth et al. 2021).</w:t>
            </w:r>
          </w:p>
        </w:tc>
      </w:tr>
      <w:tr w:rsidR="009938DC" w14:paraId="4012EA21" w14:textId="77777777" w:rsidTr="3792A324">
        <w:tc>
          <w:tcPr>
            <w:tcW w:w="9060" w:type="dxa"/>
            <w:gridSpan w:val="3"/>
          </w:tcPr>
          <w:p w14:paraId="7A162EEB" w14:textId="2F0AFC35" w:rsidR="009938DC" w:rsidRDefault="009938DC" w:rsidP="009938DC">
            <w:pPr>
              <w:pStyle w:val="TableText"/>
              <w:keepNext/>
            </w:pPr>
            <w:r>
              <w:t>Competition</w:t>
            </w:r>
          </w:p>
        </w:tc>
      </w:tr>
      <w:tr w:rsidR="009938DC" w14:paraId="07FCFA01" w14:textId="77777777" w:rsidTr="3792A324">
        <w:tc>
          <w:tcPr>
            <w:tcW w:w="3020" w:type="dxa"/>
          </w:tcPr>
          <w:p w14:paraId="650A0641" w14:textId="44FF7BAC" w:rsidR="009938DC" w:rsidRPr="00127B77" w:rsidRDefault="009938DC" w:rsidP="009938DC">
            <w:pPr>
              <w:pStyle w:val="TableText"/>
            </w:pPr>
            <w:r>
              <w:t>Competition for tree hollows</w:t>
            </w:r>
          </w:p>
        </w:tc>
        <w:tc>
          <w:tcPr>
            <w:tcW w:w="3020" w:type="dxa"/>
          </w:tcPr>
          <w:p w14:paraId="44ECA556" w14:textId="77777777" w:rsidR="009938DC" w:rsidRPr="001E3B37" w:rsidRDefault="009938DC" w:rsidP="009938DC">
            <w:pPr>
              <w:pStyle w:val="TableBullet1"/>
              <w:keepNext/>
            </w:pPr>
            <w:r w:rsidRPr="00FD02C1">
              <w:t xml:space="preserve">Status: </w:t>
            </w:r>
            <w:r w:rsidRPr="001E3B37">
              <w:t>current/future</w:t>
            </w:r>
          </w:p>
          <w:p w14:paraId="458FB19A" w14:textId="77777777" w:rsidR="009938DC" w:rsidRPr="001E3B37" w:rsidRDefault="009938DC" w:rsidP="009938DC">
            <w:pPr>
              <w:pStyle w:val="TableBullet1"/>
              <w:keepNext/>
            </w:pPr>
            <w:r w:rsidRPr="001E3B37">
              <w:t>Confidence: inferred</w:t>
            </w:r>
          </w:p>
          <w:p w14:paraId="349D4739" w14:textId="77777777" w:rsidR="009938DC" w:rsidRPr="001E3B37" w:rsidRDefault="009938DC" w:rsidP="009938DC">
            <w:pPr>
              <w:pStyle w:val="TableBullet1"/>
              <w:keepNext/>
            </w:pPr>
            <w:r w:rsidRPr="001E3B37">
              <w:t>Consequence: low</w:t>
            </w:r>
          </w:p>
          <w:p w14:paraId="10C22D3A" w14:textId="77777777" w:rsidR="009938DC" w:rsidRPr="001E3B37" w:rsidRDefault="009938DC" w:rsidP="009938DC">
            <w:pPr>
              <w:pStyle w:val="TableBullet1"/>
              <w:keepNext/>
            </w:pPr>
            <w:r w:rsidRPr="001E3B37">
              <w:t>Trend: unknown</w:t>
            </w:r>
          </w:p>
          <w:p w14:paraId="4C9EE85E" w14:textId="044DC38B" w:rsidR="009938DC" w:rsidRPr="00FD02C1" w:rsidRDefault="009938DC" w:rsidP="009938DC">
            <w:pPr>
              <w:pStyle w:val="TableBullet1"/>
              <w:keepNext/>
            </w:pPr>
            <w:r w:rsidRPr="001E3B37">
              <w:t>Extent: across the entire range</w:t>
            </w:r>
          </w:p>
        </w:tc>
        <w:tc>
          <w:tcPr>
            <w:tcW w:w="3020" w:type="dxa"/>
          </w:tcPr>
          <w:p w14:paraId="0745488D" w14:textId="2D6EFD84" w:rsidR="009938DC" w:rsidRPr="0029216D" w:rsidRDefault="009938DC" w:rsidP="009938DC">
            <w:pPr>
              <w:pStyle w:val="TableText"/>
              <w:keepNext/>
            </w:pPr>
            <w:r>
              <w:t xml:space="preserve">A large proportion of Australian bird species use tree hollows as nesting sites (Newton 1994), and almost all arboreal marsupials use tree hollows (e.g., breeding site or shelter; </w:t>
            </w:r>
            <w:proofErr w:type="spellStart"/>
            <w:r>
              <w:t>Lindenmayer</w:t>
            </w:r>
            <w:proofErr w:type="spellEnd"/>
            <w:r>
              <w:t xml:space="preserve"> et al. 1991). As a result, inter-specific competition may be a common occurrence</w:t>
            </w:r>
            <w:r w:rsidR="53B36498">
              <w:t>, especially where the abundance of hollows has declined</w:t>
            </w:r>
            <w:r>
              <w:t xml:space="preserve">. It is </w:t>
            </w:r>
            <w:proofErr w:type="gramStart"/>
            <w:r>
              <w:t>absolutely crucial</w:t>
            </w:r>
            <w:proofErr w:type="gramEnd"/>
            <w:r>
              <w:t xml:space="preserve"> to implement actions to prevent the further loss of hollow-bearing trees in order to minimise the long-term risk of extinction of hollow-dependent species (Manning et al. 2013; Le </w:t>
            </w:r>
            <w:r>
              <w:lastRenderedPageBreak/>
              <w:t>Roux et al. 2014), including Blue-winged Parrots.</w:t>
            </w:r>
          </w:p>
        </w:tc>
      </w:tr>
      <w:tr w:rsidR="009938DC" w14:paraId="5934F6E8" w14:textId="77777777" w:rsidTr="3792A324">
        <w:tc>
          <w:tcPr>
            <w:tcW w:w="9060" w:type="dxa"/>
            <w:gridSpan w:val="3"/>
          </w:tcPr>
          <w:p w14:paraId="23D5B95D" w14:textId="26824EF6" w:rsidR="009938DC" w:rsidRPr="00FD02C1" w:rsidRDefault="009938DC" w:rsidP="009938DC">
            <w:pPr>
              <w:pStyle w:val="TableText"/>
              <w:rPr>
                <w:highlight w:val="lightGray"/>
              </w:rPr>
            </w:pPr>
            <w:r w:rsidRPr="00FD02C1">
              <w:lastRenderedPageBreak/>
              <w:t>Disease</w:t>
            </w:r>
          </w:p>
        </w:tc>
      </w:tr>
      <w:tr w:rsidR="009938DC" w14:paraId="4053E851" w14:textId="77777777" w:rsidTr="3792A324">
        <w:tc>
          <w:tcPr>
            <w:tcW w:w="3020" w:type="dxa"/>
          </w:tcPr>
          <w:p w14:paraId="5FF0FF1E" w14:textId="17294C95" w:rsidR="009938DC" w:rsidRPr="00FD02C1" w:rsidRDefault="009938DC" w:rsidP="009938DC">
            <w:pPr>
              <w:pStyle w:val="TableText"/>
            </w:pPr>
            <w:r w:rsidRPr="00FD02C1">
              <w:t>Psittacine Beak and Feather Disease</w:t>
            </w:r>
            <w:r>
              <w:t xml:space="preserve"> (PBFD)</w:t>
            </w:r>
          </w:p>
        </w:tc>
        <w:tc>
          <w:tcPr>
            <w:tcW w:w="3020" w:type="dxa"/>
          </w:tcPr>
          <w:p w14:paraId="398317A8" w14:textId="57ECE03E" w:rsidR="009938DC" w:rsidRPr="001E3B37" w:rsidRDefault="009938DC" w:rsidP="009938DC">
            <w:pPr>
              <w:pStyle w:val="TableBullet1"/>
              <w:keepNext/>
            </w:pPr>
            <w:r w:rsidRPr="00FD02C1">
              <w:t xml:space="preserve">Status: </w:t>
            </w:r>
            <w:r w:rsidRPr="001E3B37">
              <w:t>current/future</w:t>
            </w:r>
          </w:p>
          <w:p w14:paraId="752F6637" w14:textId="67907F42" w:rsidR="009938DC" w:rsidRPr="001E3B37" w:rsidRDefault="009938DC" w:rsidP="009938DC">
            <w:pPr>
              <w:pStyle w:val="TableBullet1"/>
              <w:keepNext/>
            </w:pPr>
            <w:r w:rsidRPr="001E3B37">
              <w:t xml:space="preserve">Confidence: </w:t>
            </w:r>
            <w:r w:rsidR="0032479C">
              <w:t>suspected</w:t>
            </w:r>
          </w:p>
          <w:p w14:paraId="3671322F" w14:textId="3B02E6B7" w:rsidR="009938DC" w:rsidRPr="001E3B37" w:rsidRDefault="009938DC" w:rsidP="009938DC">
            <w:pPr>
              <w:pStyle w:val="TableBullet1"/>
              <w:keepNext/>
            </w:pPr>
            <w:r w:rsidRPr="001E3B37">
              <w:t>Consequence: low</w:t>
            </w:r>
          </w:p>
          <w:p w14:paraId="2F9F05A0" w14:textId="450B273B" w:rsidR="009938DC" w:rsidRPr="001E3B37" w:rsidRDefault="009938DC" w:rsidP="009938DC">
            <w:pPr>
              <w:pStyle w:val="TableBullet1"/>
              <w:keepNext/>
            </w:pPr>
            <w:r w:rsidRPr="001E3B37">
              <w:t>Trend: unknown</w:t>
            </w:r>
          </w:p>
          <w:p w14:paraId="3B77FDC3" w14:textId="6A9DDBEE" w:rsidR="009938DC" w:rsidRPr="00FD02C1" w:rsidRDefault="009938DC" w:rsidP="009938DC">
            <w:pPr>
              <w:pStyle w:val="TableBullet1"/>
              <w:keepNext/>
            </w:pPr>
            <w:r w:rsidRPr="001E3B37">
              <w:t>Extent: across the entire range</w:t>
            </w:r>
          </w:p>
        </w:tc>
        <w:tc>
          <w:tcPr>
            <w:tcW w:w="3020" w:type="dxa"/>
          </w:tcPr>
          <w:p w14:paraId="054EEFD8" w14:textId="59EE058C" w:rsidR="009938DC" w:rsidRPr="00A72EAA" w:rsidRDefault="009938DC" w:rsidP="009938DC">
            <w:pPr>
              <w:pStyle w:val="TableText"/>
              <w:keepNext/>
              <w:rPr>
                <w:color w:val="C00000"/>
              </w:rPr>
            </w:pPr>
            <w:r w:rsidRPr="00EC085A">
              <w:t xml:space="preserve">Psittacine Beak and Feather Disease (PBFD) is a widespread, lethal parrot disease, </w:t>
            </w:r>
            <w:r w:rsidRPr="001E3B37">
              <w:t xml:space="preserve">typically transferring between adults, </w:t>
            </w:r>
            <w:proofErr w:type="gramStart"/>
            <w:r w:rsidRPr="001E3B37">
              <w:t>nestlings</w:t>
            </w:r>
            <w:proofErr w:type="gramEnd"/>
            <w:r w:rsidRPr="001E3B37">
              <w:t xml:space="preserve"> and contaminated nest hollows (DEE 2016).</w:t>
            </w:r>
            <w:r>
              <w:rPr>
                <w:color w:val="C00000"/>
              </w:rPr>
              <w:t xml:space="preserve"> </w:t>
            </w:r>
            <w:r w:rsidRPr="001E3B37">
              <w:t xml:space="preserve">Although </w:t>
            </w:r>
            <w:r>
              <w:t>Blue-winged Parrots</w:t>
            </w:r>
            <w:r w:rsidRPr="001E3B37">
              <w:t xml:space="preserve"> are susceptible to PBFD, the threat level is relatively low</w:t>
            </w:r>
            <w:r>
              <w:t>. However, w</w:t>
            </w:r>
            <w:r w:rsidRPr="00077C1B">
              <w:t>ith decreasing nesting hollows and intensified competition</w:t>
            </w:r>
            <w:r>
              <w:t xml:space="preserve">, </w:t>
            </w:r>
            <w:r w:rsidRPr="00077C1B">
              <w:t>it is possible that the likelihood of disease transmission could be greater in the future.</w:t>
            </w:r>
          </w:p>
        </w:tc>
      </w:tr>
    </w:tbl>
    <w:p w14:paraId="7EA81FAE" w14:textId="66D67056" w:rsidR="00C72F10" w:rsidRPr="009A615F" w:rsidRDefault="006E5CC3" w:rsidP="00154B5B">
      <w:pPr>
        <w:pStyle w:val="TableText"/>
      </w:pPr>
      <w:r w:rsidRPr="009A615F">
        <w:t xml:space="preserve">Status—identify the temporal nature of the </w:t>
      </w:r>
      <w:proofErr w:type="gramStart"/>
      <w:r w:rsidRPr="009A615F">
        <w:t>threat</w:t>
      </w:r>
      <w:r w:rsidR="002F34D8" w:rsidRPr="009A615F">
        <w:t>;</w:t>
      </w:r>
      <w:proofErr w:type="gramEnd"/>
    </w:p>
    <w:p w14:paraId="33F0CD41" w14:textId="3984A59C"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w:t>
      </w:r>
      <w:proofErr w:type="gramStart"/>
      <w:r w:rsidR="00F92E66" w:rsidRPr="009A615F">
        <w:t>species</w:t>
      </w:r>
      <w:r w:rsidR="002F34D8" w:rsidRPr="009A615F">
        <w:t>;</w:t>
      </w:r>
      <w:proofErr w:type="gramEnd"/>
    </w:p>
    <w:p w14:paraId="367E107E" w14:textId="30D2164F" w:rsidR="00C72F10" w:rsidRPr="009A615F" w:rsidRDefault="006E5CC3" w:rsidP="00154B5B">
      <w:pPr>
        <w:pStyle w:val="TableText"/>
      </w:pPr>
      <w:r w:rsidRPr="009A615F">
        <w:t>Consequence—identify the severity of th</w:t>
      </w:r>
      <w:r w:rsidR="00F92E66" w:rsidRPr="009A615F">
        <w:t>e</w:t>
      </w:r>
      <w:r w:rsidRPr="009A615F">
        <w:t xml:space="preserve"> </w:t>
      </w:r>
      <w:proofErr w:type="gramStart"/>
      <w:r w:rsidRPr="009A615F">
        <w:t>threat</w:t>
      </w:r>
      <w:r w:rsidR="002F34D8" w:rsidRPr="009A615F">
        <w:t>;</w:t>
      </w:r>
      <w:proofErr w:type="gramEnd"/>
    </w:p>
    <w:p w14:paraId="51DCDE2D" w14:textId="2BEDDEA4" w:rsidR="00C72F10" w:rsidRPr="009A615F" w:rsidRDefault="006E5CC3" w:rsidP="00154B5B">
      <w:pPr>
        <w:pStyle w:val="TableText"/>
      </w:pPr>
      <w:r w:rsidRPr="009A615F">
        <w:t xml:space="preserve">Trend—identify the extent to which it will continue to operate on the </w:t>
      </w:r>
      <w:proofErr w:type="gramStart"/>
      <w:r w:rsidRPr="009A615F">
        <w:t>species</w:t>
      </w:r>
      <w:r w:rsidR="002F34D8" w:rsidRPr="009A615F">
        <w:t>;</w:t>
      </w:r>
      <w:proofErr w:type="gramEnd"/>
    </w:p>
    <w:p w14:paraId="05AA3C4F" w14:textId="195BD7D7"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73741C4F" w14:textId="77777777" w:rsidR="00154B5B" w:rsidRPr="009A615F" w:rsidRDefault="00154B5B" w:rsidP="00154B5B">
      <w:pPr>
        <w:pStyle w:val="TableText"/>
      </w:pPr>
    </w:p>
    <w:p w14:paraId="3A225297" w14:textId="0E11FBD9" w:rsidR="006F5E36" w:rsidRPr="005D69A6" w:rsidRDefault="006F5E36" w:rsidP="006F5E36">
      <w:bookmarkStart w:id="10" w:name="_Hlk65681942"/>
      <w:bookmarkStart w:id="11" w:name="_Ref43127879"/>
      <w:bookmarkStart w:id="12" w:name="_Toc430782162"/>
      <w:bookmarkStart w:id="13" w:name="_Toc511376531"/>
      <w:r w:rsidRPr="00C15F7C">
        <w:t xml:space="preserve">Each threat has been described in Table 1 in terms of the extent that it is operating on the species. The risk matrix (Table 3) provides a visual depiction of the level of risk being imposed by a threat and supports the prioritisation of subsequent management and conservation actions. In preparing a risk matrix, several factors have been taken into consideration, they </w:t>
      </w:r>
      <w:proofErr w:type="gramStart"/>
      <w:r w:rsidRPr="00C15F7C">
        <w:t>are:</w:t>
      </w:r>
      <w:proofErr w:type="gramEnd"/>
      <w:r w:rsidRPr="00C15F7C">
        <w:t xml:space="preserve"> the life stage they affect; the duration of the impact; and the efficacy of current management regimes, assuming that management will continue to be applied appropriately (Table 2). The risk matrix (Table 3) and ranking of threats has been developed in consultation with experts, community consultation and by using available literature.</w:t>
      </w:r>
    </w:p>
    <w:p w14:paraId="51C72BE4" w14:textId="73A0FFE2" w:rsidR="006F5E36" w:rsidRDefault="006F5E36" w:rsidP="006F5E36">
      <w:pPr>
        <w:pStyle w:val="Caption"/>
      </w:pPr>
      <w:bookmarkStart w:id="14" w:name="_Hlk65681979"/>
      <w:bookmarkEnd w:id="10"/>
      <w:r>
        <w:t xml:space="preserve">Table </w:t>
      </w:r>
      <w:r w:rsidR="001B6A4E">
        <w:fldChar w:fldCharType="begin"/>
      </w:r>
      <w:r w:rsidR="001B6A4E">
        <w:instrText xml:space="preserve"> SEQ Table \* A</w:instrText>
      </w:r>
      <w:r w:rsidR="001B6A4E">
        <w:instrText xml:space="preserve">RABIC </w:instrText>
      </w:r>
      <w:r w:rsidR="001B6A4E">
        <w:fldChar w:fldCharType="separate"/>
      </w:r>
      <w:r w:rsidR="00A95726">
        <w:rPr>
          <w:noProof/>
        </w:rPr>
        <w:t>2</w:t>
      </w:r>
      <w:r w:rsidR="001B6A4E">
        <w:rPr>
          <w:noProof/>
        </w:rPr>
        <w:fldChar w:fldCharType="end"/>
      </w:r>
      <w:r>
        <w:t xml:space="preserve"> Risk prioritisation</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6F5E36" w14:paraId="4FC6EFF6" w14:textId="77777777" w:rsidTr="007C16D6">
        <w:trPr>
          <w:cantSplit/>
          <w:tblHeader/>
        </w:trPr>
        <w:tc>
          <w:tcPr>
            <w:tcW w:w="1510" w:type="dxa"/>
            <w:vMerge w:val="restart"/>
          </w:tcPr>
          <w:p w14:paraId="60EBBD24" w14:textId="77777777" w:rsidR="006F5E36" w:rsidRDefault="006F5E36" w:rsidP="007C16D6">
            <w:pPr>
              <w:pStyle w:val="TableHeading"/>
            </w:pPr>
            <w:r>
              <w:t>Likelihood</w:t>
            </w:r>
          </w:p>
        </w:tc>
        <w:tc>
          <w:tcPr>
            <w:tcW w:w="7550" w:type="dxa"/>
            <w:gridSpan w:val="5"/>
          </w:tcPr>
          <w:p w14:paraId="4EC3FCD2" w14:textId="77777777" w:rsidR="006F5E36" w:rsidRDefault="006F5E36" w:rsidP="007C16D6">
            <w:pPr>
              <w:pStyle w:val="TableHeading"/>
            </w:pPr>
            <w:r>
              <w:t>Consequences</w:t>
            </w:r>
          </w:p>
        </w:tc>
      </w:tr>
      <w:tr w:rsidR="006F5E36" w14:paraId="5425C2B4" w14:textId="77777777" w:rsidTr="007C16D6">
        <w:trPr>
          <w:cantSplit/>
          <w:tblHeader/>
        </w:trPr>
        <w:tc>
          <w:tcPr>
            <w:tcW w:w="1510" w:type="dxa"/>
            <w:vMerge/>
          </w:tcPr>
          <w:p w14:paraId="1DF08AE2" w14:textId="77777777" w:rsidR="006F5E36" w:rsidRDefault="006F5E36" w:rsidP="007C16D6">
            <w:pPr>
              <w:pStyle w:val="TableHeading"/>
            </w:pPr>
          </w:p>
        </w:tc>
        <w:tc>
          <w:tcPr>
            <w:tcW w:w="1510" w:type="dxa"/>
          </w:tcPr>
          <w:p w14:paraId="300CC3C3" w14:textId="77777777" w:rsidR="006F5E36" w:rsidRDefault="006F5E36" w:rsidP="007C16D6">
            <w:pPr>
              <w:pStyle w:val="TableHeading"/>
            </w:pPr>
            <w:r>
              <w:t>Not significant</w:t>
            </w:r>
          </w:p>
        </w:tc>
        <w:tc>
          <w:tcPr>
            <w:tcW w:w="1510" w:type="dxa"/>
          </w:tcPr>
          <w:p w14:paraId="74BEEA80" w14:textId="77777777" w:rsidR="006F5E36" w:rsidRDefault="006F5E36" w:rsidP="007C16D6">
            <w:pPr>
              <w:pStyle w:val="TableHeading"/>
            </w:pPr>
            <w:r>
              <w:t>Minor</w:t>
            </w:r>
          </w:p>
        </w:tc>
        <w:tc>
          <w:tcPr>
            <w:tcW w:w="1510" w:type="dxa"/>
          </w:tcPr>
          <w:p w14:paraId="5B372875" w14:textId="77777777" w:rsidR="006F5E36" w:rsidRDefault="006F5E36" w:rsidP="007C16D6">
            <w:pPr>
              <w:pStyle w:val="TableHeading"/>
            </w:pPr>
            <w:r>
              <w:t>Moderate</w:t>
            </w:r>
          </w:p>
        </w:tc>
        <w:tc>
          <w:tcPr>
            <w:tcW w:w="1510" w:type="dxa"/>
          </w:tcPr>
          <w:p w14:paraId="6E18095C" w14:textId="77777777" w:rsidR="006F5E36" w:rsidRDefault="006F5E36" w:rsidP="007C16D6">
            <w:pPr>
              <w:pStyle w:val="TableHeading"/>
            </w:pPr>
            <w:r>
              <w:t>Major</w:t>
            </w:r>
          </w:p>
        </w:tc>
        <w:tc>
          <w:tcPr>
            <w:tcW w:w="1510" w:type="dxa"/>
          </w:tcPr>
          <w:p w14:paraId="2B2C0E1A" w14:textId="77777777" w:rsidR="006F5E36" w:rsidRDefault="006F5E36" w:rsidP="007C16D6">
            <w:pPr>
              <w:pStyle w:val="TableHeading"/>
            </w:pPr>
            <w:r>
              <w:t>Catastrophic</w:t>
            </w:r>
          </w:p>
        </w:tc>
      </w:tr>
      <w:tr w:rsidR="006F5E36" w14:paraId="0C2CAE78" w14:textId="77777777" w:rsidTr="007C16D6">
        <w:tc>
          <w:tcPr>
            <w:tcW w:w="1510" w:type="dxa"/>
          </w:tcPr>
          <w:p w14:paraId="47AB4344" w14:textId="77777777" w:rsidR="006F5E36" w:rsidRPr="00774EAA" w:rsidRDefault="006F5E36" w:rsidP="007C16D6">
            <w:pPr>
              <w:pStyle w:val="TableText"/>
              <w:rPr>
                <w:rStyle w:val="Strong"/>
              </w:rPr>
            </w:pPr>
            <w:r w:rsidRPr="00774EAA">
              <w:rPr>
                <w:rStyle w:val="Strong"/>
              </w:rPr>
              <w:t>Almost certain</w:t>
            </w:r>
          </w:p>
        </w:tc>
        <w:tc>
          <w:tcPr>
            <w:tcW w:w="1510" w:type="dxa"/>
            <w:shd w:val="clear" w:color="auto" w:fill="C2D69B" w:themeFill="accent3" w:themeFillTint="99"/>
          </w:tcPr>
          <w:p w14:paraId="1040534F" w14:textId="77777777" w:rsidR="006F5E36" w:rsidRPr="008A1114" w:rsidRDefault="006F5E36" w:rsidP="007C16D6">
            <w:pPr>
              <w:pStyle w:val="TableText"/>
            </w:pPr>
            <w:r w:rsidRPr="008A1114">
              <w:t>Low risk</w:t>
            </w:r>
          </w:p>
        </w:tc>
        <w:tc>
          <w:tcPr>
            <w:tcW w:w="1510" w:type="dxa"/>
            <w:shd w:val="clear" w:color="auto" w:fill="8DB3E2" w:themeFill="text2" w:themeFillTint="66"/>
          </w:tcPr>
          <w:p w14:paraId="0EC8BBBE" w14:textId="77777777" w:rsidR="006F5E36" w:rsidRPr="008A1114" w:rsidRDefault="006F5E36" w:rsidP="007C16D6">
            <w:pPr>
              <w:pStyle w:val="TableText"/>
            </w:pPr>
            <w:r w:rsidRPr="008A1114">
              <w:t>Moderate risk</w:t>
            </w:r>
          </w:p>
        </w:tc>
        <w:tc>
          <w:tcPr>
            <w:tcW w:w="1510" w:type="dxa"/>
            <w:shd w:val="clear" w:color="auto" w:fill="D99594" w:themeFill="accent2" w:themeFillTint="99"/>
          </w:tcPr>
          <w:p w14:paraId="45D72AC9" w14:textId="77777777" w:rsidR="006F5E36" w:rsidRPr="008A1114" w:rsidRDefault="006F5E36" w:rsidP="007C16D6">
            <w:pPr>
              <w:pStyle w:val="TableText"/>
            </w:pPr>
            <w:r w:rsidRPr="008A1114">
              <w:t>Very high risk</w:t>
            </w:r>
          </w:p>
        </w:tc>
        <w:tc>
          <w:tcPr>
            <w:tcW w:w="1510" w:type="dxa"/>
            <w:shd w:val="clear" w:color="auto" w:fill="D99594" w:themeFill="accent2" w:themeFillTint="99"/>
          </w:tcPr>
          <w:p w14:paraId="6A9134C9" w14:textId="77777777" w:rsidR="006F5E36" w:rsidRPr="008A1114" w:rsidRDefault="006F5E36" w:rsidP="007C16D6">
            <w:pPr>
              <w:pStyle w:val="TableText"/>
            </w:pPr>
            <w:r w:rsidRPr="008A1114">
              <w:t>Very high risk</w:t>
            </w:r>
          </w:p>
        </w:tc>
        <w:tc>
          <w:tcPr>
            <w:tcW w:w="1510" w:type="dxa"/>
            <w:shd w:val="clear" w:color="auto" w:fill="D99594" w:themeFill="accent2" w:themeFillTint="99"/>
          </w:tcPr>
          <w:p w14:paraId="5FA30611" w14:textId="77777777" w:rsidR="006F5E36" w:rsidRPr="008A1114" w:rsidRDefault="006F5E36" w:rsidP="007C16D6">
            <w:pPr>
              <w:pStyle w:val="TableText"/>
            </w:pPr>
            <w:r w:rsidRPr="008A1114">
              <w:t>Very high risk</w:t>
            </w:r>
          </w:p>
        </w:tc>
      </w:tr>
      <w:tr w:rsidR="006F5E36" w14:paraId="41E2FF97" w14:textId="77777777" w:rsidTr="007C16D6">
        <w:tc>
          <w:tcPr>
            <w:tcW w:w="1510" w:type="dxa"/>
          </w:tcPr>
          <w:p w14:paraId="292DE17A" w14:textId="77777777" w:rsidR="006F5E36" w:rsidRPr="00774EAA" w:rsidRDefault="006F5E36" w:rsidP="007C16D6">
            <w:pPr>
              <w:pStyle w:val="TableText"/>
              <w:rPr>
                <w:rStyle w:val="Strong"/>
              </w:rPr>
            </w:pPr>
            <w:r w:rsidRPr="00774EAA">
              <w:rPr>
                <w:rStyle w:val="Strong"/>
              </w:rPr>
              <w:t>Likely</w:t>
            </w:r>
          </w:p>
        </w:tc>
        <w:tc>
          <w:tcPr>
            <w:tcW w:w="1510" w:type="dxa"/>
            <w:shd w:val="clear" w:color="auto" w:fill="C2D69B" w:themeFill="accent3" w:themeFillTint="99"/>
          </w:tcPr>
          <w:p w14:paraId="602FBB6B" w14:textId="77777777" w:rsidR="006F5E36" w:rsidRPr="008A1114" w:rsidRDefault="006F5E36" w:rsidP="007C16D6">
            <w:pPr>
              <w:pStyle w:val="TableText"/>
            </w:pPr>
            <w:r w:rsidRPr="008A1114">
              <w:t>Low risk</w:t>
            </w:r>
          </w:p>
        </w:tc>
        <w:tc>
          <w:tcPr>
            <w:tcW w:w="1510" w:type="dxa"/>
            <w:shd w:val="clear" w:color="auto" w:fill="8DB3E2" w:themeFill="text2" w:themeFillTint="66"/>
          </w:tcPr>
          <w:p w14:paraId="2235D742" w14:textId="77777777" w:rsidR="006F5E36" w:rsidRPr="008A1114" w:rsidRDefault="006F5E36" w:rsidP="007C16D6">
            <w:pPr>
              <w:pStyle w:val="TableText"/>
            </w:pPr>
            <w:r w:rsidRPr="008A1114">
              <w:t>Moderate risk</w:t>
            </w:r>
          </w:p>
        </w:tc>
        <w:tc>
          <w:tcPr>
            <w:tcW w:w="1510" w:type="dxa"/>
            <w:shd w:val="clear" w:color="auto" w:fill="FFFF00"/>
          </w:tcPr>
          <w:p w14:paraId="068FBB39" w14:textId="77777777" w:rsidR="006F5E36" w:rsidRPr="008A1114" w:rsidRDefault="006F5E36" w:rsidP="007C16D6">
            <w:pPr>
              <w:pStyle w:val="TableText"/>
            </w:pPr>
            <w:r w:rsidRPr="008A1114">
              <w:t>High risk</w:t>
            </w:r>
          </w:p>
        </w:tc>
        <w:tc>
          <w:tcPr>
            <w:tcW w:w="1510" w:type="dxa"/>
            <w:shd w:val="clear" w:color="auto" w:fill="D99594" w:themeFill="accent2" w:themeFillTint="99"/>
          </w:tcPr>
          <w:p w14:paraId="530E2EAE" w14:textId="77777777" w:rsidR="006F5E36" w:rsidRPr="008A1114" w:rsidRDefault="006F5E36" w:rsidP="007C16D6">
            <w:pPr>
              <w:pStyle w:val="TableText"/>
            </w:pPr>
            <w:r w:rsidRPr="008A1114">
              <w:t>Very high risk</w:t>
            </w:r>
          </w:p>
        </w:tc>
        <w:tc>
          <w:tcPr>
            <w:tcW w:w="1510" w:type="dxa"/>
            <w:shd w:val="clear" w:color="auto" w:fill="D99594" w:themeFill="accent2" w:themeFillTint="99"/>
          </w:tcPr>
          <w:p w14:paraId="6221B328" w14:textId="77777777" w:rsidR="006F5E36" w:rsidRPr="008A1114" w:rsidRDefault="006F5E36" w:rsidP="007C16D6">
            <w:pPr>
              <w:pStyle w:val="TableText"/>
            </w:pPr>
            <w:r w:rsidRPr="008A1114">
              <w:t>Very high risk</w:t>
            </w:r>
          </w:p>
        </w:tc>
      </w:tr>
      <w:tr w:rsidR="006F5E36" w14:paraId="2D95B006" w14:textId="77777777" w:rsidTr="007C16D6">
        <w:tc>
          <w:tcPr>
            <w:tcW w:w="1510" w:type="dxa"/>
          </w:tcPr>
          <w:p w14:paraId="3C741993" w14:textId="77777777" w:rsidR="006F5E36" w:rsidRPr="00774EAA" w:rsidRDefault="006F5E36" w:rsidP="007C16D6">
            <w:pPr>
              <w:pStyle w:val="TableText"/>
              <w:rPr>
                <w:rStyle w:val="Strong"/>
              </w:rPr>
            </w:pPr>
            <w:r w:rsidRPr="00774EAA">
              <w:rPr>
                <w:rStyle w:val="Strong"/>
              </w:rPr>
              <w:t>Possible</w:t>
            </w:r>
          </w:p>
        </w:tc>
        <w:tc>
          <w:tcPr>
            <w:tcW w:w="1510" w:type="dxa"/>
            <w:shd w:val="clear" w:color="auto" w:fill="C2D69B" w:themeFill="accent3" w:themeFillTint="99"/>
          </w:tcPr>
          <w:p w14:paraId="4D05EE73" w14:textId="77777777" w:rsidR="006F5E36" w:rsidRPr="008A1114" w:rsidRDefault="006F5E36" w:rsidP="007C16D6">
            <w:pPr>
              <w:pStyle w:val="TableText"/>
            </w:pPr>
            <w:r w:rsidRPr="008A1114">
              <w:t>Low risk</w:t>
            </w:r>
          </w:p>
        </w:tc>
        <w:tc>
          <w:tcPr>
            <w:tcW w:w="1510" w:type="dxa"/>
            <w:shd w:val="clear" w:color="auto" w:fill="8DB3E2" w:themeFill="text2" w:themeFillTint="66"/>
          </w:tcPr>
          <w:p w14:paraId="779987A4" w14:textId="77777777" w:rsidR="006F5E36" w:rsidRPr="008A1114" w:rsidRDefault="006F5E36" w:rsidP="007C16D6">
            <w:pPr>
              <w:pStyle w:val="TableText"/>
            </w:pPr>
            <w:r w:rsidRPr="008A1114">
              <w:t>Moderate risk</w:t>
            </w:r>
          </w:p>
        </w:tc>
        <w:tc>
          <w:tcPr>
            <w:tcW w:w="1510" w:type="dxa"/>
            <w:shd w:val="clear" w:color="auto" w:fill="FFFF00"/>
          </w:tcPr>
          <w:p w14:paraId="57F5A4EC" w14:textId="77777777" w:rsidR="006F5E36" w:rsidRPr="008A1114" w:rsidRDefault="006F5E36" w:rsidP="007C16D6">
            <w:pPr>
              <w:pStyle w:val="TableText"/>
            </w:pPr>
            <w:r w:rsidRPr="008A1114">
              <w:t>High risk</w:t>
            </w:r>
          </w:p>
        </w:tc>
        <w:tc>
          <w:tcPr>
            <w:tcW w:w="1510" w:type="dxa"/>
            <w:shd w:val="clear" w:color="auto" w:fill="D99594" w:themeFill="accent2" w:themeFillTint="99"/>
          </w:tcPr>
          <w:p w14:paraId="05C4E5CD" w14:textId="77777777" w:rsidR="006F5E36" w:rsidRPr="008A1114" w:rsidRDefault="006F5E36" w:rsidP="007C16D6">
            <w:pPr>
              <w:pStyle w:val="TableText"/>
            </w:pPr>
            <w:r w:rsidRPr="008A1114">
              <w:t>Very high risk</w:t>
            </w:r>
          </w:p>
        </w:tc>
        <w:tc>
          <w:tcPr>
            <w:tcW w:w="1510" w:type="dxa"/>
            <w:shd w:val="clear" w:color="auto" w:fill="D99594" w:themeFill="accent2" w:themeFillTint="99"/>
          </w:tcPr>
          <w:p w14:paraId="6DB0AACF" w14:textId="77777777" w:rsidR="006F5E36" w:rsidRPr="008A1114" w:rsidRDefault="006F5E36" w:rsidP="007C16D6">
            <w:pPr>
              <w:pStyle w:val="TableText"/>
            </w:pPr>
            <w:r w:rsidRPr="008A1114">
              <w:t>Very high risk</w:t>
            </w:r>
          </w:p>
        </w:tc>
      </w:tr>
      <w:tr w:rsidR="006F5E36" w14:paraId="023C5201" w14:textId="77777777" w:rsidTr="007C16D6">
        <w:tc>
          <w:tcPr>
            <w:tcW w:w="1510" w:type="dxa"/>
          </w:tcPr>
          <w:p w14:paraId="628EB483" w14:textId="77777777" w:rsidR="006F5E36" w:rsidRPr="00774EAA" w:rsidRDefault="006F5E36" w:rsidP="007C16D6">
            <w:pPr>
              <w:pStyle w:val="TableText"/>
              <w:rPr>
                <w:rStyle w:val="Strong"/>
              </w:rPr>
            </w:pPr>
            <w:r w:rsidRPr="00774EAA">
              <w:rPr>
                <w:rStyle w:val="Strong"/>
              </w:rPr>
              <w:t>Unlikely</w:t>
            </w:r>
          </w:p>
        </w:tc>
        <w:tc>
          <w:tcPr>
            <w:tcW w:w="1510" w:type="dxa"/>
            <w:shd w:val="clear" w:color="auto" w:fill="C2D69B" w:themeFill="accent3" w:themeFillTint="99"/>
          </w:tcPr>
          <w:p w14:paraId="17AFF9BB" w14:textId="77777777" w:rsidR="006F5E36" w:rsidRPr="008A1114" w:rsidRDefault="006F5E36" w:rsidP="007C16D6">
            <w:pPr>
              <w:pStyle w:val="TableText"/>
            </w:pPr>
            <w:r w:rsidRPr="008A1114">
              <w:t>Low risk</w:t>
            </w:r>
          </w:p>
        </w:tc>
        <w:tc>
          <w:tcPr>
            <w:tcW w:w="1510" w:type="dxa"/>
            <w:shd w:val="clear" w:color="auto" w:fill="C2D69B" w:themeFill="accent3" w:themeFillTint="99"/>
          </w:tcPr>
          <w:p w14:paraId="550C433D" w14:textId="77777777" w:rsidR="006F5E36" w:rsidRPr="008A1114" w:rsidRDefault="006F5E36" w:rsidP="007C16D6">
            <w:pPr>
              <w:pStyle w:val="TableText"/>
            </w:pPr>
            <w:r w:rsidRPr="008A1114">
              <w:t>Low risk</w:t>
            </w:r>
          </w:p>
        </w:tc>
        <w:tc>
          <w:tcPr>
            <w:tcW w:w="1510" w:type="dxa"/>
            <w:shd w:val="clear" w:color="auto" w:fill="8DB3E2" w:themeFill="text2" w:themeFillTint="66"/>
          </w:tcPr>
          <w:p w14:paraId="527C5FDD" w14:textId="77777777" w:rsidR="006F5E36" w:rsidRPr="008A1114" w:rsidRDefault="006F5E36" w:rsidP="007C16D6">
            <w:pPr>
              <w:pStyle w:val="TableText"/>
            </w:pPr>
            <w:r w:rsidRPr="008A1114">
              <w:t>Moderate risk</w:t>
            </w:r>
          </w:p>
        </w:tc>
        <w:tc>
          <w:tcPr>
            <w:tcW w:w="1510" w:type="dxa"/>
            <w:shd w:val="clear" w:color="auto" w:fill="FFFF00"/>
          </w:tcPr>
          <w:p w14:paraId="08767FEC" w14:textId="77777777" w:rsidR="006F5E36" w:rsidRPr="008A1114" w:rsidRDefault="006F5E36" w:rsidP="007C16D6">
            <w:pPr>
              <w:pStyle w:val="TableText"/>
            </w:pPr>
            <w:r w:rsidRPr="008A1114">
              <w:t>High risk</w:t>
            </w:r>
          </w:p>
        </w:tc>
        <w:tc>
          <w:tcPr>
            <w:tcW w:w="1510" w:type="dxa"/>
            <w:shd w:val="clear" w:color="auto" w:fill="D99594" w:themeFill="accent2" w:themeFillTint="99"/>
          </w:tcPr>
          <w:p w14:paraId="45164405" w14:textId="77777777" w:rsidR="006F5E36" w:rsidRPr="008A1114" w:rsidRDefault="006F5E36" w:rsidP="007C16D6">
            <w:pPr>
              <w:pStyle w:val="TableText"/>
            </w:pPr>
            <w:r w:rsidRPr="008A1114">
              <w:t>Very high risk</w:t>
            </w:r>
          </w:p>
        </w:tc>
      </w:tr>
      <w:tr w:rsidR="006F5E36" w14:paraId="5548D802" w14:textId="77777777" w:rsidTr="007C16D6">
        <w:tc>
          <w:tcPr>
            <w:tcW w:w="1510" w:type="dxa"/>
          </w:tcPr>
          <w:p w14:paraId="5F22B033" w14:textId="77777777" w:rsidR="006F5E36" w:rsidRPr="00774EAA" w:rsidRDefault="006F5E36" w:rsidP="007C16D6">
            <w:pPr>
              <w:pStyle w:val="TableText"/>
              <w:rPr>
                <w:rStyle w:val="Strong"/>
              </w:rPr>
            </w:pPr>
            <w:r w:rsidRPr="00774EAA">
              <w:rPr>
                <w:rStyle w:val="Strong"/>
              </w:rPr>
              <w:t>Unknown</w:t>
            </w:r>
          </w:p>
        </w:tc>
        <w:tc>
          <w:tcPr>
            <w:tcW w:w="1510" w:type="dxa"/>
            <w:shd w:val="clear" w:color="auto" w:fill="C2D69B" w:themeFill="accent3" w:themeFillTint="99"/>
          </w:tcPr>
          <w:p w14:paraId="50CE8B71" w14:textId="77777777" w:rsidR="006F5E36" w:rsidRPr="008A1114" w:rsidRDefault="006F5E36" w:rsidP="007C16D6">
            <w:pPr>
              <w:pStyle w:val="TableText"/>
            </w:pPr>
            <w:r w:rsidRPr="008A1114">
              <w:t>Low risk</w:t>
            </w:r>
          </w:p>
        </w:tc>
        <w:tc>
          <w:tcPr>
            <w:tcW w:w="1510" w:type="dxa"/>
            <w:shd w:val="clear" w:color="auto" w:fill="C2D69B" w:themeFill="accent3" w:themeFillTint="99"/>
          </w:tcPr>
          <w:p w14:paraId="1EC842A6" w14:textId="77777777" w:rsidR="006F5E36" w:rsidRPr="008A1114" w:rsidRDefault="006F5E36" w:rsidP="007C16D6">
            <w:pPr>
              <w:pStyle w:val="TableText"/>
            </w:pPr>
            <w:r w:rsidRPr="008A1114">
              <w:t>Low risk</w:t>
            </w:r>
          </w:p>
        </w:tc>
        <w:tc>
          <w:tcPr>
            <w:tcW w:w="1510" w:type="dxa"/>
            <w:shd w:val="clear" w:color="auto" w:fill="8DB3E2" w:themeFill="text2" w:themeFillTint="66"/>
          </w:tcPr>
          <w:p w14:paraId="03B1908F" w14:textId="77777777" w:rsidR="006F5E36" w:rsidRPr="008A1114" w:rsidRDefault="006F5E36" w:rsidP="007C16D6">
            <w:pPr>
              <w:pStyle w:val="TableText"/>
            </w:pPr>
            <w:r w:rsidRPr="008A1114">
              <w:t>Moderate risk</w:t>
            </w:r>
          </w:p>
        </w:tc>
        <w:tc>
          <w:tcPr>
            <w:tcW w:w="1510" w:type="dxa"/>
            <w:shd w:val="clear" w:color="auto" w:fill="FFFF00"/>
          </w:tcPr>
          <w:p w14:paraId="4E035E8B" w14:textId="77777777" w:rsidR="006F5E36" w:rsidRPr="008A1114" w:rsidRDefault="006F5E36" w:rsidP="007C16D6">
            <w:pPr>
              <w:pStyle w:val="TableText"/>
            </w:pPr>
            <w:r w:rsidRPr="008A1114">
              <w:t>High risk</w:t>
            </w:r>
          </w:p>
        </w:tc>
        <w:tc>
          <w:tcPr>
            <w:tcW w:w="1510" w:type="dxa"/>
            <w:shd w:val="clear" w:color="auto" w:fill="D99594" w:themeFill="accent2" w:themeFillTint="99"/>
          </w:tcPr>
          <w:p w14:paraId="724ED4DB" w14:textId="77777777" w:rsidR="006F5E36" w:rsidRPr="008A1114" w:rsidRDefault="006F5E36" w:rsidP="007C16D6">
            <w:pPr>
              <w:pStyle w:val="TableText"/>
            </w:pPr>
            <w:r w:rsidRPr="008A1114">
              <w:t>Very high risk</w:t>
            </w:r>
          </w:p>
        </w:tc>
      </w:tr>
    </w:tbl>
    <w:p w14:paraId="6693A7B4" w14:textId="77777777" w:rsidR="006F5E36" w:rsidRPr="007C1FBE" w:rsidRDefault="006F5E36" w:rsidP="006F5E36">
      <w:pPr>
        <w:pStyle w:val="FigureTableNoteSource"/>
        <w:rPr>
          <w:rStyle w:val="Strong"/>
        </w:rPr>
      </w:pPr>
      <w:r w:rsidRPr="007C1FBE">
        <w:rPr>
          <w:rStyle w:val="Strong"/>
        </w:rPr>
        <w:t>Categories for likelihood are defined as follows:</w:t>
      </w:r>
    </w:p>
    <w:p w14:paraId="4995A292" w14:textId="77777777" w:rsidR="006F5E36" w:rsidRPr="00E81027" w:rsidRDefault="006F5E36" w:rsidP="006F5E36">
      <w:pPr>
        <w:pStyle w:val="FigureTableNoteSource"/>
      </w:pPr>
      <w:r w:rsidRPr="00E81027">
        <w:t xml:space="preserve">Almost certain – expected to occur every year </w:t>
      </w:r>
    </w:p>
    <w:p w14:paraId="0C8A9063" w14:textId="77777777" w:rsidR="006F5E36" w:rsidRPr="00E81027" w:rsidRDefault="006F5E36" w:rsidP="006F5E36">
      <w:pPr>
        <w:pStyle w:val="FigureTableNoteSource"/>
      </w:pPr>
      <w:r w:rsidRPr="00E81027">
        <w:t xml:space="preserve">Likely – expected to occur at least once every five years </w:t>
      </w:r>
    </w:p>
    <w:p w14:paraId="3AD1D52C" w14:textId="77777777" w:rsidR="006F5E36" w:rsidRPr="00E81027" w:rsidRDefault="006F5E36" w:rsidP="006F5E36">
      <w:pPr>
        <w:pStyle w:val="FigureTableNoteSource"/>
      </w:pPr>
      <w:r w:rsidRPr="00E81027">
        <w:t>Possible – might occur at some time</w:t>
      </w:r>
    </w:p>
    <w:p w14:paraId="1EEBBD19" w14:textId="77777777" w:rsidR="006F5E36" w:rsidRPr="00E81027" w:rsidRDefault="006F5E36" w:rsidP="006F5E36">
      <w:pPr>
        <w:pStyle w:val="FigureTableNoteSource"/>
      </w:pPr>
      <w:r w:rsidRPr="00E81027">
        <w:t>Unlikely – such events are known to have occurred on a worldwide basis but only a few times</w:t>
      </w:r>
    </w:p>
    <w:p w14:paraId="54C21FD4" w14:textId="77777777" w:rsidR="006F5E36" w:rsidRDefault="006F5E36" w:rsidP="006F5E36">
      <w:pPr>
        <w:pStyle w:val="FigureTableNoteSource"/>
      </w:pPr>
      <w:r w:rsidRPr="00E81027">
        <w:t>Rare or Unknown – may occur only in exceptional circumstances; OR it is currently unknown how often the incident will occur</w:t>
      </w:r>
    </w:p>
    <w:p w14:paraId="364BE740" w14:textId="77777777" w:rsidR="006F5E36" w:rsidRPr="0037721B" w:rsidRDefault="006F5E36" w:rsidP="006F5E36">
      <w:pPr>
        <w:pStyle w:val="FigureTableNoteSource"/>
        <w:rPr>
          <w:rStyle w:val="Strong"/>
        </w:rPr>
      </w:pPr>
      <w:r w:rsidRPr="0037721B">
        <w:rPr>
          <w:rStyle w:val="Strong"/>
        </w:rPr>
        <w:t>Categories for consequences are defined as follows:</w:t>
      </w:r>
    </w:p>
    <w:p w14:paraId="18F356EC" w14:textId="77777777" w:rsidR="006F5E36" w:rsidRPr="00E81027" w:rsidRDefault="006F5E36" w:rsidP="006F5E36">
      <w:pPr>
        <w:pStyle w:val="FigureTableNoteSource"/>
      </w:pPr>
      <w:r w:rsidRPr="00E81027">
        <w:t>Not significant – no long-term effect on individuals or populations</w:t>
      </w:r>
    </w:p>
    <w:p w14:paraId="4A5A58F3" w14:textId="77777777" w:rsidR="006F5E36" w:rsidRPr="00E81027" w:rsidRDefault="006F5E36" w:rsidP="006F5E36">
      <w:pPr>
        <w:pStyle w:val="FigureTableNoteSource"/>
      </w:pPr>
      <w:r w:rsidRPr="00E81027">
        <w:t>Minor – individuals are adversely affected but no effect at population level</w:t>
      </w:r>
    </w:p>
    <w:p w14:paraId="07134B7B" w14:textId="77777777" w:rsidR="006F5E36" w:rsidRPr="00E81027" w:rsidRDefault="006F5E36" w:rsidP="006F5E36">
      <w:pPr>
        <w:pStyle w:val="FigureTableNoteSource"/>
      </w:pPr>
      <w:r w:rsidRPr="00E81027">
        <w:t>Moderate – population recovery stalls or reduces</w:t>
      </w:r>
    </w:p>
    <w:p w14:paraId="0A436210" w14:textId="77777777" w:rsidR="006F5E36" w:rsidRPr="00E81027" w:rsidRDefault="006F5E36" w:rsidP="006F5E36">
      <w:pPr>
        <w:pStyle w:val="FigureTableNoteSource"/>
      </w:pPr>
      <w:r w:rsidRPr="00E81027">
        <w:lastRenderedPageBreak/>
        <w:t>Major – population decreases</w:t>
      </w:r>
    </w:p>
    <w:p w14:paraId="5615B203" w14:textId="77777777" w:rsidR="006F5E36" w:rsidRPr="004673C8" w:rsidRDefault="006F5E36" w:rsidP="006F5E36">
      <w:pPr>
        <w:pStyle w:val="FigureTableNoteSource"/>
      </w:pPr>
      <w:r w:rsidRPr="00E81027">
        <w:t>Catastrophic – population extinction</w:t>
      </w:r>
    </w:p>
    <w:bookmarkEnd w:id="14"/>
    <w:p w14:paraId="2704E314" w14:textId="30C026D7" w:rsidR="001A3C77" w:rsidRPr="001A3C77" w:rsidRDefault="00774EAA" w:rsidP="00185941">
      <w:pPr>
        <w:pStyle w:val="Caption"/>
      </w:pPr>
      <w:r>
        <w:t xml:space="preserve">Table </w:t>
      </w:r>
      <w:bookmarkEnd w:id="11"/>
      <w:r w:rsidR="006F5E36">
        <w:rPr>
          <w:noProof/>
        </w:rPr>
        <w:t>3</w:t>
      </w:r>
      <w:r>
        <w:t xml:space="preserve"> Common </w:t>
      </w:r>
      <w:r w:rsidR="00185941">
        <w:t>Blue-winged Parrot</w:t>
      </w:r>
      <w:r>
        <w:t xml:space="preserve"> matrix</w:t>
      </w:r>
    </w:p>
    <w:tbl>
      <w:tblPr>
        <w:tblStyle w:val="TableGrid"/>
        <w:tblW w:w="0" w:type="auto"/>
        <w:tblLook w:val="04A0" w:firstRow="1" w:lastRow="0" w:firstColumn="1" w:lastColumn="0" w:noHBand="0" w:noVBand="1"/>
      </w:tblPr>
      <w:tblGrid>
        <w:gridCol w:w="1486"/>
        <w:gridCol w:w="1486"/>
        <w:gridCol w:w="1507"/>
        <w:gridCol w:w="1579"/>
        <w:gridCol w:w="1506"/>
        <w:gridCol w:w="1496"/>
      </w:tblGrid>
      <w:tr w:rsidR="00774EAA" w14:paraId="079812D7" w14:textId="77777777" w:rsidTr="3792A324">
        <w:trPr>
          <w:cantSplit/>
          <w:tblHeader/>
        </w:trPr>
        <w:tc>
          <w:tcPr>
            <w:tcW w:w="1510" w:type="dxa"/>
            <w:vMerge w:val="restart"/>
          </w:tcPr>
          <w:p w14:paraId="7B11A5EE" w14:textId="00DD8080" w:rsidR="00774EAA" w:rsidRDefault="00774EAA" w:rsidP="00774EAA">
            <w:pPr>
              <w:pStyle w:val="TableHeading"/>
            </w:pPr>
            <w:r>
              <w:t>Likelihood</w:t>
            </w:r>
          </w:p>
        </w:tc>
        <w:tc>
          <w:tcPr>
            <w:tcW w:w="7550" w:type="dxa"/>
            <w:gridSpan w:val="5"/>
          </w:tcPr>
          <w:p w14:paraId="00DF0A3A" w14:textId="66152B50" w:rsidR="00774EAA" w:rsidRDefault="00774EAA" w:rsidP="00774EAA">
            <w:pPr>
              <w:pStyle w:val="TableHeading"/>
            </w:pPr>
            <w:r>
              <w:t>Consequences</w:t>
            </w:r>
          </w:p>
        </w:tc>
      </w:tr>
      <w:tr w:rsidR="00774EAA" w14:paraId="1EBB1379" w14:textId="77777777" w:rsidTr="3792A324">
        <w:trPr>
          <w:cantSplit/>
          <w:tblHeader/>
        </w:trPr>
        <w:tc>
          <w:tcPr>
            <w:tcW w:w="1510" w:type="dxa"/>
            <w:vMerge/>
          </w:tcPr>
          <w:p w14:paraId="70176552" w14:textId="4CB2C287" w:rsidR="00774EAA" w:rsidRDefault="00774EAA" w:rsidP="00774EAA">
            <w:pPr>
              <w:pStyle w:val="TableHeading"/>
            </w:pPr>
          </w:p>
        </w:tc>
        <w:tc>
          <w:tcPr>
            <w:tcW w:w="1510" w:type="dxa"/>
          </w:tcPr>
          <w:p w14:paraId="4C96EE5E" w14:textId="552B7A8C" w:rsidR="00774EAA" w:rsidRDefault="00774EAA" w:rsidP="00774EAA">
            <w:pPr>
              <w:pStyle w:val="TableHeading"/>
            </w:pPr>
            <w:r>
              <w:t>Not significant</w:t>
            </w:r>
          </w:p>
        </w:tc>
        <w:tc>
          <w:tcPr>
            <w:tcW w:w="1510" w:type="dxa"/>
          </w:tcPr>
          <w:p w14:paraId="554359D9" w14:textId="00092893" w:rsidR="00774EAA" w:rsidRDefault="00774EAA" w:rsidP="00774EAA">
            <w:pPr>
              <w:pStyle w:val="TableHeading"/>
            </w:pPr>
            <w:r>
              <w:t>Minor</w:t>
            </w:r>
          </w:p>
        </w:tc>
        <w:tc>
          <w:tcPr>
            <w:tcW w:w="1510" w:type="dxa"/>
          </w:tcPr>
          <w:p w14:paraId="13DAC189" w14:textId="7A664F76" w:rsidR="00774EAA" w:rsidRDefault="00774EAA" w:rsidP="00774EAA">
            <w:pPr>
              <w:pStyle w:val="TableHeading"/>
            </w:pPr>
            <w:r>
              <w:t>Moderate</w:t>
            </w:r>
          </w:p>
        </w:tc>
        <w:tc>
          <w:tcPr>
            <w:tcW w:w="1510" w:type="dxa"/>
          </w:tcPr>
          <w:p w14:paraId="4A3F673B" w14:textId="42036DAF" w:rsidR="00774EAA" w:rsidRDefault="00774EAA" w:rsidP="00774EAA">
            <w:pPr>
              <w:pStyle w:val="TableHeading"/>
            </w:pPr>
            <w:r>
              <w:t>Major</w:t>
            </w:r>
          </w:p>
        </w:tc>
        <w:tc>
          <w:tcPr>
            <w:tcW w:w="1510" w:type="dxa"/>
          </w:tcPr>
          <w:p w14:paraId="7D6820B1" w14:textId="1893B7F4" w:rsidR="00774EAA" w:rsidRDefault="00774EAA" w:rsidP="00774EAA">
            <w:pPr>
              <w:pStyle w:val="TableHeading"/>
            </w:pPr>
            <w:r>
              <w:t>Catastrophic</w:t>
            </w:r>
          </w:p>
        </w:tc>
      </w:tr>
      <w:tr w:rsidR="00774EAA" w14:paraId="0E7FA2E1" w14:textId="77777777" w:rsidTr="3792A324">
        <w:tc>
          <w:tcPr>
            <w:tcW w:w="1510" w:type="dxa"/>
          </w:tcPr>
          <w:p w14:paraId="09E6D576" w14:textId="53BBCBAB" w:rsidR="00774EAA" w:rsidRPr="00774EAA" w:rsidRDefault="00774EAA" w:rsidP="00774EAA">
            <w:pPr>
              <w:pStyle w:val="TableText"/>
              <w:rPr>
                <w:rStyle w:val="Strong"/>
              </w:rPr>
            </w:pPr>
            <w:r w:rsidRPr="00774EAA">
              <w:rPr>
                <w:rStyle w:val="Strong"/>
              </w:rPr>
              <w:t>Almost certain</w:t>
            </w:r>
          </w:p>
        </w:tc>
        <w:tc>
          <w:tcPr>
            <w:tcW w:w="1510" w:type="dxa"/>
            <w:shd w:val="clear" w:color="auto" w:fill="C2D69B" w:themeFill="accent3" w:themeFillTint="99"/>
          </w:tcPr>
          <w:p w14:paraId="7797D4CC" w14:textId="47BFD4CD" w:rsidR="00927D81" w:rsidRDefault="00927D81" w:rsidP="00774EAA">
            <w:pPr>
              <w:pStyle w:val="TableText"/>
            </w:pPr>
          </w:p>
        </w:tc>
        <w:tc>
          <w:tcPr>
            <w:tcW w:w="1510" w:type="dxa"/>
            <w:shd w:val="clear" w:color="auto" w:fill="8DB3E2" w:themeFill="text2" w:themeFillTint="66"/>
          </w:tcPr>
          <w:p w14:paraId="16CB9A83" w14:textId="4F6A9AC2" w:rsidR="00774EAA" w:rsidRDefault="00774EAA" w:rsidP="00774EAA">
            <w:pPr>
              <w:pStyle w:val="TableText"/>
            </w:pPr>
          </w:p>
        </w:tc>
        <w:tc>
          <w:tcPr>
            <w:tcW w:w="1510" w:type="dxa"/>
            <w:shd w:val="clear" w:color="auto" w:fill="D99594" w:themeFill="accent2" w:themeFillTint="99"/>
          </w:tcPr>
          <w:p w14:paraId="1BF34592" w14:textId="53DC8F19" w:rsidR="00774EAA" w:rsidRDefault="00774EAA" w:rsidP="00774EAA">
            <w:pPr>
              <w:pStyle w:val="TableText"/>
            </w:pPr>
          </w:p>
        </w:tc>
        <w:tc>
          <w:tcPr>
            <w:tcW w:w="1510" w:type="dxa"/>
            <w:shd w:val="clear" w:color="auto" w:fill="D99594" w:themeFill="accent2" w:themeFillTint="99"/>
          </w:tcPr>
          <w:p w14:paraId="5EC0AB6F" w14:textId="46898981" w:rsidR="00774EAA" w:rsidRDefault="00774EAA" w:rsidP="007035AC">
            <w:pPr>
              <w:pStyle w:val="TableBullet1"/>
              <w:numPr>
                <w:ilvl w:val="0"/>
                <w:numId w:val="0"/>
              </w:numPr>
              <w:ind w:left="284" w:hanging="284"/>
            </w:pPr>
          </w:p>
        </w:tc>
        <w:tc>
          <w:tcPr>
            <w:tcW w:w="1510" w:type="dxa"/>
            <w:shd w:val="clear" w:color="auto" w:fill="D99594" w:themeFill="accent2" w:themeFillTint="99"/>
          </w:tcPr>
          <w:p w14:paraId="207DA069" w14:textId="1DE5A8FB" w:rsidR="00774EAA" w:rsidRDefault="00774EAA" w:rsidP="00774EAA">
            <w:pPr>
              <w:pStyle w:val="TableText"/>
            </w:pPr>
          </w:p>
        </w:tc>
      </w:tr>
      <w:tr w:rsidR="00774EAA" w14:paraId="08F59FB1" w14:textId="77777777" w:rsidTr="3792A324">
        <w:tc>
          <w:tcPr>
            <w:tcW w:w="1510" w:type="dxa"/>
          </w:tcPr>
          <w:p w14:paraId="51985732" w14:textId="66812F98" w:rsidR="00774EAA" w:rsidRPr="00774EAA" w:rsidRDefault="00774EAA" w:rsidP="00774EAA">
            <w:pPr>
              <w:pStyle w:val="TableText"/>
              <w:rPr>
                <w:rStyle w:val="Strong"/>
              </w:rPr>
            </w:pPr>
            <w:r w:rsidRPr="00774EAA">
              <w:rPr>
                <w:rStyle w:val="Strong"/>
              </w:rPr>
              <w:t>Likely</w:t>
            </w:r>
          </w:p>
        </w:tc>
        <w:tc>
          <w:tcPr>
            <w:tcW w:w="1510" w:type="dxa"/>
            <w:shd w:val="clear" w:color="auto" w:fill="C2D69B" w:themeFill="accent3" w:themeFillTint="99"/>
          </w:tcPr>
          <w:p w14:paraId="5C56019D" w14:textId="729310DF" w:rsidR="00774EAA" w:rsidRDefault="00774EAA" w:rsidP="00774EAA">
            <w:pPr>
              <w:pStyle w:val="TableText"/>
            </w:pPr>
          </w:p>
        </w:tc>
        <w:tc>
          <w:tcPr>
            <w:tcW w:w="1510" w:type="dxa"/>
            <w:shd w:val="clear" w:color="auto" w:fill="8DB3E2" w:themeFill="text2" w:themeFillTint="66"/>
          </w:tcPr>
          <w:p w14:paraId="53E72885" w14:textId="77777777" w:rsidR="009938DC" w:rsidRDefault="009938DC" w:rsidP="009938DC">
            <w:pPr>
              <w:pStyle w:val="TableBullet1"/>
            </w:pPr>
            <w:r w:rsidRPr="007E463C">
              <w:t xml:space="preserve">Predation by introduced </w:t>
            </w:r>
            <w:r>
              <w:t>Sugar Gliders</w:t>
            </w:r>
            <w:r w:rsidRPr="007E463C">
              <w:t xml:space="preserve"> </w:t>
            </w:r>
          </w:p>
          <w:p w14:paraId="13CFDD64" w14:textId="1AC71F6D" w:rsidR="009938DC" w:rsidRDefault="009938DC" w:rsidP="009938DC">
            <w:pPr>
              <w:pStyle w:val="TableBullet1"/>
            </w:pPr>
            <w:r w:rsidRPr="007E463C">
              <w:t xml:space="preserve">Predation by </w:t>
            </w:r>
            <w:r w:rsidR="00DF6021">
              <w:t>c</w:t>
            </w:r>
            <w:r w:rsidRPr="007E463C">
              <w:t>ats and foxes</w:t>
            </w:r>
          </w:p>
          <w:p w14:paraId="6A88C5D0" w14:textId="286D107C" w:rsidR="007E463C" w:rsidRDefault="009938DC" w:rsidP="009938DC">
            <w:pPr>
              <w:pStyle w:val="TableBullet1"/>
            </w:pPr>
            <w:r>
              <w:t>Competition for tree hollows</w:t>
            </w:r>
          </w:p>
        </w:tc>
        <w:tc>
          <w:tcPr>
            <w:tcW w:w="1510" w:type="dxa"/>
            <w:shd w:val="clear" w:color="auto" w:fill="FFFF00"/>
          </w:tcPr>
          <w:p w14:paraId="1C19BE57" w14:textId="4F52C195" w:rsidR="007E463C" w:rsidRDefault="07D1E44C" w:rsidP="001F6AF1">
            <w:pPr>
              <w:pStyle w:val="TableBullet1"/>
            </w:pPr>
            <w:r>
              <w:t xml:space="preserve">Inappropriate </w:t>
            </w:r>
            <w:r w:rsidR="00FC6D82">
              <w:t>fire regimes</w:t>
            </w:r>
          </w:p>
        </w:tc>
        <w:tc>
          <w:tcPr>
            <w:tcW w:w="1510" w:type="dxa"/>
            <w:shd w:val="clear" w:color="auto" w:fill="D99594" w:themeFill="accent2" w:themeFillTint="99"/>
          </w:tcPr>
          <w:p w14:paraId="256CF3EE" w14:textId="77777777" w:rsidR="007035AC" w:rsidRDefault="007035AC" w:rsidP="007035AC">
            <w:pPr>
              <w:pStyle w:val="TableBullet1"/>
            </w:pPr>
            <w:r>
              <w:t xml:space="preserve">Habitat loss caused by clearing </w:t>
            </w:r>
            <w:proofErr w:type="gramStart"/>
            <w:r>
              <w:t>for  agriculture</w:t>
            </w:r>
            <w:proofErr w:type="gramEnd"/>
            <w:r>
              <w:t xml:space="preserve"> </w:t>
            </w:r>
          </w:p>
          <w:p w14:paraId="22A7DA29" w14:textId="6B5BBA1D" w:rsidR="00774EAA" w:rsidRDefault="007035AC" w:rsidP="007035AC">
            <w:pPr>
              <w:pStyle w:val="TableBullet1"/>
            </w:pPr>
            <w:r>
              <w:t xml:space="preserve">Habitat degradation caused by </w:t>
            </w:r>
            <w:r w:rsidR="0064100F">
              <w:t xml:space="preserve">domestic </w:t>
            </w:r>
            <w:r>
              <w:t>livestock grazing</w:t>
            </w:r>
          </w:p>
        </w:tc>
        <w:tc>
          <w:tcPr>
            <w:tcW w:w="1510" w:type="dxa"/>
            <w:shd w:val="clear" w:color="auto" w:fill="D99594" w:themeFill="accent2" w:themeFillTint="99"/>
          </w:tcPr>
          <w:p w14:paraId="1C692679" w14:textId="25538B86" w:rsidR="00774EAA" w:rsidRDefault="00774EAA" w:rsidP="00774EAA">
            <w:pPr>
              <w:pStyle w:val="TableText"/>
            </w:pPr>
          </w:p>
        </w:tc>
      </w:tr>
      <w:tr w:rsidR="00774EAA" w14:paraId="38F6105B" w14:textId="77777777" w:rsidTr="3792A324">
        <w:tc>
          <w:tcPr>
            <w:tcW w:w="1510" w:type="dxa"/>
          </w:tcPr>
          <w:p w14:paraId="51FBF176" w14:textId="050BB735" w:rsidR="00774EAA" w:rsidRPr="00774EAA" w:rsidRDefault="00774EAA" w:rsidP="00774EAA">
            <w:pPr>
              <w:pStyle w:val="TableText"/>
              <w:rPr>
                <w:rStyle w:val="Strong"/>
              </w:rPr>
            </w:pPr>
            <w:r w:rsidRPr="00774EAA">
              <w:rPr>
                <w:rStyle w:val="Strong"/>
              </w:rPr>
              <w:t>Possible</w:t>
            </w:r>
          </w:p>
        </w:tc>
        <w:tc>
          <w:tcPr>
            <w:tcW w:w="1510" w:type="dxa"/>
            <w:shd w:val="clear" w:color="auto" w:fill="C2D69B" w:themeFill="accent3" w:themeFillTint="99"/>
          </w:tcPr>
          <w:p w14:paraId="496B237E" w14:textId="6593D5C2" w:rsidR="00774EAA" w:rsidRDefault="00774EAA" w:rsidP="00774EAA">
            <w:pPr>
              <w:pStyle w:val="TableText"/>
            </w:pPr>
          </w:p>
        </w:tc>
        <w:tc>
          <w:tcPr>
            <w:tcW w:w="1510" w:type="dxa"/>
            <w:shd w:val="clear" w:color="auto" w:fill="8DB3E2" w:themeFill="text2" w:themeFillTint="66"/>
          </w:tcPr>
          <w:p w14:paraId="3494A9AD" w14:textId="77777777" w:rsidR="00697EA2" w:rsidRDefault="007A58D4" w:rsidP="007A58D4">
            <w:pPr>
              <w:pStyle w:val="TableBullet1"/>
            </w:pPr>
            <w:r>
              <w:t>Invasive weeds</w:t>
            </w:r>
          </w:p>
          <w:p w14:paraId="2E3D7AA2" w14:textId="0684ACC9" w:rsidR="0052277E" w:rsidRDefault="0052277E" w:rsidP="007A58D4">
            <w:pPr>
              <w:pStyle w:val="TableBullet1"/>
            </w:pPr>
            <w:r w:rsidRPr="00FD02C1">
              <w:t>Psittacine Beak and Feather Disease</w:t>
            </w:r>
            <w:r>
              <w:t xml:space="preserve"> (PBFD)</w:t>
            </w:r>
          </w:p>
        </w:tc>
        <w:tc>
          <w:tcPr>
            <w:tcW w:w="1510" w:type="dxa"/>
            <w:shd w:val="clear" w:color="auto" w:fill="FFFF00"/>
          </w:tcPr>
          <w:p w14:paraId="079654DF" w14:textId="4F5F3DBA" w:rsidR="00774EAA" w:rsidRDefault="00774EAA" w:rsidP="009938DC">
            <w:pPr>
              <w:pStyle w:val="TableBullet1"/>
              <w:numPr>
                <w:ilvl w:val="0"/>
                <w:numId w:val="0"/>
              </w:numPr>
            </w:pPr>
          </w:p>
        </w:tc>
        <w:tc>
          <w:tcPr>
            <w:tcW w:w="1510" w:type="dxa"/>
            <w:shd w:val="clear" w:color="auto" w:fill="D99594" w:themeFill="accent2" w:themeFillTint="99"/>
          </w:tcPr>
          <w:p w14:paraId="2D42B572" w14:textId="53B6DE25" w:rsidR="00774EAA" w:rsidRDefault="007035AC" w:rsidP="007035AC">
            <w:pPr>
              <w:pStyle w:val="TableBullet1"/>
            </w:pPr>
            <w:r w:rsidRPr="001F6AF1">
              <w:t xml:space="preserve">Increased likelihood of extreme events (i.e., </w:t>
            </w:r>
            <w:r>
              <w:t xml:space="preserve">wildfire, </w:t>
            </w:r>
            <w:proofErr w:type="gramStart"/>
            <w:r w:rsidRPr="001F6AF1">
              <w:t>heatwave</w:t>
            </w:r>
            <w:proofErr w:type="gramEnd"/>
            <w:r w:rsidRPr="001F6AF1">
              <w:t xml:space="preserve"> and drought)</w:t>
            </w:r>
          </w:p>
        </w:tc>
        <w:tc>
          <w:tcPr>
            <w:tcW w:w="1510" w:type="dxa"/>
            <w:shd w:val="clear" w:color="auto" w:fill="D99594" w:themeFill="accent2" w:themeFillTint="99"/>
          </w:tcPr>
          <w:p w14:paraId="7337A65C" w14:textId="0EFB3A8B" w:rsidR="00774EAA" w:rsidRDefault="00774EAA" w:rsidP="00774EAA">
            <w:pPr>
              <w:pStyle w:val="TableText"/>
            </w:pPr>
          </w:p>
        </w:tc>
      </w:tr>
      <w:tr w:rsidR="00774EAA" w14:paraId="6CA6582B" w14:textId="77777777" w:rsidTr="3792A324">
        <w:tc>
          <w:tcPr>
            <w:tcW w:w="1510" w:type="dxa"/>
          </w:tcPr>
          <w:p w14:paraId="52DE537E" w14:textId="2D802FB1" w:rsidR="00774EAA" w:rsidRPr="00774EAA" w:rsidRDefault="00774EAA" w:rsidP="00774EAA">
            <w:pPr>
              <w:pStyle w:val="TableText"/>
              <w:rPr>
                <w:rStyle w:val="Strong"/>
              </w:rPr>
            </w:pPr>
            <w:r w:rsidRPr="00774EAA">
              <w:rPr>
                <w:rStyle w:val="Strong"/>
              </w:rPr>
              <w:t>Unlikely</w:t>
            </w:r>
          </w:p>
        </w:tc>
        <w:tc>
          <w:tcPr>
            <w:tcW w:w="1510" w:type="dxa"/>
            <w:shd w:val="clear" w:color="auto" w:fill="C2D69B" w:themeFill="accent3" w:themeFillTint="99"/>
          </w:tcPr>
          <w:p w14:paraId="3635D9D9" w14:textId="023C2EA6" w:rsidR="00774EAA" w:rsidRDefault="00774EAA" w:rsidP="00774EAA">
            <w:pPr>
              <w:pStyle w:val="TableText"/>
            </w:pPr>
          </w:p>
        </w:tc>
        <w:tc>
          <w:tcPr>
            <w:tcW w:w="1510" w:type="dxa"/>
            <w:shd w:val="clear" w:color="auto" w:fill="C2D69B" w:themeFill="accent3" w:themeFillTint="99"/>
          </w:tcPr>
          <w:p w14:paraId="4AF321D6" w14:textId="549F66EB" w:rsidR="00774EAA" w:rsidRDefault="00774EAA" w:rsidP="00774EAA">
            <w:pPr>
              <w:pStyle w:val="TableText"/>
            </w:pPr>
          </w:p>
        </w:tc>
        <w:tc>
          <w:tcPr>
            <w:tcW w:w="1510" w:type="dxa"/>
            <w:shd w:val="clear" w:color="auto" w:fill="8DB3E2" w:themeFill="text2" w:themeFillTint="66"/>
          </w:tcPr>
          <w:p w14:paraId="6C65FDEF" w14:textId="5C3ABE32" w:rsidR="00774EAA" w:rsidRDefault="00774EAA" w:rsidP="00774EAA">
            <w:pPr>
              <w:pStyle w:val="TableText"/>
            </w:pPr>
          </w:p>
        </w:tc>
        <w:tc>
          <w:tcPr>
            <w:tcW w:w="1510" w:type="dxa"/>
            <w:shd w:val="clear" w:color="auto" w:fill="FFFF00"/>
          </w:tcPr>
          <w:p w14:paraId="1FCBA8F2" w14:textId="0563AEEF" w:rsidR="00774EAA" w:rsidRDefault="00774EAA" w:rsidP="00774EAA">
            <w:pPr>
              <w:pStyle w:val="TableText"/>
            </w:pPr>
          </w:p>
        </w:tc>
        <w:tc>
          <w:tcPr>
            <w:tcW w:w="1510" w:type="dxa"/>
            <w:shd w:val="clear" w:color="auto" w:fill="D99594" w:themeFill="accent2" w:themeFillTint="99"/>
          </w:tcPr>
          <w:p w14:paraId="631D0DC6" w14:textId="737C5F5F" w:rsidR="00774EAA" w:rsidRDefault="00774EAA" w:rsidP="00774EAA">
            <w:pPr>
              <w:pStyle w:val="TableText"/>
            </w:pPr>
          </w:p>
        </w:tc>
      </w:tr>
      <w:tr w:rsidR="00774EAA" w14:paraId="2E9A5E68" w14:textId="77777777" w:rsidTr="3792A324">
        <w:tc>
          <w:tcPr>
            <w:tcW w:w="1510" w:type="dxa"/>
          </w:tcPr>
          <w:p w14:paraId="44915166" w14:textId="29B25F10" w:rsidR="00774EAA" w:rsidRPr="00774EAA" w:rsidRDefault="00774EAA" w:rsidP="00774EAA">
            <w:pPr>
              <w:pStyle w:val="TableText"/>
              <w:rPr>
                <w:rStyle w:val="Strong"/>
              </w:rPr>
            </w:pPr>
            <w:r w:rsidRPr="00774EAA">
              <w:rPr>
                <w:rStyle w:val="Strong"/>
              </w:rPr>
              <w:t>Unknown</w:t>
            </w:r>
          </w:p>
        </w:tc>
        <w:tc>
          <w:tcPr>
            <w:tcW w:w="1510" w:type="dxa"/>
            <w:shd w:val="clear" w:color="auto" w:fill="C2D69B" w:themeFill="accent3" w:themeFillTint="99"/>
          </w:tcPr>
          <w:p w14:paraId="15EC7F90" w14:textId="035F5529" w:rsidR="00774EAA" w:rsidRDefault="00774EAA" w:rsidP="00774EAA">
            <w:pPr>
              <w:pStyle w:val="TableText"/>
            </w:pPr>
          </w:p>
        </w:tc>
        <w:tc>
          <w:tcPr>
            <w:tcW w:w="1510" w:type="dxa"/>
            <w:shd w:val="clear" w:color="auto" w:fill="C2D69B" w:themeFill="accent3" w:themeFillTint="99"/>
          </w:tcPr>
          <w:p w14:paraId="2CE6720F" w14:textId="0E984A19" w:rsidR="00774EAA" w:rsidRDefault="00774EAA" w:rsidP="00774EAA">
            <w:pPr>
              <w:pStyle w:val="TableText"/>
            </w:pPr>
          </w:p>
        </w:tc>
        <w:tc>
          <w:tcPr>
            <w:tcW w:w="1510" w:type="dxa"/>
            <w:shd w:val="clear" w:color="auto" w:fill="8DB3E2" w:themeFill="text2" w:themeFillTint="66"/>
          </w:tcPr>
          <w:p w14:paraId="1FB26C83" w14:textId="42A6A86E" w:rsidR="00774EAA" w:rsidRDefault="00774EAA" w:rsidP="00774EAA">
            <w:pPr>
              <w:pStyle w:val="TableText"/>
            </w:pPr>
          </w:p>
        </w:tc>
        <w:tc>
          <w:tcPr>
            <w:tcW w:w="1510" w:type="dxa"/>
            <w:shd w:val="clear" w:color="auto" w:fill="FFFF00"/>
          </w:tcPr>
          <w:p w14:paraId="1AF9A6DF" w14:textId="0E0721C1" w:rsidR="00774EAA" w:rsidRDefault="00774EAA" w:rsidP="00774EAA">
            <w:pPr>
              <w:pStyle w:val="TableText"/>
            </w:pPr>
          </w:p>
        </w:tc>
        <w:tc>
          <w:tcPr>
            <w:tcW w:w="1510" w:type="dxa"/>
            <w:shd w:val="clear" w:color="auto" w:fill="D99594" w:themeFill="accent2" w:themeFillTint="99"/>
          </w:tcPr>
          <w:p w14:paraId="76838536" w14:textId="59D651A6" w:rsidR="00774EAA" w:rsidRDefault="00774EAA" w:rsidP="00774EAA">
            <w:pPr>
              <w:pStyle w:val="TableText"/>
            </w:pPr>
          </w:p>
        </w:tc>
      </w:tr>
    </w:tbl>
    <w:p w14:paraId="128139A4" w14:textId="4FD71182" w:rsidR="002B6A3F" w:rsidRPr="00185941" w:rsidRDefault="002B6A3F" w:rsidP="002B6A3F">
      <w:r w:rsidRPr="00185941">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028D1490" w14:textId="0CB2B00A" w:rsidR="002B6A3F" w:rsidRDefault="002B6A3F" w:rsidP="002B6A3F">
      <w:pPr>
        <w:pStyle w:val="Heading2"/>
        <w:ind w:left="720" w:hanging="720"/>
      </w:pPr>
      <w:r>
        <w:t xml:space="preserve">Conservation and recovery </w:t>
      </w:r>
      <w:r w:rsidRPr="002B6A3F">
        <w:t>actions</w:t>
      </w:r>
    </w:p>
    <w:p w14:paraId="795A8378" w14:textId="10462929" w:rsidR="002B6A3F" w:rsidRDefault="002B6A3F" w:rsidP="002B6A3F">
      <w:pPr>
        <w:pStyle w:val="Heading3"/>
        <w:ind w:left="964" w:hanging="964"/>
      </w:pPr>
      <w:r>
        <w:t>Primary conservation outcome</w:t>
      </w:r>
    </w:p>
    <w:p w14:paraId="60BA3EFD" w14:textId="209B85B9" w:rsidR="2B6F9772" w:rsidRDefault="2B6F9772" w:rsidP="2C975C7E">
      <w:pPr>
        <w:pStyle w:val="ListBullet"/>
      </w:pPr>
      <w:r>
        <w:t>Establish causes of recent declines.</w:t>
      </w:r>
    </w:p>
    <w:p w14:paraId="30FFD347" w14:textId="147EF27C" w:rsidR="00185941" w:rsidRDefault="0BF1B366" w:rsidP="00AF08A0">
      <w:pPr>
        <w:pStyle w:val="ListBullet"/>
      </w:pPr>
      <w:r>
        <w:t>S</w:t>
      </w:r>
      <w:r w:rsidR="00AF08A0">
        <w:t>table or increasing</w:t>
      </w:r>
      <w:r w:rsidR="0804A410">
        <w:t xml:space="preserve"> abundance across the </w:t>
      </w:r>
      <w:proofErr w:type="gramStart"/>
      <w:r w:rsidR="0804A410">
        <w:t xml:space="preserve">distribution </w:t>
      </w:r>
      <w:r w:rsidR="00AF08A0">
        <w:t>.</w:t>
      </w:r>
      <w:proofErr w:type="gramEnd"/>
    </w:p>
    <w:p w14:paraId="4E724F16" w14:textId="7B52C295" w:rsidR="002B6A3F" w:rsidRDefault="002B6A3F" w:rsidP="008A51E7">
      <w:pPr>
        <w:pStyle w:val="Heading3"/>
        <w:ind w:left="964" w:hanging="964"/>
      </w:pPr>
      <w:r>
        <w:t>Conservation and management priorities</w:t>
      </w:r>
    </w:p>
    <w:p w14:paraId="3F420090" w14:textId="77777777" w:rsidR="001F6AF1" w:rsidRDefault="001F6AF1" w:rsidP="001F6AF1">
      <w:pPr>
        <w:pStyle w:val="ListBullet"/>
        <w:numPr>
          <w:ilvl w:val="0"/>
          <w:numId w:val="0"/>
        </w:numPr>
        <w:ind w:left="425" w:hanging="425"/>
        <w:rPr>
          <w:rFonts w:ascii="Calibri" w:eastAsia="Times New Roman" w:hAnsi="Calibri" w:cs="Times New Roman"/>
          <w:b/>
          <w:bCs/>
          <w:sz w:val="24"/>
          <w:szCs w:val="24"/>
        </w:rPr>
      </w:pPr>
      <w:r w:rsidRPr="001F6AF1">
        <w:rPr>
          <w:rFonts w:ascii="Calibri" w:eastAsia="Times New Roman" w:hAnsi="Calibri" w:cs="Times New Roman"/>
          <w:b/>
          <w:bCs/>
          <w:sz w:val="24"/>
          <w:szCs w:val="24"/>
        </w:rPr>
        <w:t xml:space="preserve">Habitat loss caused by clearing for large scale agriculture </w:t>
      </w:r>
    </w:p>
    <w:p w14:paraId="0D4BCA96" w14:textId="7BF96968" w:rsidR="005A7A81" w:rsidRDefault="005A7A81" w:rsidP="001F6AF1">
      <w:pPr>
        <w:pStyle w:val="ListBullet"/>
      </w:pPr>
      <w:r>
        <w:t>Cease all land clearing of habitat critical for the survival of Blue-winged Parrot.</w:t>
      </w:r>
    </w:p>
    <w:p w14:paraId="34F1E948" w14:textId="77777777" w:rsidR="00D65BF7" w:rsidRDefault="00D47744" w:rsidP="001F6AF1">
      <w:pPr>
        <w:pStyle w:val="ListBullet"/>
      </w:pPr>
      <w:r>
        <w:t>Establish new habitat patches in areas where native vegetation cover is lacking.</w:t>
      </w:r>
    </w:p>
    <w:p w14:paraId="0B8CF6E5" w14:textId="57E2DAD4" w:rsidR="00AF08A0" w:rsidRDefault="00AF08A0" w:rsidP="001F6AF1">
      <w:pPr>
        <w:pStyle w:val="ListBullet"/>
      </w:pPr>
      <w:r>
        <w:t>Promote ecological management of woodland remnants on private and public land.</w:t>
      </w:r>
    </w:p>
    <w:p w14:paraId="7813FA41" w14:textId="77777777" w:rsidR="007E463C" w:rsidRDefault="007E463C" w:rsidP="007E463C">
      <w:pPr>
        <w:pStyle w:val="ListBullet"/>
      </w:pPr>
      <w:r>
        <w:t>P</w:t>
      </w:r>
      <w:r w:rsidR="00770230">
        <w:t>rotect and enhance feeding and breeding habitat, including preparation of management plans for key habitat across the winter range</w:t>
      </w:r>
      <w:r>
        <w:t>.</w:t>
      </w:r>
      <w:r w:rsidRPr="007E463C">
        <w:t xml:space="preserve"> </w:t>
      </w:r>
    </w:p>
    <w:p w14:paraId="31316C4A" w14:textId="67981726" w:rsidR="008F6EBB" w:rsidRDefault="008F6EBB" w:rsidP="00C8121C">
      <w:pPr>
        <w:pStyle w:val="ListBullet"/>
        <w:numPr>
          <w:ilvl w:val="0"/>
          <w:numId w:val="0"/>
        </w:numPr>
        <w:rPr>
          <w:rFonts w:ascii="Calibri" w:eastAsia="Times New Roman" w:hAnsi="Calibri" w:cs="Times New Roman"/>
          <w:b/>
          <w:bCs/>
          <w:sz w:val="24"/>
          <w:szCs w:val="24"/>
        </w:rPr>
      </w:pPr>
      <w:bookmarkStart w:id="15" w:name="_Hlk68591593"/>
      <w:bookmarkStart w:id="16" w:name="_Hlk68618383"/>
      <w:r w:rsidRPr="008F6EBB">
        <w:rPr>
          <w:rFonts w:ascii="Calibri" w:eastAsia="Times New Roman" w:hAnsi="Calibri" w:cs="Times New Roman"/>
          <w:b/>
          <w:bCs/>
          <w:sz w:val="24"/>
          <w:szCs w:val="24"/>
        </w:rPr>
        <w:t xml:space="preserve">Habitat degradation caused by </w:t>
      </w:r>
      <w:r w:rsidR="0064100F">
        <w:rPr>
          <w:rFonts w:ascii="Calibri" w:eastAsia="Times New Roman" w:hAnsi="Calibri" w:cs="Times New Roman"/>
          <w:b/>
          <w:bCs/>
          <w:sz w:val="24"/>
          <w:szCs w:val="24"/>
        </w:rPr>
        <w:t xml:space="preserve">domestic </w:t>
      </w:r>
      <w:r w:rsidRPr="008F6EBB">
        <w:rPr>
          <w:rFonts w:ascii="Calibri" w:eastAsia="Times New Roman" w:hAnsi="Calibri" w:cs="Times New Roman"/>
          <w:b/>
          <w:bCs/>
          <w:sz w:val="24"/>
          <w:szCs w:val="24"/>
        </w:rPr>
        <w:t>livestock grazing</w:t>
      </w:r>
    </w:p>
    <w:p w14:paraId="0B90F61A" w14:textId="59CCE6D2" w:rsidR="008F6EBB" w:rsidRDefault="008F6EBB" w:rsidP="008F6EBB">
      <w:pPr>
        <w:pStyle w:val="ListBullet"/>
      </w:pPr>
      <w:r>
        <w:t xml:space="preserve">Restore degraded </w:t>
      </w:r>
      <w:r w:rsidRPr="008F6EBB">
        <w:t xml:space="preserve">grasslands and grassy woodlands </w:t>
      </w:r>
      <w:r>
        <w:t xml:space="preserve">habitat to support the recovery of Blue-winged Parrot. For example: </w:t>
      </w:r>
    </w:p>
    <w:p w14:paraId="095C42C0" w14:textId="77777777" w:rsidR="008F6EBB" w:rsidRDefault="008F6EBB" w:rsidP="008F6EBB">
      <w:pPr>
        <w:pStyle w:val="ListBullet2"/>
      </w:pPr>
      <w:r>
        <w:lastRenderedPageBreak/>
        <w:t>Undertake revegetation, using a diverse mix of locally appropriate native species, focussing on expanding and connecting areas of existing habitat or widening wildlife corridors wherever possible.</w:t>
      </w:r>
    </w:p>
    <w:p w14:paraId="6410492E" w14:textId="103ABC5F" w:rsidR="008F6EBB" w:rsidRDefault="008F6EBB" w:rsidP="008F6EBB">
      <w:pPr>
        <w:pStyle w:val="ListBullet"/>
      </w:pPr>
      <w:r>
        <w:t>P</w:t>
      </w:r>
      <w:r w:rsidRPr="001578B6">
        <w:t>revent intensive grazing</w:t>
      </w:r>
      <w:r>
        <w:t xml:space="preserve"> in high value grasslands and grassy woodland habitats.</w:t>
      </w:r>
    </w:p>
    <w:p w14:paraId="31F31C25" w14:textId="09DE3DD6" w:rsidR="008F6EBB" w:rsidRDefault="008F6EBB" w:rsidP="008F6EBB">
      <w:pPr>
        <w:pStyle w:val="ListBullet"/>
      </w:pPr>
      <w:r w:rsidRPr="009C1F15">
        <w:t>Modify grazing management practices that will maintain or improve habitat values and still allow some grazing to occur at strategic times of the year.</w:t>
      </w:r>
      <w:r>
        <w:t xml:space="preserve">   </w:t>
      </w:r>
    </w:p>
    <w:p w14:paraId="21D2DF09" w14:textId="501432F1" w:rsidR="00C8121C" w:rsidRDefault="00C8121C" w:rsidP="00C8121C">
      <w:pPr>
        <w:pStyle w:val="ListBullet"/>
        <w:numPr>
          <w:ilvl w:val="0"/>
          <w:numId w:val="0"/>
        </w:numPr>
        <w:rPr>
          <w:rFonts w:ascii="Calibri" w:eastAsia="Times New Roman" w:hAnsi="Calibri" w:cs="Times New Roman"/>
          <w:b/>
          <w:bCs/>
          <w:sz w:val="24"/>
          <w:szCs w:val="24"/>
        </w:rPr>
      </w:pPr>
      <w:r w:rsidRPr="00C8121C">
        <w:rPr>
          <w:rFonts w:ascii="Calibri" w:eastAsia="Times New Roman" w:hAnsi="Calibri" w:cs="Times New Roman"/>
          <w:b/>
          <w:bCs/>
          <w:sz w:val="24"/>
          <w:szCs w:val="24"/>
        </w:rPr>
        <w:t xml:space="preserve">Increased likelihood of extreme events (i.e., </w:t>
      </w:r>
      <w:r w:rsidR="00FC6D82">
        <w:rPr>
          <w:rFonts w:ascii="Calibri" w:eastAsia="Times New Roman" w:hAnsi="Calibri" w:cs="Times New Roman"/>
          <w:b/>
          <w:bCs/>
          <w:sz w:val="24"/>
          <w:szCs w:val="24"/>
        </w:rPr>
        <w:t xml:space="preserve">wildfire, </w:t>
      </w:r>
      <w:proofErr w:type="gramStart"/>
      <w:r w:rsidRPr="00C8121C">
        <w:rPr>
          <w:rFonts w:ascii="Calibri" w:eastAsia="Times New Roman" w:hAnsi="Calibri" w:cs="Times New Roman"/>
          <w:b/>
          <w:bCs/>
          <w:sz w:val="24"/>
          <w:szCs w:val="24"/>
        </w:rPr>
        <w:t>heatwave</w:t>
      </w:r>
      <w:proofErr w:type="gramEnd"/>
      <w:r w:rsidRPr="00C8121C">
        <w:rPr>
          <w:rFonts w:ascii="Calibri" w:eastAsia="Times New Roman" w:hAnsi="Calibri" w:cs="Times New Roman"/>
          <w:b/>
          <w:bCs/>
          <w:sz w:val="24"/>
          <w:szCs w:val="24"/>
        </w:rPr>
        <w:t xml:space="preserve"> and drought)</w:t>
      </w:r>
    </w:p>
    <w:bookmarkEnd w:id="15"/>
    <w:bookmarkEnd w:id="16"/>
    <w:p w14:paraId="58668923" w14:textId="63C9ADA0" w:rsidR="00C8121C" w:rsidRDefault="00C8121C" w:rsidP="00C8121C">
      <w:pPr>
        <w:pStyle w:val="ListBullet"/>
      </w:pPr>
      <w:r w:rsidRPr="00C83797">
        <w:t>Actively manage the landscape to minimise the risk of very large wildfires, particularly of very large high intensity wildfires.</w:t>
      </w:r>
    </w:p>
    <w:p w14:paraId="4B16BECC" w14:textId="2B3B4D6B" w:rsidR="00FC6D82" w:rsidRDefault="4D3CD97F" w:rsidP="009938DC">
      <w:pPr>
        <w:pStyle w:val="Heading4"/>
      </w:pPr>
      <w:r>
        <w:t xml:space="preserve">Inappropriate </w:t>
      </w:r>
      <w:r w:rsidR="00FC6D82">
        <w:t>fire regimes</w:t>
      </w:r>
    </w:p>
    <w:p w14:paraId="33A3BC16" w14:textId="77777777" w:rsidR="009938DC" w:rsidRDefault="009938DC" w:rsidP="009938DC">
      <w:pPr>
        <w:pStyle w:val="ListBullet"/>
      </w:pPr>
      <w:r w:rsidRPr="00C83797">
        <w:t>Develop a site-based fire management strateg</w:t>
      </w:r>
      <w:r>
        <w:t>ies</w:t>
      </w:r>
      <w:r w:rsidRPr="00C83797">
        <w:t xml:space="preserve"> with local authorities which considers the ecological needs of the species.</w:t>
      </w:r>
    </w:p>
    <w:p w14:paraId="5EA4F303" w14:textId="3CEF02BD" w:rsidR="00FC6D82" w:rsidRDefault="009938DC" w:rsidP="009938DC">
      <w:pPr>
        <w:pStyle w:val="ListBullet"/>
      </w:pPr>
      <w:r w:rsidRPr="00C83797">
        <w:t xml:space="preserve">Use climate modelling techniques to investigate the potential impact of climate change on the </w:t>
      </w:r>
      <w:r>
        <w:t>species</w:t>
      </w:r>
      <w:r w:rsidRPr="00C83797">
        <w:t xml:space="preserve"> and their habitat critical for survival. </w:t>
      </w:r>
    </w:p>
    <w:p w14:paraId="70C56110" w14:textId="3B0817D5" w:rsidR="002B6A3F" w:rsidRDefault="002B6A3F" w:rsidP="009E7A91">
      <w:pPr>
        <w:pStyle w:val="Heading3"/>
        <w:ind w:left="964" w:hanging="964"/>
      </w:pPr>
      <w:r>
        <w:t>Stakeholder engagement/community engagement</w:t>
      </w:r>
    </w:p>
    <w:p w14:paraId="01DF2FD6" w14:textId="5BC212E2" w:rsidR="00AF08A0" w:rsidRPr="00AF08A0" w:rsidRDefault="00AF08A0" w:rsidP="00AF08A0">
      <w:pPr>
        <w:pStyle w:val="ListBullet"/>
      </w:pPr>
      <w:bookmarkStart w:id="17" w:name="_Hlk68591794"/>
      <w:r w:rsidRPr="00AF08A0">
        <w:t>Coordinate recovery efforts among different jurisdictions</w:t>
      </w:r>
      <w:r w:rsidR="005A7A81">
        <w:t xml:space="preserve"> and interested stakeholders</w:t>
      </w:r>
      <w:r w:rsidRPr="00AF08A0">
        <w:t>.</w:t>
      </w:r>
    </w:p>
    <w:bookmarkEnd w:id="17"/>
    <w:p w14:paraId="5E0C7439" w14:textId="378F407B" w:rsidR="007E463C" w:rsidRDefault="007E463C" w:rsidP="007E463C">
      <w:pPr>
        <w:pStyle w:val="ListBullet"/>
      </w:pPr>
      <w:r>
        <w:t>Target in-perpetuity covenants or stewardship agreements to landholders with high quality remnant habitat.</w:t>
      </w:r>
    </w:p>
    <w:p w14:paraId="272F8F15" w14:textId="77777777" w:rsidR="00A86C83" w:rsidRDefault="00A86C83" w:rsidP="00A86C83">
      <w:pPr>
        <w:pStyle w:val="ListBullet"/>
      </w:pPr>
      <w:r>
        <w:t>Raise awareness among landholders in a local area known to have important habitat for the species, to engage them in proactive management and monitoring of the species' population on their land.</w:t>
      </w:r>
    </w:p>
    <w:p w14:paraId="1ED39E0E" w14:textId="77777777" w:rsidR="007E463C" w:rsidRDefault="007E463C" w:rsidP="007E463C">
      <w:pPr>
        <w:pStyle w:val="ListBullet"/>
      </w:pPr>
      <w:r>
        <w:t>Support community education programs to achieve regional conservation outcomes.</w:t>
      </w:r>
    </w:p>
    <w:p w14:paraId="39DF1C74" w14:textId="77777777" w:rsidR="007E463C" w:rsidRDefault="007E463C" w:rsidP="007E463C">
      <w:pPr>
        <w:pStyle w:val="ListBullet"/>
      </w:pPr>
      <w:r>
        <w:t>Raise public awareness of the importance of large old trees (particularly isolated paddock trees and hollow-bearing trees, live and dead) and undertaking restoration and revegetation to replace cohorts of trees where they have been removed from the landscape, particularly in areas adjacent to and connecting woodland remnants.</w:t>
      </w:r>
    </w:p>
    <w:p w14:paraId="0963ED05" w14:textId="77777777" w:rsidR="00C8121C" w:rsidRDefault="007E463C" w:rsidP="00C8121C">
      <w:pPr>
        <w:pStyle w:val="ListBullet"/>
      </w:pPr>
      <w:r>
        <w:t>Encourage responsible pet ownership, e.g., keeping cats indoors.</w:t>
      </w:r>
      <w:r w:rsidR="00C8121C" w:rsidRPr="00C8121C">
        <w:t xml:space="preserve"> </w:t>
      </w:r>
    </w:p>
    <w:p w14:paraId="5F299394" w14:textId="3C1D3B96" w:rsidR="002B6A3F" w:rsidRDefault="00C8121C" w:rsidP="00C8121C">
      <w:pPr>
        <w:pStyle w:val="ListBullet"/>
      </w:pPr>
      <w:r>
        <w:t>Consult with local authorities to determine the appropriate methods and the effectiveness of weed control and implement recommendations.</w:t>
      </w:r>
    </w:p>
    <w:p w14:paraId="590F7CD7" w14:textId="49D19B28" w:rsidR="002B6A3F" w:rsidRDefault="002B6A3F" w:rsidP="009E7A91">
      <w:pPr>
        <w:pStyle w:val="Heading3"/>
        <w:ind w:left="964" w:hanging="964"/>
      </w:pPr>
      <w:r>
        <w:t xml:space="preserve">Survey and </w:t>
      </w:r>
      <w:r w:rsidR="009F08D5">
        <w:t>m</w:t>
      </w:r>
      <w:r>
        <w:t>onitoring priorities</w:t>
      </w:r>
    </w:p>
    <w:p w14:paraId="4A5E2805" w14:textId="77777777" w:rsidR="000A5776" w:rsidRDefault="000A5776" w:rsidP="000A5776">
      <w:pPr>
        <w:pStyle w:val="ListBullet"/>
      </w:pPr>
      <w:r>
        <w:t>Determine population trends across its range.</w:t>
      </w:r>
    </w:p>
    <w:p w14:paraId="47B152C3" w14:textId="66D38E9E" w:rsidR="00C8121C" w:rsidRDefault="00C8121C" w:rsidP="00C8121C">
      <w:pPr>
        <w:pStyle w:val="ListBullet"/>
      </w:pPr>
      <w:r w:rsidRPr="00796DF0">
        <w:t>Monitor for cases of Psittacine Beak and Feather Disease (PBFD). If active, work with local authorities and develop site-based management strategies.</w:t>
      </w:r>
    </w:p>
    <w:p w14:paraId="0C826ACD" w14:textId="2588799C" w:rsidR="002B6A3F" w:rsidRDefault="002B6A3F" w:rsidP="009E7A91">
      <w:pPr>
        <w:pStyle w:val="Heading3"/>
        <w:ind w:left="964" w:hanging="964"/>
      </w:pPr>
      <w:r>
        <w:t xml:space="preserve">Information and </w:t>
      </w:r>
      <w:r w:rsidR="009F08D5">
        <w:t>r</w:t>
      </w:r>
      <w:r>
        <w:t>esearch priorities</w:t>
      </w:r>
    </w:p>
    <w:p w14:paraId="19B0EF99" w14:textId="539C728E" w:rsidR="00602F73" w:rsidRDefault="00602F73" w:rsidP="00602F73">
      <w:pPr>
        <w:pStyle w:val="ListBullet"/>
      </w:pPr>
      <w:r>
        <w:t>Understand localised and range-wide causes of mortality, decline and threats</w:t>
      </w:r>
      <w:r w:rsidR="00841A01">
        <w:t xml:space="preserve"> including:</w:t>
      </w:r>
    </w:p>
    <w:p w14:paraId="33E39DB5" w14:textId="3685BD0B" w:rsidR="00841A01" w:rsidRDefault="00841A01" w:rsidP="00841A01">
      <w:pPr>
        <w:pStyle w:val="ListBullet2"/>
      </w:pPr>
      <w:r>
        <w:t xml:space="preserve">Sugar Glider nest </w:t>
      </w:r>
      <w:r w:rsidR="00A576C4">
        <w:t>predation</w:t>
      </w:r>
      <w:r>
        <w:t xml:space="preserve"> impacts on the mainland</w:t>
      </w:r>
      <w:r w:rsidR="00A576C4">
        <w:t>.</w:t>
      </w:r>
    </w:p>
    <w:p w14:paraId="0DF65FA6" w14:textId="77777777" w:rsidR="00602F73" w:rsidRDefault="00602F73" w:rsidP="00602F73">
      <w:pPr>
        <w:pStyle w:val="ListBullet"/>
      </w:pPr>
      <w:r>
        <w:t>Clarify migration movements and pathways.</w:t>
      </w:r>
    </w:p>
    <w:p w14:paraId="1C7AD5BC" w14:textId="4341416D" w:rsidR="00602F73" w:rsidRDefault="00602F73" w:rsidP="00602F73">
      <w:pPr>
        <w:pStyle w:val="ListBullet"/>
      </w:pPr>
      <w:r>
        <w:lastRenderedPageBreak/>
        <w:t xml:space="preserve">Determine if the Tasmanian </w:t>
      </w:r>
      <w:r w:rsidR="00F93848">
        <w:t xml:space="preserve">breeding </w:t>
      </w:r>
      <w:r>
        <w:t>population is genetically separate from that on the mainland.</w:t>
      </w:r>
    </w:p>
    <w:p w14:paraId="0C1C96C0" w14:textId="5FA7330E" w:rsidR="001270CA" w:rsidRDefault="001270CA" w:rsidP="001270CA">
      <w:pPr>
        <w:pStyle w:val="ListBullet"/>
      </w:pPr>
      <w:r>
        <w:t>Determine breeding extent in Tasmanian forestry areas and implement adequate forestry management prescriptions to prevent logging of hollow bearing trees critical for breeding success.</w:t>
      </w:r>
    </w:p>
    <w:p w14:paraId="0DCCB042" w14:textId="02F82EDC" w:rsidR="00AF08A0" w:rsidRDefault="00AF08A0" w:rsidP="00A576C4">
      <w:pPr>
        <w:pStyle w:val="ListBullet"/>
      </w:pPr>
      <w:r>
        <w:t>Determine breeding success and factors that affect it</w:t>
      </w:r>
      <w:r w:rsidR="000A5776">
        <w:t>.</w:t>
      </w:r>
    </w:p>
    <w:p w14:paraId="062A63F3" w14:textId="038BC2F8" w:rsidR="00841A01" w:rsidRDefault="00D81D45" w:rsidP="00841A01">
      <w:pPr>
        <w:pStyle w:val="ListBullet"/>
      </w:pPr>
      <w:r>
        <w:t>U</w:t>
      </w:r>
      <w:r w:rsidR="00841A01">
        <w:t>nderstand foraging ecology</w:t>
      </w:r>
      <w:r>
        <w:t>,</w:t>
      </w:r>
      <w:r w:rsidRPr="00D81D45">
        <w:t xml:space="preserve"> </w:t>
      </w:r>
      <w:r>
        <w:t>specifically the species’ ability to survive in altered landscapes (e.g., where native grasses have been replaced with introduced species), and changes to ground layer dynamics.</w:t>
      </w:r>
    </w:p>
    <w:p w14:paraId="48DCE9D4" w14:textId="6C7FE0BC" w:rsidR="007A58D4" w:rsidRDefault="007A58D4" w:rsidP="007A58D4">
      <w:pPr>
        <w:pStyle w:val="ListBullet"/>
      </w:pPr>
      <w:r>
        <w:t>Identify sites where hollows are limiting and develop and implement strategies to increase hollow availability. Actions include:</w:t>
      </w:r>
    </w:p>
    <w:p w14:paraId="0DC018B1" w14:textId="2D90E5D2" w:rsidR="0052065A" w:rsidRDefault="0052065A" w:rsidP="007A58D4">
      <w:pPr>
        <w:pStyle w:val="ListBullet2"/>
      </w:pPr>
      <w:r>
        <w:t>Development of a nest box program tailored to the species’ needs,</w:t>
      </w:r>
    </w:p>
    <w:p w14:paraId="5E033F0F" w14:textId="04034D7B" w:rsidR="007A58D4" w:rsidRDefault="007A58D4" w:rsidP="007A58D4">
      <w:pPr>
        <w:pStyle w:val="ListBullet2"/>
      </w:pPr>
      <w:r w:rsidRPr="009C1F15">
        <w:t xml:space="preserve">nest box installation, </w:t>
      </w:r>
    </w:p>
    <w:p w14:paraId="3D970282" w14:textId="77777777" w:rsidR="007A58D4" w:rsidRDefault="007A58D4" w:rsidP="007A58D4">
      <w:pPr>
        <w:pStyle w:val="ListBullet2"/>
      </w:pPr>
      <w:r w:rsidRPr="009C1F15">
        <w:t xml:space="preserve">the humane control of introduced species, and </w:t>
      </w:r>
    </w:p>
    <w:p w14:paraId="363D72BE" w14:textId="662C863E" w:rsidR="00473DF9" w:rsidRDefault="0052065A" w:rsidP="007A58D4">
      <w:pPr>
        <w:pStyle w:val="ListBullet2"/>
      </w:pPr>
      <w:r>
        <w:t xml:space="preserve">identification and </w:t>
      </w:r>
      <w:r w:rsidR="007A58D4" w:rsidRPr="009C1F15">
        <w:t>the protection of trees having the potential to develop hollows.</w:t>
      </w:r>
    </w:p>
    <w:p w14:paraId="35F86293" w14:textId="77777777" w:rsidR="00F1666D" w:rsidRDefault="00F1666D" w:rsidP="00F1666D">
      <w:pPr>
        <w:pStyle w:val="Heading3"/>
        <w:ind w:left="964" w:hanging="964"/>
      </w:pPr>
      <w:r>
        <w:t>Recovery plan decision</w:t>
      </w:r>
    </w:p>
    <w:p w14:paraId="779BFAFB" w14:textId="6C77E68A" w:rsidR="00F1666D" w:rsidRPr="00F1666D" w:rsidRDefault="00F1666D" w:rsidP="00F1666D">
      <w:pPr>
        <w:keepNext/>
        <w:rPr>
          <w:rFonts w:cs="Calibri"/>
        </w:rPr>
      </w:pPr>
      <w:r>
        <w:t xml:space="preserve">A decision about whether there should be a recovery plan for this species has not yet been determined. The purpose of this consultation document is to elicit additional information to help inform this decision. </w:t>
      </w:r>
    </w:p>
    <w:p w14:paraId="0C86BE97" w14:textId="77777777" w:rsidR="002B6A3F" w:rsidRDefault="002B6A3F" w:rsidP="00CC062B">
      <w:pPr>
        <w:pStyle w:val="Heading2"/>
        <w:ind w:left="720" w:hanging="720"/>
      </w:pPr>
      <w:r>
        <w:t>Links to relevant implementation documents</w:t>
      </w:r>
    </w:p>
    <w:p w14:paraId="05D808A7" w14:textId="176E8FF7" w:rsidR="00A34C02" w:rsidRDefault="001B6A4E" w:rsidP="00A34C02">
      <w:pPr>
        <w:pStyle w:val="ListBullet"/>
      </w:pPr>
      <w:hyperlink r:id="rId29" w:history="1">
        <w:r w:rsidR="00A34C02" w:rsidRPr="00CC3164">
          <w:rPr>
            <w:rStyle w:val="Hyperlink"/>
          </w:rPr>
          <w:t>Threat abatement plan for predation by European red fox</w:t>
        </w:r>
      </w:hyperlink>
      <w:r w:rsidR="00A34C02">
        <w:t xml:space="preserve"> (Commonwealth of Australia 2008b).</w:t>
      </w:r>
    </w:p>
    <w:p w14:paraId="284A4D25" w14:textId="517EBAFB" w:rsidR="002B6A3F" w:rsidRDefault="001B6A4E" w:rsidP="00CC062B">
      <w:pPr>
        <w:pStyle w:val="ListBullet"/>
      </w:pPr>
      <w:hyperlink r:id="rId30" w:history="1">
        <w:r w:rsidR="00AF08A0" w:rsidRPr="00887B29">
          <w:rPr>
            <w:rStyle w:val="Hyperlink"/>
          </w:rPr>
          <w:t>Threat abatement plan for predation by feral cats</w:t>
        </w:r>
      </w:hyperlink>
      <w:r w:rsidR="00AF08A0" w:rsidRPr="00887B29">
        <w:t xml:space="preserve"> (Commonwealth of Australia 2015b).</w:t>
      </w:r>
    </w:p>
    <w:p w14:paraId="262BF9A8" w14:textId="13F1C163" w:rsidR="006F5E36" w:rsidRDefault="002319AB" w:rsidP="006F5E36">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2"/>
      <w:bookmarkEnd w:id="13"/>
      <w:r w:rsidR="0012461E">
        <w:t>L</w:t>
      </w:r>
      <w:r>
        <w:t xml:space="preserve">isting </w:t>
      </w:r>
      <w:r w:rsidR="0012461E">
        <w:t>A</w:t>
      </w:r>
      <w:r>
        <w:t>ssessment references</w:t>
      </w:r>
    </w:p>
    <w:p w14:paraId="5BCAB9EF" w14:textId="20259E0A" w:rsidR="006F5E36" w:rsidRDefault="006F5E36" w:rsidP="006F5E36">
      <w:r w:rsidRPr="00C56ED9">
        <w:t xml:space="preserve">Bain GC, MacDonald MA, Hamer R, Gardiner R, Johnson CN, Jones ME (2020) Changing bird communities of an agricultural landscape: declines in arboreal foragers, increases in large species. </w:t>
      </w:r>
      <w:r w:rsidRPr="00C56ED9">
        <w:rPr>
          <w:i/>
          <w:iCs/>
        </w:rPr>
        <w:t>Royal Society Open Science</w:t>
      </w:r>
      <w:r w:rsidRPr="00C56ED9">
        <w:t xml:space="preserve"> 7, 200076.</w:t>
      </w:r>
    </w:p>
    <w:p w14:paraId="5E2CA146" w14:textId="55395301" w:rsidR="000A0CE0" w:rsidRPr="00C56ED9" w:rsidRDefault="000A0CE0" w:rsidP="000A0CE0">
      <w:proofErr w:type="spellStart"/>
      <w:r>
        <w:t>Bezemer</w:t>
      </w:r>
      <w:proofErr w:type="spellEnd"/>
      <w:r>
        <w:t xml:space="preserve"> N, Kirkpatrick JB</w:t>
      </w:r>
      <w:r w:rsidR="001B2FA0">
        <w:t>,</w:t>
      </w:r>
      <w:r>
        <w:t xml:space="preserve"> Wood JA 2013 (</w:t>
      </w:r>
      <w:proofErr w:type="gramStart"/>
      <w:r>
        <w:t>17:xii</w:t>
      </w:r>
      <w:proofErr w:type="gramEnd"/>
      <w:r>
        <w:t>): The effect of recent fire history on the abundance and viability of large seeds</w:t>
      </w:r>
      <w:r w:rsidR="001B2FA0">
        <w:t xml:space="preserve"> </w:t>
      </w:r>
      <w:r>
        <w:t xml:space="preserve">in the soil of sclerophyll forest in Tasmania, Australia. </w:t>
      </w:r>
      <w:r w:rsidRPr="001B2FA0">
        <w:rPr>
          <w:i/>
          <w:iCs/>
        </w:rPr>
        <w:t>Papers and Proceedings of the Royal Society of Tasmania</w:t>
      </w:r>
      <w:r>
        <w:t xml:space="preserve"> 147: 41–50.</w:t>
      </w:r>
    </w:p>
    <w:p w14:paraId="7D28BC61" w14:textId="62B8881A" w:rsidR="006F5E36" w:rsidRPr="00C56ED9" w:rsidRDefault="006F5E36" w:rsidP="006F5E36">
      <w:r w:rsidRPr="00C56ED9">
        <w:t xml:space="preserve">Bird JP, Martin R, </w:t>
      </w:r>
      <w:proofErr w:type="spellStart"/>
      <w:r w:rsidRPr="00C56ED9">
        <w:t>Akçakaya</w:t>
      </w:r>
      <w:proofErr w:type="spellEnd"/>
      <w:r w:rsidRPr="00C56ED9">
        <w:t xml:space="preserve"> HR, Gilroy J, Burfield IJ, Garnett ST, Symes A, Taylor J, </w:t>
      </w:r>
      <w:proofErr w:type="spellStart"/>
      <w:r w:rsidRPr="00C56ED9">
        <w:t>Şekercioğlu</w:t>
      </w:r>
      <w:proofErr w:type="spellEnd"/>
      <w:r w:rsidRPr="00C56ED9">
        <w:t xml:space="preserve"> ÇH, Butchart SHM (2020) Generation lengths of the world's birds and their implications for extinction risk. </w:t>
      </w:r>
      <w:r w:rsidRPr="00C56ED9">
        <w:rPr>
          <w:i/>
          <w:iCs/>
        </w:rPr>
        <w:t>Conservation Biology</w:t>
      </w:r>
      <w:r w:rsidRPr="00C56ED9">
        <w:t xml:space="preserve"> 34, 1252–1261.</w:t>
      </w:r>
    </w:p>
    <w:p w14:paraId="1ECFBF0A" w14:textId="77777777" w:rsidR="006F5E36" w:rsidRPr="00C56ED9" w:rsidRDefault="006F5E36" w:rsidP="006F5E36">
      <w:proofErr w:type="spellStart"/>
      <w:r w:rsidRPr="00C56ED9">
        <w:t>BirdLife</w:t>
      </w:r>
      <w:proofErr w:type="spellEnd"/>
      <w:r w:rsidRPr="00C56ED9">
        <w:t xml:space="preserve"> Australia (2020) </w:t>
      </w:r>
      <w:proofErr w:type="spellStart"/>
      <w:r w:rsidRPr="00C56ED9">
        <w:t>Birdata</w:t>
      </w:r>
      <w:proofErr w:type="spellEnd"/>
      <w:r w:rsidRPr="00C56ED9">
        <w:t xml:space="preserve"> Platform Extract. BirdLife Australia, Melbourne, &lt;https://birdata.birdlife.org.au/&gt;.</w:t>
      </w:r>
    </w:p>
    <w:p w14:paraId="1FA8E24A" w14:textId="6CDBA0CA" w:rsidR="006F5E36" w:rsidRPr="00C56ED9" w:rsidRDefault="006F5E36" w:rsidP="006F5E36">
      <w:r w:rsidRPr="00C56ED9">
        <w:t xml:space="preserve">Boon PI (2012) Coastal wetlands of temperate eastern Australia: will Cinderella ever go to the ball? </w:t>
      </w:r>
      <w:r w:rsidRPr="00C56ED9">
        <w:rPr>
          <w:i/>
          <w:iCs/>
        </w:rPr>
        <w:t>Marine and Freshwater Research</w:t>
      </w:r>
      <w:r w:rsidRPr="00C56ED9">
        <w:t xml:space="preserve"> 63, 845–855.</w:t>
      </w:r>
    </w:p>
    <w:p w14:paraId="38E16598" w14:textId="422247C4" w:rsidR="006F5E36" w:rsidRPr="00C56ED9" w:rsidRDefault="006F5E36" w:rsidP="006F5E36">
      <w:r w:rsidRPr="00C56ED9">
        <w:lastRenderedPageBreak/>
        <w:t xml:space="preserve">Boon PI, Allen T, Brook J, </w:t>
      </w:r>
      <w:proofErr w:type="spellStart"/>
      <w:r w:rsidRPr="00C56ED9">
        <w:t>Carr</w:t>
      </w:r>
      <w:proofErr w:type="spellEnd"/>
      <w:r w:rsidRPr="00C56ED9">
        <w:t xml:space="preserve"> G, </w:t>
      </w:r>
      <w:proofErr w:type="spellStart"/>
      <w:r w:rsidRPr="00C56ED9">
        <w:t>Frood</w:t>
      </w:r>
      <w:proofErr w:type="spellEnd"/>
      <w:r w:rsidRPr="00C56ED9">
        <w:t xml:space="preserve"> D, </w:t>
      </w:r>
      <w:proofErr w:type="spellStart"/>
      <w:r w:rsidRPr="00C56ED9">
        <w:t>Hoye</w:t>
      </w:r>
      <w:proofErr w:type="spellEnd"/>
      <w:r w:rsidRPr="00C56ED9">
        <w:t xml:space="preserve"> J, Harty C, McMahon A, Mathews S, Rosengren N, Sinclair S (2011) </w:t>
      </w:r>
      <w:r w:rsidRPr="00C56ED9">
        <w:rPr>
          <w:i/>
          <w:iCs/>
        </w:rPr>
        <w:t>'Mangroves and coastal saltmarsh of Victoria: distribution, condition, threats and management'.</w:t>
      </w:r>
      <w:r w:rsidRPr="00C56ED9">
        <w:t xml:space="preserve"> Technical Report. Victoria University, Melbourne.</w:t>
      </w:r>
    </w:p>
    <w:p w14:paraId="3827F1E9" w14:textId="25D71AEC" w:rsidR="00974178" w:rsidRPr="00C56ED9" w:rsidRDefault="00974178" w:rsidP="006F5E36">
      <w:r w:rsidRPr="00C56ED9">
        <w:t xml:space="preserve">Bradshaw C (2012) Little left to lose: Deforestation and forest degradation in Australia since European colonization. </w:t>
      </w:r>
      <w:r w:rsidRPr="00C56ED9">
        <w:rPr>
          <w:i/>
          <w:iCs/>
        </w:rPr>
        <w:t>Journal of Plant Ecology</w:t>
      </w:r>
      <w:r w:rsidRPr="00C56ED9">
        <w:t xml:space="preserve"> 5, 109–120. </w:t>
      </w:r>
    </w:p>
    <w:p w14:paraId="7775333B" w14:textId="750767C8" w:rsidR="00974178" w:rsidRPr="00C56ED9" w:rsidRDefault="00974178" w:rsidP="006F5E36">
      <w:pPr>
        <w:rPr>
          <w:lang w:val="en-US" w:eastAsia="ja-JP"/>
        </w:rPr>
      </w:pPr>
      <w:r w:rsidRPr="00C56ED9">
        <w:rPr>
          <w:lang w:val="en-US" w:eastAsia="ja-JP"/>
        </w:rPr>
        <w:t xml:space="preserve">BOM (Bureau of Meteorology) &amp; CSIRO (Commonwealth Scientific and Industrial Research </w:t>
      </w:r>
      <w:proofErr w:type="spellStart"/>
      <w:r w:rsidRPr="00C56ED9">
        <w:rPr>
          <w:lang w:val="en-US" w:eastAsia="ja-JP"/>
        </w:rPr>
        <w:t>Organisation</w:t>
      </w:r>
      <w:proofErr w:type="spellEnd"/>
      <w:r w:rsidRPr="00C56ED9">
        <w:rPr>
          <w:lang w:val="en-US" w:eastAsia="ja-JP"/>
        </w:rPr>
        <w:t xml:space="preserve">) (2020) </w:t>
      </w:r>
      <w:r w:rsidRPr="00C56ED9">
        <w:rPr>
          <w:i/>
          <w:lang w:val="en-US" w:eastAsia="ja-JP"/>
        </w:rPr>
        <w:t>State of the Climate 2020</w:t>
      </w:r>
      <w:r w:rsidRPr="00C56ED9">
        <w:rPr>
          <w:lang w:val="en-US" w:eastAsia="ja-JP"/>
        </w:rPr>
        <w:t>. CSIRO, Acton.</w:t>
      </w:r>
    </w:p>
    <w:p w14:paraId="5A8B6F4F" w14:textId="77777777" w:rsidR="00974178" w:rsidRPr="00C56ED9" w:rsidRDefault="00974178" w:rsidP="00974178">
      <w:pPr>
        <w:rPr>
          <w:lang w:val="en-US" w:eastAsia="ja-JP"/>
        </w:rPr>
      </w:pPr>
      <w:r w:rsidRPr="00C56ED9">
        <w:rPr>
          <w:lang w:val="en-US" w:eastAsia="ja-JP"/>
        </w:rPr>
        <w:t xml:space="preserve">Commonwealth of Australia (2008a) </w:t>
      </w:r>
      <w:r w:rsidRPr="00C56ED9">
        <w:rPr>
          <w:i/>
          <w:lang w:val="en-US" w:eastAsia="ja-JP"/>
        </w:rPr>
        <w:t>Background document: Threat abatement plan for predation by European red fox</w:t>
      </w:r>
      <w:r w:rsidRPr="00C56ED9">
        <w:rPr>
          <w:lang w:val="en-US" w:eastAsia="ja-JP"/>
        </w:rPr>
        <w:t>. Department of the Environment, Canberra.</w:t>
      </w:r>
    </w:p>
    <w:p w14:paraId="323A14FF" w14:textId="77777777" w:rsidR="00974178" w:rsidRPr="00C56ED9" w:rsidRDefault="00974178" w:rsidP="00974178">
      <w:pPr>
        <w:rPr>
          <w:lang w:val="en-US" w:eastAsia="ja-JP"/>
        </w:rPr>
      </w:pPr>
      <w:r w:rsidRPr="00C56ED9">
        <w:rPr>
          <w:lang w:val="en-US" w:eastAsia="ja-JP"/>
        </w:rPr>
        <w:t xml:space="preserve">Commonwealth of Australia (2008b) </w:t>
      </w:r>
      <w:r w:rsidRPr="00C56ED9">
        <w:rPr>
          <w:i/>
          <w:iCs/>
          <w:lang w:val="en-US" w:eastAsia="ja-JP"/>
        </w:rPr>
        <w:t>Threat abatement plan for predation by European red fox</w:t>
      </w:r>
      <w:r w:rsidRPr="00C56ED9">
        <w:rPr>
          <w:lang w:val="en-US" w:eastAsia="ja-JP"/>
        </w:rPr>
        <w:t>. Department of the Environment, Canberra.</w:t>
      </w:r>
    </w:p>
    <w:p w14:paraId="794458AB" w14:textId="77777777" w:rsidR="00974178" w:rsidRPr="00C56ED9" w:rsidRDefault="00974178" w:rsidP="00974178">
      <w:pPr>
        <w:rPr>
          <w:lang w:val="en-US" w:eastAsia="ja-JP"/>
        </w:rPr>
      </w:pPr>
      <w:r w:rsidRPr="00C56ED9">
        <w:rPr>
          <w:lang w:val="en-US" w:eastAsia="ja-JP"/>
        </w:rPr>
        <w:t xml:space="preserve">Commonwealth of Australia (2015a) </w:t>
      </w:r>
      <w:r w:rsidRPr="00C56ED9">
        <w:rPr>
          <w:i/>
          <w:lang w:val="en-US" w:eastAsia="ja-JP"/>
        </w:rPr>
        <w:t>Background document: Threat abatement plan for predation by feral cats</w:t>
      </w:r>
      <w:r w:rsidRPr="00C56ED9">
        <w:rPr>
          <w:lang w:val="en-US" w:eastAsia="ja-JP"/>
        </w:rPr>
        <w:t>. Department of the Environment, Canberra.</w:t>
      </w:r>
    </w:p>
    <w:p w14:paraId="4E0A96C0" w14:textId="77777777" w:rsidR="00974178" w:rsidRPr="00C56ED9" w:rsidRDefault="00974178" w:rsidP="00974178">
      <w:pPr>
        <w:rPr>
          <w:lang w:val="en-US" w:eastAsia="ja-JP"/>
        </w:rPr>
      </w:pPr>
      <w:r w:rsidRPr="00C56ED9">
        <w:rPr>
          <w:lang w:val="en-US" w:eastAsia="ja-JP"/>
        </w:rPr>
        <w:t xml:space="preserve">Commonwealth of Australia (2015b) </w:t>
      </w:r>
      <w:r w:rsidRPr="00C56ED9">
        <w:rPr>
          <w:i/>
          <w:lang w:val="en-US" w:eastAsia="ja-JP"/>
        </w:rPr>
        <w:t>Threat abatement plan for predation by feral cats.</w:t>
      </w:r>
      <w:r w:rsidRPr="00C56ED9">
        <w:rPr>
          <w:lang w:val="en-US" w:eastAsia="ja-JP"/>
        </w:rPr>
        <w:t xml:space="preserve"> Department of the Environment, Canberra.</w:t>
      </w:r>
    </w:p>
    <w:p w14:paraId="5D4A23AB" w14:textId="26A12288" w:rsidR="006F5E36" w:rsidRPr="00C56ED9" w:rsidRDefault="006F5E36" w:rsidP="006F5E36">
      <w:r w:rsidRPr="00C56ED9">
        <w:t xml:space="preserve">Cornell Lab (2020) eBird Platform Extract. The Cornell Lab of Ornithology, Ithaca, New York, &lt;https://ebird.org/home&gt;. </w:t>
      </w:r>
    </w:p>
    <w:p w14:paraId="0EB6848A" w14:textId="25F9E507" w:rsidR="002D3860" w:rsidRPr="00C56ED9" w:rsidRDefault="002D3860" w:rsidP="006F5E36">
      <w:pPr>
        <w:rPr>
          <w:lang w:val="en-US" w:eastAsia="ja-JP"/>
        </w:rPr>
      </w:pPr>
      <w:r w:rsidRPr="00C56ED9">
        <w:rPr>
          <w:lang w:val="en-US" w:eastAsia="ja-JP"/>
        </w:rPr>
        <w:t xml:space="preserve">DEE (Department of Environment and Energy) (2016) </w:t>
      </w:r>
      <w:r w:rsidRPr="00C56ED9">
        <w:rPr>
          <w:i/>
          <w:iCs/>
          <w:lang w:val="en-US" w:eastAsia="ja-JP"/>
        </w:rPr>
        <w:t>Threat Abatement Advice for the key threatening process 'Psittacine Circoviral (beak and feather) Disease affecting endangered psittacine species'</w:t>
      </w:r>
      <w:r w:rsidRPr="00C56ED9">
        <w:rPr>
          <w:lang w:val="en-US" w:eastAsia="ja-JP"/>
        </w:rPr>
        <w:t>. Department of Environment and Energy, Canberra.</w:t>
      </w:r>
    </w:p>
    <w:p w14:paraId="199FF2F1" w14:textId="6A24C9C7" w:rsidR="006F5E36" w:rsidRDefault="002D3860" w:rsidP="006F5E36">
      <w:r w:rsidRPr="00C56ED9">
        <w:t>DELWP (</w:t>
      </w:r>
      <w:r w:rsidR="006F5E36" w:rsidRPr="00C56ED9">
        <w:t>Department of Environment, Land, Water and Planning) (2016) 'National Recovery Plan for the Orange‐bellied Parrot Neophema chrysogaster'. Australian Government, Canberra.</w:t>
      </w:r>
    </w:p>
    <w:p w14:paraId="27A40503" w14:textId="762739F3" w:rsidR="002860E3" w:rsidRPr="00C56ED9" w:rsidRDefault="002860E3" w:rsidP="006F5E36">
      <w:r>
        <w:t>DPIRD (</w:t>
      </w:r>
      <w:r w:rsidRPr="002860E3">
        <w:t>Department of Primary Industries and Regional Development</w:t>
      </w:r>
      <w:r>
        <w:t>)</w:t>
      </w:r>
      <w:r w:rsidRPr="002860E3">
        <w:t xml:space="preserve"> </w:t>
      </w:r>
      <w:r>
        <w:t>(</w:t>
      </w:r>
      <w:r w:rsidRPr="002860E3">
        <w:t>2021</w:t>
      </w:r>
      <w:r>
        <w:t xml:space="preserve">) Pasture recovery after fire. Accessed on 11 Nov 2021. Available at: </w:t>
      </w:r>
      <w:hyperlink r:id="rId31" w:history="1">
        <w:r w:rsidRPr="00582BCA">
          <w:rPr>
            <w:rStyle w:val="Hyperlink"/>
          </w:rPr>
          <w:t>https://www.agric.wa.gov.au/fire/pasture-recovery-after-fire</w:t>
        </w:r>
      </w:hyperlink>
      <w:r>
        <w:t xml:space="preserve">. </w:t>
      </w:r>
    </w:p>
    <w:p w14:paraId="009B245A" w14:textId="53DB761C" w:rsidR="006F5E36" w:rsidRPr="00C56ED9" w:rsidRDefault="006F5E36" w:rsidP="006F5E36">
      <w:r w:rsidRPr="00C56ED9">
        <w:t>Di Virgilio G, Evans JP, Blake SA, Armstrong M, Dowdy AJ, Sharples J, McRae R (2019) Climate change increases the potential for extreme wildfires. Geophysical Research Letters 46, 8517–8526.</w:t>
      </w:r>
    </w:p>
    <w:p w14:paraId="36595AD0" w14:textId="5F2F49DD" w:rsidR="006F5E36" w:rsidRPr="00C56ED9" w:rsidRDefault="006F5E36" w:rsidP="006F5E36">
      <w:r w:rsidRPr="00C56ED9">
        <w:t xml:space="preserve">Dowdy AJ, Ye H, </w:t>
      </w:r>
      <w:proofErr w:type="spellStart"/>
      <w:r w:rsidRPr="00C56ED9">
        <w:t>Pepler</w:t>
      </w:r>
      <w:proofErr w:type="spellEnd"/>
      <w:r w:rsidRPr="00C56ED9">
        <w:t xml:space="preserve"> A, Thatcher M, </w:t>
      </w:r>
      <w:proofErr w:type="spellStart"/>
      <w:r w:rsidRPr="00C56ED9">
        <w:t>Osbrough</w:t>
      </w:r>
      <w:proofErr w:type="spellEnd"/>
      <w:r w:rsidRPr="00C56ED9">
        <w:t xml:space="preserve"> SL, Evans JP, Di Virgilio G, McCarthy N (2019) Future changes in extreme weather and </w:t>
      </w:r>
      <w:proofErr w:type="spellStart"/>
      <w:r w:rsidRPr="00C56ED9">
        <w:t>pyroconvection</w:t>
      </w:r>
      <w:proofErr w:type="spellEnd"/>
      <w:r w:rsidRPr="00C56ED9">
        <w:t xml:space="preserve"> risk factors for Australian wildfires. Scientific Reports 9, 10073.</w:t>
      </w:r>
    </w:p>
    <w:p w14:paraId="4C01A122" w14:textId="5F55CB26" w:rsidR="006F5E36" w:rsidRPr="00C56ED9" w:rsidRDefault="006F5E36" w:rsidP="006F5E36">
      <w:proofErr w:type="spellStart"/>
      <w:r w:rsidRPr="00C56ED9">
        <w:t>Emison</w:t>
      </w:r>
      <w:proofErr w:type="spellEnd"/>
      <w:r w:rsidRPr="00C56ED9">
        <w:t xml:space="preserve"> WB, </w:t>
      </w:r>
      <w:proofErr w:type="spellStart"/>
      <w:r w:rsidRPr="00C56ED9">
        <w:t>Beardsell</w:t>
      </w:r>
      <w:proofErr w:type="spellEnd"/>
      <w:r w:rsidRPr="00C56ED9">
        <w:t xml:space="preserve"> CM, Norman FI, Loyn RH (1987) 'Atlas of Victorian Birds'. Department of Conservation Forests and Lands and the Royal Australasian Ornithologists Union, Melbourne.</w:t>
      </w:r>
    </w:p>
    <w:p w14:paraId="1BAF10B5" w14:textId="1A37D3B3" w:rsidR="006F5E36" w:rsidRPr="00C56ED9" w:rsidRDefault="006F5E36" w:rsidP="006F5E36">
      <w:r w:rsidRPr="00C56ED9">
        <w:t xml:space="preserve">Evans JP, </w:t>
      </w:r>
      <w:proofErr w:type="spellStart"/>
      <w:r w:rsidRPr="00C56ED9">
        <w:t>Argueso</w:t>
      </w:r>
      <w:proofErr w:type="spellEnd"/>
      <w:r w:rsidRPr="00C56ED9">
        <w:t xml:space="preserve"> D, Olson R, Di Luca A (2017) Bias‐corrected regional climate projections of extreme rainfall in south‐east Australia. Theoretical and Applied Climatology 130, 1085–1098.</w:t>
      </w:r>
    </w:p>
    <w:p w14:paraId="4E5F11E1" w14:textId="05B47237" w:rsidR="006F5E36" w:rsidRPr="00C56ED9" w:rsidRDefault="006F5E36" w:rsidP="006F5E36">
      <w:r w:rsidRPr="00C56ED9">
        <w:t>Forest Practices Authority (FPA) (2020) 'Information on land clearing controls in Tasmania'. Forest Practices Authority, Hobart, &lt;https://www.fpa.tas.gov.au&gt;.</w:t>
      </w:r>
    </w:p>
    <w:p w14:paraId="768E5C6D" w14:textId="78B8AECA" w:rsidR="008C1636" w:rsidRPr="00C56ED9" w:rsidRDefault="008C1636" w:rsidP="008C1636">
      <w:r w:rsidRPr="00C56ED9">
        <w:rPr>
          <w:shd w:val="clear" w:color="auto" w:fill="FFFFFF"/>
        </w:rPr>
        <w:lastRenderedPageBreak/>
        <w:t xml:space="preserve">French Kristine </w:t>
      </w:r>
      <w:proofErr w:type="spellStart"/>
      <w:r w:rsidRPr="00C56ED9">
        <w:rPr>
          <w:shd w:val="clear" w:color="auto" w:fill="FFFFFF"/>
        </w:rPr>
        <w:t>Zubovic</w:t>
      </w:r>
      <w:proofErr w:type="spellEnd"/>
      <w:r w:rsidRPr="00C56ED9">
        <w:rPr>
          <w:shd w:val="clear" w:color="auto" w:fill="FFFFFF"/>
        </w:rPr>
        <w:t xml:space="preserve"> Anita (</w:t>
      </w:r>
      <w:r w:rsidRPr="00C56ED9">
        <w:t>1997) Effect of the Weed </w:t>
      </w:r>
      <w:proofErr w:type="spellStart"/>
      <w:r w:rsidRPr="00C56ED9">
        <w:rPr>
          <w:i/>
          <w:iCs/>
        </w:rPr>
        <w:t>Chrysanthemoides</w:t>
      </w:r>
      <w:proofErr w:type="spellEnd"/>
      <w:r w:rsidRPr="00C56ED9">
        <w:rPr>
          <w:i/>
          <w:iCs/>
        </w:rPr>
        <w:t xml:space="preserve"> </w:t>
      </w:r>
      <w:proofErr w:type="spellStart"/>
      <w:r w:rsidRPr="00C56ED9">
        <w:rPr>
          <w:i/>
          <w:iCs/>
        </w:rPr>
        <w:t>monilifera</w:t>
      </w:r>
      <w:proofErr w:type="spellEnd"/>
      <w:r w:rsidRPr="00C56ED9">
        <w:t> (Bitou Bush) on Bird Communities. </w:t>
      </w:r>
      <w:r w:rsidRPr="00C56ED9">
        <w:rPr>
          <w:i/>
          <w:iCs/>
        </w:rPr>
        <w:t>Wildlife Research</w:t>
      </w:r>
      <w:r w:rsidRPr="00C56ED9">
        <w:t> 24, 727-735.</w:t>
      </w:r>
    </w:p>
    <w:p w14:paraId="5995D1E8" w14:textId="77777777" w:rsidR="008C1636" w:rsidRPr="00C56ED9" w:rsidRDefault="008C1636" w:rsidP="008C1636">
      <w:r w:rsidRPr="00C56ED9">
        <w:t xml:space="preserve">Gunn RC (1851). On the introduction and naturalization of </w:t>
      </w:r>
      <w:r w:rsidRPr="00A576C4">
        <w:rPr>
          <w:i/>
          <w:iCs/>
        </w:rPr>
        <w:t xml:space="preserve">Petaurus </w:t>
      </w:r>
      <w:proofErr w:type="spellStart"/>
      <w:r w:rsidRPr="00A576C4">
        <w:rPr>
          <w:i/>
          <w:iCs/>
        </w:rPr>
        <w:t>sciureus</w:t>
      </w:r>
      <w:proofErr w:type="spellEnd"/>
      <w:r w:rsidRPr="00C56ED9">
        <w:t xml:space="preserve"> in Tasmania. Proceedings of the Royal Society of Tasmania, 253-255 (for 1850).</w:t>
      </w:r>
    </w:p>
    <w:p w14:paraId="6DEE6B25" w14:textId="77777777" w:rsidR="008C1636" w:rsidRPr="00C56ED9" w:rsidRDefault="008C1636" w:rsidP="008C1636">
      <w:r w:rsidRPr="00C56ED9">
        <w:t>Hui TCY (2006). The Distribution of Sugar Gliders in Tasmania: Past, Present and Future. University of Tasmania.</w:t>
      </w:r>
    </w:p>
    <w:p w14:paraId="60167BBC" w14:textId="209CDCD1" w:rsidR="008C1636" w:rsidRPr="00C56ED9" w:rsidRDefault="008C1636" w:rsidP="008C1636">
      <w:r w:rsidRPr="00C56ED9">
        <w:t xml:space="preserve">Heinsohn R, Webb MH, Lacy R, </w:t>
      </w:r>
      <w:proofErr w:type="spellStart"/>
      <w:r w:rsidRPr="00C56ED9">
        <w:t>Terauds</w:t>
      </w:r>
      <w:proofErr w:type="spellEnd"/>
      <w:r w:rsidRPr="00C56ED9">
        <w:t xml:space="preserve"> A, Alderman R &amp; Stojanovic D (2015). A severe predator-induced decline predicted for endangered, migratory swift parrots (Lathamus discolor). Biological Conservation, 186, 75-82.</w:t>
      </w:r>
    </w:p>
    <w:p w14:paraId="3CD00290" w14:textId="66797C49" w:rsidR="00F63C4C" w:rsidRPr="00C56ED9" w:rsidRDefault="00F63C4C" w:rsidP="008C1636">
      <w:r w:rsidRPr="00C56ED9">
        <w:t xml:space="preserve">Herold N, </w:t>
      </w:r>
      <w:proofErr w:type="spellStart"/>
      <w:r w:rsidRPr="00C56ED9">
        <w:t>Ekström</w:t>
      </w:r>
      <w:proofErr w:type="spellEnd"/>
      <w:r w:rsidRPr="00C56ED9">
        <w:t xml:space="preserve"> M, Kala J, Goldie J &amp; Evans JP (2018) Australian climate extremes in the 21st century according to a regional climate model ensemble: Implications for health and agriculture. </w:t>
      </w:r>
      <w:r w:rsidRPr="00C56ED9">
        <w:rPr>
          <w:i/>
          <w:iCs/>
        </w:rPr>
        <w:t>Weather and Climate Extremes</w:t>
      </w:r>
      <w:r w:rsidRPr="00C56ED9">
        <w:t xml:space="preserve"> 20, 54–68.</w:t>
      </w:r>
    </w:p>
    <w:p w14:paraId="4CC1FA0E" w14:textId="77212F97" w:rsidR="006F5E36" w:rsidRPr="00C56ED9" w:rsidRDefault="006F5E36" w:rsidP="006F5E36">
      <w:r w:rsidRPr="00C56ED9">
        <w:t>Higgins PJ (Ed) (1999) Handbook of Australian, New Zealand and Antarctic Birds. Volume 4: Parrots to Dollarbird. Oxford University Press, Melbourne.</w:t>
      </w:r>
    </w:p>
    <w:p w14:paraId="4F2BB6D4" w14:textId="65F3EA33" w:rsidR="006F5E36" w:rsidRPr="00C56ED9" w:rsidRDefault="006F5E36" w:rsidP="006F5E36">
      <w:r w:rsidRPr="00C56ED9">
        <w:t xml:space="preserve">Holdsworth M, Newman M, Menkhorst P, Morley C, Cooper R, Green B, Starks J, Baker GB, Garnett ST (2021) Blue‐winged Parrot </w:t>
      </w:r>
      <w:proofErr w:type="spellStart"/>
      <w:r w:rsidRPr="00C56ED9">
        <w:rPr>
          <w:i/>
          <w:iCs/>
        </w:rPr>
        <w:t>Neophema</w:t>
      </w:r>
      <w:proofErr w:type="spellEnd"/>
      <w:r w:rsidRPr="00C56ED9">
        <w:rPr>
          <w:i/>
          <w:iCs/>
        </w:rPr>
        <w:t xml:space="preserve"> </w:t>
      </w:r>
      <w:proofErr w:type="spellStart"/>
      <w:r w:rsidRPr="00C56ED9">
        <w:rPr>
          <w:i/>
          <w:iCs/>
        </w:rPr>
        <w:t>chrysostoma</w:t>
      </w:r>
      <w:proofErr w:type="spellEnd"/>
      <w:r w:rsidRPr="00C56ED9">
        <w:t xml:space="preserve">. In </w:t>
      </w:r>
      <w:r w:rsidRPr="00C56ED9">
        <w:rPr>
          <w:i/>
          <w:iCs/>
        </w:rPr>
        <w:t>The Action Plan for Australian Birds 2020</w:t>
      </w:r>
      <w:r w:rsidRPr="00C56ED9">
        <w:t>. (Eds ST Garnett and GB Baker) pp. XXX–XXX. CSIRO Publishing, Melbourne.</w:t>
      </w:r>
    </w:p>
    <w:p w14:paraId="596CA203" w14:textId="68ECD85E" w:rsidR="00293F73" w:rsidRPr="00C56ED9" w:rsidRDefault="00293F73" w:rsidP="006F5E36">
      <w:r w:rsidRPr="00C56ED9">
        <w:t xml:space="preserve">IPCC (Intergovernmental Panel on Climate Change) (2021) </w:t>
      </w:r>
      <w:r w:rsidRPr="00C56ED9">
        <w:rPr>
          <w:i/>
          <w:iCs/>
        </w:rPr>
        <w:t>Regional fact sheet – Australasia</w:t>
      </w:r>
      <w:r w:rsidRPr="00C56ED9">
        <w:t xml:space="preserve">. Sixth Assessment </w:t>
      </w:r>
      <w:proofErr w:type="gramStart"/>
      <w:r w:rsidRPr="00C56ED9">
        <w:t>Report  Working</w:t>
      </w:r>
      <w:proofErr w:type="gramEnd"/>
      <w:r w:rsidRPr="00C56ED9">
        <w:t xml:space="preserve"> Group I – The Physical Science Basis. Accessed on: 18 August 2021. Available at: </w:t>
      </w:r>
      <w:hyperlink r:id="rId32" w:history="1">
        <w:r w:rsidRPr="00C56ED9">
          <w:rPr>
            <w:rStyle w:val="Hyperlink"/>
          </w:rPr>
          <w:t>https://www.ipcc.ch/report/ar6/wg1/downloads/factsheets/IPCC_AR6_WGI_Regional_Fact_Sheet_Australasia.pdf</w:t>
        </w:r>
      </w:hyperlink>
      <w:r w:rsidRPr="00C56ED9">
        <w:t xml:space="preserve">. </w:t>
      </w:r>
    </w:p>
    <w:p w14:paraId="2753A695" w14:textId="65DF9EE5" w:rsidR="008C1636" w:rsidRDefault="008C1636" w:rsidP="006F5E36">
      <w:r w:rsidRPr="00C56ED9">
        <w:t xml:space="preserve">Jackson WJ, Argent RM, </w:t>
      </w:r>
      <w:proofErr w:type="spellStart"/>
      <w:r w:rsidRPr="00C56ED9">
        <w:t>Bax</w:t>
      </w:r>
      <w:proofErr w:type="spellEnd"/>
      <w:r w:rsidRPr="00C56ED9">
        <w:t xml:space="preserve"> NJ, Bui E, Clark GF, Coleman S, </w:t>
      </w:r>
      <w:proofErr w:type="spellStart"/>
      <w:r w:rsidRPr="00C56ED9">
        <w:t>Cresswell</w:t>
      </w:r>
      <w:proofErr w:type="spellEnd"/>
      <w:r w:rsidRPr="00C56ED9">
        <w:t xml:space="preserve"> ID, Emmerson KM, Evans K, Hibberd MF, Johnston EL, </w:t>
      </w:r>
      <w:proofErr w:type="spellStart"/>
      <w:r w:rsidRPr="00C56ED9">
        <w:t>Keywood</w:t>
      </w:r>
      <w:proofErr w:type="spellEnd"/>
      <w:r w:rsidRPr="00C56ED9">
        <w:t xml:space="preserve"> MD, </w:t>
      </w:r>
      <w:proofErr w:type="spellStart"/>
      <w:r w:rsidRPr="00C56ED9">
        <w:t>Klekociuk</w:t>
      </w:r>
      <w:proofErr w:type="spellEnd"/>
      <w:r w:rsidRPr="00C56ED9">
        <w:t xml:space="preserve"> A, Mackay R, Metcalfe D, Murphy H, Rankin A, Smith DC &amp; Wienecke B (2016) Overview: Land-use change, and habitat fragmentation and degradation threaten ecosystems and resilience. In: Australia state of the environment 2016, Australian Government Department of the Environment and Energy, Canberra. </w:t>
      </w:r>
    </w:p>
    <w:p w14:paraId="0C407A78" w14:textId="2888D650" w:rsidR="00C92075" w:rsidRPr="00C56ED9" w:rsidRDefault="00C92075" w:rsidP="006F5E36">
      <w:r w:rsidRPr="00C92075">
        <w:t>Kearney SG</w:t>
      </w:r>
      <w:r>
        <w:t>,</w:t>
      </w:r>
      <w:r w:rsidRPr="00C92075">
        <w:t xml:space="preserve"> Watson JEM</w:t>
      </w:r>
      <w:r>
        <w:t>,</w:t>
      </w:r>
      <w:r w:rsidRPr="00C92075">
        <w:t xml:space="preserve"> Reside AE</w:t>
      </w:r>
      <w:r>
        <w:t>,</w:t>
      </w:r>
      <w:r w:rsidRPr="00C92075">
        <w:t xml:space="preserve"> Fisher DO</w:t>
      </w:r>
      <w:r>
        <w:t>,</w:t>
      </w:r>
      <w:r w:rsidRPr="00C92075">
        <w:t xml:space="preserve"> Maron M</w:t>
      </w:r>
      <w:r>
        <w:t>,</w:t>
      </w:r>
      <w:r w:rsidRPr="00C92075">
        <w:t xml:space="preserve"> Doherty TS</w:t>
      </w:r>
      <w:r>
        <w:t>,</w:t>
      </w:r>
      <w:r w:rsidRPr="00C92075">
        <w:t xml:space="preserve"> </w:t>
      </w:r>
      <w:proofErr w:type="spellStart"/>
      <w:r w:rsidRPr="00C92075">
        <w:t>Legge</w:t>
      </w:r>
      <w:proofErr w:type="spellEnd"/>
      <w:r w:rsidRPr="00C92075">
        <w:t xml:space="preserve"> SM</w:t>
      </w:r>
      <w:r>
        <w:t>,</w:t>
      </w:r>
      <w:r w:rsidRPr="00C92075">
        <w:t xml:space="preserve"> </w:t>
      </w:r>
      <w:proofErr w:type="spellStart"/>
      <w:r w:rsidRPr="00C92075">
        <w:t>Woinarski</w:t>
      </w:r>
      <w:proofErr w:type="spellEnd"/>
      <w:r w:rsidRPr="00C92075">
        <w:t xml:space="preserve"> JCZ</w:t>
      </w:r>
      <w:r>
        <w:t>,</w:t>
      </w:r>
      <w:r w:rsidRPr="00C92075">
        <w:t xml:space="preserve"> Garnett ST</w:t>
      </w:r>
      <w:r>
        <w:t>,</w:t>
      </w:r>
      <w:r w:rsidRPr="00C92075">
        <w:t xml:space="preserve"> </w:t>
      </w:r>
      <w:proofErr w:type="spellStart"/>
      <w:r w:rsidRPr="00C92075">
        <w:t>Wintle</w:t>
      </w:r>
      <w:proofErr w:type="spellEnd"/>
      <w:r w:rsidRPr="00C92075">
        <w:t xml:space="preserve"> BA</w:t>
      </w:r>
      <w:r>
        <w:t>,</w:t>
      </w:r>
      <w:r w:rsidRPr="00C92075">
        <w:t xml:space="preserve"> Ritchie EG</w:t>
      </w:r>
      <w:r>
        <w:t>,</w:t>
      </w:r>
      <w:r w:rsidRPr="00C92075">
        <w:t xml:space="preserve"> Driscoll DA</w:t>
      </w:r>
      <w:r>
        <w:t>,</w:t>
      </w:r>
      <w:r w:rsidRPr="00C92075">
        <w:t xml:space="preserve"> </w:t>
      </w:r>
      <w:proofErr w:type="spellStart"/>
      <w:r w:rsidRPr="00C92075">
        <w:t>Lindenmayer</w:t>
      </w:r>
      <w:proofErr w:type="spellEnd"/>
      <w:r w:rsidRPr="00C92075">
        <w:t xml:space="preserve"> D</w:t>
      </w:r>
      <w:r>
        <w:t>,</w:t>
      </w:r>
      <w:r w:rsidRPr="00C92075">
        <w:t xml:space="preserve"> Adams VM</w:t>
      </w:r>
      <w:r>
        <w:t>,</w:t>
      </w:r>
      <w:r w:rsidRPr="00C92075">
        <w:t xml:space="preserve"> Ward MS</w:t>
      </w:r>
      <w:r>
        <w:t>,</w:t>
      </w:r>
      <w:r w:rsidRPr="00C92075">
        <w:t xml:space="preserve"> </w:t>
      </w:r>
      <w:proofErr w:type="spellStart"/>
      <w:r w:rsidRPr="00C92075">
        <w:t>Carwardine</w:t>
      </w:r>
      <w:proofErr w:type="spellEnd"/>
      <w:r w:rsidRPr="00C92075">
        <w:t xml:space="preserve"> J</w:t>
      </w:r>
      <w:r>
        <w:t xml:space="preserve"> (2020)</w:t>
      </w:r>
      <w:r w:rsidRPr="00C92075">
        <w:t xml:space="preserve"> A Novel Threat-Abatement Framework Confirms an Urgent Need to Limit Habitat Loss and Improve Management of Invasive Species and Inappropriate Fire Regimes for Australia’s Threatened Species. </w:t>
      </w:r>
      <w:r w:rsidRPr="00C92075">
        <w:rPr>
          <w:i/>
          <w:iCs/>
        </w:rPr>
        <w:t xml:space="preserve">Preprints </w:t>
      </w:r>
      <w:r w:rsidRPr="00C92075">
        <w:t>2020100372</w:t>
      </w:r>
      <w:r>
        <w:t>.</w:t>
      </w:r>
    </w:p>
    <w:p w14:paraId="0A567CD8" w14:textId="6DB0B0BC" w:rsidR="00AE6F13" w:rsidRPr="00C56ED9" w:rsidRDefault="00AE6F13" w:rsidP="006F5E36">
      <w:pPr>
        <w:rPr>
          <w:lang w:eastAsia="ja-JP"/>
        </w:rPr>
      </w:pPr>
      <w:r w:rsidRPr="00C56ED9">
        <w:rPr>
          <w:lang w:eastAsia="ja-JP"/>
        </w:rPr>
        <w:t xml:space="preserve">Le Roux DS, </w:t>
      </w:r>
      <w:proofErr w:type="spellStart"/>
      <w:r w:rsidRPr="00C56ED9">
        <w:rPr>
          <w:lang w:eastAsia="ja-JP"/>
        </w:rPr>
        <w:t>Ikin</w:t>
      </w:r>
      <w:proofErr w:type="spellEnd"/>
      <w:r w:rsidRPr="00C56ED9">
        <w:rPr>
          <w:lang w:eastAsia="ja-JP"/>
        </w:rPr>
        <w:t xml:space="preserve"> K, </w:t>
      </w:r>
      <w:proofErr w:type="spellStart"/>
      <w:r w:rsidRPr="00C56ED9">
        <w:rPr>
          <w:lang w:eastAsia="ja-JP"/>
        </w:rPr>
        <w:t>Lindenmayer</w:t>
      </w:r>
      <w:proofErr w:type="spellEnd"/>
      <w:r w:rsidRPr="00C56ED9">
        <w:rPr>
          <w:lang w:eastAsia="ja-JP"/>
        </w:rPr>
        <w:t xml:space="preserve"> DB, Manning AD &amp; Gibbons P (2014) The Future of Large Old Trees in Urban Landscapes. </w:t>
      </w:r>
      <w:proofErr w:type="spellStart"/>
      <w:r w:rsidRPr="00C56ED9">
        <w:rPr>
          <w:i/>
          <w:iCs/>
          <w:lang w:eastAsia="ja-JP"/>
        </w:rPr>
        <w:t>PLoS</w:t>
      </w:r>
      <w:proofErr w:type="spellEnd"/>
      <w:r w:rsidRPr="00C56ED9">
        <w:rPr>
          <w:i/>
          <w:iCs/>
          <w:lang w:eastAsia="ja-JP"/>
        </w:rPr>
        <w:t xml:space="preserve"> One</w:t>
      </w:r>
      <w:r w:rsidRPr="00C56ED9">
        <w:rPr>
          <w:lang w:eastAsia="ja-JP"/>
        </w:rPr>
        <w:t xml:space="preserve"> 9, 6, e99403.</w:t>
      </w:r>
    </w:p>
    <w:p w14:paraId="1B2581C9" w14:textId="5CBFE73E" w:rsidR="008C1636" w:rsidRPr="00C56ED9" w:rsidRDefault="008C1636" w:rsidP="008C1636">
      <w:proofErr w:type="spellStart"/>
      <w:r w:rsidRPr="00C56ED9">
        <w:t>Lindenmayer</w:t>
      </w:r>
      <w:proofErr w:type="spellEnd"/>
      <w:r w:rsidRPr="00C56ED9">
        <w:t xml:space="preserve"> D (2002). Gliders of Australia: a natural history. UNSW Press, Sydney.</w:t>
      </w:r>
    </w:p>
    <w:p w14:paraId="4917119C" w14:textId="2C4F81D8" w:rsidR="00AE6F13" w:rsidRPr="00C56ED9" w:rsidRDefault="00AE6F13" w:rsidP="008C1636">
      <w:pPr>
        <w:rPr>
          <w:lang w:val="en-US" w:eastAsia="ja-JP"/>
        </w:rPr>
      </w:pPr>
      <w:proofErr w:type="spellStart"/>
      <w:r w:rsidRPr="00C56ED9">
        <w:rPr>
          <w:lang w:val="en-US" w:eastAsia="ja-JP"/>
        </w:rPr>
        <w:t>Lindenmayer</w:t>
      </w:r>
      <w:proofErr w:type="spellEnd"/>
      <w:r w:rsidRPr="00C56ED9">
        <w:rPr>
          <w:lang w:val="en-US" w:eastAsia="ja-JP"/>
        </w:rPr>
        <w:t xml:space="preserve"> DB, Cunningham RB, Nix HA, </w:t>
      </w:r>
      <w:proofErr w:type="spellStart"/>
      <w:r w:rsidRPr="00C56ED9">
        <w:rPr>
          <w:lang w:val="en-US" w:eastAsia="ja-JP"/>
        </w:rPr>
        <w:t>Tanton</w:t>
      </w:r>
      <w:proofErr w:type="spellEnd"/>
      <w:r w:rsidRPr="00C56ED9">
        <w:rPr>
          <w:lang w:val="en-US" w:eastAsia="ja-JP"/>
        </w:rPr>
        <w:t xml:space="preserve"> MT &amp; Smith AP (1991) Predicting the abundance of hollow-bearing trees in montane forests of southeastern Australia. </w:t>
      </w:r>
      <w:r w:rsidRPr="00C56ED9">
        <w:rPr>
          <w:i/>
          <w:iCs/>
          <w:lang w:val="en-US" w:eastAsia="ja-JP"/>
        </w:rPr>
        <w:t>Australian Journal of Ecology</w:t>
      </w:r>
      <w:r w:rsidRPr="00C56ED9">
        <w:rPr>
          <w:lang w:val="en-US" w:eastAsia="ja-JP"/>
        </w:rPr>
        <w:t xml:space="preserve"> 16, 1, 91-98.</w:t>
      </w:r>
    </w:p>
    <w:p w14:paraId="3010807D" w14:textId="1C0998E0" w:rsidR="00AE6F13" w:rsidRPr="00C56ED9" w:rsidRDefault="00AE6F13" w:rsidP="008C1636">
      <w:pPr>
        <w:rPr>
          <w:lang w:eastAsia="ja-JP"/>
        </w:rPr>
      </w:pPr>
      <w:r w:rsidRPr="00C56ED9">
        <w:rPr>
          <w:lang w:eastAsia="ja-JP"/>
        </w:rPr>
        <w:lastRenderedPageBreak/>
        <w:t xml:space="preserve">Manning AD, Gibbons P, Fischer J, Oliver DL &amp; </w:t>
      </w:r>
      <w:proofErr w:type="spellStart"/>
      <w:r w:rsidRPr="00C56ED9">
        <w:rPr>
          <w:lang w:eastAsia="ja-JP"/>
        </w:rPr>
        <w:t>Lindenmayer</w:t>
      </w:r>
      <w:proofErr w:type="spellEnd"/>
      <w:r w:rsidRPr="00C56ED9">
        <w:rPr>
          <w:lang w:eastAsia="ja-JP"/>
        </w:rPr>
        <w:t xml:space="preserve"> DB (2013) Hollow futures? Tree decline, lag effects and hollow-dependent species. </w:t>
      </w:r>
      <w:r w:rsidRPr="00C56ED9">
        <w:rPr>
          <w:i/>
          <w:iCs/>
          <w:lang w:eastAsia="ja-JP"/>
        </w:rPr>
        <w:t xml:space="preserve">Animal Conservation </w:t>
      </w:r>
      <w:r w:rsidRPr="00C56ED9">
        <w:rPr>
          <w:lang w:eastAsia="ja-JP"/>
        </w:rPr>
        <w:t>16, 4, 395-403.</w:t>
      </w:r>
    </w:p>
    <w:p w14:paraId="48A2D975" w14:textId="39A83934" w:rsidR="006F5E36" w:rsidRPr="00C56ED9" w:rsidRDefault="006F5E36" w:rsidP="006F5E36">
      <w:r w:rsidRPr="00C56ED9">
        <w:t xml:space="preserve">McColl WS (1957) Observations on parrots in Tasmania. </w:t>
      </w:r>
      <w:r w:rsidRPr="00C56ED9">
        <w:rPr>
          <w:i/>
          <w:iCs/>
        </w:rPr>
        <w:t>Emu</w:t>
      </w:r>
      <w:r w:rsidRPr="00C56ED9">
        <w:t xml:space="preserve"> 57, 201–205.</w:t>
      </w:r>
    </w:p>
    <w:p w14:paraId="19E557A1" w14:textId="77777777" w:rsidR="00974178" w:rsidRPr="00C56ED9" w:rsidRDefault="00974178" w:rsidP="00974178">
      <w:pPr>
        <w:rPr>
          <w:lang w:eastAsia="ja-JP"/>
        </w:rPr>
      </w:pPr>
      <w:r w:rsidRPr="00C56ED9">
        <w:rPr>
          <w:lang w:val="en-US" w:eastAsia="ja-JP"/>
        </w:rPr>
        <w:t xml:space="preserve">McGregor HW, Legge S, Jones ME &amp; Johnson CN (2015) Feral Cats Are Better Killers in Open Habitats, Revealed by Animal-Borne Video. </w:t>
      </w:r>
      <w:proofErr w:type="spellStart"/>
      <w:r w:rsidRPr="00C56ED9">
        <w:rPr>
          <w:i/>
          <w:lang w:val="en-US" w:eastAsia="ja-JP"/>
        </w:rPr>
        <w:t>PLoS</w:t>
      </w:r>
      <w:proofErr w:type="spellEnd"/>
      <w:r w:rsidRPr="00C56ED9">
        <w:rPr>
          <w:i/>
          <w:lang w:val="en-US" w:eastAsia="ja-JP"/>
        </w:rPr>
        <w:t xml:space="preserve"> ONE</w:t>
      </w:r>
      <w:r w:rsidRPr="00C56ED9">
        <w:rPr>
          <w:lang w:val="en-US" w:eastAsia="ja-JP"/>
        </w:rPr>
        <w:t xml:space="preserve"> 10, 8, </w:t>
      </w:r>
      <w:r w:rsidRPr="00C56ED9">
        <w:rPr>
          <w:lang w:eastAsia="ja-JP"/>
        </w:rPr>
        <w:t>e0133915.</w:t>
      </w:r>
    </w:p>
    <w:p w14:paraId="05A75503" w14:textId="4A9B1049" w:rsidR="00974178" w:rsidRPr="00C56ED9" w:rsidRDefault="00974178" w:rsidP="006F5E36">
      <w:pPr>
        <w:rPr>
          <w:lang w:val="en-US" w:eastAsia="ja-JP"/>
        </w:rPr>
      </w:pPr>
      <w:r w:rsidRPr="00C56ED9">
        <w:rPr>
          <w:lang w:val="en-US" w:eastAsia="ja-JP"/>
        </w:rPr>
        <w:t xml:space="preserve">McGregor HW, Legge S, Jones ME &amp; Johnson CN (2016) Extraterritorial hunting expeditions to intense fire scars by feral cats. </w:t>
      </w:r>
      <w:r w:rsidRPr="00C56ED9">
        <w:rPr>
          <w:i/>
          <w:lang w:val="en-US" w:eastAsia="ja-JP"/>
        </w:rPr>
        <w:t>Scientific Reports</w:t>
      </w:r>
      <w:r w:rsidRPr="00C56ED9">
        <w:rPr>
          <w:lang w:val="en-US" w:eastAsia="ja-JP"/>
        </w:rPr>
        <w:t xml:space="preserve"> 6, 22559.</w:t>
      </w:r>
    </w:p>
    <w:p w14:paraId="7770426E" w14:textId="461339CB" w:rsidR="00F63C4C" w:rsidRPr="00C56ED9" w:rsidRDefault="00F63C4C" w:rsidP="00F63C4C">
      <w:pPr>
        <w:rPr>
          <w:lang w:val="en-US" w:eastAsia="ja-JP"/>
        </w:rPr>
      </w:pPr>
      <w:r w:rsidRPr="00C56ED9">
        <w:rPr>
          <w:lang w:val="en-US" w:eastAsia="ja-JP"/>
        </w:rPr>
        <w:t xml:space="preserve">McKechnie AE, Hockey PAR &amp; Wolf BO (2012) Feeling the heat: Australian </w:t>
      </w:r>
      <w:proofErr w:type="spellStart"/>
      <w:r w:rsidRPr="00C56ED9">
        <w:rPr>
          <w:lang w:val="en-US" w:eastAsia="ja-JP"/>
        </w:rPr>
        <w:t>landbirds</w:t>
      </w:r>
      <w:proofErr w:type="spellEnd"/>
      <w:r w:rsidRPr="00C56ED9">
        <w:rPr>
          <w:lang w:val="en-US" w:eastAsia="ja-JP"/>
        </w:rPr>
        <w:t xml:space="preserve"> and climate change. </w:t>
      </w:r>
      <w:r w:rsidRPr="00C56ED9">
        <w:rPr>
          <w:i/>
          <w:iCs/>
          <w:lang w:val="en-US" w:eastAsia="ja-JP"/>
        </w:rPr>
        <w:t>Emu</w:t>
      </w:r>
      <w:r w:rsidRPr="00C56ED9">
        <w:rPr>
          <w:lang w:val="en-US" w:eastAsia="ja-JP"/>
        </w:rPr>
        <w:t xml:space="preserve"> </w:t>
      </w:r>
      <w:r w:rsidRPr="00C56ED9">
        <w:rPr>
          <w:i/>
          <w:iCs/>
          <w:lang w:val="en-US" w:eastAsia="ja-JP"/>
        </w:rPr>
        <w:t>- Austral Ornithology</w:t>
      </w:r>
      <w:r w:rsidRPr="00C56ED9">
        <w:rPr>
          <w:lang w:val="en-US" w:eastAsia="ja-JP"/>
        </w:rPr>
        <w:t>, 112, 2, i-vii.</w:t>
      </w:r>
    </w:p>
    <w:p w14:paraId="2CD3C00B" w14:textId="39D63C00" w:rsidR="006F5E36" w:rsidRPr="00C56ED9" w:rsidRDefault="006F5E36" w:rsidP="006F5E36">
      <w:r w:rsidRPr="00C56ED9">
        <w:t>Newman M</w:t>
      </w:r>
      <w:r w:rsidR="00AE6F13" w:rsidRPr="00C56ED9">
        <w:t xml:space="preserve"> &amp;</w:t>
      </w:r>
      <w:r w:rsidRPr="00C56ED9">
        <w:t xml:space="preserve"> Ashby R (2018) Case Study 3: Status of blue‐winged parrot. State of Tasmania's Birds, 2015–2016. In Tasmanian Bird Report 39. (Ed W Webber) pp. 9–10. BirdLife Tasmania, Hobart. </w:t>
      </w:r>
    </w:p>
    <w:p w14:paraId="6AC896ED" w14:textId="484B9F73" w:rsidR="00AE6F13" w:rsidRPr="00C56ED9" w:rsidRDefault="00AE6F13" w:rsidP="00AE6F13">
      <w:r w:rsidRPr="00C56ED9">
        <w:t>Newton I (1994) The role of nest sites in limiting the numbers of hole-nesting birds: A review. Biological Conservation, 70, 3, 265–276.</w:t>
      </w:r>
    </w:p>
    <w:p w14:paraId="246BF0D9" w14:textId="739C8DD9" w:rsidR="00974178" w:rsidRPr="00C56ED9" w:rsidRDefault="00974178" w:rsidP="006F5E36">
      <w:r w:rsidRPr="00C56ED9">
        <w:t xml:space="preserve">Olsen, P, Weston M, Tzaros C &amp; Silcocks A (2005) The state of Australia’s birds 2005. </w:t>
      </w:r>
      <w:r w:rsidRPr="00C56ED9">
        <w:rPr>
          <w:i/>
          <w:iCs/>
        </w:rPr>
        <w:t xml:space="preserve">Wingspan </w:t>
      </w:r>
      <w:r w:rsidRPr="00C56ED9">
        <w:t xml:space="preserve">15, 4, supplementary document. </w:t>
      </w:r>
    </w:p>
    <w:p w14:paraId="5F1F1270" w14:textId="77777777" w:rsidR="00F63C4C" w:rsidRPr="00C56ED9" w:rsidRDefault="00F63C4C" w:rsidP="00F63C4C">
      <w:bookmarkStart w:id="18" w:name="_Hlk63950817"/>
      <w:r w:rsidRPr="00C56ED9">
        <w:t xml:space="preserve">Perkins-Kirkpatrick SE, White CJ, Alexander LV, </w:t>
      </w:r>
      <w:proofErr w:type="spellStart"/>
      <w:r w:rsidRPr="00C56ED9">
        <w:t>Argüeso</w:t>
      </w:r>
      <w:proofErr w:type="spellEnd"/>
      <w:r w:rsidRPr="00C56ED9">
        <w:t xml:space="preserve"> D, </w:t>
      </w:r>
      <w:proofErr w:type="spellStart"/>
      <w:r w:rsidRPr="00C56ED9">
        <w:t>Boschat</w:t>
      </w:r>
      <w:proofErr w:type="spellEnd"/>
      <w:r w:rsidRPr="00C56ED9">
        <w:t xml:space="preserve"> G, Cowan T, Evans JP, </w:t>
      </w:r>
      <w:proofErr w:type="spellStart"/>
      <w:r w:rsidRPr="00C56ED9">
        <w:t>Ekström</w:t>
      </w:r>
      <w:proofErr w:type="spellEnd"/>
      <w:r w:rsidRPr="00C56ED9">
        <w:t xml:space="preserve"> M, Oliver ECJ, </w:t>
      </w:r>
      <w:proofErr w:type="spellStart"/>
      <w:r w:rsidRPr="00C56ED9">
        <w:t>Phatak</w:t>
      </w:r>
      <w:proofErr w:type="spellEnd"/>
      <w:r w:rsidRPr="00C56ED9">
        <w:t xml:space="preserve"> A &amp; </w:t>
      </w:r>
      <w:proofErr w:type="spellStart"/>
      <w:r w:rsidRPr="00C56ED9">
        <w:t>Purich</w:t>
      </w:r>
      <w:proofErr w:type="spellEnd"/>
      <w:r w:rsidRPr="00C56ED9">
        <w:t xml:space="preserve"> A (2016) Natural Hazards: Heatwaves. </w:t>
      </w:r>
      <w:r w:rsidRPr="00C56ED9">
        <w:rPr>
          <w:i/>
          <w:iCs/>
        </w:rPr>
        <w:t>Climatic Change</w:t>
      </w:r>
      <w:r w:rsidRPr="00C56ED9">
        <w:t xml:space="preserve"> 131, 1, 101–114.</w:t>
      </w:r>
      <w:bookmarkEnd w:id="18"/>
    </w:p>
    <w:p w14:paraId="57FAB5F1" w14:textId="78059A9E" w:rsidR="008C1636" w:rsidRPr="00C56ED9" w:rsidRDefault="008C1636" w:rsidP="006F5E36">
      <w:r w:rsidRPr="00C56ED9">
        <w:t xml:space="preserve">Prober S &amp; Thiele K (1995). Conservation of the Grassy White Box Woodlands: relative contributions of size and disturbance to floristic composition and diversity of remnants. </w:t>
      </w:r>
      <w:r w:rsidRPr="00C56ED9">
        <w:rPr>
          <w:i/>
          <w:iCs/>
        </w:rPr>
        <w:t>Australian Journal of Botany</w:t>
      </w:r>
      <w:r w:rsidRPr="00C56ED9">
        <w:t>, 349-366.</w:t>
      </w:r>
    </w:p>
    <w:p w14:paraId="5E3913C9" w14:textId="133911C8" w:rsidR="006F5E36" w:rsidRPr="00C56ED9" w:rsidRDefault="006F5E36" w:rsidP="006F5E36">
      <w:proofErr w:type="spellStart"/>
      <w:r w:rsidRPr="00C56ED9">
        <w:t>Raidal</w:t>
      </w:r>
      <w:proofErr w:type="spellEnd"/>
      <w:r w:rsidRPr="00C56ED9">
        <w:t xml:space="preserve"> SR, Peters A (2018) Psittacine beak and feather disease: ecology and implications for conservation. </w:t>
      </w:r>
      <w:r w:rsidRPr="00C56ED9">
        <w:rPr>
          <w:i/>
          <w:iCs/>
        </w:rPr>
        <w:t xml:space="preserve">Emu </w:t>
      </w:r>
      <w:r w:rsidRPr="00C56ED9">
        <w:t>118, 80–93.</w:t>
      </w:r>
    </w:p>
    <w:p w14:paraId="1C88CD42" w14:textId="77777777" w:rsidR="008C1636" w:rsidRPr="00C56ED9" w:rsidRDefault="008C1636" w:rsidP="008C1636">
      <w:r w:rsidRPr="00C56ED9">
        <w:t>Rounsevell D, Taylor R &amp; Hocking G (1991). Distribution records of native terrestrial mammals in Tasmania. Wildlife Research, 18, 699-717.</w:t>
      </w:r>
    </w:p>
    <w:p w14:paraId="0F6BD3D1" w14:textId="2A618642" w:rsidR="008C1636" w:rsidRPr="00C56ED9" w:rsidRDefault="008C1636" w:rsidP="006F5E36">
      <w:pPr>
        <w:rPr>
          <w:lang w:eastAsia="ja-JP"/>
        </w:rPr>
      </w:pPr>
      <w:r w:rsidRPr="00C56ED9">
        <w:rPr>
          <w:lang w:eastAsia="ja-JP"/>
        </w:rPr>
        <w:t xml:space="preserve">Salvo Aires F (2014) </w:t>
      </w:r>
      <w:r w:rsidRPr="00C56ED9">
        <w:rPr>
          <w:i/>
          <w:iCs/>
          <w:lang w:eastAsia="ja-JP"/>
        </w:rPr>
        <w:t xml:space="preserve">Effects of woody weeds on </w:t>
      </w:r>
      <w:proofErr w:type="spellStart"/>
      <w:r w:rsidRPr="00C56ED9">
        <w:rPr>
          <w:i/>
          <w:iCs/>
          <w:lang w:eastAsia="ja-JP"/>
        </w:rPr>
        <w:t>fels</w:t>
      </w:r>
      <w:proofErr w:type="spellEnd"/>
      <w:r w:rsidRPr="00C56ED9">
        <w:rPr>
          <w:i/>
          <w:iCs/>
          <w:lang w:eastAsia="ja-JP"/>
        </w:rPr>
        <w:t xml:space="preserve"> and fire behaviour in Eastern Australian forests and woodlands</w:t>
      </w:r>
      <w:r w:rsidRPr="00C56ED9">
        <w:rPr>
          <w:lang w:eastAsia="ja-JP"/>
        </w:rPr>
        <w:t>. PhD thesis, University of Sydney, Sydney.</w:t>
      </w:r>
    </w:p>
    <w:p w14:paraId="6B8EA9BF" w14:textId="5A13ECEA" w:rsidR="008C1636" w:rsidRPr="00C56ED9" w:rsidRDefault="008C1636" w:rsidP="006F5E36">
      <w:r w:rsidRPr="00C56ED9">
        <w:t xml:space="preserve">Saunders DL, Brereton R, Tzaros C, Holdsworth M &amp; Price R. (2007). Conservation of the swift parrot </w:t>
      </w:r>
      <w:r w:rsidRPr="00C56ED9">
        <w:rPr>
          <w:i/>
          <w:iCs/>
        </w:rPr>
        <w:t xml:space="preserve">Lathamus discolor </w:t>
      </w:r>
      <w:r w:rsidRPr="00C56ED9">
        <w:t xml:space="preserve">- management lessons for a threatened migratory species. Pacific </w:t>
      </w:r>
      <w:r w:rsidRPr="00C56ED9">
        <w:rPr>
          <w:i/>
          <w:iCs/>
        </w:rPr>
        <w:t>Conservation Biology</w:t>
      </w:r>
      <w:r w:rsidRPr="00C56ED9">
        <w:t>, 13, 111-119.</w:t>
      </w:r>
    </w:p>
    <w:p w14:paraId="4974B7DB" w14:textId="68DEF1E9" w:rsidR="00944025" w:rsidRPr="00C56ED9" w:rsidRDefault="00944025" w:rsidP="006F5E36">
      <w:r w:rsidRPr="00C56ED9">
        <w:t xml:space="preserve">Spencer RJ &amp; Baxter GS (2006) Effects of fire on the structure and composition of open eucalypt forests. </w:t>
      </w:r>
      <w:r w:rsidRPr="00C56ED9">
        <w:rPr>
          <w:i/>
          <w:iCs/>
        </w:rPr>
        <w:t>Austral Ecology</w:t>
      </w:r>
      <w:r w:rsidRPr="00C56ED9">
        <w:t xml:space="preserve"> 31, 638–646.</w:t>
      </w:r>
    </w:p>
    <w:p w14:paraId="5337D5CC" w14:textId="73C0AFB9" w:rsidR="00974178" w:rsidRPr="00C56ED9" w:rsidRDefault="00974178" w:rsidP="006F5E36">
      <w:r w:rsidRPr="00C56ED9">
        <w:t xml:space="preserve">Stevens H (2001) Declining Biodiversity and Unsustainable Agricultural Production-Common Cause, Common Solution? </w:t>
      </w:r>
      <w:r w:rsidRPr="00C56ED9">
        <w:rPr>
          <w:i/>
          <w:iCs/>
        </w:rPr>
        <w:t>Science, Technology, Environment and Resources Group</w:t>
      </w:r>
      <w:r w:rsidRPr="00C56ED9">
        <w:t>. Research Paper 2 2001-02. Department of the Parliamentary Library, Canberra.</w:t>
      </w:r>
    </w:p>
    <w:p w14:paraId="2833ECC8" w14:textId="0BA4AA78" w:rsidR="006F5E36" w:rsidRPr="00C56ED9" w:rsidRDefault="006F5E36" w:rsidP="006F5E36">
      <w:r w:rsidRPr="00C56ED9">
        <w:lastRenderedPageBreak/>
        <w:t xml:space="preserve">Stojanovic D, Webb M, Alderman R, Porfirio LL, Heinsohn R (2014) Discovery of a novel predator reveals extreme but highly variable mortality for an endangered migratory bird. </w:t>
      </w:r>
      <w:r w:rsidRPr="00C56ED9">
        <w:rPr>
          <w:i/>
          <w:iCs/>
        </w:rPr>
        <w:t>Diversity and Distributions</w:t>
      </w:r>
      <w:r w:rsidRPr="00C56ED9">
        <w:t xml:space="preserve"> 20, 1200–1207.</w:t>
      </w:r>
    </w:p>
    <w:p w14:paraId="472C6DC6" w14:textId="54B5D828" w:rsidR="00944025" w:rsidRPr="00C56ED9" w:rsidRDefault="00944025" w:rsidP="006F5E36">
      <w:proofErr w:type="spellStart"/>
      <w:r w:rsidRPr="00C56ED9">
        <w:t>Willson</w:t>
      </w:r>
      <w:proofErr w:type="spellEnd"/>
      <w:r w:rsidRPr="00C56ED9">
        <w:t xml:space="preserve"> A &amp; </w:t>
      </w:r>
      <w:proofErr w:type="spellStart"/>
      <w:r w:rsidRPr="00C56ED9">
        <w:t>Bignall</w:t>
      </w:r>
      <w:proofErr w:type="spellEnd"/>
      <w:r w:rsidRPr="00C56ED9">
        <w:t xml:space="preserve"> J (2009) </w:t>
      </w:r>
      <w:r w:rsidRPr="00C56ED9">
        <w:rPr>
          <w:i/>
          <w:iCs/>
        </w:rPr>
        <w:t>'Regional recovery plan for threatened species and ecological communities of Adelaide and the Mount Lofty Ranges, South Australia'</w:t>
      </w:r>
      <w:r w:rsidRPr="00C56ED9">
        <w:t>. Department for Environment and Heritage, South Australia.</w:t>
      </w:r>
    </w:p>
    <w:p w14:paraId="13159FC8" w14:textId="18BACE68" w:rsidR="006F5E36" w:rsidRDefault="006F5E36" w:rsidP="006F5E36">
      <w:pPr>
        <w:sectPr w:rsidR="006F5E36" w:rsidSect="005208A6">
          <w:pgSz w:w="11906" w:h="16838"/>
          <w:pgMar w:top="1418" w:right="1418" w:bottom="1418" w:left="1418" w:header="567" w:footer="284" w:gutter="0"/>
          <w:cols w:space="708"/>
          <w:titlePg/>
          <w:docGrid w:linePitch="360"/>
        </w:sectPr>
      </w:pPr>
      <w:proofErr w:type="spellStart"/>
      <w:r w:rsidRPr="00C56ED9">
        <w:t>Woinarski</w:t>
      </w:r>
      <w:proofErr w:type="spellEnd"/>
      <w:r w:rsidRPr="00C56ED9">
        <w:t xml:space="preserve"> JC, Woolley LA, Garnett ST, Legge SM, Murphy BP, Lawes MJ, Comer S, Dickman CR, Doherty TS, Edwards G, </w:t>
      </w:r>
      <w:proofErr w:type="spellStart"/>
      <w:r w:rsidRPr="00C56ED9">
        <w:t>Nankivill</w:t>
      </w:r>
      <w:proofErr w:type="spellEnd"/>
      <w:r w:rsidRPr="00C56ED9">
        <w:t xml:space="preserve"> A (2017) Compilation and traits of Australian bird species killed by cats. </w:t>
      </w:r>
      <w:r w:rsidRPr="00C56ED9">
        <w:rPr>
          <w:i/>
          <w:iCs/>
        </w:rPr>
        <w:t>Biological Conservation</w:t>
      </w:r>
      <w:r w:rsidRPr="00C56ED9">
        <w:t xml:space="preserve"> 216, 1–9.</w:t>
      </w:r>
    </w:p>
    <w:p w14:paraId="3DE7205B" w14:textId="679BC3D9" w:rsidR="003A06CA" w:rsidRDefault="003A06CA" w:rsidP="003A06CA">
      <w:pPr>
        <w:pStyle w:val="Heading2"/>
        <w:pageBreakBefore/>
        <w:ind w:left="720" w:hanging="720"/>
      </w:pPr>
      <w:r>
        <w:lastRenderedPageBreak/>
        <w:t xml:space="preserve">Attachment A: Listing </w:t>
      </w:r>
      <w:r w:rsidR="0012461E">
        <w:t>A</w:t>
      </w:r>
      <w:r>
        <w:t xml:space="preserve">ssessment for </w:t>
      </w:r>
      <w:proofErr w:type="spellStart"/>
      <w:r w:rsidR="005B2922" w:rsidRPr="005B2922">
        <w:rPr>
          <w:i/>
          <w:iCs/>
        </w:rPr>
        <w:t>Neophema</w:t>
      </w:r>
      <w:proofErr w:type="spellEnd"/>
      <w:r w:rsidR="005B2922" w:rsidRPr="005B2922">
        <w:rPr>
          <w:i/>
          <w:iCs/>
        </w:rPr>
        <w:t xml:space="preserve"> </w:t>
      </w:r>
      <w:proofErr w:type="spellStart"/>
      <w:r w:rsidR="005B2922" w:rsidRPr="005B2922">
        <w:rPr>
          <w:i/>
          <w:iCs/>
        </w:rPr>
        <w:t>chrysostoma</w:t>
      </w:r>
      <w:proofErr w:type="spellEnd"/>
    </w:p>
    <w:p w14:paraId="3DF48A63" w14:textId="2AE1A40B" w:rsidR="003A06CA" w:rsidRDefault="003A06CA" w:rsidP="00933A0D">
      <w:pPr>
        <w:pStyle w:val="Heading3"/>
        <w:ind w:left="964" w:hanging="964"/>
        <w:rPr>
          <w:lang w:eastAsia="ja-JP"/>
        </w:rPr>
      </w:pPr>
      <w:r>
        <w:rPr>
          <w:lang w:eastAsia="ja-JP"/>
        </w:rPr>
        <w:t>Reason for assessment</w:t>
      </w:r>
    </w:p>
    <w:p w14:paraId="1ECBE028" w14:textId="1F625CDD" w:rsidR="004D61C9" w:rsidRDefault="00127B77" w:rsidP="00B4649B">
      <w:pPr>
        <w:rPr>
          <w:lang w:eastAsia="ja-JP"/>
        </w:rPr>
      </w:pPr>
      <w:r>
        <w:rPr>
          <w:lang w:eastAsia="ja-JP"/>
        </w:rPr>
        <w:t>P</w:t>
      </w:r>
      <w:r w:rsidR="003A06CA" w:rsidRPr="00127B77">
        <w:rPr>
          <w:lang w:eastAsia="ja-JP"/>
        </w:rPr>
        <w:t>rioritisation of a nomination from the TSSC</w:t>
      </w:r>
      <w:r w:rsidR="00D65BF7">
        <w:rPr>
          <w:lang w:eastAsia="ja-JP"/>
        </w:rPr>
        <w:t>.</w:t>
      </w:r>
    </w:p>
    <w:p w14:paraId="4BD554CD" w14:textId="77777777" w:rsidR="003A06CA" w:rsidRDefault="003A06CA" w:rsidP="004D61C9">
      <w:pPr>
        <w:pStyle w:val="Heading3"/>
        <w:ind w:left="964" w:hanging="964"/>
        <w:rPr>
          <w:lang w:eastAsia="ja-JP"/>
        </w:rPr>
      </w:pPr>
      <w:r>
        <w:rPr>
          <w:lang w:eastAsia="ja-JP"/>
        </w:rPr>
        <w:t>Assessment of eligibility for listing</w:t>
      </w:r>
    </w:p>
    <w:p w14:paraId="32C39848" w14:textId="7FAD4FEE" w:rsidR="003A06CA" w:rsidRDefault="003A06CA" w:rsidP="003A06CA">
      <w:pPr>
        <w:rPr>
          <w:lang w:eastAsia="ja-JP"/>
        </w:rPr>
      </w:pPr>
      <w:r>
        <w:rPr>
          <w:lang w:eastAsia="ja-JP"/>
        </w:rPr>
        <w:t xml:space="preserve">This assessment uses the criteria set out in the </w:t>
      </w:r>
      <w:hyperlink r:id="rId33" w:history="1">
        <w:r w:rsidRPr="00C77CE3">
          <w:rPr>
            <w:rStyle w:val="Hyperlink"/>
            <w:lang w:eastAsia="ja-JP"/>
          </w:rPr>
          <w:t>EPBC Regulations</w:t>
        </w:r>
      </w:hyperlink>
      <w:r>
        <w:rPr>
          <w:lang w:eastAsia="ja-JP"/>
        </w:rPr>
        <w:t xml:space="preserve">. The thresholds used correspond with those in the </w:t>
      </w:r>
      <w:hyperlink r:id="rId34"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57B700CF" w14:textId="77777777" w:rsidR="0077351A" w:rsidRDefault="0077351A" w:rsidP="0077351A">
      <w:pPr>
        <w:pStyle w:val="Heading3"/>
        <w:rPr>
          <w:lang w:eastAsia="ja-JP"/>
        </w:rPr>
      </w:pPr>
      <w:r>
        <w:rPr>
          <w:lang w:eastAsia="ja-JP"/>
        </w:rPr>
        <w:t>Key assessment parameters</w:t>
      </w:r>
    </w:p>
    <w:p w14:paraId="64C65BB3" w14:textId="62C845CE" w:rsidR="007019A7" w:rsidRDefault="0077351A" w:rsidP="0077351A">
      <w:pPr>
        <w:rPr>
          <w:lang w:eastAsia="ja-JP"/>
        </w:rPr>
      </w:pPr>
      <w:r>
        <w:rPr>
          <w:lang w:eastAsia="ja-JP"/>
        </w:rPr>
        <w:t xml:space="preserve">Table </w:t>
      </w:r>
      <w:r w:rsidR="006D45A0">
        <w:rPr>
          <w:lang w:eastAsia="ja-JP"/>
        </w:rPr>
        <w:t>4</w:t>
      </w:r>
      <w:r>
        <w:rPr>
          <w:lang w:eastAsia="ja-JP"/>
        </w:rPr>
        <w:t xml:space="preserve"> includes the key assessment parameters used in the assessment of eligibility for listing</w:t>
      </w:r>
      <w:r w:rsidR="00E22344">
        <w:rPr>
          <w:lang w:eastAsia="ja-JP"/>
        </w:rPr>
        <w:t xml:space="preserve"> against the criteria</w:t>
      </w:r>
      <w:r>
        <w:rPr>
          <w:lang w:eastAsia="ja-JP"/>
        </w:rPr>
        <w:t>.</w:t>
      </w:r>
    </w:p>
    <w:p w14:paraId="7AF78410" w14:textId="45918F4F" w:rsidR="0077351A" w:rsidRPr="009502E2" w:rsidRDefault="0077351A" w:rsidP="0077351A">
      <w:pPr>
        <w:pStyle w:val="Caption"/>
      </w:pPr>
      <w:r>
        <w:t>Table</w:t>
      </w:r>
      <w:r w:rsidR="006D45A0">
        <w:t xml:space="preserve"> 4</w:t>
      </w:r>
      <w:r>
        <w:t xml:space="preserve"> </w:t>
      </w:r>
      <w:r w:rsidR="001376F1">
        <w:t>K</w:t>
      </w:r>
      <w:r>
        <w:t>ey assessment parameters</w:t>
      </w:r>
    </w:p>
    <w:tbl>
      <w:tblPr>
        <w:tblStyle w:val="TableGrid"/>
        <w:tblW w:w="0" w:type="auto"/>
        <w:tblLook w:val="04A0" w:firstRow="1" w:lastRow="0" w:firstColumn="1" w:lastColumn="0" w:noHBand="0" w:noVBand="1"/>
      </w:tblPr>
      <w:tblGrid>
        <w:gridCol w:w="1741"/>
        <w:gridCol w:w="1415"/>
        <w:gridCol w:w="7"/>
        <w:gridCol w:w="1409"/>
        <w:gridCol w:w="1415"/>
        <w:gridCol w:w="3073"/>
      </w:tblGrid>
      <w:tr w:rsidR="00CD441B" w:rsidRPr="00D20C80" w14:paraId="146D603B" w14:textId="77777777" w:rsidTr="00FD515C">
        <w:trPr>
          <w:cantSplit/>
          <w:tblHeader/>
        </w:trPr>
        <w:tc>
          <w:tcPr>
            <w:tcW w:w="1741" w:type="dxa"/>
          </w:tcPr>
          <w:p w14:paraId="073179F2" w14:textId="4E80A894" w:rsidR="00CD441B" w:rsidRPr="00D20C80" w:rsidRDefault="00CD441B" w:rsidP="00C5493E">
            <w:pPr>
              <w:pStyle w:val="TableHeading"/>
              <w:keepNext w:val="0"/>
            </w:pPr>
            <w:r w:rsidRPr="00D20C80">
              <w:t>Metric</w:t>
            </w:r>
          </w:p>
        </w:tc>
        <w:tc>
          <w:tcPr>
            <w:tcW w:w="1422" w:type="dxa"/>
            <w:gridSpan w:val="2"/>
          </w:tcPr>
          <w:p w14:paraId="101FF3E3" w14:textId="31E3B1DB" w:rsidR="00CD441B" w:rsidRPr="00D20C80" w:rsidRDefault="00CD441B" w:rsidP="00FD515C">
            <w:pPr>
              <w:pStyle w:val="TableHeading"/>
              <w:keepNext w:val="0"/>
            </w:pPr>
            <w:r w:rsidRPr="00D20C80">
              <w:t>Estimate</w:t>
            </w:r>
            <w:r w:rsidR="00E22344">
              <w:t xml:space="preserve"> used in the assessment</w:t>
            </w:r>
          </w:p>
        </w:tc>
        <w:tc>
          <w:tcPr>
            <w:tcW w:w="1409" w:type="dxa"/>
          </w:tcPr>
          <w:p w14:paraId="34DBFD12" w14:textId="30E67D3E" w:rsidR="00CD441B" w:rsidRPr="00D20C80" w:rsidRDefault="00CD441B" w:rsidP="00FD515C">
            <w:pPr>
              <w:pStyle w:val="TableHeading"/>
              <w:keepNext w:val="0"/>
            </w:pPr>
            <w:r w:rsidRPr="00D20C80">
              <w:t>Minimum</w:t>
            </w:r>
            <w:r w:rsidR="00E22344">
              <w:t xml:space="preserve"> plausible value</w:t>
            </w:r>
          </w:p>
        </w:tc>
        <w:tc>
          <w:tcPr>
            <w:tcW w:w="1414" w:type="dxa"/>
          </w:tcPr>
          <w:p w14:paraId="76885874" w14:textId="063D4ED0" w:rsidR="00CD441B" w:rsidRPr="00D20C80" w:rsidRDefault="00CD441B" w:rsidP="00FD515C">
            <w:pPr>
              <w:pStyle w:val="TableHeading"/>
              <w:keepNext w:val="0"/>
            </w:pPr>
            <w:r w:rsidRPr="00D20C80">
              <w:t>Maximum</w:t>
            </w:r>
            <w:r w:rsidR="00E22344">
              <w:t xml:space="preserve"> plausible value</w:t>
            </w:r>
          </w:p>
        </w:tc>
        <w:tc>
          <w:tcPr>
            <w:tcW w:w="3074" w:type="dxa"/>
          </w:tcPr>
          <w:p w14:paraId="67B64DD4" w14:textId="77777777" w:rsidR="00CD441B" w:rsidRPr="00D20C80" w:rsidRDefault="00CD441B" w:rsidP="006D45A0">
            <w:pPr>
              <w:pStyle w:val="TableHeading"/>
            </w:pPr>
            <w:r w:rsidRPr="00D20C80">
              <w:t>Justification</w:t>
            </w:r>
          </w:p>
          <w:p w14:paraId="57D4A93D" w14:textId="382ADB0F" w:rsidR="00CD441B" w:rsidRPr="00D20C80" w:rsidRDefault="00CD441B" w:rsidP="006D45A0">
            <w:pPr>
              <w:pStyle w:val="TableHeading"/>
            </w:pPr>
          </w:p>
        </w:tc>
      </w:tr>
      <w:tr w:rsidR="00D37773" w14:paraId="0DA57CB2" w14:textId="77777777" w:rsidTr="00AC5F6E">
        <w:trPr>
          <w:cantSplit/>
        </w:trPr>
        <w:tc>
          <w:tcPr>
            <w:tcW w:w="1741" w:type="dxa"/>
          </w:tcPr>
          <w:p w14:paraId="3CB2B08A" w14:textId="1902D993" w:rsidR="00D37773" w:rsidRPr="00D20C80" w:rsidRDefault="00D37773" w:rsidP="006D45A0">
            <w:pPr>
              <w:pStyle w:val="TableHeading"/>
              <w:keepNext w:val="0"/>
              <w:rPr>
                <w:rStyle w:val="Strong"/>
                <w:b/>
                <w:bCs w:val="0"/>
              </w:rPr>
            </w:pPr>
            <w:r w:rsidRPr="00D20C80">
              <w:rPr>
                <w:rStyle w:val="Strong"/>
                <w:b/>
                <w:bCs w:val="0"/>
              </w:rPr>
              <w:t>Number of mature individuals</w:t>
            </w:r>
          </w:p>
        </w:tc>
        <w:tc>
          <w:tcPr>
            <w:tcW w:w="1422" w:type="dxa"/>
            <w:gridSpan w:val="2"/>
            <w:shd w:val="clear" w:color="auto" w:fill="auto"/>
          </w:tcPr>
          <w:p w14:paraId="2E2B81DD" w14:textId="198C6E20" w:rsidR="00D37773" w:rsidRDefault="006D45A0" w:rsidP="002E31FA">
            <w:pPr>
              <w:pStyle w:val="TableText"/>
            </w:pPr>
            <w:r>
              <w:t>10,000</w:t>
            </w:r>
          </w:p>
        </w:tc>
        <w:tc>
          <w:tcPr>
            <w:tcW w:w="1409" w:type="dxa"/>
            <w:shd w:val="clear" w:color="auto" w:fill="auto"/>
          </w:tcPr>
          <w:p w14:paraId="5621CC0F" w14:textId="7FE937D8" w:rsidR="00D37773" w:rsidRDefault="006D45A0" w:rsidP="002E31FA">
            <w:pPr>
              <w:pStyle w:val="TableText"/>
            </w:pPr>
            <w:r>
              <w:t>7,500</w:t>
            </w:r>
          </w:p>
        </w:tc>
        <w:tc>
          <w:tcPr>
            <w:tcW w:w="1414" w:type="dxa"/>
            <w:shd w:val="clear" w:color="auto" w:fill="auto"/>
          </w:tcPr>
          <w:p w14:paraId="699E2DF1" w14:textId="1DA7D076" w:rsidR="00D37773" w:rsidRDefault="006D45A0" w:rsidP="002E31FA">
            <w:pPr>
              <w:pStyle w:val="TableText"/>
            </w:pPr>
            <w:r>
              <w:t>15,000</w:t>
            </w:r>
          </w:p>
        </w:tc>
        <w:tc>
          <w:tcPr>
            <w:tcW w:w="3074" w:type="dxa"/>
            <w:shd w:val="clear" w:color="auto" w:fill="auto"/>
          </w:tcPr>
          <w:p w14:paraId="192436BD" w14:textId="77777777" w:rsidR="00836E5C" w:rsidRDefault="001270CA" w:rsidP="001270CA">
            <w:pPr>
              <w:pStyle w:val="TableText"/>
            </w:pPr>
            <w:r>
              <w:t>While there are no quantitative data available on the Blue‐winged Parrot population size, experts estimated there are about 10,000 mature individuals (</w:t>
            </w:r>
            <w:r w:rsidR="005B2922">
              <w:t>Holdsworth et al. 2021</w:t>
            </w:r>
            <w:r w:rsidR="00836E5C">
              <w:t>).</w:t>
            </w:r>
          </w:p>
          <w:p w14:paraId="7455763A" w14:textId="1E2D8E1F" w:rsidR="00D37773" w:rsidRDefault="001270CA" w:rsidP="001270CA">
            <w:pPr>
              <w:pStyle w:val="TableText"/>
            </w:pPr>
            <w:r w:rsidRPr="00D66220">
              <w:t xml:space="preserve">This </w:t>
            </w:r>
            <w:r w:rsidR="00A576C4" w:rsidRPr="00D66220">
              <w:t>reliability</w:t>
            </w:r>
            <w:r w:rsidRPr="00D66220">
              <w:t xml:space="preserve"> of this estimate is low</w:t>
            </w:r>
            <w:r w:rsidR="00D66220" w:rsidRPr="00D66220">
              <w:t xml:space="preserve"> (Holdsworth et al. 2021).</w:t>
            </w:r>
          </w:p>
        </w:tc>
      </w:tr>
      <w:tr w:rsidR="00D37773" w14:paraId="491102AF" w14:textId="77777777" w:rsidTr="00AC5F6E">
        <w:trPr>
          <w:cantSplit/>
        </w:trPr>
        <w:tc>
          <w:tcPr>
            <w:tcW w:w="1741" w:type="dxa"/>
          </w:tcPr>
          <w:p w14:paraId="20AD6240"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4"/>
            <w:shd w:val="clear" w:color="auto" w:fill="auto"/>
          </w:tcPr>
          <w:p w14:paraId="145F1D8B" w14:textId="22CC7720" w:rsidR="00D37773" w:rsidRDefault="006D45A0" w:rsidP="001376F1">
            <w:pPr>
              <w:pStyle w:val="TableText"/>
            </w:pPr>
            <w:r w:rsidRPr="006D45A0">
              <w:t>Declining</w:t>
            </w:r>
          </w:p>
        </w:tc>
        <w:tc>
          <w:tcPr>
            <w:tcW w:w="3074" w:type="dxa"/>
            <w:shd w:val="clear" w:color="auto" w:fill="auto"/>
          </w:tcPr>
          <w:p w14:paraId="1FFD0762" w14:textId="2BF58CA4" w:rsidR="00D37773" w:rsidRDefault="001270CA" w:rsidP="001270CA">
            <w:pPr>
              <w:pStyle w:val="TableText"/>
            </w:pPr>
            <w:r>
              <w:t xml:space="preserve">There is broad agreement the population is declining based on </w:t>
            </w:r>
            <w:r w:rsidRPr="001270CA">
              <w:t>reporting rates in the core range in Tasmania and Victoria</w:t>
            </w:r>
            <w:r>
              <w:t xml:space="preserve"> (M Holdsworth, B Green, P Menkhorst, J Starks unpublished cited in </w:t>
            </w:r>
            <w:r w:rsidR="005B2922">
              <w:t>Holdsworth et al. 2021)</w:t>
            </w:r>
            <w:r>
              <w:t xml:space="preserve">. The reliability of this estimate is medium. </w:t>
            </w:r>
          </w:p>
        </w:tc>
      </w:tr>
      <w:tr w:rsidR="00D37773" w14:paraId="24001EB2" w14:textId="77777777" w:rsidTr="00AC5F6E">
        <w:trPr>
          <w:cantSplit/>
        </w:trPr>
        <w:tc>
          <w:tcPr>
            <w:tcW w:w="1741" w:type="dxa"/>
          </w:tcPr>
          <w:p w14:paraId="005ACCEE"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gridSpan w:val="2"/>
            <w:shd w:val="clear" w:color="auto" w:fill="auto"/>
          </w:tcPr>
          <w:p w14:paraId="36746508" w14:textId="55BFB051" w:rsidR="00D37773" w:rsidRDefault="006D45A0" w:rsidP="002E31FA">
            <w:pPr>
              <w:pStyle w:val="TableText"/>
            </w:pPr>
            <w:r>
              <w:t>3.8</w:t>
            </w:r>
          </w:p>
        </w:tc>
        <w:tc>
          <w:tcPr>
            <w:tcW w:w="1409" w:type="dxa"/>
            <w:shd w:val="clear" w:color="auto" w:fill="auto"/>
          </w:tcPr>
          <w:p w14:paraId="2A54C1F2" w14:textId="0E7FE0D7" w:rsidR="00D37773" w:rsidRDefault="006D45A0" w:rsidP="002E31FA">
            <w:pPr>
              <w:pStyle w:val="TableText"/>
            </w:pPr>
            <w:r>
              <w:t>3.4</w:t>
            </w:r>
          </w:p>
        </w:tc>
        <w:tc>
          <w:tcPr>
            <w:tcW w:w="1414" w:type="dxa"/>
            <w:shd w:val="clear" w:color="auto" w:fill="auto"/>
          </w:tcPr>
          <w:p w14:paraId="10A12135" w14:textId="2AD45FFC" w:rsidR="00D37773" w:rsidRDefault="006D45A0" w:rsidP="002E31FA">
            <w:pPr>
              <w:pStyle w:val="TableText"/>
            </w:pPr>
            <w:r>
              <w:t>4.2</w:t>
            </w:r>
          </w:p>
        </w:tc>
        <w:tc>
          <w:tcPr>
            <w:tcW w:w="3074" w:type="dxa"/>
            <w:shd w:val="clear" w:color="auto" w:fill="auto"/>
          </w:tcPr>
          <w:p w14:paraId="10839BE3" w14:textId="7D681A0D" w:rsidR="00D37773" w:rsidRDefault="006D45A0" w:rsidP="002E31FA">
            <w:pPr>
              <w:pStyle w:val="TableText"/>
            </w:pPr>
            <w:r>
              <w:t>Bird et al. (2020)</w:t>
            </w:r>
            <w:r w:rsidR="00836E5C">
              <w:t xml:space="preserve">. </w:t>
            </w:r>
            <w:r w:rsidR="00EF55AD">
              <w:t>The reliability of this estimate is medium</w:t>
            </w:r>
            <w:r w:rsidR="00836E5C">
              <w:t>.</w:t>
            </w:r>
          </w:p>
        </w:tc>
      </w:tr>
      <w:tr w:rsidR="00CD441B" w14:paraId="6C8B1E3C" w14:textId="77777777" w:rsidTr="00FD515C">
        <w:trPr>
          <w:cantSplit/>
        </w:trPr>
        <w:tc>
          <w:tcPr>
            <w:tcW w:w="1741" w:type="dxa"/>
          </w:tcPr>
          <w:p w14:paraId="0EA0F9EC" w14:textId="6FF19ACC" w:rsidR="00CD441B" w:rsidRPr="006D45A0" w:rsidRDefault="00CD441B" w:rsidP="006D45A0">
            <w:pPr>
              <w:pStyle w:val="TableHeading"/>
              <w:keepNext w:val="0"/>
              <w:rPr>
                <w:rStyle w:val="Strong"/>
                <w:b/>
                <w:sz w:val="22"/>
              </w:rPr>
            </w:pPr>
            <w:r w:rsidRPr="00D20C80">
              <w:rPr>
                <w:rStyle w:val="Strong"/>
                <w:b/>
                <w:bCs w:val="0"/>
              </w:rPr>
              <w:t>Extent of occurrence</w:t>
            </w:r>
          </w:p>
        </w:tc>
        <w:tc>
          <w:tcPr>
            <w:tcW w:w="1422" w:type="dxa"/>
            <w:gridSpan w:val="2"/>
            <w:shd w:val="clear" w:color="auto" w:fill="auto"/>
          </w:tcPr>
          <w:p w14:paraId="3B38010C" w14:textId="4FF3C9C2" w:rsidR="00CD441B" w:rsidRDefault="006D45A0" w:rsidP="006D45A0">
            <w:pPr>
              <w:pStyle w:val="TableText"/>
            </w:pPr>
            <w:r>
              <w:t>170,000 km</w:t>
            </w:r>
            <w:r w:rsidRPr="006D45A0">
              <w:rPr>
                <w:vertAlign w:val="superscript"/>
              </w:rPr>
              <w:t>2</w:t>
            </w:r>
          </w:p>
        </w:tc>
        <w:tc>
          <w:tcPr>
            <w:tcW w:w="1409" w:type="dxa"/>
            <w:shd w:val="clear" w:color="auto" w:fill="auto"/>
          </w:tcPr>
          <w:p w14:paraId="6E8CF077" w14:textId="60AD9140" w:rsidR="00CD441B" w:rsidRDefault="006D45A0" w:rsidP="006D45A0">
            <w:pPr>
              <w:pStyle w:val="TableText"/>
            </w:pPr>
            <w:r>
              <w:t>155,000 km</w:t>
            </w:r>
            <w:r w:rsidRPr="006D45A0">
              <w:rPr>
                <w:vertAlign w:val="superscript"/>
              </w:rPr>
              <w:t>2</w:t>
            </w:r>
          </w:p>
        </w:tc>
        <w:tc>
          <w:tcPr>
            <w:tcW w:w="1414" w:type="dxa"/>
            <w:shd w:val="clear" w:color="auto" w:fill="auto"/>
          </w:tcPr>
          <w:p w14:paraId="2FF1ED88" w14:textId="78DE03C9" w:rsidR="00CD441B" w:rsidRDefault="006D45A0" w:rsidP="006D45A0">
            <w:pPr>
              <w:pStyle w:val="TableText"/>
            </w:pPr>
            <w:r>
              <w:t>190,000 km</w:t>
            </w:r>
            <w:r w:rsidRPr="006D45A0">
              <w:rPr>
                <w:vertAlign w:val="superscript"/>
              </w:rPr>
              <w:t>2</w:t>
            </w:r>
          </w:p>
        </w:tc>
        <w:tc>
          <w:tcPr>
            <w:tcW w:w="3074" w:type="dxa"/>
            <w:shd w:val="clear" w:color="auto" w:fill="auto"/>
          </w:tcPr>
          <w:p w14:paraId="77F0D0E7" w14:textId="3A47FFC6" w:rsidR="00CD441B" w:rsidRDefault="0037100F" w:rsidP="00FD515C">
            <w:pPr>
              <w:pStyle w:val="TableText"/>
            </w:pPr>
            <w:r>
              <w:rPr>
                <w:lang w:eastAsia="ja-JP"/>
              </w:rPr>
              <w:t xml:space="preserve">The </w:t>
            </w:r>
            <w:proofErr w:type="gramStart"/>
            <w:r>
              <w:rPr>
                <w:lang w:eastAsia="ja-JP"/>
              </w:rPr>
              <w:t>minimum  is</w:t>
            </w:r>
            <w:proofErr w:type="gramEnd"/>
            <w:r>
              <w:rPr>
                <w:lang w:eastAsia="ja-JP"/>
              </w:rPr>
              <w:t xml:space="preserve"> the number of 2x2 km squares that includes all records since 1990 (</w:t>
            </w:r>
            <w:r w:rsidR="005B2922">
              <w:t>Holdsworth et al. 2021)</w:t>
            </w:r>
            <w:r w:rsidR="00EF55AD">
              <w:t>. The reliability of this estimate is high</w:t>
            </w:r>
          </w:p>
        </w:tc>
      </w:tr>
      <w:tr w:rsidR="00CD441B" w14:paraId="140A329E" w14:textId="77777777" w:rsidTr="00FD515C">
        <w:trPr>
          <w:cantSplit/>
        </w:trPr>
        <w:tc>
          <w:tcPr>
            <w:tcW w:w="1741" w:type="dxa"/>
          </w:tcPr>
          <w:p w14:paraId="3013C86D" w14:textId="45797652" w:rsidR="00CD441B" w:rsidRPr="00D20C80" w:rsidRDefault="00CD441B" w:rsidP="00FD515C">
            <w:pPr>
              <w:pStyle w:val="TableHeading"/>
              <w:keepNext w:val="0"/>
              <w:rPr>
                <w:rStyle w:val="Strong"/>
                <w:b/>
                <w:sz w:val="22"/>
              </w:rPr>
            </w:pPr>
            <w:r w:rsidRPr="00D20C80">
              <w:rPr>
                <w:rStyle w:val="Strong"/>
                <w:b/>
                <w:bCs w:val="0"/>
              </w:rPr>
              <w:t>Tre</w:t>
            </w:r>
            <w:r w:rsidR="006D45A0">
              <w:rPr>
                <w:rStyle w:val="Strong"/>
                <w:b/>
                <w:bCs w:val="0"/>
              </w:rPr>
              <w:t>n</w:t>
            </w:r>
            <w:r w:rsidRPr="00D20C80">
              <w:rPr>
                <w:rStyle w:val="Strong"/>
                <w:b/>
                <w:bCs w:val="0"/>
              </w:rPr>
              <w:t>d</w:t>
            </w:r>
          </w:p>
        </w:tc>
        <w:tc>
          <w:tcPr>
            <w:tcW w:w="4245" w:type="dxa"/>
            <w:gridSpan w:val="4"/>
            <w:shd w:val="clear" w:color="auto" w:fill="auto"/>
          </w:tcPr>
          <w:p w14:paraId="6D43CEDF" w14:textId="5FBCFAE2" w:rsidR="00CD441B" w:rsidRDefault="006D45A0" w:rsidP="006D45A0">
            <w:pPr>
              <w:pStyle w:val="TableText"/>
            </w:pPr>
            <w:r>
              <w:t>Stable</w:t>
            </w:r>
          </w:p>
        </w:tc>
        <w:tc>
          <w:tcPr>
            <w:tcW w:w="3074" w:type="dxa"/>
            <w:shd w:val="clear" w:color="auto" w:fill="auto"/>
          </w:tcPr>
          <w:p w14:paraId="6A492B2C" w14:textId="22635CCD" w:rsidR="00CD441B" w:rsidRDefault="005B2922" w:rsidP="00FD515C">
            <w:pPr>
              <w:pStyle w:val="TableText"/>
            </w:pPr>
            <w:r>
              <w:t>Holdsworth et al. (2021)</w:t>
            </w:r>
            <w:r w:rsidR="00EF55AD">
              <w:t xml:space="preserve">. The reliability of this estimate is high. </w:t>
            </w:r>
          </w:p>
        </w:tc>
      </w:tr>
      <w:tr w:rsidR="00CD441B" w14:paraId="62A887AF" w14:textId="77777777" w:rsidTr="00FD515C">
        <w:trPr>
          <w:cantSplit/>
        </w:trPr>
        <w:tc>
          <w:tcPr>
            <w:tcW w:w="1741" w:type="dxa"/>
          </w:tcPr>
          <w:p w14:paraId="72A1163A" w14:textId="510259E7" w:rsidR="00CD441B" w:rsidRPr="006D45A0" w:rsidRDefault="00CD441B" w:rsidP="006D45A0">
            <w:pPr>
              <w:pStyle w:val="TableHeading"/>
              <w:keepNext w:val="0"/>
              <w:rPr>
                <w:rStyle w:val="Strong"/>
                <w:b/>
                <w:sz w:val="22"/>
              </w:rPr>
            </w:pPr>
            <w:r w:rsidRPr="00D20C80">
              <w:rPr>
                <w:rStyle w:val="Strong"/>
                <w:b/>
                <w:bCs w:val="0"/>
              </w:rPr>
              <w:t>Area of Occupancy</w:t>
            </w:r>
          </w:p>
        </w:tc>
        <w:tc>
          <w:tcPr>
            <w:tcW w:w="1422" w:type="dxa"/>
            <w:gridSpan w:val="2"/>
            <w:shd w:val="clear" w:color="auto" w:fill="auto"/>
          </w:tcPr>
          <w:p w14:paraId="28DEB32C" w14:textId="18449608" w:rsidR="00CD441B" w:rsidRDefault="006D45A0" w:rsidP="006D45A0">
            <w:pPr>
              <w:pStyle w:val="TableText"/>
            </w:pPr>
            <w:r>
              <w:t>11,000 km</w:t>
            </w:r>
            <w:r w:rsidRPr="006D45A0">
              <w:rPr>
                <w:vertAlign w:val="superscript"/>
              </w:rPr>
              <w:t>2</w:t>
            </w:r>
          </w:p>
        </w:tc>
        <w:tc>
          <w:tcPr>
            <w:tcW w:w="1409" w:type="dxa"/>
            <w:shd w:val="clear" w:color="auto" w:fill="auto"/>
          </w:tcPr>
          <w:p w14:paraId="028C5B75" w14:textId="59873FF6" w:rsidR="00CD441B" w:rsidRDefault="006D45A0" w:rsidP="006D45A0">
            <w:pPr>
              <w:pStyle w:val="TableText"/>
            </w:pPr>
            <w:r>
              <w:t>9,000 km</w:t>
            </w:r>
            <w:r w:rsidRPr="006D45A0">
              <w:rPr>
                <w:vertAlign w:val="superscript"/>
              </w:rPr>
              <w:t>2</w:t>
            </w:r>
          </w:p>
        </w:tc>
        <w:tc>
          <w:tcPr>
            <w:tcW w:w="1414" w:type="dxa"/>
            <w:shd w:val="clear" w:color="auto" w:fill="auto"/>
          </w:tcPr>
          <w:p w14:paraId="5D9D3B05" w14:textId="7D803316" w:rsidR="00CD441B" w:rsidRDefault="006D45A0" w:rsidP="006D45A0">
            <w:pPr>
              <w:pStyle w:val="TableText"/>
            </w:pPr>
            <w:r>
              <w:t>19,000 km</w:t>
            </w:r>
            <w:r w:rsidRPr="006D45A0">
              <w:rPr>
                <w:vertAlign w:val="superscript"/>
              </w:rPr>
              <w:t>2</w:t>
            </w:r>
          </w:p>
        </w:tc>
        <w:tc>
          <w:tcPr>
            <w:tcW w:w="3074" w:type="dxa"/>
            <w:shd w:val="clear" w:color="auto" w:fill="auto"/>
          </w:tcPr>
          <w:p w14:paraId="0E5EB73E" w14:textId="6B0D65D3" w:rsidR="00CD441B" w:rsidRDefault="0037100F" w:rsidP="00FD515C">
            <w:pPr>
              <w:pStyle w:val="TableText"/>
            </w:pPr>
            <w:r>
              <w:rPr>
                <w:lang w:eastAsia="ja-JP"/>
              </w:rPr>
              <w:t>The minimum AOO is the number of 2x2 km squares that includes all records (</w:t>
            </w:r>
            <w:r w:rsidR="005B2922">
              <w:t xml:space="preserve">Holdsworth et al. </w:t>
            </w:r>
            <w:r w:rsidR="00B916D5">
              <w:t>(</w:t>
            </w:r>
            <w:r w:rsidR="005B2922">
              <w:t>2021</w:t>
            </w:r>
            <w:r w:rsidR="005D3DDF">
              <w:t xml:space="preserve">). </w:t>
            </w:r>
            <w:r w:rsidR="00EF55AD">
              <w:t>The reliability of this estimate is low.</w:t>
            </w:r>
          </w:p>
        </w:tc>
      </w:tr>
      <w:tr w:rsidR="00CD441B" w14:paraId="6DBA56B3" w14:textId="77777777" w:rsidTr="00FD515C">
        <w:trPr>
          <w:cantSplit/>
        </w:trPr>
        <w:tc>
          <w:tcPr>
            <w:tcW w:w="1741" w:type="dxa"/>
          </w:tcPr>
          <w:p w14:paraId="766A2D52"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4"/>
            <w:shd w:val="clear" w:color="auto" w:fill="auto"/>
          </w:tcPr>
          <w:p w14:paraId="27B5DBE5" w14:textId="5574B8E4" w:rsidR="00CD441B" w:rsidRDefault="006D45A0" w:rsidP="006D45A0">
            <w:pPr>
              <w:pStyle w:val="TableText"/>
            </w:pPr>
            <w:r>
              <w:t>Contracting</w:t>
            </w:r>
          </w:p>
        </w:tc>
        <w:tc>
          <w:tcPr>
            <w:tcW w:w="3074" w:type="dxa"/>
            <w:shd w:val="clear" w:color="auto" w:fill="auto"/>
          </w:tcPr>
          <w:p w14:paraId="4CC647B9" w14:textId="0264EF90" w:rsidR="00CD441B" w:rsidRDefault="005B2922" w:rsidP="00FD515C">
            <w:pPr>
              <w:pStyle w:val="TableText"/>
            </w:pPr>
            <w:r>
              <w:t>Holdsworth et al. (2021)</w:t>
            </w:r>
            <w:r w:rsidR="00EF55AD">
              <w:t>. The reliability of this estimate is medium.</w:t>
            </w:r>
          </w:p>
        </w:tc>
      </w:tr>
      <w:tr w:rsidR="00CD441B" w14:paraId="1A98B913" w14:textId="77777777" w:rsidTr="00FD515C">
        <w:trPr>
          <w:cantSplit/>
        </w:trPr>
        <w:tc>
          <w:tcPr>
            <w:tcW w:w="1741" w:type="dxa"/>
          </w:tcPr>
          <w:p w14:paraId="1034E95A" w14:textId="3AE07C03" w:rsidR="00CD441B" w:rsidRPr="006D45A0" w:rsidRDefault="00CD441B" w:rsidP="006D45A0">
            <w:pPr>
              <w:pStyle w:val="TableHeading"/>
              <w:keepNext w:val="0"/>
              <w:rPr>
                <w:rStyle w:val="Strong"/>
                <w:b/>
                <w:sz w:val="22"/>
              </w:rPr>
            </w:pPr>
            <w:r w:rsidRPr="00D20C80">
              <w:rPr>
                <w:rStyle w:val="Strong"/>
                <w:b/>
                <w:bCs w:val="0"/>
              </w:rPr>
              <w:lastRenderedPageBreak/>
              <w:t>Number of subpopulations</w:t>
            </w:r>
          </w:p>
        </w:tc>
        <w:tc>
          <w:tcPr>
            <w:tcW w:w="1422" w:type="dxa"/>
            <w:gridSpan w:val="2"/>
            <w:shd w:val="clear" w:color="auto" w:fill="auto"/>
          </w:tcPr>
          <w:p w14:paraId="58E8D0E6" w14:textId="3A34D4FE" w:rsidR="00CD441B" w:rsidRDefault="006D45A0" w:rsidP="006D45A0">
            <w:pPr>
              <w:pStyle w:val="TableText"/>
            </w:pPr>
            <w:r>
              <w:t>2</w:t>
            </w:r>
          </w:p>
        </w:tc>
        <w:tc>
          <w:tcPr>
            <w:tcW w:w="1409" w:type="dxa"/>
            <w:shd w:val="clear" w:color="auto" w:fill="auto"/>
          </w:tcPr>
          <w:p w14:paraId="76A2F206" w14:textId="17DBF3CF" w:rsidR="00CD441B" w:rsidRDefault="006D45A0" w:rsidP="006D45A0">
            <w:pPr>
              <w:pStyle w:val="TableText"/>
            </w:pPr>
            <w:r>
              <w:t>1</w:t>
            </w:r>
          </w:p>
        </w:tc>
        <w:tc>
          <w:tcPr>
            <w:tcW w:w="1414" w:type="dxa"/>
            <w:shd w:val="clear" w:color="auto" w:fill="auto"/>
          </w:tcPr>
          <w:p w14:paraId="642BD4A7" w14:textId="6C251660" w:rsidR="00CD441B" w:rsidRDefault="006D45A0" w:rsidP="006D45A0">
            <w:pPr>
              <w:pStyle w:val="TableText"/>
            </w:pPr>
            <w:r>
              <w:t>2</w:t>
            </w:r>
          </w:p>
        </w:tc>
        <w:tc>
          <w:tcPr>
            <w:tcW w:w="3074" w:type="dxa"/>
            <w:shd w:val="clear" w:color="auto" w:fill="auto"/>
          </w:tcPr>
          <w:p w14:paraId="45DF1796" w14:textId="5686404B" w:rsidR="00CD441B" w:rsidRDefault="005B2922" w:rsidP="00FD515C">
            <w:pPr>
              <w:pStyle w:val="TableText"/>
            </w:pPr>
            <w:r>
              <w:t>Holdsworth et al. (2021)</w:t>
            </w:r>
            <w:r w:rsidR="001270CA">
              <w:t>. The reliability of this estimate is medium.</w:t>
            </w:r>
          </w:p>
        </w:tc>
      </w:tr>
      <w:tr w:rsidR="00CD441B" w14:paraId="1EBAC238" w14:textId="77777777" w:rsidTr="00FD515C">
        <w:trPr>
          <w:cantSplit/>
        </w:trPr>
        <w:tc>
          <w:tcPr>
            <w:tcW w:w="1741" w:type="dxa"/>
          </w:tcPr>
          <w:p w14:paraId="7000DC3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4"/>
            <w:shd w:val="clear" w:color="auto" w:fill="auto"/>
          </w:tcPr>
          <w:p w14:paraId="28EFF329" w14:textId="4F537834" w:rsidR="00CD441B" w:rsidRDefault="006D45A0" w:rsidP="00FD515C">
            <w:pPr>
              <w:pStyle w:val="TableText"/>
            </w:pPr>
            <w:r>
              <w:t>Stable</w:t>
            </w:r>
          </w:p>
        </w:tc>
        <w:tc>
          <w:tcPr>
            <w:tcW w:w="3074" w:type="dxa"/>
            <w:shd w:val="clear" w:color="auto" w:fill="auto"/>
          </w:tcPr>
          <w:p w14:paraId="5A483233" w14:textId="469E4BD4" w:rsidR="00CD441B" w:rsidRPr="001B7D1F" w:rsidRDefault="005B2922" w:rsidP="00FD515C">
            <w:pPr>
              <w:pStyle w:val="TableText"/>
            </w:pPr>
            <w:r>
              <w:t>Holdsworth et al. (2021)</w:t>
            </w:r>
            <w:r w:rsidR="001270CA">
              <w:t>. The reliability of this estimate is high.</w:t>
            </w:r>
          </w:p>
        </w:tc>
      </w:tr>
      <w:tr w:rsidR="00CD441B" w14:paraId="200FDA89" w14:textId="77777777" w:rsidTr="00FD515C">
        <w:trPr>
          <w:cantSplit/>
        </w:trPr>
        <w:tc>
          <w:tcPr>
            <w:tcW w:w="1741" w:type="dxa"/>
          </w:tcPr>
          <w:p w14:paraId="55B6D8F5" w14:textId="37330200" w:rsidR="00CD441B" w:rsidRPr="006D45A0" w:rsidRDefault="00CD441B" w:rsidP="006D45A0">
            <w:pPr>
              <w:pStyle w:val="TableHeading"/>
              <w:keepNext w:val="0"/>
              <w:rPr>
                <w:rStyle w:val="Strong"/>
                <w:b/>
                <w:sz w:val="22"/>
              </w:rPr>
            </w:pPr>
            <w:r w:rsidRPr="00D20C80">
              <w:rPr>
                <w:rStyle w:val="Strong"/>
                <w:b/>
                <w:bCs w:val="0"/>
              </w:rPr>
              <w:t>Basis of assessment of subpopulation number</w:t>
            </w:r>
          </w:p>
        </w:tc>
        <w:tc>
          <w:tcPr>
            <w:tcW w:w="7319" w:type="dxa"/>
            <w:gridSpan w:val="5"/>
            <w:shd w:val="clear" w:color="auto" w:fill="auto"/>
          </w:tcPr>
          <w:p w14:paraId="49FD937C" w14:textId="63735E2E" w:rsidR="00CD441B" w:rsidRPr="006D45A0" w:rsidRDefault="006D45A0" w:rsidP="006D45A0">
            <w:pPr>
              <w:pStyle w:val="TableText"/>
            </w:pPr>
            <w:r>
              <w:t>Victorian and Tasmanian breeding subpopulations are assumed to be separate but may mix. The Tasmanian subpopulation is thought to be the largest</w:t>
            </w:r>
            <w:r w:rsidR="005B2922">
              <w:t xml:space="preserve"> (Holdsworth et al. 2021).</w:t>
            </w:r>
          </w:p>
        </w:tc>
      </w:tr>
      <w:tr w:rsidR="004B56C7" w14:paraId="41242664" w14:textId="77777777" w:rsidTr="002A5FBB">
        <w:trPr>
          <w:cantSplit/>
        </w:trPr>
        <w:tc>
          <w:tcPr>
            <w:tcW w:w="1741" w:type="dxa"/>
          </w:tcPr>
          <w:p w14:paraId="6B96B853" w14:textId="1D6192CD" w:rsidR="004B56C7" w:rsidRPr="006D45A0" w:rsidRDefault="004B56C7" w:rsidP="006D45A0">
            <w:pPr>
              <w:pStyle w:val="TableHeading"/>
              <w:keepNext w:val="0"/>
              <w:rPr>
                <w:rStyle w:val="Strong"/>
                <w:b/>
                <w:sz w:val="22"/>
              </w:rPr>
            </w:pPr>
            <w:r w:rsidRPr="00D20C80">
              <w:rPr>
                <w:rStyle w:val="Strong"/>
                <w:b/>
                <w:bCs w:val="0"/>
              </w:rPr>
              <w:t>No. locations</w:t>
            </w:r>
          </w:p>
        </w:tc>
        <w:tc>
          <w:tcPr>
            <w:tcW w:w="1415" w:type="dxa"/>
            <w:shd w:val="clear" w:color="auto" w:fill="auto"/>
          </w:tcPr>
          <w:p w14:paraId="137C1B17" w14:textId="77777777" w:rsidR="004B56C7" w:rsidRPr="006D45A0" w:rsidRDefault="004B56C7" w:rsidP="00FD515C">
            <w:pPr>
              <w:pStyle w:val="TableText"/>
            </w:pPr>
            <w:r>
              <w:t>&gt;10</w:t>
            </w:r>
          </w:p>
        </w:tc>
        <w:tc>
          <w:tcPr>
            <w:tcW w:w="1415" w:type="dxa"/>
            <w:gridSpan w:val="2"/>
            <w:shd w:val="clear" w:color="auto" w:fill="auto"/>
          </w:tcPr>
          <w:p w14:paraId="1B27F56F" w14:textId="77777777" w:rsidR="004B56C7" w:rsidRPr="006D45A0" w:rsidRDefault="004B56C7" w:rsidP="00FD515C">
            <w:pPr>
              <w:pStyle w:val="TableText"/>
            </w:pPr>
          </w:p>
        </w:tc>
        <w:tc>
          <w:tcPr>
            <w:tcW w:w="1415" w:type="dxa"/>
            <w:shd w:val="clear" w:color="auto" w:fill="auto"/>
          </w:tcPr>
          <w:p w14:paraId="392BA019" w14:textId="2556F184" w:rsidR="004B56C7" w:rsidRPr="006D45A0" w:rsidRDefault="004B56C7" w:rsidP="00FD515C">
            <w:pPr>
              <w:pStyle w:val="TableText"/>
            </w:pPr>
          </w:p>
        </w:tc>
        <w:tc>
          <w:tcPr>
            <w:tcW w:w="3074" w:type="dxa"/>
            <w:shd w:val="clear" w:color="auto" w:fill="auto"/>
          </w:tcPr>
          <w:p w14:paraId="5F2247AA" w14:textId="2F0446BC" w:rsidR="004B56C7" w:rsidRPr="006D45A0" w:rsidRDefault="004B56C7" w:rsidP="00FD515C">
            <w:pPr>
              <w:pStyle w:val="TableText"/>
            </w:pPr>
            <w:r>
              <w:t>Holdsworth et al. (2021)</w:t>
            </w:r>
          </w:p>
        </w:tc>
      </w:tr>
      <w:tr w:rsidR="00CD441B" w14:paraId="23363499" w14:textId="77777777" w:rsidTr="00FD515C">
        <w:trPr>
          <w:cantSplit/>
        </w:trPr>
        <w:tc>
          <w:tcPr>
            <w:tcW w:w="1741" w:type="dxa"/>
          </w:tcPr>
          <w:p w14:paraId="22E197CE"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4"/>
            <w:shd w:val="clear" w:color="auto" w:fill="auto"/>
          </w:tcPr>
          <w:p w14:paraId="001856FD" w14:textId="7184103B" w:rsidR="00CD441B" w:rsidRPr="006D45A0" w:rsidRDefault="006D45A0" w:rsidP="006D45A0">
            <w:pPr>
              <w:pStyle w:val="TableText"/>
            </w:pPr>
            <w:r>
              <w:t>Not calculated</w:t>
            </w:r>
          </w:p>
        </w:tc>
        <w:tc>
          <w:tcPr>
            <w:tcW w:w="3074" w:type="dxa"/>
            <w:shd w:val="clear" w:color="auto" w:fill="auto"/>
          </w:tcPr>
          <w:p w14:paraId="33216541" w14:textId="521A5E1B" w:rsidR="00CD441B" w:rsidRPr="006D45A0" w:rsidRDefault="005B2922" w:rsidP="00FD515C">
            <w:pPr>
              <w:pStyle w:val="TableText"/>
            </w:pPr>
            <w:r>
              <w:t>Holdsworth et al. (2021)</w:t>
            </w:r>
          </w:p>
        </w:tc>
      </w:tr>
      <w:tr w:rsidR="00CD441B" w14:paraId="14CEF631" w14:textId="77777777" w:rsidTr="00FD515C">
        <w:trPr>
          <w:cantSplit/>
        </w:trPr>
        <w:tc>
          <w:tcPr>
            <w:tcW w:w="1741" w:type="dxa"/>
          </w:tcPr>
          <w:p w14:paraId="718C9E15" w14:textId="36831937" w:rsidR="00CD441B" w:rsidRPr="00D20C80" w:rsidRDefault="00CD441B" w:rsidP="00FD515C">
            <w:pPr>
              <w:pStyle w:val="TableHeading"/>
              <w:keepNext w:val="0"/>
              <w:rPr>
                <w:rStyle w:val="Strong"/>
                <w:b/>
                <w:sz w:val="22"/>
              </w:rPr>
            </w:pPr>
            <w:bookmarkStart w:id="19" w:name="_Hlk51878889"/>
            <w:r w:rsidRPr="00D20C80">
              <w:rPr>
                <w:rStyle w:val="Strong"/>
                <w:b/>
                <w:bCs w:val="0"/>
              </w:rPr>
              <w:t>Basis of assessment of location number</w:t>
            </w:r>
            <w:bookmarkEnd w:id="19"/>
          </w:p>
        </w:tc>
        <w:tc>
          <w:tcPr>
            <w:tcW w:w="7319" w:type="dxa"/>
            <w:gridSpan w:val="5"/>
            <w:shd w:val="clear" w:color="auto" w:fill="auto"/>
          </w:tcPr>
          <w:p w14:paraId="02CD309F" w14:textId="0F1F2242" w:rsidR="00CD441B" w:rsidRPr="006D45A0" w:rsidRDefault="006D45A0" w:rsidP="006D45A0">
            <w:pPr>
              <w:pStyle w:val="TableText"/>
            </w:pPr>
            <w:r>
              <w:t>The spatial nature of the threats is such that there are &gt;10 geographically or ecologically distinct areas where a single threatening event could affect all individuals of the species present within a period of one generation</w:t>
            </w:r>
            <w:r w:rsidR="005B2922">
              <w:t xml:space="preserve"> (Holdsworth et al. 2021).</w:t>
            </w:r>
          </w:p>
        </w:tc>
      </w:tr>
      <w:tr w:rsidR="00D37773" w14:paraId="32B3A1D5" w14:textId="77777777" w:rsidTr="00AC5F6E">
        <w:trPr>
          <w:cantSplit/>
        </w:trPr>
        <w:tc>
          <w:tcPr>
            <w:tcW w:w="1741" w:type="dxa"/>
          </w:tcPr>
          <w:p w14:paraId="74AF67A4" w14:textId="6B40AD0D" w:rsidR="00D37773" w:rsidRPr="00D20C80" w:rsidRDefault="00D37773" w:rsidP="006D45A0">
            <w:pPr>
              <w:pStyle w:val="TableHeading"/>
              <w:keepNext w:val="0"/>
              <w:rPr>
                <w:rStyle w:val="Strong"/>
                <w:b/>
                <w:bCs w:val="0"/>
              </w:rPr>
            </w:pPr>
            <w:r w:rsidRPr="00D20C80">
              <w:rPr>
                <w:rStyle w:val="Strong"/>
                <w:b/>
                <w:bCs w:val="0"/>
              </w:rPr>
              <w:t>Fragmentation</w:t>
            </w:r>
          </w:p>
        </w:tc>
        <w:tc>
          <w:tcPr>
            <w:tcW w:w="7319" w:type="dxa"/>
            <w:gridSpan w:val="5"/>
            <w:shd w:val="clear" w:color="auto" w:fill="auto"/>
          </w:tcPr>
          <w:p w14:paraId="6EDD1676" w14:textId="7EC72967" w:rsidR="00D37773" w:rsidRPr="006D45A0" w:rsidRDefault="006D45A0" w:rsidP="006D45A0">
            <w:pPr>
              <w:pStyle w:val="TableText"/>
            </w:pPr>
            <w:r>
              <w:t>Not severely fragmented</w:t>
            </w:r>
            <w:r w:rsidR="005B2922">
              <w:t xml:space="preserve"> (Holdsworth et al. 2021).</w:t>
            </w:r>
          </w:p>
        </w:tc>
      </w:tr>
      <w:tr w:rsidR="00CD441B" w14:paraId="235B8154" w14:textId="77777777" w:rsidTr="008E4C40">
        <w:trPr>
          <w:cantSplit/>
        </w:trPr>
        <w:tc>
          <w:tcPr>
            <w:tcW w:w="1741" w:type="dxa"/>
          </w:tcPr>
          <w:p w14:paraId="62C772A5" w14:textId="638F4346" w:rsidR="00CD441B" w:rsidRDefault="00CD441B" w:rsidP="008E4C40">
            <w:pPr>
              <w:pStyle w:val="TableHeading"/>
              <w:keepNext w:val="0"/>
              <w:rPr>
                <w:rStyle w:val="Strong"/>
                <w:b/>
                <w:sz w:val="22"/>
              </w:rPr>
            </w:pPr>
            <w:r w:rsidRPr="00D20C80">
              <w:rPr>
                <w:rStyle w:val="Strong"/>
                <w:b/>
                <w:bCs w:val="0"/>
              </w:rPr>
              <w:t>Fluctuations</w:t>
            </w:r>
          </w:p>
          <w:p w14:paraId="1886014E" w14:textId="0A14BFA8" w:rsidR="00CD441B" w:rsidRPr="00D20C80" w:rsidRDefault="00CD441B" w:rsidP="001376F1">
            <w:pPr>
              <w:pStyle w:val="TableText"/>
              <w:rPr>
                <w:rStyle w:val="Strong"/>
                <w:b w:val="0"/>
                <w:bCs w:val="0"/>
              </w:rPr>
            </w:pPr>
          </w:p>
        </w:tc>
        <w:tc>
          <w:tcPr>
            <w:tcW w:w="7319" w:type="dxa"/>
            <w:gridSpan w:val="5"/>
            <w:shd w:val="clear" w:color="auto" w:fill="auto"/>
          </w:tcPr>
          <w:p w14:paraId="25EA2A0A" w14:textId="2461AACD" w:rsidR="00CD441B" w:rsidRPr="006D45A0" w:rsidRDefault="006D45A0" w:rsidP="006D45A0">
            <w:pPr>
              <w:pStyle w:val="TableText"/>
            </w:pPr>
            <w:r>
              <w:t xml:space="preserve">Not subject to extreme fluctuations in EOO, AOO, number of subpopulations, </w:t>
            </w:r>
            <w:proofErr w:type="gramStart"/>
            <w:r>
              <w:t>locations</w:t>
            </w:r>
            <w:proofErr w:type="gramEnd"/>
            <w:r>
              <w:t xml:space="preserve"> or mature individuals</w:t>
            </w:r>
            <w:r w:rsidR="005B2922">
              <w:t xml:space="preserve"> (Holdsworth et al. 2021).</w:t>
            </w:r>
          </w:p>
        </w:tc>
      </w:tr>
    </w:tbl>
    <w:p w14:paraId="1E154C73" w14:textId="77777777" w:rsidR="00834016" w:rsidRDefault="00834016" w:rsidP="00834016">
      <w:pPr>
        <w:rPr>
          <w:lang w:eastAsia="ja-JP"/>
        </w:rPr>
      </w:pPr>
    </w:p>
    <w:p w14:paraId="29ED4C46" w14:textId="3B148A95"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7EFBC065" w14:textId="77777777" w:rsidTr="0050535B">
        <w:trPr>
          <w:cantSplit/>
          <w:trHeight w:val="606"/>
        </w:trPr>
        <w:tc>
          <w:tcPr>
            <w:tcW w:w="9975" w:type="dxa"/>
            <w:gridSpan w:val="6"/>
            <w:shd w:val="clear" w:color="auto" w:fill="595959" w:themeFill="text1" w:themeFillTint="A6"/>
            <w:vAlign w:val="center"/>
          </w:tcPr>
          <w:p w14:paraId="3B63CEA7" w14:textId="188A2FD4"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70D9E88A"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10D9D4" w14:textId="4D3D75EA"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0816CA9" w14:textId="77777777" w:rsidR="00DD3067" w:rsidRPr="00936152" w:rsidRDefault="00DD3067" w:rsidP="00476948">
            <w:pPr>
              <w:pStyle w:val="TableText"/>
              <w:keepNext/>
              <w:rPr>
                <w:rStyle w:val="Strong"/>
              </w:rPr>
            </w:pPr>
            <w:r w:rsidRPr="00936152">
              <w:rPr>
                <w:rStyle w:val="Strong"/>
              </w:rPr>
              <w:t>Critically Endangered</w:t>
            </w:r>
          </w:p>
          <w:p w14:paraId="303276A6"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AFE7D79" w14:textId="77777777" w:rsidR="00DD3067" w:rsidRPr="00936152" w:rsidRDefault="00DD3067" w:rsidP="00476948">
            <w:pPr>
              <w:pStyle w:val="TableText"/>
              <w:keepNext/>
              <w:rPr>
                <w:rStyle w:val="Strong"/>
              </w:rPr>
            </w:pPr>
            <w:r w:rsidRPr="00936152">
              <w:rPr>
                <w:rStyle w:val="Strong"/>
              </w:rPr>
              <w:t>Endangered</w:t>
            </w:r>
          </w:p>
          <w:p w14:paraId="30204328"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0BD11D9" w14:textId="77777777" w:rsidR="00DD3067" w:rsidRPr="00936152" w:rsidRDefault="00DD3067" w:rsidP="00476948">
            <w:pPr>
              <w:pStyle w:val="TableText"/>
              <w:keepNext/>
              <w:rPr>
                <w:rStyle w:val="Strong"/>
              </w:rPr>
            </w:pPr>
            <w:r w:rsidRPr="00936152">
              <w:rPr>
                <w:rStyle w:val="Strong"/>
              </w:rPr>
              <w:t>Vulnerable</w:t>
            </w:r>
          </w:p>
          <w:p w14:paraId="5062942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05247CC"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2BAF090"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8ABBD07"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F7F5AA2"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3C4CF52" w14:textId="77777777" w:rsidR="00DD3067" w:rsidRPr="00556843" w:rsidRDefault="00DD3067" w:rsidP="00476948">
            <w:pPr>
              <w:pStyle w:val="TableText"/>
              <w:keepNext/>
            </w:pPr>
            <w:r w:rsidRPr="00556843">
              <w:t>≥ 50%</w:t>
            </w:r>
          </w:p>
        </w:tc>
      </w:tr>
      <w:tr w:rsidR="00DD3067" w:rsidRPr="00556843" w14:paraId="07A0797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6F9909C4"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D1887EF"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123BB10"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22CC031F" w14:textId="77777777" w:rsidR="00DD3067" w:rsidRPr="00556843" w:rsidRDefault="00DD3067" w:rsidP="00476948">
            <w:pPr>
              <w:pStyle w:val="TableText"/>
              <w:keepNext/>
            </w:pPr>
            <w:r w:rsidRPr="00556843">
              <w:t>≥ 30%</w:t>
            </w:r>
          </w:p>
        </w:tc>
      </w:tr>
      <w:tr w:rsidR="00266DC5" w:rsidRPr="00556843" w14:paraId="21490C45"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32612685" w14:textId="780A125E"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540F970E"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7522CCA6"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5311F0F8"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4DD13AE8" w14:textId="0D67181B"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47147FE7" wp14:editId="0593A22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EFB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7B9A3C08"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56B9F6EB" w14:textId="77777777" w:rsidR="00266DC5" w:rsidRDefault="00266DC5" w:rsidP="000D55BC">
            <w:pPr>
              <w:pStyle w:val="TableText"/>
              <w:ind w:left="312" w:hanging="312"/>
            </w:pPr>
            <w:r w:rsidRPr="00556843">
              <w:t>(b)</w:t>
            </w:r>
            <w:r w:rsidRPr="00556843">
              <w:tab/>
              <w:t>an index of abundance appropriate to the taxon</w:t>
            </w:r>
          </w:p>
          <w:p w14:paraId="36668449" w14:textId="3C850913"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EDA902" w14:textId="1DB36EC6" w:rsidR="00266DC5" w:rsidRPr="00556843" w:rsidRDefault="00266DC5" w:rsidP="000D55BC">
            <w:pPr>
              <w:pStyle w:val="TableText"/>
              <w:ind w:left="312" w:hanging="312"/>
            </w:pPr>
            <w:r w:rsidRPr="00556843">
              <w:t>(d)</w:t>
            </w:r>
            <w:r w:rsidRPr="00556843">
              <w:tab/>
              <w:t>actual or potential levels of exploitation</w:t>
            </w:r>
          </w:p>
          <w:p w14:paraId="597965F3" w14:textId="489D2F1C"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0083826D" w14:textId="02A9951E" w:rsidR="000F3D21" w:rsidRPr="00B662AB" w:rsidRDefault="00C2736A" w:rsidP="00B52E90">
      <w:pPr>
        <w:pStyle w:val="Heading3"/>
        <w:rPr>
          <w:lang w:eastAsia="ja-JP"/>
        </w:rPr>
      </w:pPr>
      <w:r>
        <w:rPr>
          <w:lang w:eastAsia="ja-JP"/>
        </w:rPr>
        <w:t xml:space="preserve">Criterion 1 </w:t>
      </w:r>
      <w:r w:rsidRPr="00B662AB">
        <w:rPr>
          <w:lang w:eastAsia="ja-JP"/>
        </w:rPr>
        <w:t>e</w:t>
      </w:r>
      <w:r w:rsidR="000F3D21" w:rsidRPr="00B662AB">
        <w:rPr>
          <w:lang w:eastAsia="ja-JP"/>
        </w:rPr>
        <w:t>vidence</w:t>
      </w:r>
    </w:p>
    <w:p w14:paraId="4C53618B" w14:textId="2F248126" w:rsidR="00CF270B" w:rsidRDefault="000F3D21" w:rsidP="00CF270B">
      <w:pPr>
        <w:rPr>
          <w:lang w:eastAsia="ja-JP"/>
        </w:rPr>
      </w:pPr>
      <w:r w:rsidRPr="00B662AB">
        <w:rPr>
          <w:rStyle w:val="Strong"/>
        </w:rPr>
        <w:t>Eligible under Criterion 1</w:t>
      </w:r>
      <w:r w:rsidRPr="00B662AB">
        <w:rPr>
          <w:lang w:eastAsia="ja-JP"/>
        </w:rPr>
        <w:t xml:space="preserve"> </w:t>
      </w:r>
      <w:r w:rsidR="009F10A8" w:rsidRPr="00B662AB">
        <w:t>A2b</w:t>
      </w:r>
      <w:r w:rsidR="00B971F2" w:rsidRPr="00B662AB">
        <w:t xml:space="preserve">c </w:t>
      </w:r>
      <w:r w:rsidR="00347206" w:rsidRPr="00B662AB">
        <w:rPr>
          <w:b/>
          <w:bCs/>
        </w:rPr>
        <w:t>for listing as</w:t>
      </w:r>
      <w:r w:rsidR="009F10A8" w:rsidRPr="00B662AB">
        <w:t xml:space="preserve"> </w:t>
      </w:r>
      <w:sdt>
        <w:sdtPr>
          <w:id w:val="-796447343"/>
          <w:placeholder>
            <w:docPart w:val="76A168ED837349059F88D777372262E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1342C" w:rsidRPr="00B662AB">
            <w:t>Vulnerable</w:t>
          </w:r>
        </w:sdtContent>
      </w:sdt>
    </w:p>
    <w:p w14:paraId="17E94692" w14:textId="55942EA3" w:rsidR="007A7CF8" w:rsidRDefault="007A7CF8" w:rsidP="007A7CF8">
      <w:pPr>
        <w:rPr>
          <w:lang w:eastAsia="ja-JP"/>
        </w:rPr>
      </w:pPr>
      <w:r w:rsidRPr="2C975C7E">
        <w:rPr>
          <w:lang w:eastAsia="ja-JP"/>
        </w:rPr>
        <w:t xml:space="preserve">Blue‐winged Parrots breed on mainland Australia south of the Great Dividing Range in southern Victoria from Port Albert in Gippsland west to Nelson, and sometimes in the far south‐east of </w:t>
      </w:r>
      <w:r w:rsidRPr="2C975C7E">
        <w:rPr>
          <w:lang w:eastAsia="ja-JP"/>
        </w:rPr>
        <w:lastRenderedPageBreak/>
        <w:t xml:space="preserve">South Australia, and the north‐western, </w:t>
      </w:r>
      <w:proofErr w:type="gramStart"/>
      <w:r w:rsidRPr="2C975C7E">
        <w:rPr>
          <w:lang w:eastAsia="ja-JP"/>
        </w:rPr>
        <w:t>central</w:t>
      </w:r>
      <w:proofErr w:type="gramEnd"/>
      <w:r w:rsidRPr="2C975C7E">
        <w:rPr>
          <w:lang w:eastAsia="ja-JP"/>
        </w:rPr>
        <w:t xml:space="preserve"> and eastern parts of Tasmania (</w:t>
      </w:r>
      <w:proofErr w:type="spellStart"/>
      <w:r w:rsidRPr="2C975C7E">
        <w:rPr>
          <w:lang w:eastAsia="ja-JP"/>
        </w:rPr>
        <w:t>Emison</w:t>
      </w:r>
      <w:proofErr w:type="spellEnd"/>
      <w:r w:rsidRPr="2C975C7E">
        <w:rPr>
          <w:lang w:eastAsia="ja-JP"/>
        </w:rPr>
        <w:t xml:space="preserve"> et al. 1987; Higgins 1999). A partial migrant, variable numbers of birds migrate across Bass Strait in winter. During the non‐breeding period, from autumn to early spring, birds are recorded from northern Victoria, eastern South Australia, south‐western </w:t>
      </w:r>
      <w:proofErr w:type="gramStart"/>
      <w:r w:rsidRPr="2C975C7E">
        <w:rPr>
          <w:lang w:eastAsia="ja-JP"/>
        </w:rPr>
        <w:t>Queensland</w:t>
      </w:r>
      <w:proofErr w:type="gramEnd"/>
      <w:r w:rsidRPr="2C975C7E">
        <w:rPr>
          <w:lang w:eastAsia="ja-JP"/>
        </w:rPr>
        <w:t xml:space="preserve"> and western New South Wales with some birds reaching south‐eastern New South Wales and eastern Victoria, particularly on the southern migration (Higgins 1999).</w:t>
      </w:r>
    </w:p>
    <w:p w14:paraId="3D0A3DD1" w14:textId="5D13A21B" w:rsidR="004B56C7" w:rsidRDefault="004B56C7" w:rsidP="004B56C7">
      <w:pPr>
        <w:rPr>
          <w:lang w:eastAsia="ja-JP"/>
        </w:rPr>
      </w:pPr>
      <w:r w:rsidRPr="2C975C7E">
        <w:rPr>
          <w:lang w:eastAsia="ja-JP"/>
        </w:rPr>
        <w:t>Sixty years ago, Blue‐winged Parrots were widespread, and the commonest parrot in Tasmania (McColl 1957)</w:t>
      </w:r>
      <w:r w:rsidR="4D8F04A6" w:rsidRPr="2C975C7E">
        <w:rPr>
          <w:lang w:eastAsia="ja-JP"/>
        </w:rPr>
        <w:t>,</w:t>
      </w:r>
      <w:r w:rsidRPr="2C975C7E">
        <w:rPr>
          <w:lang w:eastAsia="ja-JP"/>
        </w:rPr>
        <w:t xml:space="preserve"> but</w:t>
      </w:r>
      <w:r w:rsidR="0C180958" w:rsidRPr="2C975C7E">
        <w:rPr>
          <w:lang w:eastAsia="ja-JP"/>
        </w:rPr>
        <w:t xml:space="preserve"> the species</w:t>
      </w:r>
      <w:r w:rsidRPr="2C975C7E">
        <w:rPr>
          <w:lang w:eastAsia="ja-JP"/>
        </w:rPr>
        <w:t xml:space="preserve"> has greatly declined over the last at least two decades. In Tasmania, reporting rates from regular 5 km area searches across the north declined by 77</w:t>
      </w:r>
      <w:r w:rsidR="00956494" w:rsidRPr="2C975C7E">
        <w:rPr>
          <w:lang w:eastAsia="ja-JP"/>
        </w:rPr>
        <w:t>%</w:t>
      </w:r>
      <w:r w:rsidRPr="2C975C7E">
        <w:rPr>
          <w:lang w:eastAsia="ja-JP"/>
        </w:rPr>
        <w:t xml:space="preserve"> from 2008–2018, and by 75</w:t>
      </w:r>
      <w:r w:rsidR="00956494" w:rsidRPr="2C975C7E">
        <w:rPr>
          <w:lang w:eastAsia="ja-JP"/>
        </w:rPr>
        <w:t>%</w:t>
      </w:r>
      <w:r w:rsidRPr="2C975C7E">
        <w:rPr>
          <w:lang w:eastAsia="ja-JP"/>
        </w:rPr>
        <w:t xml:space="preserve"> across the </w:t>
      </w:r>
      <w:r w:rsidR="008B4C16" w:rsidRPr="2C975C7E">
        <w:rPr>
          <w:lang w:eastAsia="ja-JP"/>
        </w:rPr>
        <w:t>s</w:t>
      </w:r>
      <w:r w:rsidRPr="2C975C7E">
        <w:rPr>
          <w:lang w:eastAsia="ja-JP"/>
        </w:rPr>
        <w:t>tate from 2001–2005 to 2013–2017. At two long‐term monitoring sites near Wynyard in north‐western Tasmania, reporting rates from 5 km area searches declined by &gt;75</w:t>
      </w:r>
      <w:r w:rsidR="00956494" w:rsidRPr="2C975C7E">
        <w:rPr>
          <w:lang w:eastAsia="ja-JP"/>
        </w:rPr>
        <w:t>%</w:t>
      </w:r>
      <w:r w:rsidRPr="2C975C7E">
        <w:rPr>
          <w:lang w:eastAsia="ja-JP"/>
        </w:rPr>
        <w:t xml:space="preserve"> from 1999–2016 (Newman &amp; Ashby 2018) and 64</w:t>
      </w:r>
      <w:r w:rsidR="00956494" w:rsidRPr="2C975C7E">
        <w:rPr>
          <w:lang w:eastAsia="ja-JP"/>
        </w:rPr>
        <w:t>%</w:t>
      </w:r>
      <w:r w:rsidRPr="2C975C7E">
        <w:rPr>
          <w:lang w:eastAsia="ja-JP"/>
        </w:rPr>
        <w:t xml:space="preserve"> from 2010–2020 (M Newman unpublished cited in Holdsworth et al. 2021). There have been too few 2 ha 20 min surveys and 500 m area searches in Tasmania to analyse for this species (Holdsworth et al. 2021). </w:t>
      </w:r>
    </w:p>
    <w:p w14:paraId="4CF255D0" w14:textId="42FCED67" w:rsidR="004B56C7" w:rsidRDefault="004B56C7" w:rsidP="3792A324">
      <w:pPr>
        <w:rPr>
          <w:lang w:eastAsia="ja-JP"/>
        </w:rPr>
      </w:pPr>
      <w:r w:rsidRPr="3792A324">
        <w:rPr>
          <w:lang w:eastAsia="ja-JP"/>
        </w:rPr>
        <w:t>On the mainland, annual reporting rates from the breeding range in southern Victoria during the breeding season (September–January) declined by 59</w:t>
      </w:r>
      <w:r w:rsidR="00956494" w:rsidRPr="3792A324">
        <w:rPr>
          <w:lang w:eastAsia="ja-JP"/>
        </w:rPr>
        <w:t>%</w:t>
      </w:r>
      <w:r w:rsidRPr="3792A324">
        <w:rPr>
          <w:lang w:eastAsia="ja-JP"/>
        </w:rPr>
        <w:t xml:space="preserve"> and 26</w:t>
      </w:r>
      <w:r w:rsidR="00956494" w:rsidRPr="3792A324">
        <w:rPr>
          <w:lang w:eastAsia="ja-JP"/>
        </w:rPr>
        <w:t>%</w:t>
      </w:r>
      <w:r w:rsidRPr="3792A324">
        <w:rPr>
          <w:lang w:eastAsia="ja-JP"/>
        </w:rPr>
        <w:t xml:space="preserve"> for 2 ha 20 min surveys and 500 m area searches, respectively, from 2009–2019 (BirdLife Australia 2020; Cornell Lab 2020) but reporting rates in the non‐breeding range of inland New South Wales, South Australia and Queensland</w:t>
      </w:r>
      <w:r w:rsidR="422511AD" w:rsidRPr="3792A324">
        <w:rPr>
          <w:lang w:eastAsia="ja-JP"/>
        </w:rPr>
        <w:t xml:space="preserve"> are too low for analysis</w:t>
      </w:r>
      <w:r w:rsidR="00D66220">
        <w:rPr>
          <w:lang w:eastAsia="ja-JP"/>
        </w:rPr>
        <w:t xml:space="preserve"> (Holdsworth et al. 2021)</w:t>
      </w:r>
      <w:r w:rsidRPr="3792A324">
        <w:rPr>
          <w:lang w:eastAsia="ja-JP"/>
        </w:rPr>
        <w:t xml:space="preserve">. Two local analyses show no trend: in the Midlands, Tasmania, Blue‐winged Parrots were more abundant on 72 surveyed sites in 2016, a wet year, than when previously surveyed in 1996–1998 (Bain et al. 2020), but there was no monitoring in the intervening period. In the </w:t>
      </w:r>
      <w:r w:rsidR="008B4C16" w:rsidRPr="3792A324">
        <w:rPr>
          <w:lang w:eastAsia="ja-JP"/>
        </w:rPr>
        <w:t>G</w:t>
      </w:r>
      <w:r w:rsidRPr="3792A324">
        <w:rPr>
          <w:lang w:eastAsia="ja-JP"/>
        </w:rPr>
        <w:t xml:space="preserve">reater Geelong and Surf Coast region, Victoria, annual reporting rates of breeding and non‐breeding between 2009 and 2020 show no clear trend (BirdLife Australia 2020; Cornell Lab 2020; C Morley unpublished cited in Holdsworth et al. 2021). </w:t>
      </w:r>
    </w:p>
    <w:p w14:paraId="01A11E31" w14:textId="60EB8271" w:rsidR="00964A69" w:rsidRDefault="001270CA" w:rsidP="004B56C7">
      <w:pPr>
        <w:rPr>
          <w:lang w:eastAsia="ja-JP"/>
        </w:rPr>
      </w:pPr>
      <w:r>
        <w:rPr>
          <w:lang w:eastAsia="ja-JP"/>
        </w:rPr>
        <w:t>There are estimated to be</w:t>
      </w:r>
      <w:r w:rsidR="004B56C7">
        <w:rPr>
          <w:lang w:eastAsia="ja-JP"/>
        </w:rPr>
        <w:t xml:space="preserve"> 10,000 mature individuals in the wild, and there is broad agreement the population is declining (</w:t>
      </w:r>
      <w:r w:rsidR="004B56C7" w:rsidRPr="00836E5C">
        <w:rPr>
          <w:lang w:eastAsia="ja-JP"/>
        </w:rPr>
        <w:t xml:space="preserve">M Holdsworth, B Green, P Menkhorst, J Starks unpublished cited in </w:t>
      </w:r>
      <w:r w:rsidR="004B56C7" w:rsidRPr="00836E5C">
        <w:t>Holdsworth et al. 2021</w:t>
      </w:r>
      <w:r w:rsidR="004B56C7" w:rsidRPr="00836E5C">
        <w:rPr>
          <w:lang w:eastAsia="ja-JP"/>
        </w:rPr>
        <w:t xml:space="preserve">). </w:t>
      </w:r>
      <w:r w:rsidR="00834016" w:rsidRPr="00836E5C">
        <w:rPr>
          <w:lang w:eastAsia="ja-JP"/>
        </w:rPr>
        <w:t xml:space="preserve">However, given the large EOO and AOO of the species, and lack of data from most of the </w:t>
      </w:r>
      <w:proofErr w:type="gramStart"/>
      <w:r w:rsidR="00834016" w:rsidRPr="00836E5C">
        <w:rPr>
          <w:lang w:eastAsia="ja-JP"/>
        </w:rPr>
        <w:t>species</w:t>
      </w:r>
      <w:proofErr w:type="gramEnd"/>
      <w:r w:rsidR="00834016" w:rsidRPr="00836E5C">
        <w:rPr>
          <w:lang w:eastAsia="ja-JP"/>
        </w:rPr>
        <w:t xml:space="preserve"> distribution, further surveys would assist to better understand whether these declines are occurring at the species level, or only in some local areas that have perhaps become unsuitable causing shifts within the distribution (e.g. from northern Tasmania to the Tasmanian midlands). </w:t>
      </w:r>
      <w:r w:rsidR="00C65236" w:rsidRPr="00836E5C">
        <w:rPr>
          <w:lang w:eastAsia="ja-JP"/>
        </w:rPr>
        <w:t>Nevertheless</w:t>
      </w:r>
      <w:r w:rsidR="00834016" w:rsidRPr="00836E5C">
        <w:rPr>
          <w:lang w:eastAsia="ja-JP"/>
        </w:rPr>
        <w:t>, surveys in northern Tasmania</w:t>
      </w:r>
      <w:r w:rsidR="00964A69" w:rsidRPr="00836E5C">
        <w:rPr>
          <w:lang w:eastAsia="ja-JP"/>
        </w:rPr>
        <w:t xml:space="preserve"> and within the </w:t>
      </w:r>
      <w:r w:rsidR="00834016" w:rsidRPr="00836E5C">
        <w:rPr>
          <w:lang w:eastAsia="ja-JP"/>
        </w:rPr>
        <w:t>breeding range surveys in southern</w:t>
      </w:r>
      <w:r w:rsidR="00834016" w:rsidRPr="00834016">
        <w:rPr>
          <w:lang w:eastAsia="ja-JP"/>
        </w:rPr>
        <w:t xml:space="preserve"> Victoria do demonstrate a </w:t>
      </w:r>
      <w:r w:rsidR="00964A69">
        <w:rPr>
          <w:lang w:eastAsia="ja-JP"/>
        </w:rPr>
        <w:t>substantial population reduction</w:t>
      </w:r>
      <w:r w:rsidR="00EF62B5">
        <w:rPr>
          <w:lang w:eastAsia="ja-JP"/>
        </w:rPr>
        <w:t xml:space="preserve"> (Holdsworth et al. 2021)</w:t>
      </w:r>
      <w:r w:rsidR="00964A69">
        <w:rPr>
          <w:lang w:eastAsia="ja-JP"/>
        </w:rPr>
        <w:t xml:space="preserve">. </w:t>
      </w:r>
      <w:r w:rsidR="004B56C7">
        <w:rPr>
          <w:lang w:eastAsia="ja-JP"/>
        </w:rPr>
        <w:t xml:space="preserve">Holdsworth et al. (2021) estimate that the population has </w:t>
      </w:r>
      <w:r w:rsidR="004B56C7" w:rsidRPr="004B56C7">
        <w:rPr>
          <w:lang w:eastAsia="ja-JP"/>
        </w:rPr>
        <w:t>declined by 30–50</w:t>
      </w:r>
      <w:r w:rsidR="000F3B70">
        <w:rPr>
          <w:lang w:eastAsia="ja-JP"/>
        </w:rPr>
        <w:t>%</w:t>
      </w:r>
      <w:r w:rsidR="004B56C7" w:rsidRPr="004B56C7">
        <w:rPr>
          <w:lang w:eastAsia="ja-JP"/>
        </w:rPr>
        <w:t xml:space="preserve"> in three generations (11 years)</w:t>
      </w:r>
      <w:r w:rsidR="004B56C7">
        <w:rPr>
          <w:lang w:eastAsia="ja-JP"/>
        </w:rPr>
        <w:t>. This decline is likely due to</w:t>
      </w:r>
      <w:r w:rsidR="004B56C7" w:rsidRPr="004B56C7">
        <w:rPr>
          <w:lang w:eastAsia="ja-JP"/>
        </w:rPr>
        <w:t xml:space="preserve"> changes in habitat quality</w:t>
      </w:r>
      <w:r w:rsidR="00836E5C">
        <w:rPr>
          <w:lang w:eastAsia="ja-JP"/>
        </w:rPr>
        <w:t xml:space="preserve"> (Holdsworth et al. 2021)</w:t>
      </w:r>
      <w:r w:rsidR="004B56C7">
        <w:rPr>
          <w:lang w:eastAsia="ja-JP"/>
        </w:rPr>
        <w:t xml:space="preserve">. </w:t>
      </w:r>
      <w:r w:rsidR="00C65236">
        <w:rPr>
          <w:lang w:eastAsia="ja-JP"/>
        </w:rPr>
        <w:t xml:space="preserve">The </w:t>
      </w:r>
      <w:r w:rsidR="00C65236" w:rsidRPr="004B56C7">
        <w:rPr>
          <w:lang w:eastAsia="ja-JP"/>
        </w:rPr>
        <w:t>EOO</w:t>
      </w:r>
      <w:r w:rsidR="00C65236">
        <w:rPr>
          <w:lang w:eastAsia="ja-JP"/>
        </w:rPr>
        <w:t xml:space="preserve"> for the species</w:t>
      </w:r>
      <w:r w:rsidR="00C65236" w:rsidRPr="004B56C7">
        <w:rPr>
          <w:lang w:eastAsia="ja-JP"/>
        </w:rPr>
        <w:t xml:space="preserve"> is estimated to be 170,000 km</w:t>
      </w:r>
      <w:r w:rsidR="00C65236" w:rsidRPr="004B56C7">
        <w:rPr>
          <w:vertAlign w:val="superscript"/>
          <w:lang w:eastAsia="ja-JP"/>
        </w:rPr>
        <w:t>2</w:t>
      </w:r>
      <w:r w:rsidR="00C65236" w:rsidRPr="004B56C7">
        <w:rPr>
          <w:lang w:eastAsia="ja-JP"/>
        </w:rPr>
        <w:t xml:space="preserve"> (range 155,000–190,000 km</w:t>
      </w:r>
      <w:r w:rsidR="00C65236" w:rsidRPr="004B56C7">
        <w:rPr>
          <w:vertAlign w:val="superscript"/>
          <w:lang w:eastAsia="ja-JP"/>
        </w:rPr>
        <w:t>2</w:t>
      </w:r>
      <w:r w:rsidR="00C65236" w:rsidRPr="004B56C7">
        <w:rPr>
          <w:lang w:eastAsia="ja-JP"/>
        </w:rPr>
        <w:t>, high reliability), and AOO estimated to be 11,000 km</w:t>
      </w:r>
      <w:r w:rsidR="00C65236" w:rsidRPr="004B56C7">
        <w:rPr>
          <w:vertAlign w:val="superscript"/>
          <w:lang w:eastAsia="ja-JP"/>
        </w:rPr>
        <w:t>2</w:t>
      </w:r>
      <w:r w:rsidR="00C65236" w:rsidRPr="004B56C7">
        <w:rPr>
          <w:lang w:eastAsia="ja-JP"/>
        </w:rPr>
        <w:t xml:space="preserve"> (range 9,000–19,000 km</w:t>
      </w:r>
      <w:r w:rsidR="00C65236" w:rsidRPr="004B56C7">
        <w:rPr>
          <w:vertAlign w:val="superscript"/>
          <w:lang w:eastAsia="ja-JP"/>
        </w:rPr>
        <w:t>2</w:t>
      </w:r>
      <w:r w:rsidR="00C65236" w:rsidRPr="004B56C7">
        <w:rPr>
          <w:lang w:eastAsia="ja-JP"/>
        </w:rPr>
        <w:t xml:space="preserve">, medium reliability) (Holdsworth et al. 2021). The EOO for the species is stable, however the AOO for the </w:t>
      </w:r>
      <w:r w:rsidR="00C65236">
        <w:rPr>
          <w:lang w:eastAsia="ja-JP"/>
        </w:rPr>
        <w:t>species</w:t>
      </w:r>
      <w:r w:rsidR="00C65236" w:rsidRPr="004B56C7">
        <w:rPr>
          <w:lang w:eastAsia="ja-JP"/>
        </w:rPr>
        <w:t xml:space="preserve"> is contracting (Holdsworth et al. 2021).</w:t>
      </w:r>
      <w:r w:rsidR="00C65236">
        <w:rPr>
          <w:lang w:eastAsia="ja-JP"/>
        </w:rPr>
        <w:t xml:space="preserve"> </w:t>
      </w:r>
    </w:p>
    <w:p w14:paraId="03A0489E" w14:textId="72F29D8F" w:rsidR="007C16D6" w:rsidRDefault="007C16D6" w:rsidP="007C16D6">
      <w:pPr>
        <w:rPr>
          <w:lang w:eastAsia="ja-JP"/>
        </w:rPr>
      </w:pPr>
      <w:bookmarkStart w:id="20" w:name="_Hlk68598097"/>
      <w:r w:rsidRPr="2C975C7E">
        <w:rPr>
          <w:lang w:eastAsia="ja-JP"/>
        </w:rPr>
        <w:t>Th</w:t>
      </w:r>
      <w:r w:rsidR="00576765" w:rsidRPr="2C975C7E">
        <w:rPr>
          <w:lang w:eastAsia="ja-JP"/>
        </w:rPr>
        <w:t xml:space="preserve">is assessment </w:t>
      </w:r>
      <w:r w:rsidRPr="2C975C7E">
        <w:rPr>
          <w:lang w:eastAsia="ja-JP"/>
        </w:rPr>
        <w:t>appear</w:t>
      </w:r>
      <w:r w:rsidR="00576765" w:rsidRPr="2C975C7E">
        <w:rPr>
          <w:lang w:eastAsia="ja-JP"/>
        </w:rPr>
        <w:t>s</w:t>
      </w:r>
      <w:r w:rsidRPr="2C975C7E">
        <w:rPr>
          <w:lang w:eastAsia="ja-JP"/>
        </w:rPr>
        <w:t xml:space="preserve"> to demonstrate that the species is </w:t>
      </w:r>
      <w:r w:rsidRPr="2C975C7E">
        <w:rPr>
          <w:b/>
          <w:bCs/>
          <w:lang w:eastAsia="ja-JP"/>
        </w:rPr>
        <w:t>eligible for listing as Vulnerable</w:t>
      </w:r>
      <w:r w:rsidRPr="2C975C7E">
        <w:rPr>
          <w:lang w:eastAsia="ja-JP"/>
        </w:rPr>
        <w:t xml:space="preserve"> under this criterion. However, the purpose of this consultation document is to elicit additional information to better understand the species’ status. This conclusion should therefore </w:t>
      </w:r>
      <w:proofErr w:type="gramStart"/>
      <w:r w:rsidRPr="2C975C7E">
        <w:rPr>
          <w:lang w:eastAsia="ja-JP"/>
        </w:rPr>
        <w:t xml:space="preserve">be </w:t>
      </w:r>
      <w:r w:rsidRPr="2C975C7E">
        <w:rPr>
          <w:lang w:eastAsia="ja-JP"/>
        </w:rPr>
        <w:lastRenderedPageBreak/>
        <w:t>considered to be</w:t>
      </w:r>
      <w:proofErr w:type="gramEnd"/>
      <w:r w:rsidRPr="2C975C7E">
        <w:rPr>
          <w:lang w:eastAsia="ja-JP"/>
        </w:rPr>
        <w:t xml:space="preserve"> tentative at this stage, as it may be changed as a result of responses to this consultation process.</w:t>
      </w:r>
    </w:p>
    <w:bookmarkEnd w:id="20"/>
    <w:p w14:paraId="10D9D732" w14:textId="227581C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63F42C32" w14:textId="77777777" w:rsidTr="00B6264B">
        <w:trPr>
          <w:trHeight w:val="350"/>
        </w:trPr>
        <w:tc>
          <w:tcPr>
            <w:tcW w:w="10738" w:type="dxa"/>
            <w:gridSpan w:val="4"/>
            <w:tcBorders>
              <w:bottom w:val="nil"/>
            </w:tcBorders>
            <w:shd w:val="clear" w:color="auto" w:fill="595959" w:themeFill="text1" w:themeFillTint="A6"/>
            <w:vAlign w:val="center"/>
          </w:tcPr>
          <w:p w14:paraId="4EE28AD0" w14:textId="11007FFE"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0EDEE744" w14:textId="77777777" w:rsidTr="00B6264B">
        <w:tc>
          <w:tcPr>
            <w:tcW w:w="4111" w:type="dxa"/>
            <w:tcBorders>
              <w:top w:val="nil"/>
              <w:bottom w:val="nil"/>
              <w:right w:val="nil"/>
            </w:tcBorders>
          </w:tcPr>
          <w:p w14:paraId="295063D1" w14:textId="2A92F105"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C1200C0" w14:textId="77777777" w:rsidR="00B6264B" w:rsidRPr="00795F43" w:rsidRDefault="00B6264B" w:rsidP="000E630E">
            <w:pPr>
              <w:pStyle w:val="TableText"/>
              <w:keepNext/>
              <w:rPr>
                <w:rStyle w:val="Strong"/>
              </w:rPr>
            </w:pPr>
            <w:r w:rsidRPr="00795F43">
              <w:rPr>
                <w:rStyle w:val="Strong"/>
              </w:rPr>
              <w:t>Critically Endangered</w:t>
            </w:r>
          </w:p>
          <w:p w14:paraId="29B38597"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718C267" w14:textId="77777777" w:rsidR="00B6264B" w:rsidRPr="00556843" w:rsidRDefault="00B6264B" w:rsidP="000E630E">
            <w:pPr>
              <w:pStyle w:val="TableText"/>
              <w:keepNext/>
              <w:rPr>
                <w:b/>
              </w:rPr>
            </w:pPr>
            <w:r w:rsidRPr="00556843">
              <w:rPr>
                <w:b/>
              </w:rPr>
              <w:t>Endangered</w:t>
            </w:r>
          </w:p>
          <w:p w14:paraId="3BE6CD5F"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0619B31" w14:textId="77777777" w:rsidR="00B6264B" w:rsidRPr="00556843" w:rsidRDefault="00B6264B" w:rsidP="000E630E">
            <w:pPr>
              <w:pStyle w:val="TableText"/>
              <w:keepNext/>
              <w:rPr>
                <w:b/>
              </w:rPr>
            </w:pPr>
            <w:r w:rsidRPr="00556843">
              <w:rPr>
                <w:b/>
              </w:rPr>
              <w:t>Vulnerable</w:t>
            </w:r>
          </w:p>
          <w:p w14:paraId="5B8B6CEF" w14:textId="77777777" w:rsidR="00B6264B" w:rsidRPr="00556843" w:rsidRDefault="00B6264B" w:rsidP="000E630E">
            <w:pPr>
              <w:pStyle w:val="TableText"/>
              <w:keepNext/>
              <w:rPr>
                <w:b/>
              </w:rPr>
            </w:pPr>
            <w:r w:rsidRPr="00556843">
              <w:rPr>
                <w:b/>
              </w:rPr>
              <w:t>Limited</w:t>
            </w:r>
          </w:p>
        </w:tc>
      </w:tr>
      <w:tr w:rsidR="00B6264B" w:rsidRPr="00556843" w14:paraId="07DA6FB8"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185AD866"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702C7979"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753D0E8A"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263C070"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07F44F86"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61FC8FF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12B60A1"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826C3EC"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323720DB"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6088CDF2" w14:textId="77777777" w:rsidTr="00B6264B">
        <w:tc>
          <w:tcPr>
            <w:tcW w:w="10738" w:type="dxa"/>
            <w:gridSpan w:val="4"/>
            <w:tcBorders>
              <w:top w:val="nil"/>
              <w:bottom w:val="nil"/>
            </w:tcBorders>
          </w:tcPr>
          <w:p w14:paraId="429B729D"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6A29D153"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519FBE"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56A2C4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5310A70"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556A4D71" w14:textId="77777777" w:rsidR="00B6264B" w:rsidRPr="00556843" w:rsidRDefault="00B6264B" w:rsidP="000E630E">
            <w:pPr>
              <w:pStyle w:val="TableText"/>
              <w:keepNext/>
              <w:rPr>
                <w:b/>
              </w:rPr>
            </w:pPr>
            <w:r w:rsidRPr="00556843">
              <w:rPr>
                <w:b/>
              </w:rPr>
              <w:t>≤ 10</w:t>
            </w:r>
          </w:p>
        </w:tc>
      </w:tr>
      <w:tr w:rsidR="00B6264B" w:rsidRPr="00556843" w14:paraId="5E88525D"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61503EDB" w14:textId="5655BAAE"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(i) extent of occurrence; (ii) area of occupancy; (iii) area, extent and/or quality of habitat; (iv) number of locations or subpopulations; (v) number of mature individuals</w:t>
            </w:r>
          </w:p>
        </w:tc>
      </w:tr>
      <w:tr w:rsidR="00B6264B" w:rsidRPr="00556843" w14:paraId="7D5BA3D9" w14:textId="77777777" w:rsidTr="00B6264B">
        <w:tc>
          <w:tcPr>
            <w:tcW w:w="10738" w:type="dxa"/>
            <w:gridSpan w:val="4"/>
            <w:tcBorders>
              <w:top w:val="single" w:sz="4" w:space="0" w:color="FFFFFF" w:themeColor="background1"/>
            </w:tcBorders>
            <w:shd w:val="clear" w:color="auto" w:fill="BFBFBF" w:themeFill="background1" w:themeFillShade="BF"/>
          </w:tcPr>
          <w:p w14:paraId="2ECCAED3" w14:textId="45DA55E6"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753EF89D" w14:textId="5446286B"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5AC05A34" w14:textId="4A55B47F" w:rsidR="007C16D6" w:rsidRDefault="00B6264B" w:rsidP="00B6264B">
      <w:pPr>
        <w:rPr>
          <w:b/>
          <w:bCs/>
          <w:lang w:eastAsia="ja-JP"/>
        </w:rPr>
      </w:pPr>
      <w:r w:rsidRPr="007C16D6">
        <w:rPr>
          <w:b/>
          <w:bCs/>
          <w:lang w:eastAsia="ja-JP"/>
        </w:rPr>
        <w:t>Not eligible</w:t>
      </w:r>
    </w:p>
    <w:p w14:paraId="3490D062" w14:textId="7522541F" w:rsidR="00E043F9" w:rsidRDefault="00E043F9" w:rsidP="00B971F2">
      <w:pPr>
        <w:rPr>
          <w:lang w:eastAsia="ja-JP"/>
        </w:rPr>
      </w:pPr>
      <w:r>
        <w:rPr>
          <w:lang w:eastAsia="ja-JP"/>
        </w:rPr>
        <w:t>Blue-winged Parrot</w:t>
      </w:r>
      <w:r w:rsidR="002C7216">
        <w:rPr>
          <w:lang w:eastAsia="ja-JP"/>
        </w:rPr>
        <w:t>’s</w:t>
      </w:r>
      <w:r>
        <w:rPr>
          <w:lang w:eastAsia="ja-JP"/>
        </w:rPr>
        <w:t xml:space="preserve"> EOO is estimated to be 170,000 km</w:t>
      </w:r>
      <w:r w:rsidRPr="00E043F9">
        <w:rPr>
          <w:vertAlign w:val="superscript"/>
          <w:lang w:eastAsia="ja-JP"/>
        </w:rPr>
        <w:t>2</w:t>
      </w:r>
      <w:r>
        <w:rPr>
          <w:lang w:eastAsia="ja-JP"/>
        </w:rPr>
        <w:t xml:space="preserve"> (range 155,000–190,000 km</w:t>
      </w:r>
      <w:r w:rsidRPr="00E043F9">
        <w:rPr>
          <w:vertAlign w:val="superscript"/>
          <w:lang w:eastAsia="ja-JP"/>
        </w:rPr>
        <w:t>2</w:t>
      </w:r>
      <w:r>
        <w:rPr>
          <w:lang w:eastAsia="ja-JP"/>
        </w:rPr>
        <w:t>, high reliability), and AOO estimated to be 11,000 km</w:t>
      </w:r>
      <w:r w:rsidRPr="00E043F9">
        <w:rPr>
          <w:vertAlign w:val="superscript"/>
          <w:lang w:eastAsia="ja-JP"/>
        </w:rPr>
        <w:t>2</w:t>
      </w:r>
      <w:r>
        <w:rPr>
          <w:lang w:eastAsia="ja-JP"/>
        </w:rPr>
        <w:t xml:space="preserve"> (range 9,000–19,000 km</w:t>
      </w:r>
      <w:r w:rsidRPr="00E043F9">
        <w:rPr>
          <w:vertAlign w:val="superscript"/>
          <w:lang w:eastAsia="ja-JP"/>
        </w:rPr>
        <w:t>2</w:t>
      </w:r>
      <w:r>
        <w:rPr>
          <w:lang w:eastAsia="ja-JP"/>
        </w:rPr>
        <w:t xml:space="preserve">, medium reliability) (Holdsworth et al. 2021). </w:t>
      </w:r>
      <w:r w:rsidR="00B971F2">
        <w:rPr>
          <w:lang w:eastAsia="ja-JP"/>
        </w:rPr>
        <w:t xml:space="preserve">The EOO for the species is stable, however the AOO for the </w:t>
      </w:r>
      <w:r w:rsidR="00ED6CB0">
        <w:rPr>
          <w:lang w:eastAsia="ja-JP"/>
        </w:rPr>
        <w:t>species</w:t>
      </w:r>
      <w:r w:rsidR="00B971F2">
        <w:rPr>
          <w:lang w:eastAsia="ja-JP"/>
        </w:rPr>
        <w:t xml:space="preserve"> is contracting (</w:t>
      </w:r>
      <w:r w:rsidR="00B971F2">
        <w:t>Holdsworth et al. 2021</w:t>
      </w:r>
      <w:r w:rsidR="00B971F2">
        <w:rPr>
          <w:lang w:eastAsia="ja-JP"/>
        </w:rPr>
        <w:t>). Victorian and Tasmanian breeding subpopulations are assumed to be separate but may mix. The species is estimated to occur at more than 10 locations and is not severely fragmented. The species is n</w:t>
      </w:r>
      <w:r w:rsidR="00B971F2" w:rsidRPr="0095356B">
        <w:rPr>
          <w:lang w:eastAsia="ja-JP"/>
        </w:rPr>
        <w:t xml:space="preserve">ot subject to extreme fluctuations in EOO, AOO, number of subpopulations, </w:t>
      </w:r>
      <w:proofErr w:type="gramStart"/>
      <w:r w:rsidR="00B971F2" w:rsidRPr="0095356B">
        <w:rPr>
          <w:lang w:eastAsia="ja-JP"/>
        </w:rPr>
        <w:t>locations</w:t>
      </w:r>
      <w:proofErr w:type="gramEnd"/>
      <w:r w:rsidR="00B971F2" w:rsidRPr="0095356B">
        <w:rPr>
          <w:lang w:eastAsia="ja-JP"/>
        </w:rPr>
        <w:t xml:space="preserve"> or mature individuals</w:t>
      </w:r>
      <w:r w:rsidR="00B971F2">
        <w:rPr>
          <w:lang w:eastAsia="ja-JP"/>
        </w:rPr>
        <w:t xml:space="preserve"> (Holdsworth et al. 2021).</w:t>
      </w:r>
    </w:p>
    <w:p w14:paraId="6D4500E9" w14:textId="436CA6C9" w:rsidR="007C16D6" w:rsidRPr="00CB6CD5" w:rsidRDefault="007C16D6" w:rsidP="00B6264B">
      <w:pPr>
        <w:rPr>
          <w:lang w:eastAsia="ja-JP"/>
        </w:rPr>
      </w:pPr>
      <w:r w:rsidRPr="00E37B1D">
        <w:rPr>
          <w:lang w:eastAsia="ja-JP"/>
        </w:rPr>
        <w:t xml:space="preserve">The data presented above appear to demonstrate the species is not eligible for listing under this criterion. However, the purpose of this consultation document is to elicit additional information to better understand the species’ status. This conclusion should therefore </w:t>
      </w:r>
      <w:proofErr w:type="gramStart"/>
      <w:r w:rsidRPr="00E37B1D">
        <w:rPr>
          <w:lang w:eastAsia="ja-JP"/>
        </w:rPr>
        <w:t>be considered to be</w:t>
      </w:r>
      <w:proofErr w:type="gramEnd"/>
      <w:r w:rsidRPr="00E37B1D">
        <w:rPr>
          <w:lang w:eastAsia="ja-JP"/>
        </w:rPr>
        <w:t xml:space="preserve"> tentative at this stage, as it may be changed as a result of responses to this consultation process.</w:t>
      </w:r>
      <w:r>
        <w:rPr>
          <w:lang w:eastAsia="ja-JP"/>
        </w:rPr>
        <w:t xml:space="preserve"> </w:t>
      </w:r>
    </w:p>
    <w:p w14:paraId="698C6603" w14:textId="69F941B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562F98E7"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22168D18"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9E37F02" w14:textId="77777777" w:rsidTr="002B134C">
        <w:tc>
          <w:tcPr>
            <w:tcW w:w="3395" w:type="dxa"/>
            <w:gridSpan w:val="2"/>
            <w:tcBorders>
              <w:top w:val="nil"/>
              <w:left w:val="single" w:sz="4" w:space="0" w:color="auto"/>
              <w:bottom w:val="nil"/>
              <w:right w:val="nil"/>
            </w:tcBorders>
          </w:tcPr>
          <w:p w14:paraId="7B09AD35"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D46BB8C" w14:textId="77777777" w:rsidR="002B134C" w:rsidRPr="00556843" w:rsidRDefault="002B134C" w:rsidP="00F658E8">
            <w:pPr>
              <w:pStyle w:val="TableText"/>
              <w:keepNext/>
              <w:rPr>
                <w:b/>
              </w:rPr>
            </w:pPr>
            <w:r w:rsidRPr="00556843">
              <w:rPr>
                <w:b/>
              </w:rPr>
              <w:t>Critically Endangered</w:t>
            </w:r>
          </w:p>
          <w:p w14:paraId="5D95B5E9"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370937F" w14:textId="77777777" w:rsidR="002B134C" w:rsidRPr="00556843" w:rsidRDefault="002B134C" w:rsidP="00F658E8">
            <w:pPr>
              <w:pStyle w:val="TableText"/>
              <w:keepNext/>
              <w:rPr>
                <w:b/>
              </w:rPr>
            </w:pPr>
            <w:r w:rsidRPr="00556843">
              <w:rPr>
                <w:b/>
              </w:rPr>
              <w:t>Endangered</w:t>
            </w:r>
          </w:p>
          <w:p w14:paraId="20D73F89"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7CAD40C9" w14:textId="77777777" w:rsidR="002B134C" w:rsidRPr="00556843" w:rsidRDefault="002B134C" w:rsidP="00F658E8">
            <w:pPr>
              <w:pStyle w:val="TableText"/>
              <w:keepNext/>
              <w:rPr>
                <w:b/>
              </w:rPr>
            </w:pPr>
            <w:r w:rsidRPr="00556843">
              <w:rPr>
                <w:b/>
              </w:rPr>
              <w:t>Vulnerable</w:t>
            </w:r>
          </w:p>
          <w:p w14:paraId="1D9B4CF1" w14:textId="77777777" w:rsidR="002B134C" w:rsidRPr="00556843" w:rsidRDefault="002B134C" w:rsidP="00F658E8">
            <w:pPr>
              <w:pStyle w:val="TableText"/>
              <w:keepNext/>
              <w:rPr>
                <w:b/>
              </w:rPr>
            </w:pPr>
            <w:r w:rsidRPr="00556843">
              <w:rPr>
                <w:b/>
              </w:rPr>
              <w:t>Limited</w:t>
            </w:r>
          </w:p>
        </w:tc>
      </w:tr>
      <w:tr w:rsidR="002B134C" w:rsidRPr="00556843" w14:paraId="2A99C208"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78C582D"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E1F9821"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D1C0566"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17080AF9" w14:textId="77777777" w:rsidR="002B134C" w:rsidRPr="00556843" w:rsidRDefault="002B134C" w:rsidP="00F658E8">
            <w:pPr>
              <w:pStyle w:val="TableText"/>
              <w:keepNext/>
            </w:pPr>
            <w:r w:rsidRPr="00556843">
              <w:rPr>
                <w:b/>
              </w:rPr>
              <w:t xml:space="preserve">&lt; 10,000 </w:t>
            </w:r>
          </w:p>
        </w:tc>
      </w:tr>
      <w:tr w:rsidR="002B134C" w:rsidRPr="00556843" w14:paraId="28B4192F"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7B582FF"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96F6587"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196AD4F"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0C836B32" w14:textId="77777777" w:rsidR="002B134C" w:rsidRPr="00556843" w:rsidRDefault="002B134C" w:rsidP="00F658E8">
            <w:pPr>
              <w:pStyle w:val="TableText"/>
              <w:keepNext/>
              <w:rPr>
                <w:b/>
              </w:rPr>
            </w:pPr>
          </w:p>
        </w:tc>
      </w:tr>
      <w:tr w:rsidR="002B134C" w:rsidRPr="00556843" w14:paraId="2FD8697F"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036F203" w14:textId="15BEAD2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6EF1552" w14:textId="77777777" w:rsidR="002B134C" w:rsidRPr="00556843" w:rsidRDefault="002B134C" w:rsidP="00F658E8">
            <w:pPr>
              <w:pStyle w:val="TableText"/>
              <w:keepNext/>
              <w:rPr>
                <w:b/>
              </w:rPr>
            </w:pPr>
            <w:r w:rsidRPr="00556843">
              <w:rPr>
                <w:b/>
              </w:rPr>
              <w:t>Very high rate</w:t>
            </w:r>
          </w:p>
          <w:p w14:paraId="4D11E423" w14:textId="77777777" w:rsidR="002B134C" w:rsidRPr="00556843" w:rsidRDefault="002B134C" w:rsidP="00F658E8">
            <w:pPr>
              <w:pStyle w:val="TableText"/>
              <w:keepNext/>
              <w:rPr>
                <w:b/>
              </w:rPr>
            </w:pPr>
            <w:r w:rsidRPr="00556843">
              <w:rPr>
                <w:b/>
              </w:rPr>
              <w:t>25% in 3 years or 1 generation</w:t>
            </w:r>
          </w:p>
          <w:p w14:paraId="4269DFD1"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2BC2B3E" w14:textId="77777777" w:rsidR="002B134C" w:rsidRPr="00556843" w:rsidRDefault="002B134C" w:rsidP="00F658E8">
            <w:pPr>
              <w:pStyle w:val="TableText"/>
              <w:keepNext/>
              <w:rPr>
                <w:b/>
              </w:rPr>
            </w:pPr>
            <w:r w:rsidRPr="00556843">
              <w:rPr>
                <w:b/>
              </w:rPr>
              <w:t>High rate</w:t>
            </w:r>
          </w:p>
          <w:p w14:paraId="37D3CCF4" w14:textId="77777777" w:rsidR="002B134C" w:rsidRPr="00556843" w:rsidRDefault="002B134C" w:rsidP="00F658E8">
            <w:pPr>
              <w:pStyle w:val="TableText"/>
              <w:keepNext/>
              <w:rPr>
                <w:b/>
              </w:rPr>
            </w:pPr>
            <w:r w:rsidRPr="00556843">
              <w:rPr>
                <w:b/>
              </w:rPr>
              <w:t>20% in 5 years or 2 generation</w:t>
            </w:r>
          </w:p>
          <w:p w14:paraId="536A87FA"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38EF6BC5" w14:textId="77777777" w:rsidR="002B134C" w:rsidRPr="00556843" w:rsidRDefault="002B134C" w:rsidP="00F658E8">
            <w:pPr>
              <w:pStyle w:val="TableText"/>
              <w:keepNext/>
              <w:rPr>
                <w:b/>
              </w:rPr>
            </w:pPr>
            <w:r w:rsidRPr="00556843">
              <w:rPr>
                <w:b/>
              </w:rPr>
              <w:t>Substantial rate</w:t>
            </w:r>
          </w:p>
          <w:p w14:paraId="54063843" w14:textId="77777777" w:rsidR="002B134C" w:rsidRPr="00556843" w:rsidRDefault="002B134C" w:rsidP="00F658E8">
            <w:pPr>
              <w:pStyle w:val="TableText"/>
              <w:keepNext/>
              <w:rPr>
                <w:b/>
              </w:rPr>
            </w:pPr>
            <w:r w:rsidRPr="00556843">
              <w:rPr>
                <w:b/>
              </w:rPr>
              <w:t>10% in 10 years or 3 generations</w:t>
            </w:r>
          </w:p>
          <w:p w14:paraId="0DA9381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7CB0003D"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C540302" w14:textId="4F057DE5"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E041D58" w14:textId="77777777" w:rsidR="002B134C" w:rsidRPr="00556843" w:rsidRDefault="002B134C" w:rsidP="00F658E8">
            <w:pPr>
              <w:pStyle w:val="TableText"/>
              <w:keepNext/>
            </w:pPr>
          </w:p>
        </w:tc>
        <w:tc>
          <w:tcPr>
            <w:tcW w:w="1833" w:type="dxa"/>
            <w:tcBorders>
              <w:top w:val="nil"/>
              <w:left w:val="nil"/>
              <w:bottom w:val="nil"/>
              <w:right w:val="nil"/>
            </w:tcBorders>
          </w:tcPr>
          <w:p w14:paraId="5EE6ACF5"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528613BC" w14:textId="77777777" w:rsidR="002B134C" w:rsidRPr="00556843" w:rsidRDefault="002B134C" w:rsidP="00F658E8">
            <w:pPr>
              <w:pStyle w:val="TableText"/>
              <w:keepNext/>
            </w:pPr>
          </w:p>
        </w:tc>
      </w:tr>
      <w:tr w:rsidR="002B134C" w:rsidRPr="00556843" w14:paraId="0128DF6C"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0706286A"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2490E8D"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7BFF8DD"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ABAEE42"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305327C1" w14:textId="77777777" w:rsidR="002B134C" w:rsidRPr="00556843" w:rsidRDefault="002B134C" w:rsidP="00F658E8">
            <w:pPr>
              <w:pStyle w:val="TableText"/>
              <w:keepNext/>
              <w:rPr>
                <w:b/>
              </w:rPr>
            </w:pPr>
            <w:r w:rsidRPr="00556843">
              <w:rPr>
                <w:b/>
              </w:rPr>
              <w:t>≤ 1,000</w:t>
            </w:r>
          </w:p>
        </w:tc>
      </w:tr>
      <w:tr w:rsidR="002B134C" w:rsidRPr="00556843" w14:paraId="2D840E30"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180FF094"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8D160A"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5D934C6B"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6E791AA"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2CCC1D12" w14:textId="77777777" w:rsidR="002B134C" w:rsidRPr="00556843" w:rsidRDefault="002B134C" w:rsidP="00F658E8">
            <w:pPr>
              <w:pStyle w:val="TableText"/>
              <w:keepNext/>
              <w:rPr>
                <w:b/>
              </w:rPr>
            </w:pPr>
            <w:r w:rsidRPr="00556843">
              <w:rPr>
                <w:b/>
              </w:rPr>
              <w:t>100%</w:t>
            </w:r>
          </w:p>
        </w:tc>
      </w:tr>
      <w:tr w:rsidR="002B134C" w:rsidRPr="00556843" w14:paraId="02EBE4C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E210853"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14493D89"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8CA5B07"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66130677" w14:textId="77777777" w:rsidR="002B134C" w:rsidRPr="00556843" w:rsidRDefault="002B134C" w:rsidP="00F658E8">
            <w:pPr>
              <w:pStyle w:val="TableText"/>
              <w:keepNext/>
            </w:pPr>
          </w:p>
        </w:tc>
      </w:tr>
    </w:tbl>
    <w:p w14:paraId="255B41EC" w14:textId="50B9BC73" w:rsidR="002B69E4" w:rsidRPr="002B69E4" w:rsidRDefault="00C2736A" w:rsidP="00CD30FC">
      <w:pPr>
        <w:pStyle w:val="Heading3"/>
        <w:spacing w:before="240"/>
        <w:ind w:left="964" w:hanging="964"/>
      </w:pPr>
      <w:r>
        <w:t>Criterion 3 e</w:t>
      </w:r>
      <w:r w:rsidR="002B69E4" w:rsidRPr="002B69E4">
        <w:t>vidence</w:t>
      </w:r>
    </w:p>
    <w:p w14:paraId="38FCC849" w14:textId="1F61133D" w:rsidR="002B69E4" w:rsidRDefault="00A45C2B" w:rsidP="002B69E4">
      <w:pPr>
        <w:rPr>
          <w:rStyle w:val="Strong"/>
        </w:rPr>
      </w:pPr>
      <w:r w:rsidRPr="007C16D6">
        <w:rPr>
          <w:rStyle w:val="Strong"/>
        </w:rPr>
        <w:t>N</w:t>
      </w:r>
      <w:r w:rsidR="002B69E4" w:rsidRPr="007C16D6">
        <w:rPr>
          <w:rStyle w:val="Strong"/>
        </w:rPr>
        <w:t>ot eligible</w:t>
      </w:r>
    </w:p>
    <w:p w14:paraId="3A3725FD" w14:textId="28F7C44F" w:rsidR="007C16D6" w:rsidRDefault="007B7546" w:rsidP="007B7546">
      <w:r>
        <w:t xml:space="preserve">While there are no quantitative data available on the Blue‐winged Parrot population size, experts estimated there are about 10,000 </w:t>
      </w:r>
      <w:r w:rsidRPr="007C16D6">
        <w:rPr>
          <w:rStyle w:val="Strong"/>
          <w:b w:val="0"/>
          <w:bCs w:val="0"/>
        </w:rPr>
        <w:t>(range 7,500–15,000, low reliability)</w:t>
      </w:r>
      <w:r>
        <w:t xml:space="preserve"> mature individuals, and there is broad agreement the population is declining (M Holdsworth, B Green, P Menkhorst, J Starks unpublished cited in Holdsworth et al. 2021).</w:t>
      </w:r>
      <w:r w:rsidR="007C16D6">
        <w:t xml:space="preserve"> </w:t>
      </w:r>
      <w:r>
        <w:t>Holdsworth et al. (2021) estimate that the population has</w:t>
      </w:r>
      <w:r w:rsidR="007C16D6">
        <w:t xml:space="preserve"> declined by 30–50</w:t>
      </w:r>
      <w:r w:rsidR="00956494">
        <w:t>%</w:t>
      </w:r>
      <w:r w:rsidR="007C16D6">
        <w:t xml:space="preserve"> in the last three generations (11 years). </w:t>
      </w:r>
      <w:r w:rsidR="0091342C">
        <w:t>However, t</w:t>
      </w:r>
      <w:r w:rsidR="007C16D6" w:rsidRPr="007C16D6">
        <w:t xml:space="preserve">he species’ geographic distribution </w:t>
      </w:r>
      <w:r w:rsidR="007C16D6">
        <w:t xml:space="preserve">does not appear to be </w:t>
      </w:r>
      <w:r w:rsidR="007C16D6" w:rsidRPr="007C16D6">
        <w:t>precarious for its survival and it is not subject to extreme fluctuations</w:t>
      </w:r>
      <w:r w:rsidR="007C16D6">
        <w:t xml:space="preserve"> in the number of mature individuals </w:t>
      </w:r>
      <w:r w:rsidR="007C16D6" w:rsidRPr="007C16D6">
        <w:t>(</w:t>
      </w:r>
      <w:r w:rsidR="007C16D6">
        <w:t>Holdsworth et al</w:t>
      </w:r>
      <w:r w:rsidR="007C16D6" w:rsidRPr="007C16D6">
        <w:t>. 2021).</w:t>
      </w:r>
    </w:p>
    <w:p w14:paraId="6A2BC347" w14:textId="35A224E1" w:rsidR="007C16D6" w:rsidRPr="00B662AB" w:rsidRDefault="007C16D6" w:rsidP="007C16D6">
      <w:pPr>
        <w:rPr>
          <w:rStyle w:val="Strong"/>
          <w:b w:val="0"/>
          <w:bCs w:val="0"/>
        </w:rPr>
      </w:pPr>
      <w:r w:rsidRPr="00E37B1D">
        <w:t xml:space="preserve">The data presented above appear to demonstrate the species is not eligible for listing under this criterion. However, the purpose of this consultation document is to elicit additional information to better understand the species’ status. This conclusion should therefore </w:t>
      </w:r>
      <w:proofErr w:type="gramStart"/>
      <w:r w:rsidRPr="00E37B1D">
        <w:t>be considered to be</w:t>
      </w:r>
      <w:proofErr w:type="gramEnd"/>
      <w:r w:rsidRPr="00E37B1D">
        <w:t xml:space="preserve"> tentative at this stage, as it may be changed as a result of responses to this consultation process.</w:t>
      </w:r>
    </w:p>
    <w:p w14:paraId="61158563" w14:textId="161C5D9C"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4D6C4D10"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16DD409" w14:textId="1522902C" w:rsidR="00166185" w:rsidRPr="00166185" w:rsidRDefault="00166185" w:rsidP="000E630E">
            <w:pPr>
              <w:pStyle w:val="TableText"/>
              <w:keepNext/>
            </w:pPr>
          </w:p>
        </w:tc>
      </w:tr>
      <w:tr w:rsidR="00166185" w:rsidRPr="00166185" w14:paraId="5CADCF9D"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ED538F3" w14:textId="0EF106F5"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4F6AFD2" w14:textId="77777777" w:rsidR="00166185" w:rsidRPr="009E3E71" w:rsidRDefault="00166185" w:rsidP="000E630E">
            <w:pPr>
              <w:pStyle w:val="TableText"/>
              <w:keepNext/>
              <w:rPr>
                <w:rStyle w:val="Strong"/>
              </w:rPr>
            </w:pPr>
            <w:r w:rsidRPr="009E3E71">
              <w:rPr>
                <w:rStyle w:val="Strong"/>
              </w:rPr>
              <w:t>Critically Endangered</w:t>
            </w:r>
          </w:p>
          <w:p w14:paraId="66C3FA8E"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07700FAD" w14:textId="77777777" w:rsidR="00166185" w:rsidRPr="009E3E71" w:rsidRDefault="00166185" w:rsidP="000E630E">
            <w:pPr>
              <w:pStyle w:val="TableText"/>
              <w:keepNext/>
              <w:rPr>
                <w:rStyle w:val="Strong"/>
              </w:rPr>
            </w:pPr>
            <w:r w:rsidRPr="009E3E71">
              <w:rPr>
                <w:rStyle w:val="Strong"/>
              </w:rPr>
              <w:t>Endangered</w:t>
            </w:r>
          </w:p>
          <w:p w14:paraId="71161D83"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7877173C" w14:textId="77777777" w:rsidR="00166185" w:rsidRPr="009E3E71" w:rsidRDefault="00166185" w:rsidP="000E630E">
            <w:pPr>
              <w:pStyle w:val="TableText"/>
              <w:keepNext/>
              <w:rPr>
                <w:rStyle w:val="Strong"/>
              </w:rPr>
            </w:pPr>
            <w:r w:rsidRPr="009E3E71">
              <w:rPr>
                <w:rStyle w:val="Strong"/>
              </w:rPr>
              <w:t>Vulnerable</w:t>
            </w:r>
          </w:p>
          <w:p w14:paraId="0BC34153" w14:textId="77777777" w:rsidR="00166185" w:rsidRPr="009E3E71" w:rsidRDefault="00166185" w:rsidP="000E630E">
            <w:pPr>
              <w:pStyle w:val="TableText"/>
              <w:keepNext/>
              <w:rPr>
                <w:rStyle w:val="Strong"/>
              </w:rPr>
            </w:pPr>
            <w:r w:rsidRPr="009E3E71">
              <w:rPr>
                <w:rStyle w:val="Strong"/>
              </w:rPr>
              <w:t>Low</w:t>
            </w:r>
          </w:p>
        </w:tc>
      </w:tr>
      <w:tr w:rsidR="00166185" w:rsidRPr="00166185" w14:paraId="21FFCB59"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302984C" w14:textId="3A2FA34F"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599626A"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8616F4C"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5CF79AF0"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10E51514"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6D28C6DB" w14:textId="5098EE22"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5061C23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165493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5B7BA5F"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6475A919"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0BEEC6B"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5" w:history="1">
        <w:r w:rsidRPr="00166185">
          <w:rPr>
            <w:rStyle w:val="Hyperlink"/>
            <w:bCs/>
            <w:i/>
            <w:iCs/>
          </w:rPr>
          <w:t>common assessment method</w:t>
        </w:r>
      </w:hyperlink>
      <w:r w:rsidRPr="00166185">
        <w:t>.</w:t>
      </w:r>
    </w:p>
    <w:p w14:paraId="727104F9" w14:textId="19E72260" w:rsidR="00C2736A" w:rsidRPr="00C2736A" w:rsidRDefault="00C2736A">
      <w:pPr>
        <w:pStyle w:val="Heading3"/>
        <w:ind w:left="964" w:hanging="964"/>
      </w:pPr>
      <w:r>
        <w:t>Criterion 4 e</w:t>
      </w:r>
      <w:r w:rsidR="00BE530B" w:rsidRPr="00BE530B">
        <w:t>vidence</w:t>
      </w:r>
    </w:p>
    <w:p w14:paraId="14951035" w14:textId="77777777" w:rsidR="0091342C" w:rsidRDefault="00BE530B" w:rsidP="007C16D6">
      <w:pPr>
        <w:rPr>
          <w:rStyle w:val="Strong"/>
        </w:rPr>
      </w:pPr>
      <w:r w:rsidRPr="007C16D6">
        <w:rPr>
          <w:rStyle w:val="Strong"/>
        </w:rPr>
        <w:t>Not eligible</w:t>
      </w:r>
    </w:p>
    <w:p w14:paraId="61104179" w14:textId="32DC35C1" w:rsidR="007C16D6" w:rsidRPr="00DC6110" w:rsidRDefault="00DC6110" w:rsidP="0091342C">
      <w:pPr>
        <w:rPr>
          <w:rStyle w:val="Strong"/>
          <w:b w:val="0"/>
          <w:bCs w:val="0"/>
        </w:rPr>
      </w:pPr>
      <w:r>
        <w:rPr>
          <w:rStyle w:val="Strong"/>
          <w:b w:val="0"/>
          <w:bCs w:val="0"/>
        </w:rPr>
        <w:t>There is limited</w:t>
      </w:r>
      <w:r w:rsidRPr="00DC6110">
        <w:rPr>
          <w:rStyle w:val="Strong"/>
          <w:b w:val="0"/>
          <w:bCs w:val="0"/>
        </w:rPr>
        <w:t xml:space="preserve"> quantitative data available on the Blue‐winged Parrot population size, </w:t>
      </w:r>
      <w:r>
        <w:rPr>
          <w:rStyle w:val="Strong"/>
          <w:b w:val="0"/>
          <w:bCs w:val="0"/>
        </w:rPr>
        <w:t xml:space="preserve">however </w:t>
      </w:r>
      <w:r w:rsidRPr="00DC6110">
        <w:rPr>
          <w:rStyle w:val="Strong"/>
          <w:b w:val="0"/>
          <w:bCs w:val="0"/>
        </w:rPr>
        <w:t>experts estimated there are about 10,000 (range 7,500–15,000, low reliability) mature individuals</w:t>
      </w:r>
      <w:r>
        <w:rPr>
          <w:rStyle w:val="Strong"/>
          <w:b w:val="0"/>
          <w:bCs w:val="0"/>
        </w:rPr>
        <w:t xml:space="preserve"> in the wild </w:t>
      </w:r>
      <w:r w:rsidRPr="00DC6110">
        <w:rPr>
          <w:rStyle w:val="Strong"/>
          <w:b w:val="0"/>
          <w:bCs w:val="0"/>
        </w:rPr>
        <w:t xml:space="preserve">(M Holdsworth, B Green, P Menkhorst, J Starks unpublished cited in Holdsworth et al. 2021). </w:t>
      </w:r>
    </w:p>
    <w:p w14:paraId="33EED299" w14:textId="07CD30B6" w:rsidR="007C16D6" w:rsidRPr="007C16D6" w:rsidRDefault="007C16D6" w:rsidP="007C16D6">
      <w:pPr>
        <w:rPr>
          <w:rStyle w:val="Strong"/>
          <w:b w:val="0"/>
          <w:bCs w:val="0"/>
        </w:rPr>
      </w:pPr>
      <w:r w:rsidRPr="007C16D6">
        <w:rPr>
          <w:rStyle w:val="Strong"/>
          <w:b w:val="0"/>
          <w:bCs w:val="0"/>
        </w:rPr>
        <w:t xml:space="preserve">The data presented above appear to demonstrate that the </w:t>
      </w:r>
      <w:r w:rsidR="00ED6CB0">
        <w:rPr>
          <w:rStyle w:val="Strong"/>
          <w:b w:val="0"/>
          <w:bCs w:val="0"/>
        </w:rPr>
        <w:t>species</w:t>
      </w:r>
      <w:r w:rsidRPr="007C16D6">
        <w:rPr>
          <w:rStyle w:val="Strong"/>
          <w:b w:val="0"/>
          <w:bCs w:val="0"/>
        </w:rPr>
        <w:t xml:space="preserve"> is not eligible for listing under this criterion. However, the purpose of this consultation document is to elicit additional information to better understand the </w:t>
      </w:r>
      <w:r w:rsidR="00ED6CB0">
        <w:rPr>
          <w:rStyle w:val="Strong"/>
          <w:b w:val="0"/>
          <w:bCs w:val="0"/>
        </w:rPr>
        <w:t>species</w:t>
      </w:r>
      <w:r w:rsidRPr="007C16D6">
        <w:rPr>
          <w:rStyle w:val="Strong"/>
          <w:b w:val="0"/>
          <w:bCs w:val="0"/>
        </w:rPr>
        <w:t xml:space="preserve">’ status. This conclusion should therefore </w:t>
      </w:r>
      <w:proofErr w:type="gramStart"/>
      <w:r w:rsidRPr="007C16D6">
        <w:rPr>
          <w:rStyle w:val="Strong"/>
          <w:b w:val="0"/>
          <w:bCs w:val="0"/>
        </w:rPr>
        <w:t>be considered to be</w:t>
      </w:r>
      <w:proofErr w:type="gramEnd"/>
      <w:r w:rsidRPr="007C16D6">
        <w:rPr>
          <w:rStyle w:val="Strong"/>
          <w:b w:val="0"/>
          <w:bCs w:val="0"/>
        </w:rPr>
        <w:t xml:space="preserve"> tentative at this stage, as it may be changed as a result of responses to this consultation process.</w:t>
      </w:r>
    </w:p>
    <w:p w14:paraId="6CB5188C" w14:textId="1923D105"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04D1B3AF"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7E89BAD7" w14:textId="0E16688A" w:rsidR="00AD2722" w:rsidRPr="00556843" w:rsidRDefault="00AD2722" w:rsidP="000E630E">
            <w:pPr>
              <w:keepNext/>
              <w:tabs>
                <w:tab w:val="left" w:pos="284"/>
              </w:tabs>
              <w:rPr>
                <w:rFonts w:ascii="Arial" w:hAnsi="Arial" w:cs="Arial"/>
                <w:b/>
                <w:color w:val="FFFFFF" w:themeColor="background1"/>
              </w:rPr>
            </w:pPr>
          </w:p>
        </w:tc>
      </w:tr>
      <w:tr w:rsidR="00AD2722" w:rsidRPr="00556843" w14:paraId="700FB662" w14:textId="77777777" w:rsidTr="001C7420">
        <w:trPr>
          <w:trHeight w:val="439"/>
        </w:trPr>
        <w:tc>
          <w:tcPr>
            <w:tcW w:w="4042" w:type="dxa"/>
            <w:tcBorders>
              <w:top w:val="nil"/>
              <w:left w:val="single" w:sz="4" w:space="0" w:color="auto"/>
              <w:bottom w:val="nil"/>
              <w:right w:val="nil"/>
            </w:tcBorders>
          </w:tcPr>
          <w:p w14:paraId="7BE6F180" w14:textId="0F1AD6B3"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65CBACCA" w14:textId="77777777" w:rsidR="00AD2722" w:rsidRPr="009E3E71" w:rsidRDefault="00AD2722" w:rsidP="000E630E">
            <w:pPr>
              <w:pStyle w:val="TableText"/>
              <w:keepNext/>
              <w:rPr>
                <w:rStyle w:val="Strong"/>
              </w:rPr>
            </w:pPr>
            <w:r w:rsidRPr="009E3E71">
              <w:rPr>
                <w:rStyle w:val="Strong"/>
              </w:rPr>
              <w:t>Critically Endangered</w:t>
            </w:r>
          </w:p>
          <w:p w14:paraId="51B0B3CC"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2EE80F7" w14:textId="77777777" w:rsidR="00AD2722" w:rsidRPr="009E3E71" w:rsidRDefault="00AD2722" w:rsidP="000E630E">
            <w:pPr>
              <w:pStyle w:val="TableText"/>
              <w:keepNext/>
              <w:rPr>
                <w:rStyle w:val="Strong"/>
              </w:rPr>
            </w:pPr>
            <w:r w:rsidRPr="009E3E71">
              <w:rPr>
                <w:rStyle w:val="Strong"/>
              </w:rPr>
              <w:t>Endangered</w:t>
            </w:r>
          </w:p>
          <w:p w14:paraId="12D62DC5"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3DA68E39" w14:textId="77777777" w:rsidR="00AD2722" w:rsidRPr="009E3E71" w:rsidRDefault="00AD2722" w:rsidP="000E630E">
            <w:pPr>
              <w:pStyle w:val="TableText"/>
              <w:keepNext/>
              <w:rPr>
                <w:rStyle w:val="Strong"/>
              </w:rPr>
            </w:pPr>
            <w:r w:rsidRPr="009E3E71">
              <w:rPr>
                <w:rStyle w:val="Strong"/>
              </w:rPr>
              <w:t>Vulnerable</w:t>
            </w:r>
          </w:p>
          <w:p w14:paraId="39AAFF44"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3DF44964"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25D4AFE9"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B6D3D1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8CE2F3E"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8F72FDE"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45FADB1F" w14:textId="52FB2098" w:rsidR="00AD2722" w:rsidRPr="00AD2722" w:rsidRDefault="00C2736A" w:rsidP="00A41058">
      <w:pPr>
        <w:pStyle w:val="Heading3"/>
        <w:spacing w:before="240"/>
        <w:ind w:left="964" w:hanging="964"/>
      </w:pPr>
      <w:r>
        <w:t>Criterion 5 e</w:t>
      </w:r>
      <w:r w:rsidR="00AD2722" w:rsidRPr="00AD2722">
        <w:t>vidence</w:t>
      </w:r>
    </w:p>
    <w:p w14:paraId="3D43D963" w14:textId="77777777" w:rsidR="007C16D6" w:rsidRPr="00E37B1D" w:rsidRDefault="007C16D6" w:rsidP="007C16D6">
      <w:pPr>
        <w:rPr>
          <w:rStyle w:val="Strong"/>
        </w:rPr>
      </w:pPr>
      <w:r w:rsidRPr="00E37B1D">
        <w:rPr>
          <w:rStyle w:val="Strong"/>
        </w:rPr>
        <w:t xml:space="preserve">Insufficient data to determine eligibility </w:t>
      </w:r>
    </w:p>
    <w:p w14:paraId="2B9AC840" w14:textId="2D0037A7" w:rsidR="007C16D6" w:rsidRPr="007C16D6" w:rsidRDefault="007C16D6" w:rsidP="007C16D6">
      <w:pPr>
        <w:rPr>
          <w:bCs/>
        </w:rPr>
      </w:pPr>
      <w:bookmarkStart w:id="21" w:name="_Hlk68598154"/>
      <w:r w:rsidRPr="00E37B1D">
        <w:rPr>
          <w:bCs/>
        </w:rPr>
        <w:lastRenderedPageBreak/>
        <w:t xml:space="preserve">Population viability analysis appears not to have been undertaken, and therefore there is insufficient data to demonstrate if the species is eligible for listing under this criterion. </w:t>
      </w:r>
      <w:bookmarkStart w:id="22" w:name="_Hlk65766140"/>
      <w:r w:rsidRPr="00E37B1D">
        <w:rPr>
          <w:bCs/>
        </w:rPr>
        <w:t xml:space="preserve">However, the purpose of this consultation document is to elicit additional information to better understand the species’ status. This conclusion should therefore </w:t>
      </w:r>
      <w:proofErr w:type="gramStart"/>
      <w:r w:rsidRPr="00E37B1D">
        <w:rPr>
          <w:bCs/>
        </w:rPr>
        <w:t>be considered to be</w:t>
      </w:r>
      <w:proofErr w:type="gramEnd"/>
      <w:r w:rsidRPr="00E37B1D">
        <w:rPr>
          <w:bCs/>
        </w:rPr>
        <w:t xml:space="preserve"> tentative at this stage, as it may be changed as a result of responses to this consultation process.</w:t>
      </w:r>
      <w:bookmarkEnd w:id="22"/>
    </w:p>
    <w:bookmarkEnd w:id="21"/>
    <w:p w14:paraId="5C6C43B0" w14:textId="77777777" w:rsidR="00AD2722" w:rsidRPr="00AD2722" w:rsidRDefault="00AD2722" w:rsidP="00F20180">
      <w:pPr>
        <w:pStyle w:val="Heading3"/>
        <w:ind w:left="964" w:hanging="964"/>
      </w:pPr>
      <w:r w:rsidRPr="00AD2722">
        <w:t>Adequacy of survey</w:t>
      </w:r>
    </w:p>
    <w:p w14:paraId="2DC28EC9" w14:textId="65AE4A90" w:rsidR="00FD30EF" w:rsidRDefault="00AD2722" w:rsidP="00ED5A19">
      <w:pPr>
        <w:rPr>
          <w:bCs/>
        </w:rPr>
      </w:pPr>
      <w:r w:rsidRPr="007C16D6">
        <w:rPr>
          <w:bCs/>
        </w:rPr>
        <w:t>The survey effort has been considered adequate and there is sufficient scientific evidence to support the assessment.</w:t>
      </w:r>
    </w:p>
    <w:p w14:paraId="45324C08" w14:textId="77777777" w:rsidR="007C16D6" w:rsidRDefault="007C16D6" w:rsidP="00F20180">
      <w:pPr>
        <w:rPr>
          <w:bCs/>
        </w:rPr>
      </w:pPr>
    </w:p>
    <w:p w14:paraId="0A781666" w14:textId="77777777" w:rsidR="007C16D6" w:rsidRDefault="007C16D6">
      <w:pPr>
        <w:spacing w:after="0" w:line="240" w:lineRule="auto"/>
        <w:rPr>
          <w:bCs/>
        </w:rPr>
      </w:pPr>
      <w:r>
        <w:rPr>
          <w:bCs/>
        </w:rPr>
        <w:br w:type="page"/>
      </w:r>
    </w:p>
    <w:p w14:paraId="591DB3C2" w14:textId="5B35CFD9" w:rsidR="007C16D6" w:rsidRPr="00341C73" w:rsidRDefault="007C16D6" w:rsidP="007C16D6">
      <w:pPr>
        <w:pStyle w:val="TSSC"/>
        <w:numPr>
          <w:ilvl w:val="0"/>
          <w:numId w:val="0"/>
        </w:numPr>
        <w:tabs>
          <w:tab w:val="clear" w:pos="567"/>
          <w:tab w:val="left" w:pos="720"/>
        </w:tabs>
        <w:ind w:left="1560" w:hanging="1560"/>
        <w:rPr>
          <w:rFonts w:ascii="Arial" w:hAnsi="Arial" w:cs="Arial"/>
          <w:b/>
          <w:szCs w:val="24"/>
          <w:u w:val="single"/>
        </w:rPr>
      </w:pPr>
      <w:bookmarkStart w:id="23" w:name="_Hlk68598181"/>
      <w:r w:rsidRPr="00341C73">
        <w:rPr>
          <w:rFonts w:ascii="Arial" w:hAnsi="Arial" w:cs="Arial"/>
          <w:b/>
          <w:szCs w:val="24"/>
          <w:u w:val="single"/>
        </w:rPr>
        <w:lastRenderedPageBreak/>
        <w:t xml:space="preserve">CONSULTATION QUESTIONS FOR </w:t>
      </w:r>
      <w:proofErr w:type="spellStart"/>
      <w:r w:rsidRPr="007C16D6">
        <w:rPr>
          <w:rFonts w:ascii="Arial" w:hAnsi="Arial" w:cs="Arial"/>
          <w:b/>
          <w:i/>
          <w:iCs/>
          <w:szCs w:val="24"/>
          <w:u w:val="single"/>
        </w:rPr>
        <w:t>Neophema</w:t>
      </w:r>
      <w:proofErr w:type="spellEnd"/>
      <w:r w:rsidRPr="007C16D6">
        <w:rPr>
          <w:rFonts w:ascii="Arial" w:hAnsi="Arial" w:cs="Arial"/>
          <w:b/>
          <w:i/>
          <w:iCs/>
          <w:szCs w:val="24"/>
          <w:u w:val="single"/>
        </w:rPr>
        <w:t xml:space="preserve"> </w:t>
      </w:r>
      <w:proofErr w:type="spellStart"/>
      <w:r w:rsidRPr="007C16D6">
        <w:rPr>
          <w:rFonts w:ascii="Arial" w:hAnsi="Arial" w:cs="Arial"/>
          <w:b/>
          <w:i/>
          <w:iCs/>
          <w:szCs w:val="24"/>
          <w:u w:val="single"/>
        </w:rPr>
        <w:t>chrysostoma</w:t>
      </w:r>
      <w:proofErr w:type="spellEnd"/>
      <w:r w:rsidRPr="007C16D6">
        <w:rPr>
          <w:rFonts w:ascii="Arial" w:hAnsi="Arial" w:cs="Arial"/>
          <w:b/>
          <w:szCs w:val="24"/>
          <w:u w:val="single"/>
        </w:rPr>
        <w:t xml:space="preserve"> (Blue-winged Parrot) </w:t>
      </w:r>
    </w:p>
    <w:p w14:paraId="63860E4A" w14:textId="77777777" w:rsidR="007C16D6" w:rsidRPr="00341C73" w:rsidRDefault="007C16D6" w:rsidP="007C16D6">
      <w:pPr>
        <w:tabs>
          <w:tab w:val="left" w:pos="720"/>
        </w:tabs>
        <w:spacing w:after="240" w:line="240" w:lineRule="auto"/>
        <w:ind w:left="1560" w:hanging="1560"/>
        <w:rPr>
          <w:rFonts w:ascii="Arial" w:eastAsia="Times New Roman" w:hAnsi="Arial" w:cs="Arial"/>
          <w:u w:val="single"/>
        </w:rPr>
      </w:pPr>
      <w:r w:rsidRPr="00341C73">
        <w:rPr>
          <w:rFonts w:ascii="Arial" w:eastAsia="Times New Roman" w:hAnsi="Arial" w:cs="Arial"/>
          <w:b/>
          <w:u w:val="single"/>
        </w:rPr>
        <w:t>SECTION A - GENERAL</w:t>
      </w:r>
    </w:p>
    <w:p w14:paraId="28DF0D8B"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information used to assess the nationally threatened status of the species/subspecies robust? Have all the underlying assumptions been made explicit? Please provide justification for your response.</w:t>
      </w:r>
    </w:p>
    <w:p w14:paraId="10174D1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68F60D2D"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data or information relevant to this assessment?</w:t>
      </w:r>
    </w:p>
    <w:p w14:paraId="426467AA"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20E9C950"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Have you been involved in previous state, </w:t>
      </w:r>
      <w:proofErr w:type="gramStart"/>
      <w:r w:rsidRPr="00341C73">
        <w:rPr>
          <w:rFonts w:ascii="Arial" w:eastAsia="Times New Roman" w:hAnsi="Arial" w:cs="Arial"/>
        </w:rPr>
        <w:t>territory</w:t>
      </w:r>
      <w:proofErr w:type="gramEnd"/>
      <w:r w:rsidRPr="00341C73">
        <w:rPr>
          <w:rFonts w:ascii="Arial" w:eastAsia="Times New Roman" w:hAnsi="Arial" w:cs="Arial"/>
        </w:rPr>
        <w:t xml:space="preserve"> or national assessments of this species/subspecies? If so, in what capacity?</w:t>
      </w:r>
    </w:p>
    <w:p w14:paraId="43DCD2C3"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098E4E5F"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33614996"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1 – INFORMATION TO ASSIST LISTING ASSESSMENT</w:t>
      </w:r>
    </w:p>
    <w:p w14:paraId="3650C660"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p>
    <w:p w14:paraId="53D72445"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7F974B45"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B</w:t>
      </w:r>
      <w:r w:rsidRPr="00341C73">
        <w:rPr>
          <w:rFonts w:ascii="Arial" w:eastAsia="Times New Roman" w:hAnsi="Arial" w:cs="Arial"/>
          <w:b/>
        </w:rPr>
        <w:tab/>
        <w:t>DO YOU HAVE ADDITIONAL INFORMATION ON THE ECOLOGY OR BIOLOGY OF THE SPECIES/SUBSPECIES? (If no, skip to section C)</w:t>
      </w:r>
    </w:p>
    <w:p w14:paraId="6A2F9EF5"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p>
    <w:p w14:paraId="3FF217D0" w14:textId="77777777" w:rsidR="007C16D6" w:rsidRPr="00341C73" w:rsidRDefault="007C16D6" w:rsidP="007C16D6">
      <w:pPr>
        <w:autoSpaceDE w:val="0"/>
        <w:autoSpaceDN w:val="0"/>
        <w:adjustRightInd w:val="0"/>
        <w:spacing w:after="0" w:line="240" w:lineRule="auto"/>
        <w:rPr>
          <w:rFonts w:ascii="Arial" w:eastAsia="Times New Roman" w:hAnsi="Arial" w:cs="Arial"/>
          <w:b/>
          <w:bCs/>
        </w:rPr>
      </w:pPr>
      <w:r w:rsidRPr="00341C73">
        <w:rPr>
          <w:rFonts w:ascii="Arial" w:eastAsia="Times New Roman" w:hAnsi="Arial" w:cs="Arial"/>
          <w:b/>
          <w:bCs/>
        </w:rPr>
        <w:t>Biological information</w:t>
      </w:r>
    </w:p>
    <w:p w14:paraId="4588553D" w14:textId="77777777" w:rsidR="007C16D6" w:rsidRPr="00341C73" w:rsidRDefault="007C16D6" w:rsidP="007C16D6">
      <w:pPr>
        <w:autoSpaceDE w:val="0"/>
        <w:autoSpaceDN w:val="0"/>
        <w:adjustRightInd w:val="0"/>
        <w:spacing w:after="0" w:line="240" w:lineRule="auto"/>
        <w:rPr>
          <w:rFonts w:ascii="Arial" w:eastAsia="Times New Roman" w:hAnsi="Arial" w:cs="Arial"/>
          <w:b/>
          <w:bCs/>
        </w:rPr>
      </w:pPr>
    </w:p>
    <w:p w14:paraId="1A3AD45D"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any additional or alternative references, information or estimates on longevity, average life span and generation length?</w:t>
      </w:r>
    </w:p>
    <w:p w14:paraId="5DF1A709"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1AA1E767"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have any additional information on the ecology or biology of the species/subspecies not in the current advice?</w:t>
      </w:r>
    </w:p>
    <w:p w14:paraId="503719CF"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6CE5E74C"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C</w:t>
      </w:r>
      <w:r w:rsidRPr="00341C73">
        <w:rPr>
          <w:rFonts w:ascii="Arial" w:eastAsia="Times New Roman" w:hAnsi="Arial" w:cs="Arial"/>
        </w:rPr>
        <w:tab/>
      </w:r>
      <w:r w:rsidRPr="00341C73">
        <w:rPr>
          <w:rFonts w:ascii="Arial" w:eastAsia="Times New Roman" w:hAnsi="Arial" w:cs="Arial"/>
          <w:b/>
        </w:rPr>
        <w:t>ARE YOU AWARE OF THE STATUS OF THE TOTAL NATIONAL POPULATION OF THE SPECIES/SUBSPECIES? (If no, skip to section D)</w:t>
      </w:r>
    </w:p>
    <w:p w14:paraId="4AE74B4A"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26403951"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Population size</w:t>
      </w:r>
    </w:p>
    <w:p w14:paraId="08E38D54"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p>
    <w:p w14:paraId="1CB18C23"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taxon been adequate to determine its national adult population size? If not, please provide justification for your response.</w:t>
      </w:r>
    </w:p>
    <w:p w14:paraId="6259CC2A"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29FA62F7"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05B3734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505B1515"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If not, can you provide a further estimate of the current population size of mature adults of the species/subspecies (national extent)? Please provide supporting justification or other information.</w:t>
      </w:r>
    </w:p>
    <w:p w14:paraId="5144A4B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5170C5E5"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6E64B6DC"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p>
    <w:p w14:paraId="28C7F981"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5883D22A" w14:textId="7F58426E" w:rsidR="009A042E" w:rsidRPr="00341C73" w:rsidRDefault="009A042E" w:rsidP="009A042E">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t>□</w:t>
      </w:r>
      <w:r w:rsidR="009B0E1F">
        <w:rPr>
          <w:rFonts w:ascii="Arial" w:eastAsia="Times New Roman" w:hAnsi="Arial" w:cs="Arial"/>
        </w:rPr>
        <w:t>&lt;5</w:t>
      </w:r>
      <w:r>
        <w:rPr>
          <w:rFonts w:ascii="Arial" w:eastAsia="Times New Roman" w:hAnsi="Arial" w:cs="Arial"/>
        </w:rPr>
        <w:t>,000</w:t>
      </w:r>
      <w:r w:rsidRPr="00341C73">
        <w:rPr>
          <w:rFonts w:ascii="Arial" w:eastAsia="Times New Roman" w:hAnsi="Arial" w:cs="Arial"/>
        </w:rPr>
        <w:t xml:space="preserve"> </w:t>
      </w:r>
      <w:r w:rsidRPr="00341C73">
        <w:rPr>
          <w:rFonts w:ascii="Arial" w:eastAsia="Times New Roman" w:hAnsi="Arial" w:cs="Arial"/>
          <w:sz w:val="44"/>
          <w:szCs w:val="44"/>
        </w:rPr>
        <w:t>□</w:t>
      </w:r>
      <w:r w:rsidR="009B0E1F">
        <w:rPr>
          <w:rFonts w:ascii="Arial" w:eastAsia="Times New Roman" w:hAnsi="Arial" w:cs="Arial"/>
        </w:rPr>
        <w:t>5</w:t>
      </w:r>
      <w:r>
        <w:rPr>
          <w:rFonts w:ascii="Arial" w:eastAsia="Times New Roman" w:hAnsi="Arial" w:cs="Arial"/>
        </w:rPr>
        <w:t>,001</w:t>
      </w:r>
      <w:r w:rsidRPr="00341C73">
        <w:rPr>
          <w:rFonts w:ascii="Arial" w:eastAsia="Times New Roman" w:hAnsi="Arial" w:cs="Arial"/>
        </w:rPr>
        <w:t>–</w:t>
      </w:r>
      <w:r w:rsidR="009B0E1F">
        <w:rPr>
          <w:rFonts w:ascii="Arial" w:eastAsia="Times New Roman" w:hAnsi="Arial" w:cs="Arial"/>
        </w:rPr>
        <w:t>10</w:t>
      </w:r>
      <w:r>
        <w:rPr>
          <w:rFonts w:ascii="Arial" w:eastAsia="Times New Roman" w:hAnsi="Arial" w:cs="Arial"/>
        </w:rPr>
        <w:t>,</w:t>
      </w:r>
      <w:r w:rsidR="009B0E1F">
        <w:rPr>
          <w:rFonts w:ascii="Arial" w:eastAsia="Times New Roman" w:hAnsi="Arial" w:cs="Arial"/>
        </w:rPr>
        <w:t>000</w:t>
      </w:r>
      <w:r w:rsidRPr="00341C73">
        <w:rPr>
          <w:rFonts w:ascii="Arial" w:eastAsia="Times New Roman" w:hAnsi="Arial" w:cs="Arial"/>
        </w:rPr>
        <w:t xml:space="preserve"> </w:t>
      </w:r>
      <w:r w:rsidRPr="00341C73">
        <w:rPr>
          <w:rFonts w:ascii="Arial" w:eastAsia="Times New Roman" w:hAnsi="Arial" w:cs="Arial"/>
          <w:sz w:val="44"/>
          <w:szCs w:val="44"/>
        </w:rPr>
        <w:t>□</w:t>
      </w:r>
      <w:r w:rsidR="009B0E1F">
        <w:rPr>
          <w:rFonts w:ascii="Arial" w:eastAsia="Times New Roman" w:hAnsi="Arial" w:cs="Arial"/>
        </w:rPr>
        <w:t>10,001</w:t>
      </w:r>
      <w:r w:rsidRPr="00341C73">
        <w:rPr>
          <w:rFonts w:ascii="Arial" w:eastAsia="Times New Roman" w:hAnsi="Arial" w:cs="Arial"/>
        </w:rPr>
        <w:t>–</w:t>
      </w:r>
      <w:r>
        <w:rPr>
          <w:rFonts w:ascii="Arial" w:eastAsia="Times New Roman" w:hAnsi="Arial" w:cs="Arial"/>
        </w:rPr>
        <w:t>1</w:t>
      </w:r>
      <w:r w:rsidR="009B0E1F">
        <w:rPr>
          <w:rFonts w:ascii="Arial" w:eastAsia="Times New Roman" w:hAnsi="Arial" w:cs="Arial"/>
        </w:rPr>
        <w:t>5</w:t>
      </w:r>
      <w:r>
        <w:rPr>
          <w:rFonts w:ascii="Arial" w:eastAsia="Times New Roman" w:hAnsi="Arial" w:cs="Arial"/>
        </w:rPr>
        <w:t>,000</w:t>
      </w:r>
      <w:r w:rsidRPr="00341C73">
        <w:rPr>
          <w:rFonts w:ascii="Arial" w:eastAsia="Times New Roman" w:hAnsi="Arial" w:cs="Arial"/>
          <w:sz w:val="44"/>
          <w:szCs w:val="44"/>
        </w:rPr>
        <w:t xml:space="preserve"> □</w:t>
      </w:r>
      <w:r>
        <w:rPr>
          <w:rFonts w:ascii="Arial" w:eastAsia="Times New Roman" w:hAnsi="Arial" w:cs="Arial"/>
        </w:rPr>
        <w:t>1</w:t>
      </w:r>
      <w:r w:rsidR="009B0E1F">
        <w:rPr>
          <w:rFonts w:ascii="Arial" w:eastAsia="Times New Roman" w:hAnsi="Arial" w:cs="Arial"/>
        </w:rPr>
        <w:t>5</w:t>
      </w:r>
      <w:r>
        <w:rPr>
          <w:rFonts w:ascii="Arial" w:eastAsia="Times New Roman" w:hAnsi="Arial" w:cs="Arial"/>
        </w:rPr>
        <w:t>,000</w:t>
      </w:r>
      <w:r w:rsidR="009B0E1F">
        <w:rPr>
          <w:rFonts w:ascii="Arial" w:eastAsia="Times New Roman" w:hAnsi="Arial" w:cs="Arial"/>
        </w:rPr>
        <w:t>-20,000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sidR="009B0E1F">
        <w:rPr>
          <w:rFonts w:ascii="Arial" w:eastAsia="Times New Roman" w:hAnsi="Arial" w:cs="Arial"/>
        </w:rPr>
        <w:t>20</w:t>
      </w:r>
      <w:r>
        <w:rPr>
          <w:rFonts w:ascii="Arial" w:eastAsia="Times New Roman" w:hAnsi="Arial" w:cs="Arial"/>
        </w:rPr>
        <w:t>,</w:t>
      </w:r>
      <w:r w:rsidRPr="00341C73">
        <w:rPr>
          <w:rFonts w:ascii="Arial" w:eastAsia="Times New Roman" w:hAnsi="Arial" w:cs="Arial"/>
        </w:rPr>
        <w:t xml:space="preserve">000 </w:t>
      </w:r>
    </w:p>
    <w:p w14:paraId="281469A3"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322566A9"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5FE03011"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36A0F1B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5766B946"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1ADE9590"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95–100% - high level of certainty, information indicates quantity within this range</w:t>
      </w:r>
    </w:p>
    <w:p w14:paraId="681C74B3"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are accurate within this range</w:t>
      </w:r>
    </w:p>
    <w:p w14:paraId="26B5EA7E"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2BF1BA18"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D</w:t>
      </w:r>
      <w:r w:rsidRPr="00341C73">
        <w:rPr>
          <w:rFonts w:ascii="Arial" w:eastAsia="Times New Roman" w:hAnsi="Arial" w:cs="Arial"/>
        </w:rPr>
        <w:tab/>
      </w:r>
      <w:r w:rsidRPr="00341C73">
        <w:rPr>
          <w:rFonts w:ascii="Arial" w:eastAsia="Times New Roman" w:hAnsi="Arial" w:cs="Arial"/>
          <w:b/>
        </w:rPr>
        <w:t>ARE YOU AWARE OF TRENDS IN THE OVERALL POPULATION OF THE SPECIES/SUBSPECIES? (If no, skip to section E)</w:t>
      </w:r>
    </w:p>
    <w:p w14:paraId="737CE7C8"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p>
    <w:p w14:paraId="19D4E549"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current and predicted rate of decline used in the assessment seem reasonable? Do you consider that the way this estimate has been derived is appropriate? If not, please provide justification of your response.</w:t>
      </w:r>
    </w:p>
    <w:p w14:paraId="176CDE4A"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46987C46" w14:textId="77777777" w:rsidR="007C16D6" w:rsidRPr="00341C73" w:rsidRDefault="007C16D6" w:rsidP="007C16D6">
      <w:pPr>
        <w:autoSpaceDE w:val="0"/>
        <w:autoSpaceDN w:val="0"/>
        <w:adjustRightInd w:val="0"/>
        <w:spacing w:after="0" w:line="240" w:lineRule="auto"/>
        <w:rPr>
          <w:rFonts w:ascii="Arial" w:eastAsia="Times New Roman" w:hAnsi="Arial" w:cs="Arial"/>
        </w:rPr>
      </w:pPr>
      <w:r w:rsidRPr="00341C73">
        <w:rPr>
          <w:rFonts w:ascii="Arial,Bold" w:eastAsia="Times New Roman" w:hAnsi="Arial,Bold" w:cs="Arial,Bold"/>
          <w:b/>
          <w:bCs/>
        </w:rPr>
        <w:t>Evidence of total population size change</w:t>
      </w:r>
    </w:p>
    <w:p w14:paraId="62E45687"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p>
    <w:p w14:paraId="6CD875B9" w14:textId="77777777" w:rsidR="007C16D6" w:rsidRPr="00341C73" w:rsidRDefault="007C16D6" w:rsidP="007C16D6">
      <w:pPr>
        <w:numPr>
          <w:ilvl w:val="0"/>
          <w:numId w:val="48"/>
        </w:numPr>
        <w:autoSpaceDE w:val="0"/>
        <w:autoSpaceDN w:val="0"/>
        <w:adjustRightInd w:val="0"/>
        <w:spacing w:after="0" w:line="240" w:lineRule="auto"/>
        <w:contextualSpacing/>
        <w:rPr>
          <w:rFonts w:ascii="Arial,Italic" w:eastAsia="Times New Roman" w:hAnsi="Arial,Italic" w:cs="Arial,Italic"/>
          <w:i/>
          <w:iCs/>
        </w:rPr>
      </w:pPr>
      <w:r w:rsidRPr="00341C73">
        <w:rPr>
          <w:rFonts w:ascii="Arial" w:eastAsia="Times New Roman" w:hAnsi="Arial" w:cs="Arial"/>
        </w:rPr>
        <w:t xml:space="preserve">Are you able to provide an estimate of the total population size during the </w:t>
      </w:r>
      <w:r>
        <w:rPr>
          <w:rFonts w:ascii="Arial" w:eastAsia="Times New Roman" w:hAnsi="Arial" w:cs="Arial"/>
        </w:rPr>
        <w:t>late</w:t>
      </w:r>
      <w:r w:rsidRPr="00341C73">
        <w:rPr>
          <w:rFonts w:ascii="Arial" w:eastAsia="Times New Roman" w:hAnsi="Arial" w:cs="Arial"/>
        </w:rPr>
        <w:t xml:space="preserve"> </w:t>
      </w:r>
      <w:r>
        <w:rPr>
          <w:rFonts w:ascii="Arial" w:eastAsia="Times New Roman" w:hAnsi="Arial" w:cs="Arial"/>
        </w:rPr>
        <w:t>2000</w:t>
      </w:r>
      <w:r w:rsidRPr="00341C73">
        <w:rPr>
          <w:rFonts w:ascii="Arial" w:eastAsia="Times New Roman" w:hAnsi="Arial" w:cs="Arial"/>
        </w:rPr>
        <w:t xml:space="preserve">s </w:t>
      </w:r>
      <w:r w:rsidRPr="00341C73">
        <w:rPr>
          <w:rFonts w:ascii="Arial,Italic" w:eastAsia="Times New Roman" w:hAnsi="Arial,Italic" w:cs="Arial,Italic"/>
          <w:i/>
          <w:iCs/>
        </w:rPr>
        <w:t>(at or soon after the start of the most recent three generation period)</w:t>
      </w:r>
      <w:r w:rsidRPr="00341C73">
        <w:rPr>
          <w:rFonts w:ascii="Arial" w:eastAsia="Times New Roman" w:hAnsi="Arial" w:cs="Arial"/>
        </w:rPr>
        <w:t>? Please provide justification for your response.</w:t>
      </w:r>
    </w:p>
    <w:p w14:paraId="47291DA3" w14:textId="77777777" w:rsidR="007C16D6" w:rsidRPr="00341C73" w:rsidRDefault="007C16D6" w:rsidP="007C16D6">
      <w:pPr>
        <w:autoSpaceDE w:val="0"/>
        <w:autoSpaceDN w:val="0"/>
        <w:adjustRightInd w:val="0"/>
        <w:spacing w:after="0" w:line="240" w:lineRule="auto"/>
        <w:ind w:left="360"/>
        <w:rPr>
          <w:rFonts w:ascii="Arial,Italic" w:eastAsia="Times New Roman" w:hAnsi="Arial,Italic" w:cs="Arial,Italic"/>
          <w:i/>
          <w:iCs/>
        </w:rPr>
      </w:pPr>
    </w:p>
    <w:p w14:paraId="0F62D18E"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w:t>
      </w:r>
    </w:p>
    <w:p w14:paraId="5D0DF82B"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7BF683A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Number of mature individuals is estimated to be in the range of:</w:t>
      </w:r>
    </w:p>
    <w:p w14:paraId="51FB3523" w14:textId="77777777" w:rsidR="008A037D" w:rsidRPr="00341C73" w:rsidRDefault="008A037D" w:rsidP="008A037D">
      <w:pPr>
        <w:autoSpaceDE w:val="0"/>
        <w:autoSpaceDN w:val="0"/>
        <w:adjustRightInd w:val="0"/>
        <w:spacing w:after="0" w:line="240" w:lineRule="auto"/>
        <w:ind w:left="360"/>
        <w:rPr>
          <w:rFonts w:ascii="Arial" w:eastAsia="Times New Roman" w:hAnsi="Arial" w:cs="Arial"/>
          <w:color w:val="FF0000"/>
        </w:rPr>
      </w:pPr>
      <w:r w:rsidRPr="00341C73">
        <w:rPr>
          <w:rFonts w:ascii="Arial" w:eastAsia="Times New Roman" w:hAnsi="Arial" w:cs="Arial"/>
          <w:sz w:val="44"/>
          <w:szCs w:val="44"/>
        </w:rPr>
        <w:t>□</w:t>
      </w:r>
      <w:r>
        <w:rPr>
          <w:rFonts w:ascii="Arial" w:eastAsia="Times New Roman" w:hAnsi="Arial" w:cs="Arial"/>
        </w:rPr>
        <w:t>&lt;5,000</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5,001</w:t>
      </w:r>
      <w:r w:rsidRPr="00341C73">
        <w:rPr>
          <w:rFonts w:ascii="Arial" w:eastAsia="Times New Roman" w:hAnsi="Arial" w:cs="Arial"/>
        </w:rPr>
        <w:t>–</w:t>
      </w:r>
      <w:r>
        <w:rPr>
          <w:rFonts w:ascii="Arial" w:eastAsia="Times New Roman" w:hAnsi="Arial" w:cs="Arial"/>
        </w:rPr>
        <w:t>10,000</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10,001</w:t>
      </w:r>
      <w:r w:rsidRPr="00341C73">
        <w:rPr>
          <w:rFonts w:ascii="Arial" w:eastAsia="Times New Roman" w:hAnsi="Arial" w:cs="Arial"/>
        </w:rPr>
        <w:t>–</w:t>
      </w:r>
      <w:r>
        <w:rPr>
          <w:rFonts w:ascii="Arial" w:eastAsia="Times New Roman" w:hAnsi="Arial" w:cs="Arial"/>
        </w:rPr>
        <w:t>15,000</w:t>
      </w:r>
      <w:r w:rsidRPr="00341C73">
        <w:rPr>
          <w:rFonts w:ascii="Arial" w:eastAsia="Times New Roman" w:hAnsi="Arial" w:cs="Arial"/>
          <w:sz w:val="44"/>
          <w:szCs w:val="44"/>
        </w:rPr>
        <w:t xml:space="preserve"> □</w:t>
      </w:r>
      <w:r>
        <w:rPr>
          <w:rFonts w:ascii="Arial" w:eastAsia="Times New Roman" w:hAnsi="Arial" w:cs="Arial"/>
        </w:rPr>
        <w:t>15,000-20,000</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w:t>
      </w:r>
      <w:r>
        <w:rPr>
          <w:rFonts w:ascii="Arial" w:eastAsia="Times New Roman" w:hAnsi="Arial" w:cs="Arial"/>
        </w:rPr>
        <w:t>20,</w:t>
      </w:r>
      <w:r w:rsidRPr="00341C73">
        <w:rPr>
          <w:rFonts w:ascii="Arial" w:eastAsia="Times New Roman" w:hAnsi="Arial" w:cs="Arial"/>
        </w:rPr>
        <w:t xml:space="preserve">000 </w:t>
      </w:r>
    </w:p>
    <w:p w14:paraId="4F069F82"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4C221418"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w:t>
      </w:r>
    </w:p>
    <w:p w14:paraId="5269BCB3"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3D791304"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68DB612F"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information suggests this range</w:t>
      </w:r>
    </w:p>
    <w:p w14:paraId="432C3505"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quantity within this range</w:t>
      </w:r>
    </w:p>
    <w:p w14:paraId="11FADEB4"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603E69B8" w14:textId="77777777" w:rsidR="007C16D6" w:rsidRPr="00341C73" w:rsidRDefault="007C16D6" w:rsidP="007C16D6">
      <w:pPr>
        <w:autoSpaceDE w:val="0"/>
        <w:autoSpaceDN w:val="0"/>
        <w:adjustRightInd w:val="0"/>
        <w:spacing w:after="0" w:line="240" w:lineRule="auto"/>
        <w:rPr>
          <w:rFonts w:ascii="Arial,Italic" w:eastAsia="Times New Roman" w:hAnsi="Arial,Italic" w:cs="Arial,Italic"/>
          <w:i/>
          <w:iCs/>
        </w:rPr>
      </w:pPr>
    </w:p>
    <w:p w14:paraId="556A98E0"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you able to comment on the extent of decline in the species/subspecies’ total population size over the last approximately 1</w:t>
      </w:r>
      <w:r>
        <w:rPr>
          <w:rFonts w:ascii="Arial" w:eastAsia="Times New Roman" w:hAnsi="Arial" w:cs="Arial"/>
        </w:rPr>
        <w:t>3</w:t>
      </w:r>
      <w:r w:rsidRPr="00341C73">
        <w:rPr>
          <w:rFonts w:ascii="Arial" w:eastAsia="Times New Roman" w:hAnsi="Arial" w:cs="Arial"/>
        </w:rPr>
        <w:t xml:space="preserve"> years</w:t>
      </w:r>
      <w:r w:rsidRPr="00341C73">
        <w:rPr>
          <w:rFonts w:ascii="Arial" w:eastAsia="Times New Roman" w:hAnsi="Arial" w:cs="Arial"/>
          <w:color w:val="FF0000"/>
        </w:rPr>
        <w:t xml:space="preserve"> </w:t>
      </w:r>
      <w:r w:rsidRPr="00341C73">
        <w:rPr>
          <w:rFonts w:ascii="Arial" w:eastAsia="Times New Roman" w:hAnsi="Arial" w:cs="Arial"/>
        </w:rPr>
        <w:t>(i.e., three generations)? Please provide justification for your response.</w:t>
      </w:r>
    </w:p>
    <w:p w14:paraId="7577ABD4"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0B07D7C9"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46EDDF8F"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2EA64AD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Decline estimated to be in the range of:</w:t>
      </w:r>
    </w:p>
    <w:p w14:paraId="3C92D8E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1–30% </w:t>
      </w:r>
      <w:r w:rsidRPr="00341C73">
        <w:rPr>
          <w:rFonts w:ascii="Arial" w:eastAsia="Times New Roman" w:hAnsi="Arial" w:cs="Arial"/>
          <w:sz w:val="44"/>
          <w:szCs w:val="44"/>
        </w:rPr>
        <w:t>□</w:t>
      </w:r>
      <w:r w:rsidRPr="00341C73">
        <w:rPr>
          <w:rFonts w:ascii="Arial" w:eastAsia="Times New Roman" w:hAnsi="Arial" w:cs="Arial"/>
        </w:rPr>
        <w:t xml:space="preserve">31–50% </w:t>
      </w:r>
      <w:r w:rsidRPr="00341C73">
        <w:rPr>
          <w:rFonts w:ascii="Arial" w:eastAsia="Times New Roman" w:hAnsi="Arial" w:cs="Arial"/>
          <w:sz w:val="44"/>
          <w:szCs w:val="44"/>
        </w:rPr>
        <w:t>□</w:t>
      </w:r>
      <w:r w:rsidRPr="00341C73">
        <w:rPr>
          <w:rFonts w:ascii="Arial" w:eastAsia="Times New Roman" w:hAnsi="Arial" w:cs="Arial"/>
        </w:rPr>
        <w:t xml:space="preserve">51–80% </w:t>
      </w:r>
      <w:r w:rsidRPr="00341C73">
        <w:rPr>
          <w:rFonts w:ascii="Arial" w:eastAsia="Times New Roman" w:hAnsi="Arial" w:cs="Arial"/>
          <w:sz w:val="44"/>
          <w:szCs w:val="44"/>
        </w:rPr>
        <w:t>□</w:t>
      </w:r>
      <w:r w:rsidRPr="00341C73">
        <w:rPr>
          <w:rFonts w:ascii="Arial" w:eastAsia="Times New Roman" w:hAnsi="Arial" w:cs="Arial"/>
        </w:rPr>
        <w:t xml:space="preserve">81–100% </w:t>
      </w:r>
      <w:r w:rsidRPr="00341C73">
        <w:rPr>
          <w:rFonts w:ascii="Arial" w:eastAsia="Times New Roman" w:hAnsi="Arial" w:cs="Arial"/>
          <w:sz w:val="44"/>
          <w:szCs w:val="44"/>
        </w:rPr>
        <w:t>□</w:t>
      </w:r>
      <w:r w:rsidRPr="00341C73">
        <w:rPr>
          <w:rFonts w:ascii="Arial" w:eastAsia="Times New Roman" w:hAnsi="Arial" w:cs="Arial"/>
        </w:rPr>
        <w:t>90–100%</w:t>
      </w:r>
    </w:p>
    <w:p w14:paraId="6898D15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49A4D1BF"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decline:</w:t>
      </w:r>
    </w:p>
    <w:p w14:paraId="530F7AFB"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information to go on</w:t>
      </w:r>
    </w:p>
    <w:p w14:paraId="13EDCCEC"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24DB3621"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suggests this range of decline</w:t>
      </w:r>
    </w:p>
    <w:p w14:paraId="08B852E7"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information indicates a decline within this range</w:t>
      </w:r>
    </w:p>
    <w:p w14:paraId="22512343"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are accurate within this range</w:t>
      </w:r>
    </w:p>
    <w:p w14:paraId="1DC295C9"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4CF90EB2"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Please provide (if known) any additional evidence which shows the population is stable, </w:t>
      </w:r>
      <w:proofErr w:type="gramStart"/>
      <w:r w:rsidRPr="00341C73">
        <w:rPr>
          <w:rFonts w:ascii="Arial" w:eastAsia="Times New Roman" w:hAnsi="Arial" w:cs="Arial"/>
        </w:rPr>
        <w:t>increasing</w:t>
      </w:r>
      <w:proofErr w:type="gramEnd"/>
      <w:r w:rsidRPr="00341C73">
        <w:rPr>
          <w:rFonts w:ascii="Arial" w:eastAsia="Times New Roman" w:hAnsi="Arial" w:cs="Arial"/>
        </w:rPr>
        <w:t xml:space="preserve"> or declining.</w:t>
      </w:r>
    </w:p>
    <w:p w14:paraId="09B591DE"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15A9A4E7"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E</w:t>
      </w:r>
      <w:r w:rsidRPr="00341C73">
        <w:rPr>
          <w:rFonts w:ascii="Arial" w:eastAsia="Times New Roman" w:hAnsi="Arial" w:cs="Arial"/>
          <w:b/>
        </w:rPr>
        <w:tab/>
        <w:t>ARE YOU AWARE OF INFORMATION ON THE TOTAL RANGE OF THE SPECIES/SUBSPECIES? (If no, skip to section F)</w:t>
      </w:r>
    </w:p>
    <w:p w14:paraId="2827EEB0"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p>
    <w:p w14:paraId="1EFC9554"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Current Distribution/range/extent of occurrence, area of occupancy</w:t>
      </w:r>
    </w:p>
    <w:p w14:paraId="5AF9849E"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p>
    <w:p w14:paraId="316177B8"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Does the assessment consider the entire geographic extent and national extent of the species/subspecies? If not, please provide justification for your response.</w:t>
      </w:r>
    </w:p>
    <w:p w14:paraId="033A8AEA"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77EFE7E7"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Has the survey effort for this species/subspecies been adequate to determine its national distribution? If not, please provide justification for your response.</w:t>
      </w:r>
    </w:p>
    <w:p w14:paraId="49A09243"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30180329"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Is the distribution described in the assessment accurate? If not, please provide justification for your response and provide alternate information.</w:t>
      </w:r>
    </w:p>
    <w:p w14:paraId="243E082C"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7ACC5660"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agree that the way the current extent of occurrence and/or area of occupancy have been estimated is appropriate? Please provide justification for your response.</w:t>
      </w:r>
    </w:p>
    <w:p w14:paraId="0C1A8B47"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715DD392"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Can you provide estimates (or if you disagree with the estimates provided, alternative estimates) of the extent of occurrence and/or area of </w:t>
      </w:r>
      <w:proofErr w:type="gramStart"/>
      <w:r w:rsidRPr="00341C73">
        <w:rPr>
          <w:rFonts w:ascii="Arial" w:eastAsia="Times New Roman" w:hAnsi="Arial" w:cs="Arial"/>
        </w:rPr>
        <w:t>occupancy.</w:t>
      </w:r>
      <w:proofErr w:type="gramEnd"/>
    </w:p>
    <w:p w14:paraId="378A6B65"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5446D622"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3C91CB64" w14:textId="77777777" w:rsidR="007C16D6" w:rsidRPr="00341C73" w:rsidRDefault="007C16D6" w:rsidP="007C16D6">
      <w:pPr>
        <w:autoSpaceDE w:val="0"/>
        <w:autoSpaceDN w:val="0"/>
        <w:adjustRightInd w:val="0"/>
        <w:spacing w:after="0" w:line="240" w:lineRule="auto"/>
        <w:rPr>
          <w:rFonts w:ascii="Arial" w:eastAsia="Times New Roman" w:hAnsi="Arial" w:cs="Arial"/>
          <w:sz w:val="20"/>
          <w:szCs w:val="20"/>
        </w:rPr>
      </w:pPr>
    </w:p>
    <w:p w14:paraId="40348A87"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Current extent of occurrence </w:t>
      </w:r>
      <w:r w:rsidRPr="00341C73">
        <w:rPr>
          <w:rFonts w:ascii="Arial" w:eastAsia="Times New Roman" w:hAnsi="Arial" w:cs="Arial"/>
        </w:rPr>
        <w:t>is estimated to be in the range of:</w:t>
      </w:r>
    </w:p>
    <w:p w14:paraId="6E39BC8B" w14:textId="62804BF5" w:rsidR="00713416"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&lt;</w:t>
      </w:r>
      <w:r w:rsidR="009A042E">
        <w:rPr>
          <w:rFonts w:ascii="Arial" w:eastAsia="Times New Roman" w:hAnsi="Arial" w:cs="Arial"/>
        </w:rPr>
        <w:t>100,000</w:t>
      </w:r>
      <w:r w:rsidR="009A042E" w:rsidRPr="00341C73">
        <w:rPr>
          <w:rFonts w:ascii="Arial" w:eastAsia="Times New Roman" w:hAnsi="Arial" w:cs="Arial"/>
        </w:rPr>
        <w:t xml:space="preserve"> </w:t>
      </w:r>
      <w:r w:rsidRPr="00341C73">
        <w:rPr>
          <w:rFonts w:ascii="Arial" w:eastAsia="Times New Roman" w:hAnsi="Arial" w:cs="Arial"/>
        </w:rPr>
        <w:t>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100</w:t>
      </w:r>
      <w:r w:rsidR="009A042E">
        <w:rPr>
          <w:rFonts w:ascii="Arial" w:eastAsia="Times New Roman" w:hAnsi="Arial" w:cs="Arial"/>
        </w:rPr>
        <w:t>,001</w:t>
      </w:r>
      <w:r w:rsidRPr="00341C73">
        <w:rPr>
          <w:rFonts w:ascii="Arial" w:eastAsia="Times New Roman" w:hAnsi="Arial" w:cs="Arial"/>
        </w:rPr>
        <w:t>–</w:t>
      </w:r>
      <w:r w:rsidR="009A042E">
        <w:rPr>
          <w:rFonts w:ascii="Arial" w:eastAsia="Times New Roman" w:hAnsi="Arial" w:cs="Arial"/>
        </w:rPr>
        <w:t>1</w:t>
      </w:r>
      <w:r w:rsidRPr="00341C73">
        <w:rPr>
          <w:rFonts w:ascii="Arial" w:eastAsia="Times New Roman" w:hAnsi="Arial" w:cs="Arial"/>
        </w:rPr>
        <w:t>5</w:t>
      </w:r>
      <w:r w:rsidR="009A042E">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009A042E">
        <w:rPr>
          <w:rFonts w:ascii="Arial" w:eastAsia="Times New Roman" w:hAnsi="Arial" w:cs="Arial"/>
        </w:rPr>
        <w:t>1</w:t>
      </w:r>
      <w:r w:rsidRPr="00341C73">
        <w:rPr>
          <w:rFonts w:ascii="Arial" w:eastAsia="Times New Roman" w:hAnsi="Arial" w:cs="Arial"/>
        </w:rPr>
        <w:t>5</w:t>
      </w:r>
      <w:r w:rsidR="009A042E">
        <w:rPr>
          <w:rFonts w:ascii="Arial" w:eastAsia="Times New Roman" w:hAnsi="Arial" w:cs="Arial"/>
        </w:rPr>
        <w:t>0,</w:t>
      </w:r>
      <w:r w:rsidRPr="00341C73">
        <w:rPr>
          <w:rFonts w:ascii="Arial" w:eastAsia="Times New Roman" w:hAnsi="Arial" w:cs="Arial"/>
        </w:rPr>
        <w:t>00</w:t>
      </w:r>
      <w:r w:rsidR="00713416">
        <w:rPr>
          <w:rFonts w:ascii="Arial" w:eastAsia="Times New Roman" w:hAnsi="Arial" w:cs="Arial"/>
        </w:rPr>
        <w:t>1</w:t>
      </w:r>
      <w:r w:rsidRPr="00341C73">
        <w:rPr>
          <w:rFonts w:ascii="Arial" w:eastAsia="Times New Roman" w:hAnsi="Arial" w:cs="Arial"/>
        </w:rPr>
        <w:t>–20</w:t>
      </w:r>
      <w:r w:rsidR="009A042E">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3AB336A8" w14:textId="6EEEDE9A" w:rsidR="007C16D6" w:rsidRPr="00341C73" w:rsidRDefault="0071341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Pr>
          <w:rFonts w:ascii="Arial" w:eastAsia="Times New Roman" w:hAnsi="Arial" w:cs="Arial"/>
        </w:rPr>
        <w:t>2</w:t>
      </w:r>
      <w:r w:rsidRPr="00341C73">
        <w:rPr>
          <w:rFonts w:ascii="Arial" w:eastAsia="Times New Roman" w:hAnsi="Arial" w:cs="Arial"/>
        </w:rPr>
        <w:t>00</w:t>
      </w:r>
      <w:r>
        <w:rPr>
          <w:rFonts w:ascii="Arial" w:eastAsia="Times New Roman" w:hAnsi="Arial" w:cs="Arial"/>
        </w:rPr>
        <w:t>,001</w:t>
      </w:r>
      <w:r w:rsidRPr="00341C73">
        <w:rPr>
          <w:rFonts w:ascii="Arial" w:eastAsia="Times New Roman" w:hAnsi="Arial" w:cs="Arial"/>
        </w:rPr>
        <w:t>–</w:t>
      </w:r>
      <w:r>
        <w:rPr>
          <w:rFonts w:ascii="Arial" w:eastAsia="Times New Roman" w:hAnsi="Arial" w:cs="Arial"/>
        </w:rPr>
        <w:t>2</w:t>
      </w:r>
      <w:r w:rsidRPr="00341C73">
        <w:rPr>
          <w:rFonts w:ascii="Arial" w:eastAsia="Times New Roman" w:hAnsi="Arial" w:cs="Arial"/>
        </w:rPr>
        <w:t>5</w:t>
      </w:r>
      <w:r>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2</w:t>
      </w:r>
      <w:r w:rsidRPr="00341C73">
        <w:rPr>
          <w:rFonts w:ascii="Arial" w:eastAsia="Times New Roman" w:hAnsi="Arial" w:cs="Arial"/>
        </w:rPr>
        <w:t>5</w:t>
      </w:r>
      <w:r>
        <w:rPr>
          <w:rFonts w:ascii="Arial" w:eastAsia="Times New Roman" w:hAnsi="Arial" w:cs="Arial"/>
        </w:rPr>
        <w:t>0,</w:t>
      </w:r>
      <w:r w:rsidRPr="00341C73">
        <w:rPr>
          <w:rFonts w:ascii="Arial" w:eastAsia="Times New Roman" w:hAnsi="Arial" w:cs="Arial"/>
        </w:rPr>
        <w:t>00</w:t>
      </w:r>
      <w:r>
        <w:rPr>
          <w:rFonts w:ascii="Arial" w:eastAsia="Times New Roman" w:hAnsi="Arial" w:cs="Arial"/>
        </w:rPr>
        <w:t>1</w:t>
      </w:r>
      <w:r w:rsidRPr="00341C73">
        <w:rPr>
          <w:rFonts w:ascii="Arial" w:eastAsia="Times New Roman" w:hAnsi="Arial" w:cs="Arial"/>
        </w:rPr>
        <w:t>–</w:t>
      </w:r>
      <w:r>
        <w:rPr>
          <w:rFonts w:ascii="Arial" w:eastAsia="Times New Roman" w:hAnsi="Arial" w:cs="Arial"/>
        </w:rPr>
        <w:t>3</w:t>
      </w:r>
      <w:r w:rsidRPr="00341C73">
        <w:rPr>
          <w:rFonts w:ascii="Arial" w:eastAsia="Times New Roman" w:hAnsi="Arial" w:cs="Arial"/>
        </w:rPr>
        <w:t>0</w:t>
      </w:r>
      <w:r>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007C16D6" w:rsidRPr="00341C73">
        <w:rPr>
          <w:rFonts w:ascii="Arial" w:eastAsia="Times New Roman" w:hAnsi="Arial" w:cs="Arial"/>
          <w:sz w:val="44"/>
          <w:szCs w:val="44"/>
        </w:rPr>
        <w:t>□</w:t>
      </w:r>
      <w:r w:rsidR="007C16D6" w:rsidRPr="00341C73">
        <w:rPr>
          <w:rFonts w:ascii="Arial" w:eastAsia="Times New Roman" w:hAnsi="Arial" w:cs="Arial"/>
        </w:rPr>
        <w:t>&gt;</w:t>
      </w:r>
      <w:r>
        <w:rPr>
          <w:rFonts w:ascii="Arial" w:eastAsia="Times New Roman" w:hAnsi="Arial" w:cs="Arial"/>
        </w:rPr>
        <w:t>300</w:t>
      </w:r>
      <w:r w:rsidR="009A042E">
        <w:rPr>
          <w:rFonts w:ascii="Arial" w:eastAsia="Times New Roman" w:hAnsi="Arial" w:cs="Arial"/>
        </w:rPr>
        <w:t>,</w:t>
      </w:r>
      <w:r w:rsidR="007C16D6" w:rsidRPr="00341C73">
        <w:rPr>
          <w:rFonts w:ascii="Arial" w:eastAsia="Times New Roman" w:hAnsi="Arial" w:cs="Arial"/>
        </w:rPr>
        <w:t>000 km</w:t>
      </w:r>
      <w:r w:rsidR="007C16D6" w:rsidRPr="00341C73">
        <w:rPr>
          <w:rFonts w:ascii="Arial" w:eastAsia="Times New Roman" w:hAnsi="Arial" w:cs="Arial"/>
          <w:vertAlign w:val="superscript"/>
        </w:rPr>
        <w:t>2</w:t>
      </w:r>
    </w:p>
    <w:p w14:paraId="0844AE2A"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4DDA40A6"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48EEED68"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0–30% - low level of certainty/ a bit of a guess/ not much data to go on</w:t>
      </w:r>
    </w:p>
    <w:p w14:paraId="1116851A"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lastRenderedPageBreak/>
        <w:t>□</w:t>
      </w:r>
      <w:r w:rsidRPr="00341C73">
        <w:rPr>
          <w:rFonts w:ascii="Arial" w:eastAsia="Times New Roman" w:hAnsi="Arial" w:cs="Arial"/>
        </w:rPr>
        <w:t xml:space="preserve"> 31–50% - more than a guess, some level of supporting evidence</w:t>
      </w:r>
    </w:p>
    <w:p w14:paraId="27FCF383"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2E16C3DB"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3A64652D"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 xml:space="preserve">□ </w:t>
      </w:r>
      <w:r w:rsidRPr="00341C73">
        <w:rPr>
          <w:rFonts w:ascii="Arial" w:eastAsia="Times New Roman" w:hAnsi="Arial" w:cs="Arial"/>
        </w:rPr>
        <w:t>99–100% - very high level of certainty, data is accurate within this range</w:t>
      </w:r>
    </w:p>
    <w:p w14:paraId="388A472A"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2BD8EB9A"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3BD34884" w14:textId="77777777" w:rsidR="007C16D6" w:rsidRPr="00341C73" w:rsidRDefault="007C16D6" w:rsidP="007C16D6">
      <w:pPr>
        <w:autoSpaceDE w:val="0"/>
        <w:autoSpaceDN w:val="0"/>
        <w:adjustRightInd w:val="0"/>
        <w:spacing w:after="0" w:line="240" w:lineRule="auto"/>
        <w:rPr>
          <w:rFonts w:ascii="Arial" w:eastAsia="Times New Roman" w:hAnsi="Arial" w:cs="Arial"/>
          <w:sz w:val="20"/>
          <w:szCs w:val="20"/>
        </w:rPr>
      </w:pPr>
    </w:p>
    <w:p w14:paraId="3391B410"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Bold" w:eastAsia="Times New Roman" w:hAnsi="Arial,Bold" w:cs="Arial,Bold"/>
          <w:b/>
          <w:bCs/>
        </w:rPr>
        <w:t xml:space="preserve">Current area of occupancy </w:t>
      </w:r>
      <w:r w:rsidRPr="00341C73">
        <w:rPr>
          <w:rFonts w:ascii="Arial" w:eastAsia="Times New Roman" w:hAnsi="Arial" w:cs="Arial"/>
        </w:rPr>
        <w:t>is estimated to be in the range of:</w:t>
      </w:r>
    </w:p>
    <w:p w14:paraId="77B5A7EB" w14:textId="36994818"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&lt;</w:t>
      </w:r>
      <w:r w:rsidR="00FA7312">
        <w:rPr>
          <w:rFonts w:ascii="Arial" w:eastAsia="Times New Roman" w:hAnsi="Arial" w:cs="Arial"/>
        </w:rPr>
        <w:t>5</w:t>
      </w:r>
      <w:r w:rsidR="009A042E">
        <w:rPr>
          <w:rFonts w:ascii="Arial" w:eastAsia="Times New Roman" w:hAnsi="Arial" w:cs="Arial"/>
        </w:rPr>
        <w:t>,000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00FA7312">
        <w:rPr>
          <w:rFonts w:ascii="Arial" w:eastAsia="Times New Roman" w:hAnsi="Arial" w:cs="Arial"/>
        </w:rPr>
        <w:t>5</w:t>
      </w:r>
      <w:r w:rsidR="009A042E">
        <w:rPr>
          <w:rFonts w:ascii="Arial" w:eastAsia="Times New Roman" w:hAnsi="Arial" w:cs="Arial"/>
        </w:rPr>
        <w:t>,001</w:t>
      </w:r>
      <w:r w:rsidR="00FA7312">
        <w:rPr>
          <w:rFonts w:ascii="Arial" w:eastAsia="Times New Roman" w:hAnsi="Arial" w:cs="Arial"/>
        </w:rPr>
        <w:t>-</w:t>
      </w:r>
      <w:r w:rsidR="009A042E">
        <w:rPr>
          <w:rFonts w:ascii="Arial" w:eastAsia="Times New Roman" w:hAnsi="Arial" w:cs="Arial"/>
        </w:rPr>
        <w:t>1</w:t>
      </w:r>
      <w:r w:rsidR="00FA7312">
        <w:rPr>
          <w:rFonts w:ascii="Arial" w:eastAsia="Times New Roman" w:hAnsi="Arial" w:cs="Arial"/>
        </w:rPr>
        <w:t>0</w:t>
      </w:r>
      <w:r w:rsidR="009A042E">
        <w:rPr>
          <w:rFonts w:ascii="Arial" w:eastAsia="Times New Roman" w:hAnsi="Arial" w:cs="Arial"/>
        </w:rPr>
        <w:t>,0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009A042E">
        <w:rPr>
          <w:rFonts w:ascii="Arial" w:eastAsia="Times New Roman" w:hAnsi="Arial" w:cs="Arial"/>
        </w:rPr>
        <w:t>1</w:t>
      </w:r>
      <w:r w:rsidR="0074213E">
        <w:rPr>
          <w:rFonts w:ascii="Arial" w:eastAsia="Times New Roman" w:hAnsi="Arial" w:cs="Arial"/>
        </w:rPr>
        <w:t>0</w:t>
      </w:r>
      <w:r w:rsidR="009A042E">
        <w:rPr>
          <w:rFonts w:ascii="Arial" w:eastAsia="Times New Roman" w:hAnsi="Arial" w:cs="Arial"/>
        </w:rPr>
        <w:t>,0</w:t>
      </w:r>
      <w:r w:rsidRPr="00341C73">
        <w:rPr>
          <w:rFonts w:ascii="Arial" w:eastAsia="Times New Roman" w:hAnsi="Arial" w:cs="Arial"/>
        </w:rPr>
        <w:t>01</w:t>
      </w:r>
      <w:r w:rsidR="0074213E">
        <w:rPr>
          <w:rFonts w:ascii="Arial" w:eastAsia="Times New Roman" w:hAnsi="Arial" w:cs="Arial"/>
        </w:rPr>
        <w:t>-15</w:t>
      </w:r>
      <w:r w:rsidR="009A042E">
        <w:rPr>
          <w:rFonts w:ascii="Arial" w:eastAsia="Times New Roman" w:hAnsi="Arial" w:cs="Arial"/>
        </w:rPr>
        <w:t>,</w:t>
      </w:r>
      <w:r w:rsidRPr="00341C73">
        <w:rPr>
          <w:rFonts w:ascii="Arial" w:eastAsia="Times New Roman" w:hAnsi="Arial" w:cs="Arial"/>
        </w:rPr>
        <w:t>000 km</w:t>
      </w:r>
      <w:proofErr w:type="gramStart"/>
      <w:r w:rsidRPr="00341C73">
        <w:rPr>
          <w:rFonts w:ascii="Arial" w:eastAsia="Times New Roman" w:hAnsi="Arial" w:cs="Arial"/>
          <w:vertAlign w:val="superscript"/>
        </w:rPr>
        <w:t>2</w:t>
      </w:r>
      <w:r w:rsidRPr="00341C73">
        <w:rPr>
          <w:rFonts w:ascii="Arial" w:eastAsia="Times New Roman" w:hAnsi="Arial" w:cs="Arial"/>
        </w:rPr>
        <w:t xml:space="preserve"> </w:t>
      </w:r>
      <w:r w:rsidR="0074213E">
        <w:rPr>
          <w:rFonts w:ascii="Arial" w:eastAsia="Times New Roman" w:hAnsi="Arial" w:cs="Arial"/>
        </w:rPr>
        <w:t xml:space="preserve"> </w:t>
      </w:r>
      <w:r w:rsidR="0074213E" w:rsidRPr="00341C73">
        <w:rPr>
          <w:rFonts w:ascii="Arial" w:eastAsia="Times New Roman" w:hAnsi="Arial" w:cs="Arial"/>
          <w:sz w:val="44"/>
          <w:szCs w:val="44"/>
        </w:rPr>
        <w:t>□</w:t>
      </w:r>
      <w:proofErr w:type="gramEnd"/>
      <w:r w:rsidR="0074213E">
        <w:rPr>
          <w:rFonts w:ascii="Arial" w:eastAsia="Times New Roman" w:hAnsi="Arial" w:cs="Arial"/>
        </w:rPr>
        <w:t>10,0</w:t>
      </w:r>
      <w:r w:rsidR="0074213E" w:rsidRPr="00341C73">
        <w:rPr>
          <w:rFonts w:ascii="Arial" w:eastAsia="Times New Roman" w:hAnsi="Arial" w:cs="Arial"/>
        </w:rPr>
        <w:t>01</w:t>
      </w:r>
      <w:r w:rsidR="0074213E">
        <w:rPr>
          <w:rFonts w:ascii="Arial" w:eastAsia="Times New Roman" w:hAnsi="Arial" w:cs="Arial"/>
        </w:rPr>
        <w:t>-15,</w:t>
      </w:r>
      <w:r w:rsidR="0074213E" w:rsidRPr="00341C73">
        <w:rPr>
          <w:rFonts w:ascii="Arial" w:eastAsia="Times New Roman" w:hAnsi="Arial" w:cs="Arial"/>
        </w:rPr>
        <w:t>000 km</w:t>
      </w:r>
      <w:r w:rsidR="0074213E" w:rsidRPr="00341C73">
        <w:rPr>
          <w:rFonts w:ascii="Arial" w:eastAsia="Times New Roman" w:hAnsi="Arial" w:cs="Arial"/>
          <w:vertAlign w:val="superscript"/>
        </w:rPr>
        <w:t>2</w:t>
      </w:r>
      <w:r w:rsidR="0074213E"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 xml:space="preserve"> &gt;2</w:t>
      </w:r>
      <w:r w:rsidR="009A042E">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p>
    <w:p w14:paraId="0EF7E7F9"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578AE9D6"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Level of your confidence in this estimated extent of occurrence:</w:t>
      </w:r>
    </w:p>
    <w:p w14:paraId="0739A14B"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48ED78F6"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5946507B"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798A53B9"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4ABAE6A1"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7F2E833B" w14:textId="77777777" w:rsidR="007C16D6" w:rsidRPr="00341C73" w:rsidRDefault="007C16D6" w:rsidP="007C16D6">
      <w:pPr>
        <w:autoSpaceDE w:val="0"/>
        <w:autoSpaceDN w:val="0"/>
        <w:adjustRightInd w:val="0"/>
        <w:spacing w:after="0" w:line="240" w:lineRule="auto"/>
        <w:ind w:left="1920" w:hanging="1560"/>
        <w:rPr>
          <w:rFonts w:ascii="Arial" w:eastAsia="Times New Roman" w:hAnsi="Arial" w:cs="Arial"/>
          <w:b/>
        </w:rPr>
      </w:pPr>
    </w:p>
    <w:p w14:paraId="366D58FC"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F</w:t>
      </w:r>
      <w:r w:rsidRPr="00341C73">
        <w:rPr>
          <w:rFonts w:ascii="Arial" w:eastAsia="Times New Roman" w:hAnsi="Arial" w:cs="Arial"/>
          <w:b/>
        </w:rPr>
        <w:tab/>
        <w:t>ARE YOU AWARE OF TRENDS IN THE TOTAL RANGE OF THE SPECIES/SUBSPECIES? (If no, skip to section G)</w:t>
      </w:r>
    </w:p>
    <w:p w14:paraId="1BFB7A6A" w14:textId="77777777" w:rsidR="007C16D6" w:rsidRPr="00341C73" w:rsidRDefault="007C16D6" w:rsidP="007C16D6">
      <w:pPr>
        <w:autoSpaceDE w:val="0"/>
        <w:autoSpaceDN w:val="0"/>
        <w:adjustRightInd w:val="0"/>
        <w:spacing w:after="0" w:line="240" w:lineRule="auto"/>
        <w:rPr>
          <w:rFonts w:ascii="Arial" w:eastAsia="Times New Roman" w:hAnsi="Arial" w:cs="Arial"/>
          <w:b/>
        </w:rPr>
      </w:pPr>
    </w:p>
    <w:p w14:paraId="1993F732"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r w:rsidRPr="00341C73">
        <w:rPr>
          <w:rFonts w:ascii="Arial,Bold" w:eastAsia="Times New Roman" w:hAnsi="Arial,Bold" w:cs="Arial,Bold"/>
          <w:b/>
          <w:bCs/>
        </w:rPr>
        <w:t>Past Distribution/range/extent of occurrence, area of occupancy</w:t>
      </w:r>
    </w:p>
    <w:p w14:paraId="5C7F05F7"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1014B58B"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the way the historic distribution has been estimated is appropriate? Please provide justification for your response.</w:t>
      </w:r>
    </w:p>
    <w:p w14:paraId="05853CB0"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6375DF56"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Can you provide estimates (or if you disagree with the estimates provided, alternative estimates) of the former extent of occurrence and/or area of </w:t>
      </w:r>
      <w:proofErr w:type="gramStart"/>
      <w:r w:rsidRPr="00341C73">
        <w:rPr>
          <w:rFonts w:ascii="Arial" w:eastAsia="Times New Roman" w:hAnsi="Arial" w:cs="Arial"/>
        </w:rPr>
        <w:t>occupancy.</w:t>
      </w:r>
      <w:proofErr w:type="gramEnd"/>
    </w:p>
    <w:p w14:paraId="3C05D74F"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4721CF36"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77171877"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p>
    <w:p w14:paraId="4C1282DE"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extent of occurrence </w:t>
      </w:r>
      <w:r w:rsidRPr="00341C73">
        <w:rPr>
          <w:rFonts w:ascii="Arial" w:eastAsia="Times New Roman" w:hAnsi="Arial" w:cs="Arial"/>
        </w:rPr>
        <w:t>is estimated to be in the range of:</w:t>
      </w:r>
    </w:p>
    <w:p w14:paraId="75F80B9F" w14:textId="77777777" w:rsidR="00713416" w:rsidRDefault="00713416" w:rsidP="0071341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&lt;</w:t>
      </w:r>
      <w:r>
        <w:rPr>
          <w:rFonts w:ascii="Arial" w:eastAsia="Times New Roman" w:hAnsi="Arial" w:cs="Arial"/>
        </w:rPr>
        <w:t>100,000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100</w:t>
      </w:r>
      <w:r>
        <w:rPr>
          <w:rFonts w:ascii="Arial" w:eastAsia="Times New Roman" w:hAnsi="Arial" w:cs="Arial"/>
        </w:rPr>
        <w:t>,001</w:t>
      </w:r>
      <w:r w:rsidRPr="00341C73">
        <w:rPr>
          <w:rFonts w:ascii="Arial" w:eastAsia="Times New Roman" w:hAnsi="Arial" w:cs="Arial"/>
        </w:rPr>
        <w:t>–</w:t>
      </w:r>
      <w:r>
        <w:rPr>
          <w:rFonts w:ascii="Arial" w:eastAsia="Times New Roman" w:hAnsi="Arial" w:cs="Arial"/>
        </w:rPr>
        <w:t>1</w:t>
      </w:r>
      <w:r w:rsidRPr="00341C73">
        <w:rPr>
          <w:rFonts w:ascii="Arial" w:eastAsia="Times New Roman" w:hAnsi="Arial" w:cs="Arial"/>
        </w:rPr>
        <w:t>5</w:t>
      </w:r>
      <w:r>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1</w:t>
      </w:r>
      <w:r w:rsidRPr="00341C73">
        <w:rPr>
          <w:rFonts w:ascii="Arial" w:eastAsia="Times New Roman" w:hAnsi="Arial" w:cs="Arial"/>
        </w:rPr>
        <w:t>5</w:t>
      </w:r>
      <w:r>
        <w:rPr>
          <w:rFonts w:ascii="Arial" w:eastAsia="Times New Roman" w:hAnsi="Arial" w:cs="Arial"/>
        </w:rPr>
        <w:t>0,</w:t>
      </w:r>
      <w:r w:rsidRPr="00341C73">
        <w:rPr>
          <w:rFonts w:ascii="Arial" w:eastAsia="Times New Roman" w:hAnsi="Arial" w:cs="Arial"/>
        </w:rPr>
        <w:t>00</w:t>
      </w:r>
      <w:r>
        <w:rPr>
          <w:rFonts w:ascii="Arial" w:eastAsia="Times New Roman" w:hAnsi="Arial" w:cs="Arial"/>
        </w:rPr>
        <w:t>1</w:t>
      </w:r>
      <w:r w:rsidRPr="00341C73">
        <w:rPr>
          <w:rFonts w:ascii="Arial" w:eastAsia="Times New Roman" w:hAnsi="Arial" w:cs="Arial"/>
        </w:rPr>
        <w:t>–20</w:t>
      </w:r>
      <w:r>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7D335F61" w14:textId="62D58A22" w:rsidR="007C16D6" w:rsidRPr="00341C73" w:rsidRDefault="00713416" w:rsidP="0071341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Pr>
          <w:rFonts w:ascii="Arial" w:eastAsia="Times New Roman" w:hAnsi="Arial" w:cs="Arial"/>
        </w:rPr>
        <w:t>2</w:t>
      </w:r>
      <w:r w:rsidRPr="00341C73">
        <w:rPr>
          <w:rFonts w:ascii="Arial" w:eastAsia="Times New Roman" w:hAnsi="Arial" w:cs="Arial"/>
        </w:rPr>
        <w:t>00</w:t>
      </w:r>
      <w:r>
        <w:rPr>
          <w:rFonts w:ascii="Arial" w:eastAsia="Times New Roman" w:hAnsi="Arial" w:cs="Arial"/>
        </w:rPr>
        <w:t>,001</w:t>
      </w:r>
      <w:r w:rsidRPr="00341C73">
        <w:rPr>
          <w:rFonts w:ascii="Arial" w:eastAsia="Times New Roman" w:hAnsi="Arial" w:cs="Arial"/>
        </w:rPr>
        <w:t>–</w:t>
      </w:r>
      <w:r>
        <w:rPr>
          <w:rFonts w:ascii="Arial" w:eastAsia="Times New Roman" w:hAnsi="Arial" w:cs="Arial"/>
        </w:rPr>
        <w:t>2</w:t>
      </w:r>
      <w:r w:rsidRPr="00341C73">
        <w:rPr>
          <w:rFonts w:ascii="Arial" w:eastAsia="Times New Roman" w:hAnsi="Arial" w:cs="Arial"/>
        </w:rPr>
        <w:t>5</w:t>
      </w:r>
      <w:r>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2</w:t>
      </w:r>
      <w:r w:rsidRPr="00341C73">
        <w:rPr>
          <w:rFonts w:ascii="Arial" w:eastAsia="Times New Roman" w:hAnsi="Arial" w:cs="Arial"/>
        </w:rPr>
        <w:t>5</w:t>
      </w:r>
      <w:r>
        <w:rPr>
          <w:rFonts w:ascii="Arial" w:eastAsia="Times New Roman" w:hAnsi="Arial" w:cs="Arial"/>
        </w:rPr>
        <w:t>0,</w:t>
      </w:r>
      <w:r w:rsidRPr="00341C73">
        <w:rPr>
          <w:rFonts w:ascii="Arial" w:eastAsia="Times New Roman" w:hAnsi="Arial" w:cs="Arial"/>
        </w:rPr>
        <w:t>00</w:t>
      </w:r>
      <w:r>
        <w:rPr>
          <w:rFonts w:ascii="Arial" w:eastAsia="Times New Roman" w:hAnsi="Arial" w:cs="Arial"/>
        </w:rPr>
        <w:t>1</w:t>
      </w:r>
      <w:r w:rsidRPr="00341C73">
        <w:rPr>
          <w:rFonts w:ascii="Arial" w:eastAsia="Times New Roman" w:hAnsi="Arial" w:cs="Arial"/>
        </w:rPr>
        <w:t>–</w:t>
      </w:r>
      <w:r>
        <w:rPr>
          <w:rFonts w:ascii="Arial" w:eastAsia="Times New Roman" w:hAnsi="Arial" w:cs="Arial"/>
        </w:rPr>
        <w:t>3</w:t>
      </w:r>
      <w:r w:rsidRPr="00341C73">
        <w:rPr>
          <w:rFonts w:ascii="Arial" w:eastAsia="Times New Roman" w:hAnsi="Arial" w:cs="Arial"/>
        </w:rPr>
        <w:t>0</w:t>
      </w:r>
      <w:r>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sidRPr="00341C73">
        <w:rPr>
          <w:rFonts w:ascii="Arial" w:eastAsia="Times New Roman" w:hAnsi="Arial" w:cs="Arial"/>
        </w:rPr>
        <w:t>&gt;</w:t>
      </w:r>
      <w:r>
        <w:rPr>
          <w:rFonts w:ascii="Arial" w:eastAsia="Times New Roman" w:hAnsi="Arial" w:cs="Arial"/>
        </w:rPr>
        <w:t>300,</w:t>
      </w:r>
      <w:r w:rsidRPr="00341C73">
        <w:rPr>
          <w:rFonts w:ascii="Arial" w:eastAsia="Times New Roman" w:hAnsi="Arial" w:cs="Arial"/>
        </w:rPr>
        <w:t>000 km</w:t>
      </w:r>
      <w:r w:rsidRPr="00341C73">
        <w:rPr>
          <w:rFonts w:ascii="Arial" w:eastAsia="Times New Roman" w:hAnsi="Arial" w:cs="Arial"/>
          <w:vertAlign w:val="superscript"/>
        </w:rPr>
        <w:t>2</w:t>
      </w:r>
    </w:p>
    <w:p w14:paraId="36DEF92F"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p>
    <w:p w14:paraId="230A5E1C"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5FC93070"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lastRenderedPageBreak/>
        <w:t>□</w:t>
      </w:r>
      <w:r w:rsidRPr="00341C73">
        <w:rPr>
          <w:rFonts w:ascii="Arial" w:eastAsia="Times New Roman" w:hAnsi="Arial" w:cs="Arial"/>
        </w:rPr>
        <w:t xml:space="preserve"> 0–30% - low level of certainty/ a bit of a guess/ not much data to go on</w:t>
      </w:r>
    </w:p>
    <w:p w14:paraId="4454117A"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682F5886"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7B63F966"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 high level of certainty, data indicates a decline within this range</w:t>
      </w:r>
    </w:p>
    <w:p w14:paraId="4563AD66"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1BFFF8E6"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p>
    <w:p w14:paraId="45FC5709"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sidRPr="00341C73">
        <w:rPr>
          <w:rFonts w:ascii="Arial" w:eastAsia="Times New Roman" w:hAnsi="Arial" w:cs="Arial"/>
        </w:rPr>
        <w:t>and also</w:t>
      </w:r>
      <w:proofErr w:type="gramEnd"/>
      <w:r w:rsidRPr="00341C73">
        <w:rPr>
          <w:rFonts w:ascii="Arial" w:eastAsia="Times New Roman" w:hAnsi="Arial" w:cs="Arial"/>
        </w:rPr>
        <w:t xml:space="preserve"> choose the level of confidence you have in this estimated range:</w:t>
      </w:r>
    </w:p>
    <w:p w14:paraId="7CA3D90B" w14:textId="77777777" w:rsidR="007C16D6" w:rsidRPr="00341C73" w:rsidRDefault="007C16D6" w:rsidP="007C16D6">
      <w:pPr>
        <w:autoSpaceDE w:val="0"/>
        <w:autoSpaceDN w:val="0"/>
        <w:adjustRightInd w:val="0"/>
        <w:spacing w:after="0" w:line="240" w:lineRule="auto"/>
        <w:rPr>
          <w:rFonts w:ascii="Arial,Bold" w:eastAsia="Times New Roman" w:hAnsi="Arial,Bold" w:cs="Arial,Bold"/>
          <w:b/>
          <w:bCs/>
        </w:rPr>
      </w:pPr>
    </w:p>
    <w:p w14:paraId="34CA86F7"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Bold" w:eastAsia="Times New Roman" w:hAnsi="Arial,Bold" w:cs="Arial,Bold"/>
          <w:b/>
          <w:bCs/>
        </w:rPr>
        <w:t xml:space="preserve">Past area of occupancy </w:t>
      </w:r>
      <w:r w:rsidRPr="00341C73">
        <w:rPr>
          <w:rFonts w:ascii="Arial" w:eastAsia="Times New Roman" w:hAnsi="Arial" w:cs="Arial"/>
        </w:rPr>
        <w:t>is estimated to be in the range of:</w:t>
      </w:r>
    </w:p>
    <w:p w14:paraId="5CF202AC" w14:textId="77777777" w:rsidR="007436D7" w:rsidRDefault="007436D7" w:rsidP="007436D7">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&lt;</w:t>
      </w:r>
      <w:r>
        <w:rPr>
          <w:rFonts w:ascii="Arial" w:eastAsia="Times New Roman" w:hAnsi="Arial" w:cs="Arial"/>
        </w:rPr>
        <w:t>5,000</w:t>
      </w:r>
      <w:r w:rsidRPr="00341C73">
        <w:rPr>
          <w:rFonts w:ascii="Arial" w:eastAsia="Times New Roman" w:hAnsi="Arial" w:cs="Arial"/>
        </w:rPr>
        <w:t xml:space="preserve">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5,001-10,0</w:t>
      </w:r>
      <w:r w:rsidRPr="00341C73">
        <w:rPr>
          <w:rFonts w:ascii="Arial" w:eastAsia="Times New Roman" w:hAnsi="Arial" w:cs="Arial"/>
        </w:rPr>
        <w:t>00 km</w:t>
      </w:r>
      <w:r w:rsidRPr="00341C73">
        <w:rPr>
          <w:rFonts w:ascii="Arial" w:eastAsia="Times New Roman" w:hAnsi="Arial" w:cs="Arial"/>
          <w:vertAlign w:val="superscript"/>
        </w:rPr>
        <w:t>2</w:t>
      </w:r>
      <w:r w:rsidRPr="00341C73">
        <w:rPr>
          <w:rFonts w:ascii="Arial" w:eastAsia="Times New Roman" w:hAnsi="Arial" w:cs="Arial"/>
        </w:rPr>
        <w:t xml:space="preserve"> </w:t>
      </w:r>
      <w:r w:rsidRPr="00341C73">
        <w:rPr>
          <w:rFonts w:ascii="Arial" w:eastAsia="Times New Roman" w:hAnsi="Arial" w:cs="Arial"/>
          <w:sz w:val="44"/>
          <w:szCs w:val="44"/>
        </w:rPr>
        <w:t>□</w:t>
      </w:r>
      <w:r>
        <w:rPr>
          <w:rFonts w:ascii="Arial" w:eastAsia="Times New Roman" w:hAnsi="Arial" w:cs="Arial"/>
        </w:rPr>
        <w:t>10,0</w:t>
      </w:r>
      <w:r w:rsidRPr="00341C73">
        <w:rPr>
          <w:rFonts w:ascii="Arial" w:eastAsia="Times New Roman" w:hAnsi="Arial" w:cs="Arial"/>
        </w:rPr>
        <w:t>01</w:t>
      </w:r>
      <w:r>
        <w:rPr>
          <w:rFonts w:ascii="Arial" w:eastAsia="Times New Roman" w:hAnsi="Arial" w:cs="Arial"/>
        </w:rPr>
        <w:t>-15,</w:t>
      </w:r>
      <w:r w:rsidRPr="00341C73">
        <w:rPr>
          <w:rFonts w:ascii="Arial" w:eastAsia="Times New Roman" w:hAnsi="Arial" w:cs="Arial"/>
        </w:rPr>
        <w:t>000 km</w:t>
      </w:r>
      <w:proofErr w:type="gramStart"/>
      <w:r w:rsidRPr="00341C73">
        <w:rPr>
          <w:rFonts w:ascii="Arial" w:eastAsia="Times New Roman" w:hAnsi="Arial" w:cs="Arial"/>
          <w:vertAlign w:val="superscript"/>
        </w:rPr>
        <w:t>2</w:t>
      </w:r>
      <w:r w:rsidRPr="00341C73">
        <w:rPr>
          <w:rFonts w:ascii="Arial" w:eastAsia="Times New Roman" w:hAnsi="Arial" w:cs="Arial"/>
        </w:rPr>
        <w:t xml:space="preserve"> </w:t>
      </w:r>
      <w:r>
        <w:rPr>
          <w:rFonts w:ascii="Arial" w:eastAsia="Times New Roman" w:hAnsi="Arial" w:cs="Arial"/>
        </w:rPr>
        <w:t xml:space="preserve"> </w:t>
      </w:r>
      <w:r w:rsidRPr="00341C73">
        <w:rPr>
          <w:rFonts w:ascii="Arial" w:eastAsia="Times New Roman" w:hAnsi="Arial" w:cs="Arial"/>
          <w:sz w:val="44"/>
          <w:szCs w:val="44"/>
        </w:rPr>
        <w:t>□</w:t>
      </w:r>
      <w:proofErr w:type="gramEnd"/>
      <w:r>
        <w:rPr>
          <w:rFonts w:ascii="Arial" w:eastAsia="Times New Roman" w:hAnsi="Arial" w:cs="Arial"/>
        </w:rPr>
        <w:t>10,0</w:t>
      </w:r>
      <w:r w:rsidRPr="00341C73">
        <w:rPr>
          <w:rFonts w:ascii="Arial" w:eastAsia="Times New Roman" w:hAnsi="Arial" w:cs="Arial"/>
        </w:rPr>
        <w:t>01</w:t>
      </w:r>
      <w:r>
        <w:rPr>
          <w:rFonts w:ascii="Arial" w:eastAsia="Times New Roman" w:hAnsi="Arial" w:cs="Arial"/>
        </w:rPr>
        <w:t>-15,</w:t>
      </w:r>
      <w:r w:rsidRPr="00341C73">
        <w:rPr>
          <w:rFonts w:ascii="Arial" w:eastAsia="Times New Roman" w:hAnsi="Arial" w:cs="Arial"/>
        </w:rPr>
        <w:t>000 km</w:t>
      </w:r>
      <w:r w:rsidRPr="00341C73">
        <w:rPr>
          <w:rFonts w:ascii="Arial" w:eastAsia="Times New Roman" w:hAnsi="Arial" w:cs="Arial"/>
          <w:vertAlign w:val="superscript"/>
        </w:rPr>
        <w:t>2</w:t>
      </w:r>
      <w:r w:rsidRPr="00341C73">
        <w:rPr>
          <w:rFonts w:ascii="Arial" w:eastAsia="Times New Roman" w:hAnsi="Arial" w:cs="Arial"/>
        </w:rPr>
        <w:t xml:space="preserve"> </w:t>
      </w:r>
    </w:p>
    <w:p w14:paraId="6FBC77AC" w14:textId="2C47E391" w:rsidR="007436D7" w:rsidRPr="00341C73" w:rsidRDefault="007436D7" w:rsidP="007436D7">
      <w:pPr>
        <w:autoSpaceDE w:val="0"/>
        <w:autoSpaceDN w:val="0"/>
        <w:adjustRightInd w:val="0"/>
        <w:spacing w:after="0" w:line="240" w:lineRule="auto"/>
        <w:ind w:left="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&gt;2</w:t>
      </w:r>
      <w:r>
        <w:rPr>
          <w:rFonts w:ascii="Arial" w:eastAsia="Times New Roman" w:hAnsi="Arial" w:cs="Arial"/>
        </w:rPr>
        <w:t>0,</w:t>
      </w:r>
      <w:r w:rsidRPr="00341C73">
        <w:rPr>
          <w:rFonts w:ascii="Arial" w:eastAsia="Times New Roman" w:hAnsi="Arial" w:cs="Arial"/>
        </w:rPr>
        <w:t>000 km</w:t>
      </w:r>
      <w:r w:rsidRPr="00341C73">
        <w:rPr>
          <w:rFonts w:ascii="Arial" w:eastAsia="Times New Roman" w:hAnsi="Arial" w:cs="Arial"/>
          <w:vertAlign w:val="superscript"/>
        </w:rPr>
        <w:t>2</w:t>
      </w:r>
    </w:p>
    <w:p w14:paraId="50FFDFC0" w14:textId="77777777" w:rsidR="007C16D6" w:rsidRPr="00341C73" w:rsidRDefault="007C16D6" w:rsidP="007436D7">
      <w:pPr>
        <w:autoSpaceDE w:val="0"/>
        <w:autoSpaceDN w:val="0"/>
        <w:adjustRightInd w:val="0"/>
        <w:spacing w:after="0" w:line="240" w:lineRule="auto"/>
        <w:rPr>
          <w:rFonts w:ascii="Arial" w:eastAsia="Times New Roman" w:hAnsi="Arial" w:cs="Arial"/>
        </w:rPr>
      </w:pPr>
    </w:p>
    <w:p w14:paraId="0337AB6F"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rPr>
        <w:t>Level of your confidence in this estimated extent of occurrence:</w:t>
      </w:r>
    </w:p>
    <w:p w14:paraId="09B87D45"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0–30% - low level of certainty/ a bit of a guess/ not much data to go on</w:t>
      </w:r>
    </w:p>
    <w:p w14:paraId="05AA7F89"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31–50% - more than a guess, some level of supporting evidence</w:t>
      </w:r>
    </w:p>
    <w:p w14:paraId="78EB6F77"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51–95% - reasonably certain, data suggests this range of decline</w:t>
      </w:r>
    </w:p>
    <w:p w14:paraId="7B202ED4" w14:textId="77777777" w:rsidR="007C16D6" w:rsidRPr="00341C73" w:rsidRDefault="007C16D6" w:rsidP="007C16D6">
      <w:pPr>
        <w:autoSpaceDE w:val="0"/>
        <w:autoSpaceDN w:val="0"/>
        <w:adjustRightInd w:val="0"/>
        <w:spacing w:after="0" w:line="240" w:lineRule="auto"/>
        <w:ind w:firstLine="360"/>
        <w:rPr>
          <w:rFonts w:ascii="Arial" w:eastAsia="Times New Roman" w:hAnsi="Arial" w:cs="Arial"/>
        </w:rPr>
      </w:pPr>
      <w:r w:rsidRPr="00341C73">
        <w:rPr>
          <w:rFonts w:ascii="Arial" w:eastAsia="Times New Roman" w:hAnsi="Arial" w:cs="Arial"/>
          <w:sz w:val="44"/>
          <w:szCs w:val="44"/>
        </w:rPr>
        <w:t>□</w:t>
      </w:r>
      <w:r w:rsidRPr="00341C73">
        <w:rPr>
          <w:rFonts w:ascii="Arial" w:eastAsia="Times New Roman" w:hAnsi="Arial" w:cs="Arial"/>
        </w:rPr>
        <w:t xml:space="preserve"> 95–100% -high level of certainty, data indicates a decline within this range</w:t>
      </w:r>
    </w:p>
    <w:p w14:paraId="1CB1650B" w14:textId="77777777" w:rsidR="007C16D6" w:rsidRPr="00341C73" w:rsidRDefault="007C16D6" w:rsidP="007C16D6">
      <w:pPr>
        <w:spacing w:after="0" w:line="240" w:lineRule="auto"/>
        <w:ind w:firstLine="360"/>
        <w:rPr>
          <w:rFonts w:ascii="Times New Roman" w:eastAsia="Times New Roman" w:hAnsi="Times New Roman" w:cs="Times New Roman"/>
        </w:rPr>
      </w:pPr>
      <w:r w:rsidRPr="00341C73">
        <w:rPr>
          <w:rFonts w:ascii="Arial" w:eastAsia="Times New Roman" w:hAnsi="Arial" w:cs="Arial"/>
          <w:sz w:val="44"/>
          <w:szCs w:val="44"/>
        </w:rPr>
        <w:t>□</w:t>
      </w:r>
      <w:r w:rsidRPr="00341C73">
        <w:rPr>
          <w:rFonts w:ascii="Arial" w:eastAsia="Times New Roman" w:hAnsi="Arial" w:cs="Arial"/>
        </w:rPr>
        <w:t xml:space="preserve"> 99–100% - very high level of certainty, data is accurate within this range</w:t>
      </w:r>
    </w:p>
    <w:p w14:paraId="5C7E0B5F"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6A871413"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5B1A1190"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2 – INFORMATION FOR CONSERVATION ADVICE ON THREATS AND CONSERVATION ACTIONS</w:t>
      </w:r>
    </w:p>
    <w:p w14:paraId="1220BA66"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0C9BA2EA"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49C5A5E7"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G</w:t>
      </w:r>
      <w:r w:rsidRPr="00341C73">
        <w:rPr>
          <w:rFonts w:ascii="Arial,Bold" w:eastAsia="Times New Roman" w:hAnsi="Arial,Bold" w:cs="Arial,Bold"/>
          <w:b/>
          <w:bCs/>
        </w:rPr>
        <w:tab/>
        <w:t xml:space="preserve">DO YOU HAVE INFORMATION ON THREATS TO THE SURVIVAL OF THE SPECIES/SUBSPECIES? </w:t>
      </w:r>
      <w:r w:rsidRPr="00341C73">
        <w:rPr>
          <w:rFonts w:ascii="Arial" w:eastAsia="Times New Roman" w:hAnsi="Arial" w:cs="Arial"/>
          <w:b/>
        </w:rPr>
        <w:t>(If no, skip to section H)</w:t>
      </w:r>
    </w:p>
    <w:p w14:paraId="3E7A5FEA" w14:textId="77777777" w:rsidR="007C16D6" w:rsidRPr="00341C73" w:rsidRDefault="007C16D6" w:rsidP="007C16D6">
      <w:pPr>
        <w:autoSpaceDE w:val="0"/>
        <w:autoSpaceDN w:val="0"/>
        <w:adjustRightInd w:val="0"/>
        <w:spacing w:after="0" w:line="240" w:lineRule="auto"/>
        <w:ind w:left="1560" w:hanging="1560"/>
        <w:rPr>
          <w:rFonts w:ascii="Arial,Bold" w:eastAsia="Times New Roman" w:hAnsi="Arial,Bold" w:cs="Arial,Bold"/>
          <w:b/>
          <w:bCs/>
        </w:rPr>
      </w:pPr>
    </w:p>
    <w:p w14:paraId="77BE7B68"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Do you consider that all major threats have been identified and described adequately?</w:t>
      </w:r>
    </w:p>
    <w:p w14:paraId="61913818"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1B21DF8A"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To what degree are the identified threats likely to impact on the species/subspecies in the future?</w:t>
      </w:r>
    </w:p>
    <w:p w14:paraId="7D897D68"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1E9CFB8A"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Are the threats impacting on different populations equally, or do the threats vary across different populations?</w:t>
      </w:r>
    </w:p>
    <w:p w14:paraId="076AA13F"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20B8A5A3"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additional or alternative information on past, current or potential threats that may adversely affect the species/subspecies at any stage of its life cycle?</w:t>
      </w:r>
    </w:p>
    <w:p w14:paraId="66B71715"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18FD7BAA"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provide supporting data/justification or other information for your responses to these questions about threats?</w:t>
      </w:r>
    </w:p>
    <w:p w14:paraId="4F7DE5F9" w14:textId="77777777" w:rsidR="007C16D6" w:rsidRPr="00341C73" w:rsidRDefault="007C16D6" w:rsidP="007C16D6">
      <w:pPr>
        <w:autoSpaceDE w:val="0"/>
        <w:autoSpaceDN w:val="0"/>
        <w:adjustRightInd w:val="0"/>
        <w:spacing w:after="0" w:line="240" w:lineRule="auto"/>
        <w:ind w:left="1560" w:hanging="1560"/>
        <w:rPr>
          <w:rFonts w:ascii="Arial,Bold" w:eastAsia="Times New Roman" w:hAnsi="Arial,Bold" w:cs="Arial,Bold"/>
          <w:b/>
          <w:bCs/>
        </w:rPr>
      </w:pPr>
    </w:p>
    <w:p w14:paraId="2BEC6AA8" w14:textId="77777777" w:rsidR="007C16D6" w:rsidRPr="00341C73" w:rsidRDefault="007C16D6" w:rsidP="007C16D6">
      <w:pPr>
        <w:autoSpaceDE w:val="0"/>
        <w:autoSpaceDN w:val="0"/>
        <w:adjustRightInd w:val="0"/>
        <w:spacing w:after="0" w:line="240" w:lineRule="auto"/>
        <w:ind w:left="1560" w:hanging="1560"/>
        <w:rPr>
          <w:rFonts w:ascii="Arial" w:eastAsia="Times New Roman" w:hAnsi="Arial" w:cs="Arial"/>
          <w:b/>
        </w:rPr>
      </w:pPr>
      <w:r w:rsidRPr="00341C73">
        <w:rPr>
          <w:rFonts w:ascii="Arial,Bold" w:eastAsia="Times New Roman" w:hAnsi="Arial,Bold" w:cs="Arial,Bold"/>
          <w:b/>
          <w:bCs/>
          <w:u w:val="single"/>
        </w:rPr>
        <w:t>SECTION H</w:t>
      </w:r>
      <w:r w:rsidRPr="00341C73">
        <w:rPr>
          <w:rFonts w:ascii="Arial,Bold" w:eastAsia="Times New Roman" w:hAnsi="Arial,Bold" w:cs="Arial,Bold"/>
          <w:b/>
          <w:bCs/>
        </w:rPr>
        <w:t xml:space="preserve"> </w:t>
      </w:r>
      <w:r w:rsidRPr="00341C73">
        <w:rPr>
          <w:rFonts w:ascii="Arial,Bold" w:eastAsia="Times New Roman" w:hAnsi="Arial,Bold" w:cs="Arial,Bold"/>
          <w:b/>
          <w:bCs/>
        </w:rPr>
        <w:tab/>
        <w:t xml:space="preserve">DO YOU HAVE INFORMATION ON CURRENT OR FUTURE MANAGEMENT FOR THE RECOVERY OF THE SPECIES/SUBSPECIES? </w:t>
      </w:r>
      <w:r w:rsidRPr="00341C73">
        <w:rPr>
          <w:rFonts w:ascii="Arial" w:eastAsia="Times New Roman" w:hAnsi="Arial" w:cs="Arial"/>
          <w:b/>
        </w:rPr>
        <w:t>(If no, skip to section I)</w:t>
      </w:r>
    </w:p>
    <w:p w14:paraId="27C489C5" w14:textId="77777777" w:rsidR="007C16D6" w:rsidRPr="00341C73" w:rsidRDefault="007C16D6" w:rsidP="007C16D6">
      <w:pPr>
        <w:autoSpaceDE w:val="0"/>
        <w:autoSpaceDN w:val="0"/>
        <w:adjustRightInd w:val="0"/>
        <w:spacing w:after="0" w:line="240" w:lineRule="auto"/>
        <w:ind w:left="1560" w:hanging="1560"/>
        <w:rPr>
          <w:rFonts w:ascii="Arial,Bold" w:eastAsia="Times New Roman" w:hAnsi="Arial,Bold" w:cs="Arial,Bold"/>
          <w:b/>
          <w:bCs/>
        </w:rPr>
      </w:pPr>
    </w:p>
    <w:p w14:paraId="39E62322"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What planning, management and recovery actions are currently in place supporting protection and recovery of the species/subspecies? To what extent have they been effective?</w:t>
      </w:r>
    </w:p>
    <w:p w14:paraId="4CDE9DA7"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1352E264"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Can you recommend any additional or alternative specific threat abatement or conservation actions that would aid the protection and recovery of the species/subspecies?</w:t>
      </w:r>
    </w:p>
    <w:p w14:paraId="6DC3DE2F" w14:textId="77777777" w:rsidR="007C16D6" w:rsidRPr="00341C73" w:rsidRDefault="007C16D6" w:rsidP="007C16D6">
      <w:pPr>
        <w:autoSpaceDE w:val="0"/>
        <w:autoSpaceDN w:val="0"/>
        <w:adjustRightInd w:val="0"/>
        <w:spacing w:after="0" w:line="240" w:lineRule="auto"/>
        <w:ind w:left="360"/>
        <w:rPr>
          <w:rFonts w:ascii="Arial" w:eastAsia="Times New Roman" w:hAnsi="Arial" w:cs="Arial"/>
        </w:rPr>
      </w:pPr>
    </w:p>
    <w:p w14:paraId="0E2F9256"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rPr>
      </w:pPr>
      <w:r w:rsidRPr="00341C73">
        <w:rPr>
          <w:rFonts w:ascii="Arial" w:eastAsia="Times New Roman" w:hAnsi="Arial" w:cs="Arial"/>
        </w:rPr>
        <w:t xml:space="preserve">Would you recommend translocation (outside of the species’ historic range) as a viable option as a </w:t>
      </w:r>
      <w:proofErr w:type="gramStart"/>
      <w:r w:rsidRPr="00341C73">
        <w:rPr>
          <w:rFonts w:ascii="Arial" w:eastAsia="Times New Roman" w:hAnsi="Arial" w:cs="Arial"/>
        </w:rPr>
        <w:t>conservation actions</w:t>
      </w:r>
      <w:proofErr w:type="gramEnd"/>
      <w:r w:rsidRPr="00341C73">
        <w:rPr>
          <w:rFonts w:ascii="Arial" w:eastAsia="Times New Roman" w:hAnsi="Arial" w:cs="Arial"/>
        </w:rPr>
        <w:t xml:space="preserve"> for this species/subspecies?</w:t>
      </w:r>
    </w:p>
    <w:p w14:paraId="520D9807"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6E8E1384" w14:textId="77777777" w:rsidR="007C16D6" w:rsidRPr="00341C73" w:rsidRDefault="007C16D6" w:rsidP="007C16D6">
      <w:pPr>
        <w:keepNext/>
        <w:autoSpaceDE w:val="0"/>
        <w:autoSpaceDN w:val="0"/>
        <w:adjustRightInd w:val="0"/>
        <w:spacing w:after="0" w:line="240" w:lineRule="auto"/>
        <w:ind w:left="1560" w:hanging="1560"/>
        <w:rPr>
          <w:rFonts w:ascii="Arial" w:eastAsia="Times New Roman" w:hAnsi="Arial" w:cs="Arial"/>
          <w:b/>
        </w:rPr>
      </w:pPr>
      <w:r w:rsidRPr="00341C73">
        <w:rPr>
          <w:rFonts w:ascii="Arial" w:eastAsia="Times New Roman" w:hAnsi="Arial" w:cs="Arial"/>
          <w:b/>
          <w:u w:val="single"/>
        </w:rPr>
        <w:t>SECTION I</w:t>
      </w:r>
      <w:r w:rsidRPr="00341C73">
        <w:rPr>
          <w:rFonts w:ascii="Arial" w:eastAsia="Times New Roman" w:hAnsi="Arial" w:cs="Arial"/>
          <w:b/>
        </w:rPr>
        <w:t xml:space="preserve"> </w:t>
      </w:r>
      <w:r w:rsidRPr="00341C73">
        <w:rPr>
          <w:rFonts w:ascii="Arial" w:eastAsia="Times New Roman" w:hAnsi="Arial" w:cs="Arial"/>
          <w:b/>
        </w:rPr>
        <w:tab/>
        <w:t>DO YOU HAVE INFORMATION ON STAKEHOLDERS IN THE RECOVERY OF THE SPECIES/SUBSPECIES?</w:t>
      </w:r>
    </w:p>
    <w:p w14:paraId="5B8F9A06" w14:textId="77777777" w:rsidR="007C16D6" w:rsidRPr="00341C73" w:rsidRDefault="007C16D6" w:rsidP="007C16D6">
      <w:pPr>
        <w:keepNext/>
        <w:autoSpaceDE w:val="0"/>
        <w:autoSpaceDN w:val="0"/>
        <w:adjustRightInd w:val="0"/>
        <w:spacing w:after="0" w:line="240" w:lineRule="auto"/>
        <w:ind w:left="1560" w:hanging="1560"/>
        <w:rPr>
          <w:rFonts w:ascii="Arial" w:eastAsia="Times New Roman" w:hAnsi="Arial" w:cs="Arial"/>
          <w:b/>
        </w:rPr>
      </w:pPr>
    </w:p>
    <w:p w14:paraId="2F14C7C0"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other knowledge (e.g., traditional ecological knowledge) or individuals/groups with knowledge that may help better understand population trends/fluctuations, or critical areas of habitat?</w:t>
      </w:r>
    </w:p>
    <w:p w14:paraId="4B3FD5FC" w14:textId="77777777" w:rsidR="007C16D6" w:rsidRPr="00341C73" w:rsidRDefault="007C16D6" w:rsidP="007C16D6">
      <w:pPr>
        <w:autoSpaceDE w:val="0"/>
        <w:autoSpaceDN w:val="0"/>
        <w:adjustRightInd w:val="0"/>
        <w:spacing w:after="0" w:line="240" w:lineRule="auto"/>
        <w:ind w:left="360"/>
        <w:rPr>
          <w:rFonts w:ascii="Arial" w:eastAsia="Times New Roman" w:hAnsi="Arial" w:cs="Arial"/>
          <w:color w:val="000000"/>
        </w:rPr>
      </w:pPr>
    </w:p>
    <w:p w14:paraId="6B00F817"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you aware of any cultural or social importance or use that the species/subspecies has?</w:t>
      </w:r>
    </w:p>
    <w:p w14:paraId="1F3A7881" w14:textId="77777777" w:rsidR="007C16D6" w:rsidRPr="00341C73" w:rsidRDefault="007C16D6" w:rsidP="007C16D6">
      <w:pPr>
        <w:autoSpaceDE w:val="0"/>
        <w:autoSpaceDN w:val="0"/>
        <w:adjustRightInd w:val="0"/>
        <w:spacing w:after="0" w:line="240" w:lineRule="auto"/>
        <w:ind w:left="360"/>
        <w:rPr>
          <w:rFonts w:ascii="Arial" w:eastAsia="Times New Roman" w:hAnsi="Arial" w:cs="Arial"/>
          <w:color w:val="000000"/>
        </w:rPr>
      </w:pPr>
    </w:p>
    <w:p w14:paraId="212DA0F1"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individuals or organisations are currently, or potentially could be, involved in management and recovery of the species/subspecies?</w:t>
      </w:r>
    </w:p>
    <w:p w14:paraId="6E83FA3D" w14:textId="77777777" w:rsidR="007C16D6" w:rsidRPr="00341C73" w:rsidRDefault="007C16D6" w:rsidP="007C16D6">
      <w:pPr>
        <w:autoSpaceDE w:val="0"/>
        <w:autoSpaceDN w:val="0"/>
        <w:adjustRightInd w:val="0"/>
        <w:spacing w:after="0" w:line="240" w:lineRule="auto"/>
        <w:ind w:left="360"/>
        <w:rPr>
          <w:rFonts w:ascii="Arial" w:eastAsia="Times New Roman" w:hAnsi="Arial" w:cs="Arial"/>
          <w:color w:val="000000"/>
        </w:rPr>
      </w:pPr>
    </w:p>
    <w:p w14:paraId="5823FB4E"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 xml:space="preserve">How aware of this species/subspecies are land managers where the species/subspecies is found? </w:t>
      </w:r>
    </w:p>
    <w:p w14:paraId="776CD6FE" w14:textId="77777777" w:rsidR="007C16D6" w:rsidRPr="00341C73" w:rsidRDefault="007C16D6" w:rsidP="007C16D6">
      <w:pPr>
        <w:autoSpaceDE w:val="0"/>
        <w:autoSpaceDN w:val="0"/>
        <w:adjustRightInd w:val="0"/>
        <w:spacing w:after="0" w:line="240" w:lineRule="auto"/>
        <w:ind w:left="360"/>
        <w:rPr>
          <w:rFonts w:ascii="Arial" w:eastAsia="Times New Roman" w:hAnsi="Arial" w:cs="Arial"/>
          <w:color w:val="000000"/>
        </w:rPr>
      </w:pPr>
    </w:p>
    <w:p w14:paraId="2580D18D"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rPr>
        <w:t>What level of awareness is there with individuals or organisations around the issues affecting the species/subspecies?</w:t>
      </w:r>
    </w:p>
    <w:p w14:paraId="59F3CAB0" w14:textId="77777777" w:rsidR="007C16D6" w:rsidRPr="00341C73" w:rsidRDefault="007C16D6" w:rsidP="007C16D6">
      <w:pPr>
        <w:autoSpaceDE w:val="0"/>
        <w:autoSpaceDN w:val="0"/>
        <w:adjustRightInd w:val="0"/>
        <w:spacing w:after="0" w:line="240" w:lineRule="auto"/>
        <w:ind w:left="360"/>
        <w:rPr>
          <w:rFonts w:ascii="Arial" w:eastAsia="Times New Roman" w:hAnsi="Arial" w:cs="Arial"/>
          <w:color w:val="000000"/>
        </w:rPr>
      </w:pPr>
    </w:p>
    <w:p w14:paraId="78B3B22D" w14:textId="77777777" w:rsidR="007C16D6" w:rsidRPr="00341C73" w:rsidRDefault="007C16D6" w:rsidP="007C16D6">
      <w:pPr>
        <w:numPr>
          <w:ilvl w:val="1"/>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Where there is awareness, what are these interests of these individuals/organisations?</w:t>
      </w:r>
    </w:p>
    <w:p w14:paraId="20C76C4C" w14:textId="77777777" w:rsidR="007C16D6" w:rsidRPr="00341C73" w:rsidRDefault="007C16D6" w:rsidP="007C16D6">
      <w:pPr>
        <w:autoSpaceDE w:val="0"/>
        <w:autoSpaceDN w:val="0"/>
        <w:adjustRightInd w:val="0"/>
        <w:spacing w:after="0" w:line="240" w:lineRule="auto"/>
        <w:ind w:left="1080"/>
        <w:rPr>
          <w:rFonts w:ascii="Arial" w:eastAsia="Times New Roman" w:hAnsi="Arial" w:cs="Arial"/>
          <w:color w:val="000000"/>
        </w:rPr>
      </w:pPr>
    </w:p>
    <w:p w14:paraId="1D927481" w14:textId="77777777" w:rsidR="007C16D6" w:rsidRPr="00341C73" w:rsidRDefault="007C16D6" w:rsidP="007C16D6">
      <w:pPr>
        <w:numPr>
          <w:ilvl w:val="1"/>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Are there populations or areas of habitat that are particularly important to the community?</w:t>
      </w:r>
    </w:p>
    <w:p w14:paraId="168C4AFD" w14:textId="77777777" w:rsidR="007C16D6" w:rsidRPr="00341C73" w:rsidRDefault="007C16D6" w:rsidP="007C16D6">
      <w:pPr>
        <w:autoSpaceDE w:val="0"/>
        <w:autoSpaceDN w:val="0"/>
        <w:adjustRightInd w:val="0"/>
        <w:spacing w:after="0" w:line="240" w:lineRule="auto"/>
        <w:rPr>
          <w:rFonts w:ascii="Times New Roman" w:eastAsia="Times New Roman" w:hAnsi="Times New Roman" w:cs="Times New Roman"/>
          <w:sz w:val="20"/>
          <w:szCs w:val="20"/>
        </w:rPr>
      </w:pPr>
    </w:p>
    <w:p w14:paraId="1F258263"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7D07C576"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rPr>
      </w:pPr>
      <w:r w:rsidRPr="00341C73">
        <w:rPr>
          <w:rFonts w:ascii="Arial" w:eastAsia="Times New Roman" w:hAnsi="Arial" w:cs="Arial"/>
          <w:b/>
        </w:rPr>
        <w:t>PART 3 – ANY OTHER INFORMATION</w:t>
      </w:r>
    </w:p>
    <w:p w14:paraId="2E2F343B" w14:textId="77777777" w:rsidR="007C16D6" w:rsidRPr="00341C73" w:rsidRDefault="007C16D6" w:rsidP="007C16D6">
      <w:pPr>
        <w:shd w:val="clear" w:color="auto" w:fill="D9D9D9" w:themeFill="background1" w:themeFillShade="D9"/>
        <w:autoSpaceDE w:val="0"/>
        <w:autoSpaceDN w:val="0"/>
        <w:adjustRightInd w:val="0"/>
        <w:spacing w:after="0" w:line="240" w:lineRule="auto"/>
        <w:jc w:val="center"/>
        <w:rPr>
          <w:rFonts w:ascii="Arial" w:eastAsia="Times New Roman" w:hAnsi="Arial" w:cs="Arial"/>
          <w:b/>
          <w:sz w:val="20"/>
          <w:szCs w:val="20"/>
        </w:rPr>
      </w:pPr>
    </w:p>
    <w:p w14:paraId="63F398B8" w14:textId="77777777" w:rsidR="007C16D6" w:rsidRPr="00341C73" w:rsidRDefault="007C16D6" w:rsidP="007C16D6">
      <w:pPr>
        <w:autoSpaceDE w:val="0"/>
        <w:autoSpaceDN w:val="0"/>
        <w:adjustRightInd w:val="0"/>
        <w:spacing w:after="0" w:line="240" w:lineRule="auto"/>
        <w:rPr>
          <w:rFonts w:ascii="Arial" w:eastAsia="Times New Roman" w:hAnsi="Arial" w:cs="Arial"/>
        </w:rPr>
      </w:pPr>
    </w:p>
    <w:p w14:paraId="1336AA28" w14:textId="77777777" w:rsidR="007C16D6" w:rsidRPr="00341C73" w:rsidRDefault="007C16D6" w:rsidP="007C16D6">
      <w:pPr>
        <w:numPr>
          <w:ilvl w:val="0"/>
          <w:numId w:val="48"/>
        </w:numPr>
        <w:autoSpaceDE w:val="0"/>
        <w:autoSpaceDN w:val="0"/>
        <w:adjustRightInd w:val="0"/>
        <w:spacing w:after="0" w:line="240" w:lineRule="auto"/>
        <w:contextualSpacing/>
        <w:rPr>
          <w:rFonts w:ascii="Arial" w:eastAsia="Times New Roman" w:hAnsi="Arial" w:cs="Arial"/>
          <w:color w:val="000000"/>
        </w:rPr>
      </w:pPr>
      <w:r w:rsidRPr="00341C73">
        <w:rPr>
          <w:rFonts w:ascii="Arial" w:eastAsia="Times New Roman" w:hAnsi="Arial" w:cs="Arial"/>
          <w:color w:val="000000"/>
        </w:rPr>
        <w:t>Do you have comments on any other matters relevant to the assessment of this species/subspecies?</w:t>
      </w:r>
    </w:p>
    <w:p w14:paraId="332A75CE" w14:textId="77777777" w:rsidR="007C16D6" w:rsidRPr="00341C73" w:rsidRDefault="007C16D6" w:rsidP="007C16D6">
      <w:pPr>
        <w:spacing w:after="0" w:line="240" w:lineRule="auto"/>
        <w:rPr>
          <w:rFonts w:ascii="Times New Roman" w:eastAsia="Times New Roman" w:hAnsi="Times New Roman" w:cs="Times New Roman"/>
          <w:sz w:val="20"/>
          <w:szCs w:val="20"/>
        </w:rPr>
      </w:pPr>
    </w:p>
    <w:p w14:paraId="7EF63F4B" w14:textId="77777777" w:rsidR="007C16D6" w:rsidRPr="00341C73" w:rsidRDefault="007C16D6" w:rsidP="007C16D6">
      <w:pPr>
        <w:spacing w:after="0" w:line="240" w:lineRule="auto"/>
        <w:rPr>
          <w:rFonts w:ascii="Times New Roman" w:eastAsia="Times New Roman" w:hAnsi="Times New Roman" w:cs="Times New Roman"/>
          <w:sz w:val="20"/>
          <w:szCs w:val="20"/>
        </w:rPr>
      </w:pPr>
    </w:p>
    <w:p w14:paraId="47E709D2" w14:textId="77777777" w:rsidR="007C16D6" w:rsidRDefault="007C16D6" w:rsidP="007C16D6">
      <w:pPr>
        <w:spacing w:after="0" w:line="240" w:lineRule="auto"/>
      </w:pPr>
    </w:p>
    <w:p w14:paraId="68304ECA" w14:textId="77777777" w:rsidR="00F20180" w:rsidRDefault="00F20180" w:rsidP="00F20180">
      <w:pPr>
        <w:rPr>
          <w:bCs/>
        </w:rPr>
      </w:pPr>
    </w:p>
    <w:bookmarkEnd w:id="23"/>
    <w:p w14:paraId="1054F824" w14:textId="77777777" w:rsidR="009E30E5" w:rsidRPr="009E30E5" w:rsidRDefault="009E30E5" w:rsidP="009E30E5"/>
    <w:sectPr w:rsidR="009E30E5" w:rsidRPr="009E30E5" w:rsidSect="002F232F">
      <w:headerReference w:type="even" r:id="rId36"/>
      <w:headerReference w:type="default" r:id="rId37"/>
      <w:headerReference w:type="first" r:id="rId38"/>
      <w:footerReference w:type="first" r:id="rId3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1432" w14:textId="77777777" w:rsidR="00757265" w:rsidRDefault="00757265">
      <w:r>
        <w:separator/>
      </w:r>
    </w:p>
    <w:p w14:paraId="79FB93E8" w14:textId="77777777" w:rsidR="00757265" w:rsidRDefault="00757265"/>
    <w:p w14:paraId="43663201" w14:textId="77777777" w:rsidR="00757265" w:rsidRDefault="00757265"/>
    <w:p w14:paraId="42991A9E" w14:textId="77777777" w:rsidR="00757265" w:rsidRDefault="00757265"/>
  </w:endnote>
  <w:endnote w:type="continuationSeparator" w:id="0">
    <w:p w14:paraId="1BD50A72" w14:textId="77777777" w:rsidR="00757265" w:rsidRDefault="00757265">
      <w:r>
        <w:continuationSeparator/>
      </w:r>
    </w:p>
    <w:p w14:paraId="56FE8470" w14:textId="77777777" w:rsidR="00757265" w:rsidRDefault="00757265"/>
    <w:p w14:paraId="7D2BB265" w14:textId="77777777" w:rsidR="00757265" w:rsidRDefault="00757265"/>
    <w:p w14:paraId="1067DA9C" w14:textId="77777777" w:rsidR="00757265" w:rsidRDefault="00757265"/>
  </w:endnote>
  <w:endnote w:type="continuationNotice" w:id="1">
    <w:p w14:paraId="05CFEF69" w14:textId="77777777" w:rsidR="00757265" w:rsidRDefault="00757265">
      <w:pPr>
        <w:pStyle w:val="Footer"/>
      </w:pPr>
    </w:p>
    <w:p w14:paraId="15204D1D" w14:textId="77777777" w:rsidR="00757265" w:rsidRDefault="00757265"/>
    <w:p w14:paraId="133B0D55" w14:textId="77777777" w:rsidR="00757265" w:rsidRDefault="00757265"/>
    <w:p w14:paraId="5B7B2768" w14:textId="77777777" w:rsidR="00757265" w:rsidRDefault="00757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2988" w14:textId="3848252F" w:rsidR="00D65BF7" w:rsidRDefault="00D65BF7" w:rsidP="00E02D9C">
    <w:pPr>
      <w:pStyle w:val="Footer"/>
    </w:pPr>
    <w:r>
      <w:t>Threatened Species Scientific Committee</w:t>
    </w:r>
  </w:p>
  <w:p w14:paraId="234230A7" w14:textId="3720DDF0" w:rsidR="00D65BF7" w:rsidRDefault="00D65BF7"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13C0" w14:textId="6A35C4EB" w:rsidR="00D65BF7" w:rsidRDefault="00D65BF7" w:rsidP="002F232F">
    <w:pPr>
      <w:pStyle w:val="Footer"/>
    </w:pPr>
    <w:r>
      <w:t xml:space="preserve">Department of Agriculture, </w:t>
    </w:r>
    <w:proofErr w:type="gramStart"/>
    <w:r>
      <w:t>Water</w:t>
    </w:r>
    <w:proofErr w:type="gramEnd"/>
    <w:r>
      <w:t xml:space="preserve"> and the Environment</w:t>
    </w:r>
  </w:p>
  <w:p w14:paraId="5F768F75" w14:textId="39C309F9" w:rsidR="00D65BF7" w:rsidRDefault="00D65BF7"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C289" w14:textId="10D64E6D" w:rsidR="00D65BF7" w:rsidRDefault="00D65BF7" w:rsidP="002F232F">
    <w:pPr>
      <w:pStyle w:val="Footer"/>
    </w:pPr>
    <w:r>
      <w:t>Threatened Species Scientific Committee</w:t>
    </w:r>
  </w:p>
  <w:p w14:paraId="76D7ADC0" w14:textId="77777777" w:rsidR="00D65BF7" w:rsidRDefault="00D65BF7"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CB58" w14:textId="77777777" w:rsidR="00757265" w:rsidRDefault="00757265">
      <w:r>
        <w:separator/>
      </w:r>
    </w:p>
    <w:p w14:paraId="312ECD28" w14:textId="77777777" w:rsidR="00757265" w:rsidRDefault="00757265"/>
    <w:p w14:paraId="6B81375E" w14:textId="77777777" w:rsidR="00757265" w:rsidRDefault="00757265"/>
    <w:p w14:paraId="5736080F" w14:textId="77777777" w:rsidR="00757265" w:rsidRDefault="00757265"/>
  </w:footnote>
  <w:footnote w:type="continuationSeparator" w:id="0">
    <w:p w14:paraId="042533F8" w14:textId="77777777" w:rsidR="00757265" w:rsidRDefault="00757265">
      <w:r>
        <w:continuationSeparator/>
      </w:r>
    </w:p>
    <w:p w14:paraId="2247731C" w14:textId="77777777" w:rsidR="00757265" w:rsidRDefault="00757265"/>
    <w:p w14:paraId="2A17ADA0" w14:textId="77777777" w:rsidR="00757265" w:rsidRDefault="00757265"/>
    <w:p w14:paraId="696C8C4B" w14:textId="77777777" w:rsidR="00757265" w:rsidRDefault="00757265"/>
  </w:footnote>
  <w:footnote w:type="continuationNotice" w:id="1">
    <w:p w14:paraId="67375D7A" w14:textId="77777777" w:rsidR="00757265" w:rsidRDefault="00757265">
      <w:pPr>
        <w:pStyle w:val="Footer"/>
      </w:pPr>
    </w:p>
    <w:p w14:paraId="5209FC04" w14:textId="77777777" w:rsidR="00757265" w:rsidRDefault="00757265"/>
    <w:p w14:paraId="64161877" w14:textId="77777777" w:rsidR="00757265" w:rsidRDefault="00757265"/>
    <w:p w14:paraId="3EB58677" w14:textId="77777777" w:rsidR="00757265" w:rsidRDefault="00757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5AD" w14:textId="39914748" w:rsidR="00D65BF7" w:rsidRDefault="00D65BF7">
    <w:pPr>
      <w:pStyle w:val="Header"/>
    </w:pPr>
  </w:p>
  <w:p w14:paraId="56094A49" w14:textId="77777777" w:rsidR="00D65BF7" w:rsidRDefault="00D65B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3B" w14:textId="7B6E0FCA" w:rsidR="00D65BF7" w:rsidRDefault="00D65BF7" w:rsidP="000202F4">
    <w:pPr>
      <w:pStyle w:val="Header"/>
    </w:pPr>
    <w:bookmarkStart w:id="0" w:name="_Hlk68442962"/>
    <w:proofErr w:type="spellStart"/>
    <w:r w:rsidRPr="00FD02C1">
      <w:rPr>
        <w:rStyle w:val="Emphasis"/>
      </w:rPr>
      <w:t>Neophema</w:t>
    </w:r>
    <w:proofErr w:type="spellEnd"/>
    <w:r w:rsidRPr="00FD02C1">
      <w:rPr>
        <w:rStyle w:val="Emphasis"/>
      </w:rPr>
      <w:t xml:space="preserve"> </w:t>
    </w:r>
    <w:proofErr w:type="spellStart"/>
    <w:r w:rsidRPr="00FD02C1">
      <w:rPr>
        <w:rStyle w:val="Emphasis"/>
      </w:rPr>
      <w:t>chrysostoma</w:t>
    </w:r>
    <w:proofErr w:type="spellEnd"/>
    <w:r w:rsidRPr="00FD02C1">
      <w:rPr>
        <w:rStyle w:val="Emphasis"/>
      </w:rPr>
      <w:t xml:space="preserve"> </w:t>
    </w:r>
    <w:r w:rsidRPr="00FD02C1">
      <w:rPr>
        <w:rStyle w:val="Emphasis"/>
        <w:i w:val="0"/>
        <w:iCs w:val="0"/>
      </w:rPr>
      <w:t>(Blue-winged Parrot)</w:t>
    </w:r>
    <w:r>
      <w:t xml:space="preserve"> </w:t>
    </w:r>
    <w:bookmarkEnd w:id="0"/>
    <w:r>
      <w:t>Consultation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00D5" w14:textId="589AA0B9" w:rsidR="00D65BF7" w:rsidRDefault="00D65BF7" w:rsidP="00C37215">
    <w:pPr>
      <w:pStyle w:val="Header"/>
      <w:tabs>
        <w:tab w:val="clear" w:pos="4820"/>
        <w:tab w:val="left" w:pos="7992"/>
      </w:tabs>
      <w:jc w:val="left"/>
    </w:pPr>
    <w:r>
      <w:rPr>
        <w:noProof/>
        <w:lang w:eastAsia="en-AU"/>
      </w:rPr>
      <w:drawing>
        <wp:inline distT="0" distB="0" distL="0" distR="0" wp14:anchorId="45C6DFDA" wp14:editId="5E5F8236">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D48" w14:textId="4EC8303F" w:rsidR="00D65BF7" w:rsidRDefault="00D65B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FCD8" w14:textId="31F34D8C" w:rsidR="00D65BF7" w:rsidRPr="0095150D" w:rsidRDefault="00D65BF7" w:rsidP="0095150D">
    <w:pPr>
      <w:pStyle w:val="Header"/>
    </w:pPr>
    <w:proofErr w:type="spellStart"/>
    <w:r w:rsidRPr="00FD02C1">
      <w:rPr>
        <w:rStyle w:val="Emphasis"/>
      </w:rPr>
      <w:t>Neophema</w:t>
    </w:r>
    <w:proofErr w:type="spellEnd"/>
    <w:r w:rsidRPr="00FD02C1">
      <w:rPr>
        <w:rStyle w:val="Emphasis"/>
      </w:rPr>
      <w:t xml:space="preserve"> </w:t>
    </w:r>
    <w:proofErr w:type="spellStart"/>
    <w:r w:rsidRPr="00FD02C1">
      <w:rPr>
        <w:rStyle w:val="Emphasis"/>
      </w:rPr>
      <w:t>chrysostoma</w:t>
    </w:r>
    <w:proofErr w:type="spellEnd"/>
    <w:r w:rsidRPr="00FD02C1">
      <w:rPr>
        <w:rStyle w:val="Emphasis"/>
      </w:rPr>
      <w:t xml:space="preserve"> </w:t>
    </w:r>
    <w:r w:rsidRPr="00FD02C1">
      <w:rPr>
        <w:rStyle w:val="Emphasis"/>
        <w:i w:val="0"/>
        <w:iCs w:val="0"/>
      </w:rPr>
      <w:t>(Blue-winged Parrot)</w:t>
    </w:r>
    <w:r>
      <w:t xml:space="preserve"> Consultation 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8E25" w14:textId="6379B2AB" w:rsidR="00D65BF7" w:rsidRPr="003E30FD" w:rsidRDefault="00D65BF7" w:rsidP="005208A6">
    <w:pPr>
      <w:pStyle w:val="Header"/>
      <w:rPr>
        <w:sz w:val="28"/>
        <w:szCs w:val="28"/>
        <w14:shadow w14:blurRad="50800" w14:dist="38100" w14:dir="2700000" w14:sx="100000" w14:sy="100000" w14:kx="0" w14:ky="0" w14:algn="tl">
          <w14:srgbClr w14:val="000000">
            <w14:alpha w14:val="60000"/>
          </w14:srgbClr>
        </w14:shadow>
      </w:rPr>
    </w:pP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41CA5597" w14:textId="7CBD7742" w:rsidR="00D65BF7" w:rsidRPr="00D728A1" w:rsidRDefault="00D65BF7"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E5D1D2F" w14:textId="4922C12F" w:rsidR="00D65BF7" w:rsidRDefault="00D65BF7" w:rsidP="00B66CC6">
    <w:pPr>
      <w:pStyle w:val="Header"/>
    </w:pPr>
    <w:bookmarkStart w:id="24" w:name="_Hlk80174339"/>
    <w:bookmarkStart w:id="25" w:name="_Hlk80174340"/>
    <w:bookmarkStart w:id="26" w:name="_Hlk80174379"/>
    <w:bookmarkStart w:id="27" w:name="_Hlk80174380"/>
    <w:bookmarkStart w:id="28" w:name="_Hlk80174500"/>
    <w:bookmarkStart w:id="29" w:name="_Hlk80174501"/>
    <w:bookmarkStart w:id="30" w:name="_Hlk80174539"/>
    <w:bookmarkStart w:id="31" w:name="_Hlk80174540"/>
    <w:r>
      <w:t>The Threatened Species Scientific Committee draft listing assessment</w:t>
    </w:r>
    <w:bookmarkEnd w:id="24"/>
    <w:bookmarkEnd w:id="25"/>
    <w:bookmarkEnd w:id="26"/>
    <w:bookmarkEnd w:id="27"/>
    <w:bookmarkEnd w:id="28"/>
    <w:bookmarkEnd w:id="29"/>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6CA5F6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23887CA2"/>
    <w:numStyleLink w:val="List1"/>
  </w:abstractNum>
  <w:abstractNum w:abstractNumId="19" w15:restartNumberingAfterBreak="0">
    <w:nsid w:val="486800B4"/>
    <w:multiLevelType w:val="multilevel"/>
    <w:tmpl w:val="23887CA2"/>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23887CA2"/>
    <w:numStyleLink w:val="List1"/>
  </w:abstractNum>
  <w:num w:numId="1">
    <w:abstractNumId w:val="7"/>
  </w:num>
  <w:num w:numId="2">
    <w:abstractNumId w:val="19"/>
  </w:num>
  <w:num w:numId="3">
    <w:abstractNumId w:val="20"/>
  </w:num>
  <w:num w:numId="4">
    <w:abstractNumId w:val="12"/>
  </w:num>
  <w:num w:numId="5">
    <w:abstractNumId w:val="25"/>
  </w:num>
  <w:num w:numId="6">
    <w:abstractNumId w:val="26"/>
  </w:num>
  <w:num w:numId="7">
    <w:abstractNumId w:val="9"/>
  </w:num>
  <w:num w:numId="8">
    <w:abstractNumId w:val="15"/>
  </w:num>
  <w:num w:numId="9">
    <w:abstractNumId w:val="17"/>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3"/>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0"/>
  </w:num>
  <w:num w:numId="31">
    <w:abstractNumId w:val="5"/>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8"/>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3B"/>
    <w:rsid w:val="000011D8"/>
    <w:rsid w:val="000075C7"/>
    <w:rsid w:val="00010D07"/>
    <w:rsid w:val="000202F4"/>
    <w:rsid w:val="000213FD"/>
    <w:rsid w:val="00025619"/>
    <w:rsid w:val="000341E0"/>
    <w:rsid w:val="00036B82"/>
    <w:rsid w:val="00041499"/>
    <w:rsid w:val="0004550E"/>
    <w:rsid w:val="000479AD"/>
    <w:rsid w:val="00055477"/>
    <w:rsid w:val="00057806"/>
    <w:rsid w:val="00063C71"/>
    <w:rsid w:val="00063E78"/>
    <w:rsid w:val="00065F4B"/>
    <w:rsid w:val="00071129"/>
    <w:rsid w:val="00077C1B"/>
    <w:rsid w:val="000835A0"/>
    <w:rsid w:val="00085069"/>
    <w:rsid w:val="0008585E"/>
    <w:rsid w:val="0008655C"/>
    <w:rsid w:val="00092E0C"/>
    <w:rsid w:val="000959C5"/>
    <w:rsid w:val="000A0CE0"/>
    <w:rsid w:val="000A4134"/>
    <w:rsid w:val="000A5776"/>
    <w:rsid w:val="000A6133"/>
    <w:rsid w:val="000A722E"/>
    <w:rsid w:val="000B5E97"/>
    <w:rsid w:val="000B7CE7"/>
    <w:rsid w:val="000D1830"/>
    <w:rsid w:val="000D51F3"/>
    <w:rsid w:val="000D55BC"/>
    <w:rsid w:val="000D738D"/>
    <w:rsid w:val="000D7FAF"/>
    <w:rsid w:val="000E630E"/>
    <w:rsid w:val="000E690C"/>
    <w:rsid w:val="000F018A"/>
    <w:rsid w:val="000F30DC"/>
    <w:rsid w:val="000F3B70"/>
    <w:rsid w:val="000F3D21"/>
    <w:rsid w:val="00102FDA"/>
    <w:rsid w:val="00114207"/>
    <w:rsid w:val="0011667C"/>
    <w:rsid w:val="001200FA"/>
    <w:rsid w:val="00120CED"/>
    <w:rsid w:val="0012461E"/>
    <w:rsid w:val="001270CA"/>
    <w:rsid w:val="00127B77"/>
    <w:rsid w:val="00130A0B"/>
    <w:rsid w:val="00133292"/>
    <w:rsid w:val="001376F1"/>
    <w:rsid w:val="00137F5A"/>
    <w:rsid w:val="001443D1"/>
    <w:rsid w:val="00145862"/>
    <w:rsid w:val="00145DB1"/>
    <w:rsid w:val="0014734D"/>
    <w:rsid w:val="001534FF"/>
    <w:rsid w:val="00154B5B"/>
    <w:rsid w:val="00155BA9"/>
    <w:rsid w:val="0016081E"/>
    <w:rsid w:val="00161E8C"/>
    <w:rsid w:val="001633F4"/>
    <w:rsid w:val="00165364"/>
    <w:rsid w:val="00166185"/>
    <w:rsid w:val="00170795"/>
    <w:rsid w:val="00172CCD"/>
    <w:rsid w:val="001739A8"/>
    <w:rsid w:val="00177744"/>
    <w:rsid w:val="00180329"/>
    <w:rsid w:val="0018058D"/>
    <w:rsid w:val="00185941"/>
    <w:rsid w:val="00186635"/>
    <w:rsid w:val="0018724B"/>
    <w:rsid w:val="00192BD6"/>
    <w:rsid w:val="0019598A"/>
    <w:rsid w:val="001A0FF1"/>
    <w:rsid w:val="001A2D13"/>
    <w:rsid w:val="001A3C77"/>
    <w:rsid w:val="001A46D1"/>
    <w:rsid w:val="001A71E1"/>
    <w:rsid w:val="001B077B"/>
    <w:rsid w:val="001B19FD"/>
    <w:rsid w:val="001B2BE2"/>
    <w:rsid w:val="001B2FA0"/>
    <w:rsid w:val="001B441B"/>
    <w:rsid w:val="001B55AE"/>
    <w:rsid w:val="001B6A4E"/>
    <w:rsid w:val="001B729C"/>
    <w:rsid w:val="001C3F42"/>
    <w:rsid w:val="001C7420"/>
    <w:rsid w:val="001E3289"/>
    <w:rsid w:val="001E3B37"/>
    <w:rsid w:val="001E4765"/>
    <w:rsid w:val="001E5131"/>
    <w:rsid w:val="001E68C4"/>
    <w:rsid w:val="001F2730"/>
    <w:rsid w:val="001F6AF1"/>
    <w:rsid w:val="00213391"/>
    <w:rsid w:val="0021433D"/>
    <w:rsid w:val="00221209"/>
    <w:rsid w:val="0022142B"/>
    <w:rsid w:val="00223138"/>
    <w:rsid w:val="0023010D"/>
    <w:rsid w:val="002319AB"/>
    <w:rsid w:val="00232977"/>
    <w:rsid w:val="0024549B"/>
    <w:rsid w:val="00252237"/>
    <w:rsid w:val="00252454"/>
    <w:rsid w:val="00266DC5"/>
    <w:rsid w:val="002728F2"/>
    <w:rsid w:val="00274B8A"/>
    <w:rsid w:val="00275380"/>
    <w:rsid w:val="00276E5C"/>
    <w:rsid w:val="002802A2"/>
    <w:rsid w:val="002803B8"/>
    <w:rsid w:val="00280857"/>
    <w:rsid w:val="0028144F"/>
    <w:rsid w:val="0028148E"/>
    <w:rsid w:val="00284E69"/>
    <w:rsid w:val="002860E3"/>
    <w:rsid w:val="002906BC"/>
    <w:rsid w:val="00291107"/>
    <w:rsid w:val="00292F01"/>
    <w:rsid w:val="00293F73"/>
    <w:rsid w:val="00294FD5"/>
    <w:rsid w:val="00297049"/>
    <w:rsid w:val="0029756F"/>
    <w:rsid w:val="002A5FBB"/>
    <w:rsid w:val="002A68A6"/>
    <w:rsid w:val="002A6BDE"/>
    <w:rsid w:val="002B01EE"/>
    <w:rsid w:val="002B134C"/>
    <w:rsid w:val="002B1F3E"/>
    <w:rsid w:val="002B63F2"/>
    <w:rsid w:val="002B69E4"/>
    <w:rsid w:val="002B6A3F"/>
    <w:rsid w:val="002B7406"/>
    <w:rsid w:val="002B76C9"/>
    <w:rsid w:val="002C7216"/>
    <w:rsid w:val="002D3860"/>
    <w:rsid w:val="002D7056"/>
    <w:rsid w:val="002E1462"/>
    <w:rsid w:val="002E2AE6"/>
    <w:rsid w:val="002E31FA"/>
    <w:rsid w:val="002E32CA"/>
    <w:rsid w:val="002E34B7"/>
    <w:rsid w:val="002E7481"/>
    <w:rsid w:val="002F232F"/>
    <w:rsid w:val="002F28B3"/>
    <w:rsid w:val="002F28F8"/>
    <w:rsid w:val="002F34D8"/>
    <w:rsid w:val="002F3AEA"/>
    <w:rsid w:val="002F4DAD"/>
    <w:rsid w:val="003113EE"/>
    <w:rsid w:val="0031C49C"/>
    <w:rsid w:val="0032479C"/>
    <w:rsid w:val="00337360"/>
    <w:rsid w:val="003403F2"/>
    <w:rsid w:val="003437D5"/>
    <w:rsid w:val="003445EF"/>
    <w:rsid w:val="00344617"/>
    <w:rsid w:val="00346541"/>
    <w:rsid w:val="00347206"/>
    <w:rsid w:val="00351E68"/>
    <w:rsid w:val="00355F1B"/>
    <w:rsid w:val="003607B9"/>
    <w:rsid w:val="00360ACE"/>
    <w:rsid w:val="0036247C"/>
    <w:rsid w:val="0037100F"/>
    <w:rsid w:val="0037602E"/>
    <w:rsid w:val="00383B93"/>
    <w:rsid w:val="003844EE"/>
    <w:rsid w:val="00387E7C"/>
    <w:rsid w:val="0039336C"/>
    <w:rsid w:val="00394AB6"/>
    <w:rsid w:val="003A06CA"/>
    <w:rsid w:val="003B7E7C"/>
    <w:rsid w:val="003C5E7F"/>
    <w:rsid w:val="003C7B5E"/>
    <w:rsid w:val="003E1291"/>
    <w:rsid w:val="003E30FD"/>
    <w:rsid w:val="003E5E90"/>
    <w:rsid w:val="003E6102"/>
    <w:rsid w:val="003F1F8E"/>
    <w:rsid w:val="003F22EA"/>
    <w:rsid w:val="003F60E2"/>
    <w:rsid w:val="003F6EE8"/>
    <w:rsid w:val="0040031A"/>
    <w:rsid w:val="0040258A"/>
    <w:rsid w:val="00412830"/>
    <w:rsid w:val="004218F0"/>
    <w:rsid w:val="00421E71"/>
    <w:rsid w:val="00422756"/>
    <w:rsid w:val="004236E0"/>
    <w:rsid w:val="004247E0"/>
    <w:rsid w:val="00432BB0"/>
    <w:rsid w:val="0043513C"/>
    <w:rsid w:val="00437E66"/>
    <w:rsid w:val="00440C79"/>
    <w:rsid w:val="0044391F"/>
    <w:rsid w:val="00444B27"/>
    <w:rsid w:val="00460C44"/>
    <w:rsid w:val="00460D54"/>
    <w:rsid w:val="0046168A"/>
    <w:rsid w:val="00473DF9"/>
    <w:rsid w:val="00475FF3"/>
    <w:rsid w:val="00476948"/>
    <w:rsid w:val="00480C78"/>
    <w:rsid w:val="00481223"/>
    <w:rsid w:val="00482558"/>
    <w:rsid w:val="00483ED6"/>
    <w:rsid w:val="00486C20"/>
    <w:rsid w:val="00492C3D"/>
    <w:rsid w:val="0049477E"/>
    <w:rsid w:val="004B06F9"/>
    <w:rsid w:val="004B56C7"/>
    <w:rsid w:val="004B6D33"/>
    <w:rsid w:val="004C3033"/>
    <w:rsid w:val="004C4253"/>
    <w:rsid w:val="004C7F78"/>
    <w:rsid w:val="004D2790"/>
    <w:rsid w:val="004D2E53"/>
    <w:rsid w:val="004D3570"/>
    <w:rsid w:val="004D61C9"/>
    <w:rsid w:val="004E7AAB"/>
    <w:rsid w:val="004F06B2"/>
    <w:rsid w:val="004F32AB"/>
    <w:rsid w:val="004F412F"/>
    <w:rsid w:val="004F5429"/>
    <w:rsid w:val="00501322"/>
    <w:rsid w:val="005033A2"/>
    <w:rsid w:val="0050438E"/>
    <w:rsid w:val="00504E67"/>
    <w:rsid w:val="0050535B"/>
    <w:rsid w:val="0050545D"/>
    <w:rsid w:val="005055C9"/>
    <w:rsid w:val="005059FD"/>
    <w:rsid w:val="00506F28"/>
    <w:rsid w:val="00510CEA"/>
    <w:rsid w:val="0051202F"/>
    <w:rsid w:val="0051701F"/>
    <w:rsid w:val="00517E58"/>
    <w:rsid w:val="0052065A"/>
    <w:rsid w:val="005208A6"/>
    <w:rsid w:val="005219AD"/>
    <w:rsid w:val="0052277E"/>
    <w:rsid w:val="005306BA"/>
    <w:rsid w:val="0054273A"/>
    <w:rsid w:val="0054559E"/>
    <w:rsid w:val="00546135"/>
    <w:rsid w:val="0055033C"/>
    <w:rsid w:val="00555345"/>
    <w:rsid w:val="005568E4"/>
    <w:rsid w:val="0056034C"/>
    <w:rsid w:val="0056348C"/>
    <w:rsid w:val="00567D68"/>
    <w:rsid w:val="00576765"/>
    <w:rsid w:val="0058583E"/>
    <w:rsid w:val="00585AA7"/>
    <w:rsid w:val="00590E2A"/>
    <w:rsid w:val="005960E3"/>
    <w:rsid w:val="00596991"/>
    <w:rsid w:val="005A02CB"/>
    <w:rsid w:val="005A3A6C"/>
    <w:rsid w:val="005A3DAB"/>
    <w:rsid w:val="005A5154"/>
    <w:rsid w:val="005A7A81"/>
    <w:rsid w:val="005B2922"/>
    <w:rsid w:val="005B2DA0"/>
    <w:rsid w:val="005B791A"/>
    <w:rsid w:val="005C411A"/>
    <w:rsid w:val="005C4878"/>
    <w:rsid w:val="005D0B73"/>
    <w:rsid w:val="005D2006"/>
    <w:rsid w:val="005D22D0"/>
    <w:rsid w:val="005D3AAC"/>
    <w:rsid w:val="005D3DDF"/>
    <w:rsid w:val="005D69A6"/>
    <w:rsid w:val="005E4AF2"/>
    <w:rsid w:val="005E5DF4"/>
    <w:rsid w:val="005F0E4D"/>
    <w:rsid w:val="005F376D"/>
    <w:rsid w:val="005F3E72"/>
    <w:rsid w:val="00601FF6"/>
    <w:rsid w:val="00602F73"/>
    <w:rsid w:val="00604039"/>
    <w:rsid w:val="00605A86"/>
    <w:rsid w:val="00605BF7"/>
    <w:rsid w:val="00611FAC"/>
    <w:rsid w:val="006129B6"/>
    <w:rsid w:val="00612AA8"/>
    <w:rsid w:val="006134A7"/>
    <w:rsid w:val="00614BBA"/>
    <w:rsid w:val="0061515E"/>
    <w:rsid w:val="0061729D"/>
    <w:rsid w:val="00622D0D"/>
    <w:rsid w:val="00624A10"/>
    <w:rsid w:val="00625A55"/>
    <w:rsid w:val="0064100F"/>
    <w:rsid w:val="00643D03"/>
    <w:rsid w:val="0065073D"/>
    <w:rsid w:val="00651F93"/>
    <w:rsid w:val="00653B0F"/>
    <w:rsid w:val="00677456"/>
    <w:rsid w:val="006807B3"/>
    <w:rsid w:val="00685944"/>
    <w:rsid w:val="0068625B"/>
    <w:rsid w:val="0069120E"/>
    <w:rsid w:val="00691AC8"/>
    <w:rsid w:val="006928AB"/>
    <w:rsid w:val="00695903"/>
    <w:rsid w:val="00697EA2"/>
    <w:rsid w:val="006A5604"/>
    <w:rsid w:val="006A6526"/>
    <w:rsid w:val="006A78FE"/>
    <w:rsid w:val="006C480C"/>
    <w:rsid w:val="006C5497"/>
    <w:rsid w:val="006C7342"/>
    <w:rsid w:val="006D0068"/>
    <w:rsid w:val="006D3581"/>
    <w:rsid w:val="006D45A0"/>
    <w:rsid w:val="006D6C77"/>
    <w:rsid w:val="006E04A7"/>
    <w:rsid w:val="006E4497"/>
    <w:rsid w:val="006E5CC3"/>
    <w:rsid w:val="006E7B8E"/>
    <w:rsid w:val="006F1D0B"/>
    <w:rsid w:val="006F34F8"/>
    <w:rsid w:val="006F4AC3"/>
    <w:rsid w:val="006F5E36"/>
    <w:rsid w:val="007019A7"/>
    <w:rsid w:val="0070330E"/>
    <w:rsid w:val="007035AC"/>
    <w:rsid w:val="007063FF"/>
    <w:rsid w:val="00712F0D"/>
    <w:rsid w:val="00713416"/>
    <w:rsid w:val="0071552D"/>
    <w:rsid w:val="00715C18"/>
    <w:rsid w:val="00720F63"/>
    <w:rsid w:val="007210AB"/>
    <w:rsid w:val="0072328F"/>
    <w:rsid w:val="007269A3"/>
    <w:rsid w:val="00730CF3"/>
    <w:rsid w:val="00733B8B"/>
    <w:rsid w:val="0073584B"/>
    <w:rsid w:val="007366FB"/>
    <w:rsid w:val="007405CB"/>
    <w:rsid w:val="0074213E"/>
    <w:rsid w:val="007436D7"/>
    <w:rsid w:val="00743AA2"/>
    <w:rsid w:val="0074480F"/>
    <w:rsid w:val="0074658B"/>
    <w:rsid w:val="00746B45"/>
    <w:rsid w:val="00751191"/>
    <w:rsid w:val="0075388B"/>
    <w:rsid w:val="00757265"/>
    <w:rsid w:val="00760FF8"/>
    <w:rsid w:val="0076197C"/>
    <w:rsid w:val="00763F74"/>
    <w:rsid w:val="0076542A"/>
    <w:rsid w:val="00765819"/>
    <w:rsid w:val="0076EE5C"/>
    <w:rsid w:val="00770230"/>
    <w:rsid w:val="00772527"/>
    <w:rsid w:val="0077351A"/>
    <w:rsid w:val="00774EAA"/>
    <w:rsid w:val="00774FE8"/>
    <w:rsid w:val="00780907"/>
    <w:rsid w:val="0078307B"/>
    <w:rsid w:val="00783F28"/>
    <w:rsid w:val="00785AC0"/>
    <w:rsid w:val="00792E2B"/>
    <w:rsid w:val="00794CDE"/>
    <w:rsid w:val="00795F43"/>
    <w:rsid w:val="00796DF0"/>
    <w:rsid w:val="007973FE"/>
    <w:rsid w:val="007A4D29"/>
    <w:rsid w:val="007A5898"/>
    <w:rsid w:val="007A58D4"/>
    <w:rsid w:val="007A6D2C"/>
    <w:rsid w:val="007A7CF8"/>
    <w:rsid w:val="007B1BA0"/>
    <w:rsid w:val="007B7546"/>
    <w:rsid w:val="007C1000"/>
    <w:rsid w:val="007C16D6"/>
    <w:rsid w:val="007C1BD5"/>
    <w:rsid w:val="007C5B94"/>
    <w:rsid w:val="007D0BB0"/>
    <w:rsid w:val="007E463C"/>
    <w:rsid w:val="007F4024"/>
    <w:rsid w:val="007F4224"/>
    <w:rsid w:val="00802773"/>
    <w:rsid w:val="00802C21"/>
    <w:rsid w:val="00804EC9"/>
    <w:rsid w:val="00805DF5"/>
    <w:rsid w:val="008064B3"/>
    <w:rsid w:val="00807052"/>
    <w:rsid w:val="00810D03"/>
    <w:rsid w:val="00814CBA"/>
    <w:rsid w:val="0082249A"/>
    <w:rsid w:val="00832E99"/>
    <w:rsid w:val="00832FAC"/>
    <w:rsid w:val="00833933"/>
    <w:rsid w:val="00834016"/>
    <w:rsid w:val="008347B9"/>
    <w:rsid w:val="00836E5C"/>
    <w:rsid w:val="00841A01"/>
    <w:rsid w:val="00855316"/>
    <w:rsid w:val="008570BE"/>
    <w:rsid w:val="0086619D"/>
    <w:rsid w:val="00871C8E"/>
    <w:rsid w:val="00872E14"/>
    <w:rsid w:val="00880060"/>
    <w:rsid w:val="00880B41"/>
    <w:rsid w:val="00880E00"/>
    <w:rsid w:val="00881197"/>
    <w:rsid w:val="008818B4"/>
    <w:rsid w:val="008861BF"/>
    <w:rsid w:val="00890C38"/>
    <w:rsid w:val="00894B1A"/>
    <w:rsid w:val="00895793"/>
    <w:rsid w:val="0089596B"/>
    <w:rsid w:val="008A037D"/>
    <w:rsid w:val="008A17E1"/>
    <w:rsid w:val="008A18B0"/>
    <w:rsid w:val="008A1B04"/>
    <w:rsid w:val="008A24A1"/>
    <w:rsid w:val="008A3D0A"/>
    <w:rsid w:val="008A51E7"/>
    <w:rsid w:val="008A6241"/>
    <w:rsid w:val="008A6F13"/>
    <w:rsid w:val="008B00FB"/>
    <w:rsid w:val="008B118D"/>
    <w:rsid w:val="008B4C16"/>
    <w:rsid w:val="008B5DCA"/>
    <w:rsid w:val="008B78CE"/>
    <w:rsid w:val="008C1636"/>
    <w:rsid w:val="008C531D"/>
    <w:rsid w:val="008C79C4"/>
    <w:rsid w:val="008D2312"/>
    <w:rsid w:val="008D4C1F"/>
    <w:rsid w:val="008D4E8C"/>
    <w:rsid w:val="008D5BE1"/>
    <w:rsid w:val="008D5FB2"/>
    <w:rsid w:val="008E4C40"/>
    <w:rsid w:val="008E7C80"/>
    <w:rsid w:val="008F57A7"/>
    <w:rsid w:val="008F6EBB"/>
    <w:rsid w:val="009023A9"/>
    <w:rsid w:val="009030F4"/>
    <w:rsid w:val="00903833"/>
    <w:rsid w:val="00910D84"/>
    <w:rsid w:val="00911931"/>
    <w:rsid w:val="0091342C"/>
    <w:rsid w:val="0091692F"/>
    <w:rsid w:val="00916F8B"/>
    <w:rsid w:val="00921F7C"/>
    <w:rsid w:val="009262B2"/>
    <w:rsid w:val="00927D81"/>
    <w:rsid w:val="00930300"/>
    <w:rsid w:val="0093062F"/>
    <w:rsid w:val="00931643"/>
    <w:rsid w:val="00932DA2"/>
    <w:rsid w:val="00933A0D"/>
    <w:rsid w:val="00933B07"/>
    <w:rsid w:val="00935CDF"/>
    <w:rsid w:val="00936152"/>
    <w:rsid w:val="00942315"/>
    <w:rsid w:val="00944025"/>
    <w:rsid w:val="009468FD"/>
    <w:rsid w:val="00947982"/>
    <w:rsid w:val="009502E2"/>
    <w:rsid w:val="0095150D"/>
    <w:rsid w:val="00953F4C"/>
    <w:rsid w:val="00956494"/>
    <w:rsid w:val="0095692A"/>
    <w:rsid w:val="00956DC6"/>
    <w:rsid w:val="0095701C"/>
    <w:rsid w:val="00957A21"/>
    <w:rsid w:val="009633AF"/>
    <w:rsid w:val="00964A69"/>
    <w:rsid w:val="00974178"/>
    <w:rsid w:val="00975E38"/>
    <w:rsid w:val="0097684A"/>
    <w:rsid w:val="00980788"/>
    <w:rsid w:val="0098092F"/>
    <w:rsid w:val="0099018A"/>
    <w:rsid w:val="009938DC"/>
    <w:rsid w:val="009939D9"/>
    <w:rsid w:val="00995B7F"/>
    <w:rsid w:val="009A042E"/>
    <w:rsid w:val="009A134A"/>
    <w:rsid w:val="009A5676"/>
    <w:rsid w:val="009A5850"/>
    <w:rsid w:val="009A615F"/>
    <w:rsid w:val="009A7849"/>
    <w:rsid w:val="009B0E1F"/>
    <w:rsid w:val="009B1303"/>
    <w:rsid w:val="009B5162"/>
    <w:rsid w:val="009C33A3"/>
    <w:rsid w:val="009E0E09"/>
    <w:rsid w:val="009E13C2"/>
    <w:rsid w:val="009E1E3E"/>
    <w:rsid w:val="009E2BC4"/>
    <w:rsid w:val="009E30E5"/>
    <w:rsid w:val="009E3E71"/>
    <w:rsid w:val="009E59CA"/>
    <w:rsid w:val="009E7A91"/>
    <w:rsid w:val="009F08D5"/>
    <w:rsid w:val="009F10A8"/>
    <w:rsid w:val="009F1A26"/>
    <w:rsid w:val="009F2B1B"/>
    <w:rsid w:val="00A034C7"/>
    <w:rsid w:val="00A03B2E"/>
    <w:rsid w:val="00A06FC3"/>
    <w:rsid w:val="00A12094"/>
    <w:rsid w:val="00A14328"/>
    <w:rsid w:val="00A17B19"/>
    <w:rsid w:val="00A21391"/>
    <w:rsid w:val="00A33B04"/>
    <w:rsid w:val="00A34C02"/>
    <w:rsid w:val="00A372ED"/>
    <w:rsid w:val="00A37B41"/>
    <w:rsid w:val="00A41058"/>
    <w:rsid w:val="00A45C2B"/>
    <w:rsid w:val="00A51891"/>
    <w:rsid w:val="00A54788"/>
    <w:rsid w:val="00A54B60"/>
    <w:rsid w:val="00A56664"/>
    <w:rsid w:val="00A576C4"/>
    <w:rsid w:val="00A60CB6"/>
    <w:rsid w:val="00A62941"/>
    <w:rsid w:val="00A64A84"/>
    <w:rsid w:val="00A65D7F"/>
    <w:rsid w:val="00A67BD6"/>
    <w:rsid w:val="00A72E1A"/>
    <w:rsid w:val="00A72EAA"/>
    <w:rsid w:val="00A73DD2"/>
    <w:rsid w:val="00A7740E"/>
    <w:rsid w:val="00A81027"/>
    <w:rsid w:val="00A85421"/>
    <w:rsid w:val="00A85E32"/>
    <w:rsid w:val="00A86C83"/>
    <w:rsid w:val="00A87EFD"/>
    <w:rsid w:val="00A941C6"/>
    <w:rsid w:val="00A95726"/>
    <w:rsid w:val="00AA2925"/>
    <w:rsid w:val="00AA5B46"/>
    <w:rsid w:val="00AA6060"/>
    <w:rsid w:val="00AA70E3"/>
    <w:rsid w:val="00AA74F0"/>
    <w:rsid w:val="00AB0FBE"/>
    <w:rsid w:val="00AC049E"/>
    <w:rsid w:val="00AC1F52"/>
    <w:rsid w:val="00AC3A2A"/>
    <w:rsid w:val="00AC5F6E"/>
    <w:rsid w:val="00AD2722"/>
    <w:rsid w:val="00AD2D38"/>
    <w:rsid w:val="00AD44EA"/>
    <w:rsid w:val="00AE31DA"/>
    <w:rsid w:val="00AE6F13"/>
    <w:rsid w:val="00AF08A0"/>
    <w:rsid w:val="00AF5211"/>
    <w:rsid w:val="00AF6941"/>
    <w:rsid w:val="00AF6CF8"/>
    <w:rsid w:val="00B01AD0"/>
    <w:rsid w:val="00B01FB8"/>
    <w:rsid w:val="00B0203B"/>
    <w:rsid w:val="00B150DF"/>
    <w:rsid w:val="00B163D1"/>
    <w:rsid w:val="00B16806"/>
    <w:rsid w:val="00B172B8"/>
    <w:rsid w:val="00B21C20"/>
    <w:rsid w:val="00B27E5A"/>
    <w:rsid w:val="00B32245"/>
    <w:rsid w:val="00B3750C"/>
    <w:rsid w:val="00B40556"/>
    <w:rsid w:val="00B411FF"/>
    <w:rsid w:val="00B4649B"/>
    <w:rsid w:val="00B52CFA"/>
    <w:rsid w:val="00B52E90"/>
    <w:rsid w:val="00B54C08"/>
    <w:rsid w:val="00B55CA6"/>
    <w:rsid w:val="00B60BF3"/>
    <w:rsid w:val="00B6264B"/>
    <w:rsid w:val="00B63452"/>
    <w:rsid w:val="00B64FEB"/>
    <w:rsid w:val="00B662AB"/>
    <w:rsid w:val="00B66CC6"/>
    <w:rsid w:val="00B706ED"/>
    <w:rsid w:val="00B7745D"/>
    <w:rsid w:val="00B810EC"/>
    <w:rsid w:val="00B82B4E"/>
    <w:rsid w:val="00B85665"/>
    <w:rsid w:val="00B900F0"/>
    <w:rsid w:val="00B916D5"/>
    <w:rsid w:val="00B92695"/>
    <w:rsid w:val="00B971F2"/>
    <w:rsid w:val="00B97774"/>
    <w:rsid w:val="00BA0258"/>
    <w:rsid w:val="00BA28D1"/>
    <w:rsid w:val="00BA5DC7"/>
    <w:rsid w:val="00BB27AA"/>
    <w:rsid w:val="00BB365A"/>
    <w:rsid w:val="00BB3E03"/>
    <w:rsid w:val="00BB5DCD"/>
    <w:rsid w:val="00BD1D2F"/>
    <w:rsid w:val="00BD67DE"/>
    <w:rsid w:val="00BD7983"/>
    <w:rsid w:val="00BE14AF"/>
    <w:rsid w:val="00BE1AEB"/>
    <w:rsid w:val="00BE530B"/>
    <w:rsid w:val="00BF2381"/>
    <w:rsid w:val="00C032B2"/>
    <w:rsid w:val="00C0578E"/>
    <w:rsid w:val="00C06EB5"/>
    <w:rsid w:val="00C06F63"/>
    <w:rsid w:val="00C116F9"/>
    <w:rsid w:val="00C1341A"/>
    <w:rsid w:val="00C14D04"/>
    <w:rsid w:val="00C171E4"/>
    <w:rsid w:val="00C17381"/>
    <w:rsid w:val="00C2128B"/>
    <w:rsid w:val="00C21813"/>
    <w:rsid w:val="00C2736A"/>
    <w:rsid w:val="00C304AA"/>
    <w:rsid w:val="00C31D9B"/>
    <w:rsid w:val="00C33372"/>
    <w:rsid w:val="00C358D7"/>
    <w:rsid w:val="00C35B6D"/>
    <w:rsid w:val="00C37215"/>
    <w:rsid w:val="00C52C46"/>
    <w:rsid w:val="00C5493E"/>
    <w:rsid w:val="00C56ED9"/>
    <w:rsid w:val="00C64C7F"/>
    <w:rsid w:val="00C65236"/>
    <w:rsid w:val="00C72F10"/>
    <w:rsid w:val="00C77652"/>
    <w:rsid w:val="00C77CE3"/>
    <w:rsid w:val="00C8121C"/>
    <w:rsid w:val="00C815C0"/>
    <w:rsid w:val="00C8541A"/>
    <w:rsid w:val="00C92075"/>
    <w:rsid w:val="00C9428B"/>
    <w:rsid w:val="00CA3BFF"/>
    <w:rsid w:val="00CA6D34"/>
    <w:rsid w:val="00CA7C3F"/>
    <w:rsid w:val="00CB6CD5"/>
    <w:rsid w:val="00CC062B"/>
    <w:rsid w:val="00CC6B45"/>
    <w:rsid w:val="00CC7E29"/>
    <w:rsid w:val="00CD291E"/>
    <w:rsid w:val="00CD30FC"/>
    <w:rsid w:val="00CD40A1"/>
    <w:rsid w:val="00CD441B"/>
    <w:rsid w:val="00CE18A3"/>
    <w:rsid w:val="00CE2EE7"/>
    <w:rsid w:val="00CE3EC7"/>
    <w:rsid w:val="00CF0A90"/>
    <w:rsid w:val="00CF270B"/>
    <w:rsid w:val="00D03AA8"/>
    <w:rsid w:val="00D06356"/>
    <w:rsid w:val="00D17C18"/>
    <w:rsid w:val="00D24058"/>
    <w:rsid w:val="00D302F1"/>
    <w:rsid w:val="00D34ADB"/>
    <w:rsid w:val="00D35115"/>
    <w:rsid w:val="00D37773"/>
    <w:rsid w:val="00D409F0"/>
    <w:rsid w:val="00D431C8"/>
    <w:rsid w:val="00D43428"/>
    <w:rsid w:val="00D447A7"/>
    <w:rsid w:val="00D447F8"/>
    <w:rsid w:val="00D45274"/>
    <w:rsid w:val="00D45E0E"/>
    <w:rsid w:val="00D47744"/>
    <w:rsid w:val="00D516CF"/>
    <w:rsid w:val="00D60C9A"/>
    <w:rsid w:val="00D65BF7"/>
    <w:rsid w:val="00D66220"/>
    <w:rsid w:val="00D666DC"/>
    <w:rsid w:val="00D7056B"/>
    <w:rsid w:val="00D728A1"/>
    <w:rsid w:val="00D81936"/>
    <w:rsid w:val="00D81D45"/>
    <w:rsid w:val="00D830A9"/>
    <w:rsid w:val="00D85801"/>
    <w:rsid w:val="00D86EDB"/>
    <w:rsid w:val="00D91156"/>
    <w:rsid w:val="00D911FE"/>
    <w:rsid w:val="00D92BFA"/>
    <w:rsid w:val="00D92E02"/>
    <w:rsid w:val="00D93E30"/>
    <w:rsid w:val="00D945A0"/>
    <w:rsid w:val="00D965AE"/>
    <w:rsid w:val="00DA16D6"/>
    <w:rsid w:val="00DA5471"/>
    <w:rsid w:val="00DB5C4C"/>
    <w:rsid w:val="00DC3D9D"/>
    <w:rsid w:val="00DC4577"/>
    <w:rsid w:val="00DC5926"/>
    <w:rsid w:val="00DC6110"/>
    <w:rsid w:val="00DD1675"/>
    <w:rsid w:val="00DD3067"/>
    <w:rsid w:val="00DD47F1"/>
    <w:rsid w:val="00DE00A7"/>
    <w:rsid w:val="00DE4612"/>
    <w:rsid w:val="00DF6021"/>
    <w:rsid w:val="00E02D9C"/>
    <w:rsid w:val="00E043F9"/>
    <w:rsid w:val="00E058B9"/>
    <w:rsid w:val="00E061EB"/>
    <w:rsid w:val="00E11C77"/>
    <w:rsid w:val="00E22344"/>
    <w:rsid w:val="00E25445"/>
    <w:rsid w:val="00E26D9F"/>
    <w:rsid w:val="00E30C87"/>
    <w:rsid w:val="00E325CB"/>
    <w:rsid w:val="00E3282F"/>
    <w:rsid w:val="00E349E8"/>
    <w:rsid w:val="00E362EF"/>
    <w:rsid w:val="00E418DC"/>
    <w:rsid w:val="00E440E8"/>
    <w:rsid w:val="00E4466C"/>
    <w:rsid w:val="00E50CCA"/>
    <w:rsid w:val="00E560BF"/>
    <w:rsid w:val="00E6238F"/>
    <w:rsid w:val="00E707AE"/>
    <w:rsid w:val="00E72434"/>
    <w:rsid w:val="00E73F60"/>
    <w:rsid w:val="00E838B6"/>
    <w:rsid w:val="00E8423F"/>
    <w:rsid w:val="00E84D66"/>
    <w:rsid w:val="00E869F7"/>
    <w:rsid w:val="00EA0DA1"/>
    <w:rsid w:val="00EA2E37"/>
    <w:rsid w:val="00EA4D74"/>
    <w:rsid w:val="00EA690A"/>
    <w:rsid w:val="00EA712B"/>
    <w:rsid w:val="00EB2383"/>
    <w:rsid w:val="00EB2B1A"/>
    <w:rsid w:val="00EB33D2"/>
    <w:rsid w:val="00EC085A"/>
    <w:rsid w:val="00EC2908"/>
    <w:rsid w:val="00EC7C3F"/>
    <w:rsid w:val="00ED07EC"/>
    <w:rsid w:val="00ED2D87"/>
    <w:rsid w:val="00ED33DA"/>
    <w:rsid w:val="00ED5A19"/>
    <w:rsid w:val="00ED6CB0"/>
    <w:rsid w:val="00EE0F9A"/>
    <w:rsid w:val="00EE1E7A"/>
    <w:rsid w:val="00EE24D3"/>
    <w:rsid w:val="00EE4544"/>
    <w:rsid w:val="00EE4E28"/>
    <w:rsid w:val="00EF1ACF"/>
    <w:rsid w:val="00EF3899"/>
    <w:rsid w:val="00EF55AD"/>
    <w:rsid w:val="00EF62B5"/>
    <w:rsid w:val="00EF6912"/>
    <w:rsid w:val="00F03209"/>
    <w:rsid w:val="00F11913"/>
    <w:rsid w:val="00F1666D"/>
    <w:rsid w:val="00F20180"/>
    <w:rsid w:val="00F23281"/>
    <w:rsid w:val="00F2536C"/>
    <w:rsid w:val="00F321A6"/>
    <w:rsid w:val="00F35B65"/>
    <w:rsid w:val="00F36D94"/>
    <w:rsid w:val="00F409A7"/>
    <w:rsid w:val="00F50C25"/>
    <w:rsid w:val="00F52A16"/>
    <w:rsid w:val="00F5322A"/>
    <w:rsid w:val="00F5467D"/>
    <w:rsid w:val="00F63C4C"/>
    <w:rsid w:val="00F64C25"/>
    <w:rsid w:val="00F64F0A"/>
    <w:rsid w:val="00F658E8"/>
    <w:rsid w:val="00F670E9"/>
    <w:rsid w:val="00F802E9"/>
    <w:rsid w:val="00F83E8F"/>
    <w:rsid w:val="00F92E66"/>
    <w:rsid w:val="00F9338A"/>
    <w:rsid w:val="00F93848"/>
    <w:rsid w:val="00F95DFE"/>
    <w:rsid w:val="00F96CC2"/>
    <w:rsid w:val="00FA39C1"/>
    <w:rsid w:val="00FA66DA"/>
    <w:rsid w:val="00FA7312"/>
    <w:rsid w:val="00FB08F7"/>
    <w:rsid w:val="00FB1187"/>
    <w:rsid w:val="00FB1937"/>
    <w:rsid w:val="00FB3DC0"/>
    <w:rsid w:val="00FC0EFA"/>
    <w:rsid w:val="00FC6D82"/>
    <w:rsid w:val="00FC6E46"/>
    <w:rsid w:val="00FD02C1"/>
    <w:rsid w:val="00FD0B84"/>
    <w:rsid w:val="00FD30EF"/>
    <w:rsid w:val="00FD515C"/>
    <w:rsid w:val="00FD7377"/>
    <w:rsid w:val="00FE0139"/>
    <w:rsid w:val="00FE0F63"/>
    <w:rsid w:val="0576453E"/>
    <w:rsid w:val="05E69761"/>
    <w:rsid w:val="05EF45BF"/>
    <w:rsid w:val="05FD2792"/>
    <w:rsid w:val="07D1E44C"/>
    <w:rsid w:val="0804A410"/>
    <w:rsid w:val="08B8BB4E"/>
    <w:rsid w:val="0BF1B366"/>
    <w:rsid w:val="0C170E33"/>
    <w:rsid w:val="0C180958"/>
    <w:rsid w:val="0C33482A"/>
    <w:rsid w:val="0D729195"/>
    <w:rsid w:val="0F2C1B25"/>
    <w:rsid w:val="0FDF7FAA"/>
    <w:rsid w:val="119A7A4A"/>
    <w:rsid w:val="125FAB29"/>
    <w:rsid w:val="13FF8F1C"/>
    <w:rsid w:val="1811F649"/>
    <w:rsid w:val="1DDC8D80"/>
    <w:rsid w:val="1E5EA712"/>
    <w:rsid w:val="2075DE5F"/>
    <w:rsid w:val="214BF303"/>
    <w:rsid w:val="23A37421"/>
    <w:rsid w:val="24346D0F"/>
    <w:rsid w:val="284A7F3A"/>
    <w:rsid w:val="29F1EE32"/>
    <w:rsid w:val="2B6F9772"/>
    <w:rsid w:val="2BAC4601"/>
    <w:rsid w:val="2C07C060"/>
    <w:rsid w:val="2C975C7E"/>
    <w:rsid w:val="2CCC39F1"/>
    <w:rsid w:val="2DCDEB51"/>
    <w:rsid w:val="30238DDA"/>
    <w:rsid w:val="31965CC8"/>
    <w:rsid w:val="357868D8"/>
    <w:rsid w:val="3792A324"/>
    <w:rsid w:val="39113570"/>
    <w:rsid w:val="3AF8B789"/>
    <w:rsid w:val="3B4340F0"/>
    <w:rsid w:val="3BC339DC"/>
    <w:rsid w:val="3D6A5260"/>
    <w:rsid w:val="3F848CAC"/>
    <w:rsid w:val="419FD36A"/>
    <w:rsid w:val="422511AD"/>
    <w:rsid w:val="43D993E4"/>
    <w:rsid w:val="442C39D5"/>
    <w:rsid w:val="447196F7"/>
    <w:rsid w:val="44E67F34"/>
    <w:rsid w:val="4BBDDCFA"/>
    <w:rsid w:val="4D175A83"/>
    <w:rsid w:val="4D3CD97F"/>
    <w:rsid w:val="4D8F04A6"/>
    <w:rsid w:val="526BDE8F"/>
    <w:rsid w:val="53B36498"/>
    <w:rsid w:val="53BD9028"/>
    <w:rsid w:val="59ADF19A"/>
    <w:rsid w:val="5B9ABF9E"/>
    <w:rsid w:val="5BFEA066"/>
    <w:rsid w:val="5CC4E903"/>
    <w:rsid w:val="611E2BB5"/>
    <w:rsid w:val="611F7FE1"/>
    <w:rsid w:val="64092E72"/>
    <w:rsid w:val="670479BE"/>
    <w:rsid w:val="67057894"/>
    <w:rsid w:val="6F3F40CE"/>
    <w:rsid w:val="70100335"/>
    <w:rsid w:val="717F07EA"/>
    <w:rsid w:val="738D553E"/>
    <w:rsid w:val="77D08E85"/>
    <w:rsid w:val="7E7B1405"/>
    <w:rsid w:val="7F800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E24B0"/>
  <w15:docId w15:val="{C6F6AF4C-21F1-46F2-B4AA-87EFCC33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link w:val="NormalWebChar"/>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character" w:customStyle="1" w:styleId="NormalWebChar">
    <w:name w:val="Normal (Web) Char"/>
    <w:basedOn w:val="DefaultParagraphFont"/>
    <w:link w:val="NormalWeb"/>
    <w:rsid w:val="00FD02C1"/>
    <w:rPr>
      <w:rFonts w:ascii="Times New Roman" w:eastAsiaTheme="minorHAnsi" w:hAnsi="Times New Roman" w:cstheme="minorBidi"/>
      <w:sz w:val="13"/>
      <w:szCs w:val="13"/>
    </w:rPr>
  </w:style>
  <w:style w:type="character" w:styleId="HTMLAcronym">
    <w:name w:val="HTML Acronym"/>
    <w:basedOn w:val="DefaultParagraphFont"/>
    <w:rsid w:val="00FD02C1"/>
  </w:style>
  <w:style w:type="paragraph" w:customStyle="1" w:styleId="TSSC">
    <w:name w:val="TSSC"/>
    <w:basedOn w:val="Normal"/>
    <w:qFormat/>
    <w:rsid w:val="007C16D6"/>
    <w:pPr>
      <w:numPr>
        <w:numId w:val="47"/>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439552">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www.environment.gov.au/biodiversity/threatened/cam" TargetMode="External"/><Relationship Id="rId26" Type="http://schemas.openxmlformats.org/officeDocument/2006/relationships/hyperlink" Target="http://www.environment.gov.au/cgi-bin/sprat/public/sprat.pl" TargetMode="External"/><Relationship Id="rId39" Type="http://schemas.openxmlformats.org/officeDocument/2006/relationships/footer" Target="footer3.xml"/><Relationship Id="rId21" Type="http://schemas.openxmlformats.org/officeDocument/2006/relationships/header" Target="header2.xml"/><Relationship Id="rId34" Type="http://schemas.openxmlformats.org/officeDocument/2006/relationships/hyperlink" Target="https://nc.iucnredlist.org/redlist/content/attachment_files/RedListGuidelines.pdf"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biodiversity/threatened/recovery.html" TargetMode="External"/><Relationship Id="rId25" Type="http://schemas.openxmlformats.org/officeDocument/2006/relationships/image" Target="media/image2.jpeg"/><Relationship Id="rId33" Type="http://schemas.openxmlformats.org/officeDocument/2006/relationships/hyperlink" Target="http://www.environment.gov.au/system/files/pages/d72dfd1a-f0d8-4699-8d43-5d95bbb02428/files/tssc-guidelines-assessing-species-2018.pdf"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environment.gov.au/biodiversity/threatened/nominations.html" TargetMode="External"/><Relationship Id="rId20" Type="http://schemas.openxmlformats.org/officeDocument/2006/relationships/header" Target="header1.xml"/><Relationship Id="rId29" Type="http://schemas.openxmlformats.org/officeDocument/2006/relationships/hyperlink" Target="https://www.environment.gov.au/biodiversity/threatened/publications/tap/predation-european-red-fo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ipcc.ch/report/ar6/wg1/downloads/factsheets/IPCC_AR6_WGI_Regional_Fact_Sheet_Australasia.pdf"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nvironment.gov.au/system/files/pages/d72dfd1a-f0d8-4699-8d43-5d95bbb02428/files/tssc-guidelines-assessing-species-2018.pdf" TargetMode="External"/><Relationship Id="rId23" Type="http://schemas.openxmlformats.org/officeDocument/2006/relationships/header" Target="header3.xml"/><Relationship Id="rId28" Type="http://schemas.openxmlformats.org/officeDocument/2006/relationships/hyperlink" Target="http://www.environment.gov.au/science/erin/databases-maps/snes"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environment.gov.au/privacy-policy" TargetMode="External"/><Relationship Id="rId31" Type="http://schemas.openxmlformats.org/officeDocument/2006/relationships/hyperlink" Target="https://www.agric.wa.gov.au/fire/pasture-recovery-after-fire" TargetMode="External"/><Relationship Id="rId35" Type="http://schemas.openxmlformats.org/officeDocument/2006/relationships/hyperlink" Target="http://www.environment.gov.au/biodiversity/threatened/cam" TargetMode="External"/><Relationship Id="rId9" Type="http://schemas.openxmlformats.org/officeDocument/2006/relationships/settings" Target="settings.xml"/><Relationship Id="rId14" Type="http://schemas.openxmlformats.org/officeDocument/2006/relationships/hyperlink" Target="http://www.environment.gov.au/biodiversity/threatened/index.html" TargetMode="External"/><Relationship Id="rId22" Type="http://schemas.openxmlformats.org/officeDocument/2006/relationships/footer" Target="footer1.xml"/><Relationship Id="rId27" Type="http://schemas.openxmlformats.org/officeDocument/2006/relationships/image" Target="media/image3.jpeg"/><Relationship Id="rId30" Type="http://schemas.openxmlformats.org/officeDocument/2006/relationships/hyperlink" Target="http://www.environment.gov.au/system/files/resources/78f3dea5-c278-4273-8923-fa0de27aacfb/files/tap-predation-feral-cats-2015.pdf" TargetMode="Externa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168ED837349059F88D777372262EE"/>
        <w:category>
          <w:name w:val="General"/>
          <w:gallery w:val="placeholder"/>
        </w:category>
        <w:types>
          <w:type w:val="bbPlcHdr"/>
        </w:types>
        <w:behaviors>
          <w:behavior w:val="content"/>
        </w:behaviors>
        <w:guid w:val="{2047C0AB-F5BE-454F-8EF6-6F0B3ED2AC57}"/>
      </w:docPartPr>
      <w:docPartBody>
        <w:p w:rsidR="00001E85" w:rsidRDefault="0036247C" w:rsidP="0036247C">
          <w:pPr>
            <w:pStyle w:val="76A168ED837349059F88D777372262EE1"/>
          </w:pPr>
          <w:r w:rsidRPr="00F20180">
            <w:rPr>
              <w:rStyle w:val="PlaceholderText"/>
              <w:highlight w:val="yellow"/>
            </w:rPr>
            <w:t>Choose an item.</w:t>
          </w:r>
        </w:p>
      </w:docPartBody>
    </w:docPart>
    <w:docPart>
      <w:docPartPr>
        <w:name w:val="23FEE637678849D58D5E543056D887A0"/>
        <w:category>
          <w:name w:val="General"/>
          <w:gallery w:val="placeholder"/>
        </w:category>
        <w:types>
          <w:type w:val="bbPlcHdr"/>
        </w:types>
        <w:behaviors>
          <w:behavior w:val="content"/>
        </w:behaviors>
        <w:guid w:val="{57376D31-473E-4093-BF96-381FA0C37AEA}"/>
      </w:docPartPr>
      <w:docPartBody>
        <w:p w:rsidR="00F64F0A" w:rsidRDefault="0036247C">
          <w:pPr>
            <w:pStyle w:val="23FEE637678849D58D5E543056D887A0"/>
          </w:pPr>
          <w:r w:rsidRPr="0045331C">
            <w:rPr>
              <w:rStyle w:val="PlaceholderText"/>
            </w:rPr>
            <w:t>Choose an item.</w:t>
          </w:r>
        </w:p>
      </w:docPartBody>
    </w:docPart>
    <w:docPart>
      <w:docPartPr>
        <w:name w:val="F6169CF4034A4C27A26C8230CCB0ECD9"/>
        <w:category>
          <w:name w:val="General"/>
          <w:gallery w:val="placeholder"/>
        </w:category>
        <w:types>
          <w:type w:val="bbPlcHdr"/>
        </w:types>
        <w:behaviors>
          <w:behavior w:val="content"/>
        </w:behaviors>
        <w:guid w:val="{88D49FCF-A10A-41DF-851F-56D57D8E95BA}"/>
      </w:docPartPr>
      <w:docPartBody>
        <w:p w:rsidR="00F64F0A" w:rsidRDefault="0036247C">
          <w:pPr>
            <w:pStyle w:val="F6169CF4034A4C27A26C8230CCB0ECD9"/>
          </w:pPr>
          <w:r w:rsidRPr="0045331C">
            <w:rPr>
              <w:rStyle w:val="PlaceholderText"/>
            </w:rPr>
            <w:t>Choose an item.</w:t>
          </w:r>
        </w:p>
      </w:docPartBody>
    </w:docPart>
    <w:docPart>
      <w:docPartPr>
        <w:name w:val="E191959FFBA442F3A285B2F257F8588F"/>
        <w:category>
          <w:name w:val="General"/>
          <w:gallery w:val="placeholder"/>
        </w:category>
        <w:types>
          <w:type w:val="bbPlcHdr"/>
        </w:types>
        <w:behaviors>
          <w:behavior w:val="content"/>
        </w:behaviors>
        <w:guid w:val="{1F527D38-7B6C-42F1-BDC1-1DECDBA7969E}"/>
      </w:docPartPr>
      <w:docPartBody>
        <w:p w:rsidR="00F64F0A" w:rsidRDefault="00F64F0A" w:rsidP="00F64F0A">
          <w:pPr>
            <w:pStyle w:val="E191959FFBA442F3A285B2F257F8588F"/>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5A7"/>
    <w:multiLevelType w:val="multilevel"/>
    <w:tmpl w:val="770A4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C5BD6"/>
    <w:multiLevelType w:val="multilevel"/>
    <w:tmpl w:val="F8D0D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E0"/>
    <w:rsid w:val="00001E85"/>
    <w:rsid w:val="00016D0A"/>
    <w:rsid w:val="00035790"/>
    <w:rsid w:val="000A594F"/>
    <w:rsid w:val="000B5097"/>
    <w:rsid w:val="000C41E0"/>
    <w:rsid w:val="00124703"/>
    <w:rsid w:val="0014221D"/>
    <w:rsid w:val="00197F94"/>
    <w:rsid w:val="001A4ECC"/>
    <w:rsid w:val="002C1E4C"/>
    <w:rsid w:val="002D5C42"/>
    <w:rsid w:val="00332BA6"/>
    <w:rsid w:val="0036247C"/>
    <w:rsid w:val="003676FE"/>
    <w:rsid w:val="003F7703"/>
    <w:rsid w:val="00465A51"/>
    <w:rsid w:val="00482D92"/>
    <w:rsid w:val="00504F5D"/>
    <w:rsid w:val="00564D54"/>
    <w:rsid w:val="005A1521"/>
    <w:rsid w:val="00654819"/>
    <w:rsid w:val="00670B03"/>
    <w:rsid w:val="006D659B"/>
    <w:rsid w:val="007617A9"/>
    <w:rsid w:val="00781895"/>
    <w:rsid w:val="007A5A73"/>
    <w:rsid w:val="007A69A5"/>
    <w:rsid w:val="00816F98"/>
    <w:rsid w:val="00817B10"/>
    <w:rsid w:val="0082605B"/>
    <w:rsid w:val="00835F51"/>
    <w:rsid w:val="00882D64"/>
    <w:rsid w:val="008C189F"/>
    <w:rsid w:val="00927112"/>
    <w:rsid w:val="009A524A"/>
    <w:rsid w:val="00A076B5"/>
    <w:rsid w:val="00A305CE"/>
    <w:rsid w:val="00BA1FF1"/>
    <w:rsid w:val="00BA2EF9"/>
    <w:rsid w:val="00C14A79"/>
    <w:rsid w:val="00C24EA4"/>
    <w:rsid w:val="00C33F83"/>
    <w:rsid w:val="00C36511"/>
    <w:rsid w:val="00CA190D"/>
    <w:rsid w:val="00E26436"/>
    <w:rsid w:val="00E7568B"/>
    <w:rsid w:val="00E911A6"/>
    <w:rsid w:val="00F64F0A"/>
    <w:rsid w:val="00F93E2E"/>
    <w:rsid w:val="00F97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F0A"/>
    <w:rPr>
      <w:color w:val="808080"/>
    </w:rPr>
  </w:style>
  <w:style w:type="paragraph" w:customStyle="1" w:styleId="76A168ED837349059F88D777372262EE1">
    <w:name w:val="76A168ED837349059F88D777372262EE1"/>
    <w:rsid w:val="0036247C"/>
    <w:pPr>
      <w:spacing w:after="200" w:line="276" w:lineRule="auto"/>
    </w:pPr>
    <w:rPr>
      <w:rFonts w:ascii="Cambria" w:eastAsiaTheme="minorHAnsi" w:hAnsi="Cambria"/>
      <w:lang w:eastAsia="en-US"/>
    </w:rPr>
  </w:style>
  <w:style w:type="paragraph" w:customStyle="1" w:styleId="23FEE637678849D58D5E543056D887A0">
    <w:name w:val="23FEE637678849D58D5E543056D887A0"/>
  </w:style>
  <w:style w:type="paragraph" w:customStyle="1" w:styleId="F6169CF4034A4C27A26C8230CCB0ECD9">
    <w:name w:val="F6169CF4034A4C27A26C8230CCB0ECD9"/>
  </w:style>
  <w:style w:type="paragraph" w:customStyle="1" w:styleId="E191959FFBA442F3A285B2F257F8588F">
    <w:name w:val="E191959FFBA442F3A285B2F257F8588F"/>
    <w:rsid w:val="00F64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2.xml><?xml version="1.0" encoding="utf-8"?>
<ds:datastoreItem xmlns:ds="http://schemas.openxmlformats.org/officeDocument/2006/customXml" ds:itemID="{01186195-151A-41D5-BABA-EC58B3CE392E}"/>
</file>

<file path=customXml/itemProps3.xml><?xml version="1.0" encoding="utf-8"?>
<ds:datastoreItem xmlns:ds="http://schemas.openxmlformats.org/officeDocument/2006/customXml" ds:itemID="{810DC7D9-BE0D-486D-A4F0-8DA1ED482C10}">
  <ds:schemaRefs>
    <ds:schemaRef ds:uri="http://schemas.microsoft.com/sharepoint/events"/>
  </ds:schemaRefs>
</ds:datastoreItem>
</file>

<file path=customXml/itemProps4.xml><?xml version="1.0" encoding="utf-8"?>
<ds:datastoreItem xmlns:ds="http://schemas.openxmlformats.org/officeDocument/2006/customXml" ds:itemID="{4C0D5E49-E470-44E6-A38B-E076D760F3BC}">
  <ds:schemaRefs>
    <ds:schemaRef ds:uri="http://schemas.microsoft.com/office/2006/metadata/customXsn"/>
  </ds:schemaRefs>
</ds:datastoreItem>
</file>

<file path=customXml/itemProps5.xml><?xml version="1.0" encoding="utf-8"?>
<ds:datastoreItem xmlns:ds="http://schemas.openxmlformats.org/officeDocument/2006/customXml" ds:itemID="{6C7FB612-252C-4937-AD96-5EDDA560A4ED}">
  <ds:schemaRefs>
    <ds:schemaRef ds:uri="http://schemas.openxmlformats.org/officeDocument/2006/bibliography"/>
  </ds:schemaRefs>
</ds:datastoreItem>
</file>

<file path=customXml/itemProps6.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10902</Words>
  <Characters>62145</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0 - Neophema chrysostoma - Conservation Advice DRAFT</vt:lpstr>
    </vt:vector>
  </TitlesOfParts>
  <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Neophema chrysostoma</dc:title>
  <dc:creator>Department of Agriculture, Water and the Environment</dc:creator>
  <cp:lastModifiedBy>Bec Durack</cp:lastModifiedBy>
  <cp:revision>2</cp:revision>
  <cp:lastPrinted>2022-01-26T22:56:00Z</cp:lastPrinted>
  <dcterms:created xsi:type="dcterms:W3CDTF">2022-01-27T03:56:00Z</dcterms:created>
  <dcterms:modified xsi:type="dcterms:W3CDTF">2022-01-27T03:56:00Z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{9bdc22f9-3654-4403-9b80-7b817884b286}</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