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062A" w14:textId="77777777" w:rsidR="00FE6C07" w:rsidRPr="00FE6C07" w:rsidRDefault="00FE6C07" w:rsidP="00BC75A0">
      <w:pPr>
        <w:spacing w:after="0" w:line="240" w:lineRule="auto"/>
        <w:rPr>
          <w:rFonts w:ascii="Arial" w:eastAsia="Times New Roman" w:hAnsi="Arial" w:cs="Arial"/>
          <w:b/>
          <w:sz w:val="28"/>
          <w:szCs w:val="28"/>
        </w:rPr>
      </w:pPr>
    </w:p>
    <w:p w14:paraId="44FD3E7E" w14:textId="67A53359" w:rsidR="00FE6C07" w:rsidRPr="00FE6C07" w:rsidRDefault="00FE6C07" w:rsidP="00FE6C07">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Spec</w:t>
      </w:r>
      <w:r w:rsidR="00B94F1C">
        <w:rPr>
          <w:rFonts w:ascii="Arial" w:eastAsia="Times New Roman" w:hAnsi="Arial" w:cs="Arial"/>
          <w:b/>
          <w:sz w:val="28"/>
          <w:szCs w:val="28"/>
        </w:rPr>
        <w:t xml:space="preserve">ies </w:t>
      </w:r>
      <w:r w:rsidRPr="00FE6C07">
        <w:rPr>
          <w:rFonts w:ascii="Arial" w:eastAsia="Times New Roman" w:hAnsi="Arial" w:cs="Arial"/>
          <w:b/>
          <w:sz w:val="28"/>
          <w:szCs w:val="28"/>
        </w:rPr>
        <w:t>Listing Eligibility and Conservation Actions</w:t>
      </w:r>
    </w:p>
    <w:p w14:paraId="42533B52" w14:textId="77777777" w:rsidR="00FE6C07" w:rsidRPr="00FE6C07" w:rsidRDefault="00FE6C07" w:rsidP="00FE6C07">
      <w:pPr>
        <w:spacing w:after="0" w:line="240" w:lineRule="auto"/>
        <w:jc w:val="center"/>
        <w:rPr>
          <w:rFonts w:ascii="Arial" w:eastAsia="Times New Roman" w:hAnsi="Arial" w:cs="Arial"/>
          <w:sz w:val="28"/>
          <w:szCs w:val="28"/>
        </w:rPr>
      </w:pPr>
    </w:p>
    <w:p w14:paraId="0E178093" w14:textId="3A702F55" w:rsidR="00FE6C07" w:rsidRDefault="00902C4D" w:rsidP="00FE6C07">
      <w:pPr>
        <w:widowControl w:val="0"/>
        <w:spacing w:after="0" w:line="240" w:lineRule="auto"/>
        <w:jc w:val="center"/>
        <w:rPr>
          <w:rFonts w:ascii="Arial" w:eastAsia="Times New Roman" w:hAnsi="Arial" w:cs="Arial"/>
          <w:b/>
          <w:bCs/>
          <w:i/>
          <w:iCs/>
          <w:snapToGrid w:val="0"/>
          <w:sz w:val="24"/>
          <w:szCs w:val="24"/>
        </w:rPr>
      </w:pPr>
      <w:r>
        <w:rPr>
          <w:rFonts w:ascii="Arial" w:eastAsia="Times New Roman" w:hAnsi="Arial" w:cs="Arial"/>
          <w:b/>
          <w:bCs/>
          <w:i/>
          <w:iCs/>
          <w:snapToGrid w:val="0"/>
          <w:sz w:val="24"/>
          <w:szCs w:val="24"/>
        </w:rPr>
        <w:t>Mordacia praecox</w:t>
      </w:r>
      <w:r w:rsidR="00FE6C07" w:rsidRPr="00FE6C07">
        <w:rPr>
          <w:rFonts w:ascii="Arial" w:eastAsia="Times New Roman" w:hAnsi="Arial" w:cs="Arial"/>
          <w:b/>
          <w:bCs/>
          <w:i/>
          <w:iCs/>
          <w:snapToGrid w:val="0"/>
          <w:sz w:val="24"/>
          <w:szCs w:val="24"/>
        </w:rPr>
        <w:t xml:space="preserve"> </w:t>
      </w:r>
      <w:r w:rsidR="00FE6C07" w:rsidRPr="00FE6C07">
        <w:rPr>
          <w:rFonts w:ascii="Arial" w:eastAsia="Times New Roman" w:hAnsi="Arial" w:cs="Arial"/>
          <w:b/>
          <w:bCs/>
          <w:iCs/>
          <w:snapToGrid w:val="0"/>
          <w:sz w:val="24"/>
          <w:szCs w:val="24"/>
        </w:rPr>
        <w:t>(</w:t>
      </w:r>
      <w:r>
        <w:rPr>
          <w:rFonts w:ascii="Arial" w:eastAsia="Times New Roman" w:hAnsi="Arial" w:cs="Arial"/>
          <w:b/>
          <w:bCs/>
          <w:iCs/>
          <w:snapToGrid w:val="0"/>
          <w:sz w:val="24"/>
          <w:szCs w:val="24"/>
        </w:rPr>
        <w:t>non-parasitic lamprey</w:t>
      </w:r>
      <w:r w:rsidR="00FE6C07" w:rsidRPr="00FE6C07">
        <w:rPr>
          <w:rFonts w:ascii="Arial" w:eastAsia="Times New Roman" w:hAnsi="Arial" w:cs="Arial"/>
          <w:b/>
          <w:bCs/>
          <w:iCs/>
          <w:snapToGrid w:val="0"/>
          <w:sz w:val="24"/>
          <w:szCs w:val="24"/>
        </w:rPr>
        <w:t>)</w:t>
      </w:r>
      <w:r w:rsidR="00FE6C07" w:rsidRPr="00FE6C07">
        <w:rPr>
          <w:rFonts w:ascii="Arial" w:eastAsia="Times New Roman" w:hAnsi="Arial" w:cs="Arial"/>
          <w:b/>
          <w:bCs/>
          <w:i/>
          <w:iCs/>
          <w:snapToGrid w:val="0"/>
          <w:sz w:val="24"/>
          <w:szCs w:val="24"/>
        </w:rPr>
        <w:t xml:space="preserve"> </w:t>
      </w:r>
    </w:p>
    <w:p w14:paraId="4E5F44BE" w14:textId="6E1BABC0" w:rsidR="00FE6C07" w:rsidRPr="00FE6C07" w:rsidRDefault="00FE6C07" w:rsidP="00FE6C07">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37DD1925" w14:textId="41308EC7" w:rsidR="00FE6C07" w:rsidRPr="00BC75A0" w:rsidRDefault="00FE6C07" w:rsidP="00BC75A0">
      <w:pPr>
        <w:rPr>
          <w:rFonts w:ascii="Arial" w:hAnsi="Arial" w:cs="Arial"/>
        </w:rPr>
      </w:pPr>
      <w:r w:rsidRPr="00BC75A0">
        <w:rPr>
          <w:rFonts w:ascii="Arial" w:hAnsi="Arial" w:cs="Arial"/>
        </w:rPr>
        <w:t>1)</w:t>
      </w:r>
      <w:r w:rsidRPr="00BC75A0">
        <w:rPr>
          <w:rFonts w:ascii="Arial" w:hAnsi="Arial" w:cs="Arial"/>
        </w:rPr>
        <w:tab/>
        <w:t xml:space="preserve">the eligibility of </w:t>
      </w:r>
      <w:proofErr w:type="spellStart"/>
      <w:r w:rsidR="00CD1AD7">
        <w:rPr>
          <w:rFonts w:ascii="Arial" w:hAnsi="Arial" w:cs="Arial"/>
          <w:i/>
          <w:iCs/>
        </w:rPr>
        <w:t>Mordacia</w:t>
      </w:r>
      <w:proofErr w:type="spellEnd"/>
      <w:r w:rsidR="00CD1AD7">
        <w:rPr>
          <w:rFonts w:ascii="Arial" w:hAnsi="Arial" w:cs="Arial"/>
          <w:i/>
          <w:iCs/>
        </w:rPr>
        <w:t xml:space="preserve"> praecox</w:t>
      </w:r>
      <w:r w:rsidRPr="00BC75A0">
        <w:rPr>
          <w:rFonts w:ascii="Arial" w:hAnsi="Arial" w:cs="Arial"/>
          <w:i/>
          <w:iCs/>
        </w:rPr>
        <w:t xml:space="preserve"> </w:t>
      </w:r>
      <w:r w:rsidRPr="00BC75A0">
        <w:rPr>
          <w:rFonts w:ascii="Arial" w:hAnsi="Arial" w:cs="Arial"/>
        </w:rPr>
        <w:t>(</w:t>
      </w:r>
      <w:r w:rsidR="00CD1AD7">
        <w:rPr>
          <w:rFonts w:ascii="Arial" w:hAnsi="Arial" w:cs="Arial"/>
        </w:rPr>
        <w:t>non-parasitic lamprey</w:t>
      </w:r>
      <w:r w:rsidRPr="00BC75A0">
        <w:rPr>
          <w:rFonts w:ascii="Arial" w:hAnsi="Arial" w:cs="Arial"/>
        </w:rPr>
        <w:t>) for inclusion on t</w:t>
      </w:r>
      <w:r w:rsidR="001C6328">
        <w:rPr>
          <w:rFonts w:ascii="Arial" w:hAnsi="Arial" w:cs="Arial"/>
        </w:rPr>
        <w:t xml:space="preserve">he </w:t>
      </w:r>
      <w:r w:rsidR="001C6328" w:rsidRPr="00FE6C07">
        <w:rPr>
          <w:rFonts w:ascii="Arial" w:eastAsia="Times New Roman" w:hAnsi="Arial" w:cs="Arial"/>
          <w:i/>
          <w:iCs/>
        </w:rPr>
        <w:t>Environment Protection and Biodiversity Conservation Act 1999</w:t>
      </w:r>
      <w:r w:rsidR="001C6328" w:rsidRPr="00FE6C07">
        <w:rPr>
          <w:rFonts w:ascii="Arial" w:eastAsia="Times New Roman" w:hAnsi="Arial" w:cs="Arial"/>
        </w:rPr>
        <w:t xml:space="preserve"> (EPBC Act) </w:t>
      </w:r>
      <w:r w:rsidRPr="00BC75A0">
        <w:rPr>
          <w:rFonts w:ascii="Arial" w:hAnsi="Arial" w:cs="Arial"/>
        </w:rPr>
        <w:t xml:space="preserve">threatened species list in the </w:t>
      </w:r>
      <w:r w:rsidR="00B20AEB" w:rsidRPr="00E11BEE">
        <w:rPr>
          <w:rFonts w:ascii="Arial" w:hAnsi="Arial" w:cs="Arial"/>
        </w:rPr>
        <w:t>Endangered</w:t>
      </w:r>
      <w:r w:rsidRPr="00E11BEE">
        <w:rPr>
          <w:rFonts w:ascii="Arial" w:hAnsi="Arial" w:cs="Arial"/>
        </w:rPr>
        <w:t xml:space="preserve"> </w:t>
      </w:r>
      <w:r w:rsidRPr="00BC75A0">
        <w:rPr>
          <w:rFonts w:ascii="Arial" w:hAnsi="Arial" w:cs="Arial"/>
        </w:rPr>
        <w:t xml:space="preserve">category; and </w:t>
      </w:r>
    </w:p>
    <w:p w14:paraId="381A7E67" w14:textId="77777777" w:rsidR="00FE6C07" w:rsidRPr="00FE6C07" w:rsidRDefault="00FE6C07" w:rsidP="00FE6C07">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2CA5617F" w14:textId="4EB2EAF9" w:rsidR="00211DB5" w:rsidRDefault="00BA44E7" w:rsidP="00FE6C07">
      <w:pPr>
        <w:spacing w:before="120" w:after="240" w:line="240" w:lineRule="auto"/>
        <w:rPr>
          <w:rFonts w:ascii="Arial" w:eastAsia="Times New Roman" w:hAnsi="Arial" w:cs="Arial"/>
        </w:rPr>
      </w:pPr>
      <w:r>
        <w:rPr>
          <w:rFonts w:ascii="Arial" w:eastAsia="Times New Roman" w:hAnsi="Arial" w:cs="Arial"/>
        </w:rPr>
        <w:t>The purpose of this consultation</w:t>
      </w:r>
      <w:r w:rsidR="00211DB5">
        <w:rPr>
          <w:rFonts w:ascii="Arial" w:eastAsia="Times New Roman" w:hAnsi="Arial" w:cs="Arial"/>
        </w:rPr>
        <w:t xml:space="preserve"> document is to elicit additional information to better understand the status of the species and help inform on conservation actions and further planning. As such, the below draft assessment should be considered to be </w:t>
      </w:r>
      <w:r w:rsidR="00211DB5" w:rsidRPr="00211DB5">
        <w:rPr>
          <w:rFonts w:ascii="Arial" w:eastAsia="Times New Roman" w:hAnsi="Arial" w:cs="Arial"/>
          <w:b/>
          <w:bCs/>
        </w:rPr>
        <w:t>tentative</w:t>
      </w:r>
      <w:r w:rsidR="00211DB5">
        <w:rPr>
          <w:rFonts w:ascii="Arial" w:eastAsia="Times New Roman" w:hAnsi="Arial" w:cs="Arial"/>
        </w:rPr>
        <w:t xml:space="preserve"> as it may change following responses to this consultation process. </w:t>
      </w:r>
    </w:p>
    <w:p w14:paraId="6B7006B6" w14:textId="39DD337D" w:rsidR="00FE6C07" w:rsidRPr="00FE6C07" w:rsidRDefault="00FE6C07" w:rsidP="00FE6C07">
      <w:pPr>
        <w:spacing w:before="120" w:after="240" w:line="240" w:lineRule="auto"/>
        <w:rPr>
          <w:rFonts w:ascii="Arial" w:eastAsia="Times New Roman" w:hAnsi="Arial" w:cs="Arial"/>
        </w:rPr>
      </w:pPr>
      <w:r w:rsidRPr="00FE6C07">
        <w:rPr>
          <w:rFonts w:ascii="Arial" w:eastAsia="Times New Roman" w:hAnsi="Arial" w:cs="Arial"/>
        </w:rPr>
        <w:t xml:space="preserve">Evidence provided by </w:t>
      </w:r>
      <w:r w:rsidR="001C6328">
        <w:rPr>
          <w:rFonts w:ascii="Arial" w:eastAsia="Times New Roman" w:hAnsi="Arial" w:cs="Arial"/>
        </w:rPr>
        <w:t xml:space="preserve">Traditional Owners, </w:t>
      </w:r>
      <w:r w:rsidRPr="00FE6C07">
        <w:rPr>
          <w:rFonts w:ascii="Arial" w:eastAsia="Times New Roman" w:hAnsi="Arial" w:cs="Arial"/>
        </w:rPr>
        <w:t xml:space="preserve">experts, stakeholders and the general public are welcome. Responses can be provided by any interested person. </w:t>
      </w:r>
    </w:p>
    <w:p w14:paraId="43BE7764" w14:textId="77EAE508"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7CF71A28" w14:textId="77777777" w:rsidR="00FE6C07" w:rsidRPr="00FE6C07" w:rsidRDefault="00FE6C07" w:rsidP="00FE6C07">
      <w:pPr>
        <w:spacing w:after="0" w:line="240" w:lineRule="auto"/>
        <w:rPr>
          <w:rFonts w:ascii="Arial" w:eastAsia="Times New Roman" w:hAnsi="Arial" w:cs="Arial"/>
        </w:rPr>
      </w:pPr>
    </w:p>
    <w:p w14:paraId="2EB360C6" w14:textId="0541A4E5"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1" w:history="1">
        <w:r w:rsidRPr="00FE6C07">
          <w:rPr>
            <w:rFonts w:ascii="Arial" w:eastAsia="Times New Roman" w:hAnsi="Arial" w:cs="Arial"/>
            <w:color w:val="0000FF"/>
            <w:u w:val="single"/>
          </w:rPr>
          <w:t>species.consultation@environment.gov.au</w:t>
        </w:r>
      </w:hyperlink>
      <w:r w:rsidRPr="00FE6C07">
        <w:rPr>
          <w:rFonts w:ascii="Arial" w:eastAsia="Times New Roman" w:hAnsi="Arial" w:cs="Arial"/>
        </w:rPr>
        <w:t xml:space="preserve"> </w:t>
      </w:r>
      <w:r w:rsidR="00211AA8">
        <w:rPr>
          <w:rFonts w:ascii="Arial" w:eastAsia="Times New Roman" w:hAnsi="Arial" w:cs="Arial"/>
        </w:rPr>
        <w:t>. Please include species scientific name in Subject field.</w:t>
      </w:r>
    </w:p>
    <w:p w14:paraId="329469AB" w14:textId="77777777" w:rsidR="00FE6C07" w:rsidRPr="00FE6C07" w:rsidRDefault="00FE6C07" w:rsidP="00FE6C07">
      <w:pPr>
        <w:spacing w:after="0" w:line="240" w:lineRule="auto"/>
        <w:rPr>
          <w:rFonts w:ascii="Arial" w:eastAsia="Times New Roman" w:hAnsi="Arial" w:cs="Arial"/>
        </w:rPr>
      </w:pPr>
    </w:p>
    <w:p w14:paraId="02A68184"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48C367DD" w14:textId="77777777" w:rsidR="00FE6C07" w:rsidRPr="00FE6C07" w:rsidRDefault="00FE6C07" w:rsidP="00FE6C07">
      <w:pPr>
        <w:spacing w:after="0" w:line="240" w:lineRule="auto"/>
        <w:rPr>
          <w:rFonts w:ascii="Arial" w:eastAsia="Times New Roman" w:hAnsi="Arial" w:cs="Arial"/>
          <w:color w:val="000000"/>
        </w:rPr>
      </w:pPr>
    </w:p>
    <w:p w14:paraId="0B746AFF" w14:textId="77777777" w:rsidR="00FE6C07" w:rsidRPr="00FE6C07" w:rsidRDefault="00FE6C07" w:rsidP="00FE6C07">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2E9FB1D6" w14:textId="00AEFADC" w:rsidR="00834051" w:rsidRDefault="00FE6C07">
      <w:pPr>
        <w:spacing w:after="0" w:line="240" w:lineRule="auto"/>
        <w:ind w:left="426"/>
        <w:rPr>
          <w:rFonts w:ascii="Arial" w:eastAsia="Times New Roman" w:hAnsi="Arial" w:cs="Arial"/>
        </w:rPr>
      </w:pPr>
      <w:r w:rsidRPr="00CB7B65">
        <w:rPr>
          <w:rFonts w:ascii="Arial" w:eastAsia="Times New Roman" w:hAnsi="Arial" w:cs="Arial"/>
        </w:rPr>
        <w:t>Marine and Freshwater Species</w:t>
      </w:r>
      <w:r w:rsidR="00BE53C9">
        <w:rPr>
          <w:rFonts w:ascii="Arial" w:eastAsia="Times New Roman" w:hAnsi="Arial" w:cs="Arial"/>
        </w:rPr>
        <w:t xml:space="preserve"> Conservation Section</w:t>
      </w:r>
    </w:p>
    <w:p w14:paraId="180486AB" w14:textId="7CD088D7" w:rsidR="00BE53C9" w:rsidRDefault="00BE53C9">
      <w:pPr>
        <w:spacing w:after="0" w:line="240" w:lineRule="auto"/>
        <w:ind w:left="426"/>
        <w:rPr>
          <w:rFonts w:ascii="Arial" w:eastAsia="Times New Roman" w:hAnsi="Arial" w:cs="Arial"/>
        </w:rPr>
      </w:pPr>
      <w:r>
        <w:rPr>
          <w:rFonts w:ascii="Arial" w:eastAsia="Times New Roman" w:hAnsi="Arial" w:cs="Arial"/>
        </w:rPr>
        <w:t>Protected Species and Communities Branch</w:t>
      </w:r>
    </w:p>
    <w:p w14:paraId="53DA67E4" w14:textId="671EA4CD" w:rsidR="00BE53C9" w:rsidRPr="00CB7B65" w:rsidRDefault="00BE53C9">
      <w:pPr>
        <w:spacing w:after="0" w:line="240" w:lineRule="auto"/>
        <w:ind w:left="426"/>
        <w:rPr>
          <w:rFonts w:ascii="Arial" w:eastAsia="Times New Roman" w:hAnsi="Arial" w:cs="Arial"/>
        </w:rPr>
      </w:pPr>
      <w:r>
        <w:rPr>
          <w:rFonts w:ascii="Arial" w:eastAsia="Times New Roman" w:hAnsi="Arial" w:cs="Arial"/>
        </w:rPr>
        <w:t>Biodiversity Conservation Division</w:t>
      </w:r>
    </w:p>
    <w:p w14:paraId="49020CF3" w14:textId="3E445A23" w:rsidR="00FE6C07" w:rsidRPr="00FE6C07" w:rsidRDefault="00925989" w:rsidP="00FE6C07">
      <w:pPr>
        <w:spacing w:after="0" w:line="240" w:lineRule="auto"/>
        <w:ind w:left="426"/>
        <w:rPr>
          <w:rFonts w:ascii="Arial" w:eastAsia="Times New Roman" w:hAnsi="Arial" w:cs="Arial"/>
          <w:color w:val="000000"/>
        </w:rPr>
      </w:pPr>
      <w:r>
        <w:rPr>
          <w:rFonts w:ascii="Arial" w:eastAsia="Times New Roman" w:hAnsi="Arial" w:cs="Arial"/>
        </w:rPr>
        <w:t>Department</w:t>
      </w:r>
      <w:r w:rsidR="00FE6C07" w:rsidRPr="00BC75A0">
        <w:rPr>
          <w:rFonts w:ascii="Arial" w:eastAsia="Times New Roman" w:hAnsi="Arial" w:cs="Arial"/>
        </w:rPr>
        <w:t xml:space="preserve"> of </w:t>
      </w:r>
      <w:r w:rsidR="00B541D5" w:rsidRPr="00BC75A0">
        <w:rPr>
          <w:rFonts w:ascii="Arial" w:eastAsia="Times New Roman" w:hAnsi="Arial" w:cs="Arial"/>
        </w:rPr>
        <w:t xml:space="preserve">Agriculture, Water and </w:t>
      </w:r>
      <w:r w:rsidR="00FE6C07" w:rsidRPr="00BC75A0">
        <w:rPr>
          <w:rFonts w:ascii="Arial" w:eastAsia="Times New Roman" w:hAnsi="Arial" w:cs="Arial"/>
        </w:rPr>
        <w:t>the Environment</w:t>
      </w:r>
    </w:p>
    <w:p w14:paraId="40B157D7" w14:textId="77777777" w:rsidR="00526330" w:rsidRDefault="00526330" w:rsidP="00FE6C07">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6EB79FD0" w14:textId="7DBA55DE" w:rsidR="00FE6C07" w:rsidRPr="00FE6C07" w:rsidRDefault="00B541D5" w:rsidP="00FE6C07">
      <w:pPr>
        <w:spacing w:after="0" w:line="240" w:lineRule="auto"/>
        <w:ind w:left="426"/>
        <w:rPr>
          <w:rFonts w:ascii="Arial" w:eastAsia="Times New Roman" w:hAnsi="Arial" w:cs="Arial"/>
          <w:color w:val="000000"/>
        </w:rPr>
      </w:pPr>
      <w:r>
        <w:rPr>
          <w:rFonts w:ascii="Arial" w:eastAsia="Times New Roman" w:hAnsi="Arial" w:cs="Arial"/>
          <w:color w:val="000000"/>
        </w:rPr>
        <w:t>G</w:t>
      </w:r>
      <w:r w:rsidR="00FE6C07" w:rsidRPr="00FE6C07">
        <w:rPr>
          <w:rFonts w:ascii="Arial" w:eastAsia="Times New Roman" w:hAnsi="Arial" w:cs="Arial"/>
          <w:color w:val="000000"/>
        </w:rPr>
        <w:t xml:space="preserve">PO Box </w:t>
      </w:r>
      <w:r>
        <w:rPr>
          <w:rFonts w:ascii="Arial" w:eastAsia="Times New Roman" w:hAnsi="Arial" w:cs="Arial"/>
          <w:color w:val="000000"/>
        </w:rPr>
        <w:t>858</w:t>
      </w:r>
    </w:p>
    <w:p w14:paraId="157AF117" w14:textId="77777777" w:rsidR="00FE6C07" w:rsidRPr="00FE6C07" w:rsidRDefault="00FE6C07" w:rsidP="00FE6C07">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287FC304" w14:textId="77777777" w:rsidR="00FE6C07" w:rsidRPr="00FE6C07" w:rsidRDefault="00FE6C07" w:rsidP="00FE6C07">
      <w:pPr>
        <w:spacing w:after="0" w:line="240" w:lineRule="auto"/>
        <w:rPr>
          <w:rFonts w:ascii="Arial" w:eastAsia="Times New Roman" w:hAnsi="Arial" w:cs="Arial"/>
          <w:color w:val="000000"/>
        </w:rPr>
      </w:pPr>
    </w:p>
    <w:p w14:paraId="48694B1E" w14:textId="661A2BC0" w:rsidR="00FE6C07" w:rsidRPr="00FE6C07" w:rsidRDefault="00FE6C07" w:rsidP="00FE6C07">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88176B" w:rsidRPr="002F056F">
        <w:rPr>
          <w:rFonts w:ascii="Arial" w:eastAsia="Times New Roman" w:hAnsi="Arial" w:cs="Arial"/>
          <w:b/>
        </w:rPr>
        <w:t>1 March, 202</w:t>
      </w:r>
      <w:r w:rsidR="002F056F">
        <w:rPr>
          <w:rFonts w:ascii="Arial" w:eastAsia="Times New Roman" w:hAnsi="Arial" w:cs="Arial"/>
          <w:b/>
        </w:rPr>
        <w:t>2</w:t>
      </w:r>
      <w:r w:rsidR="0088176B" w:rsidRPr="002F056F">
        <w:rPr>
          <w:rFonts w:ascii="Arial" w:eastAsia="Times New Roman" w:hAnsi="Arial" w:cs="Arial"/>
          <w:b/>
        </w:rPr>
        <w:t>.</w:t>
      </w:r>
    </w:p>
    <w:tbl>
      <w:tblPr>
        <w:tblW w:w="9854" w:type="dxa"/>
        <w:tblLayout w:type="fixed"/>
        <w:tblLook w:val="04A0" w:firstRow="1" w:lastRow="0" w:firstColumn="1" w:lastColumn="0" w:noHBand="0" w:noVBand="1"/>
      </w:tblPr>
      <w:tblGrid>
        <w:gridCol w:w="9039"/>
        <w:gridCol w:w="815"/>
      </w:tblGrid>
      <w:tr w:rsidR="00FE6C07" w:rsidRPr="00FE6C07" w14:paraId="665EB94B" w14:textId="77777777" w:rsidTr="007F30CA">
        <w:tc>
          <w:tcPr>
            <w:tcW w:w="9039" w:type="dxa"/>
            <w:tcBorders>
              <w:top w:val="single" w:sz="4" w:space="0" w:color="auto"/>
              <w:left w:val="single" w:sz="4" w:space="0" w:color="auto"/>
              <w:bottom w:val="single" w:sz="4" w:space="0" w:color="auto"/>
              <w:right w:val="single" w:sz="4" w:space="0" w:color="auto"/>
            </w:tcBorders>
            <w:shd w:val="pct15" w:color="auto" w:fill="auto"/>
          </w:tcPr>
          <w:p w14:paraId="0A738F80" w14:textId="77777777" w:rsidR="00FE6C07" w:rsidRPr="00FE6C07" w:rsidRDefault="00FE6C07" w:rsidP="00FE6C07">
            <w:pPr>
              <w:spacing w:after="0" w:line="240" w:lineRule="auto"/>
              <w:rPr>
                <w:rFonts w:ascii="Arial" w:eastAsia="Times New Roman" w:hAnsi="Arial" w:cs="Arial"/>
                <w:b/>
              </w:rPr>
            </w:pPr>
            <w:r w:rsidRPr="00FE6C0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0E54CD90" w14:textId="77777777" w:rsidR="00FE6C07" w:rsidRPr="00FE6C07" w:rsidRDefault="00FE6C07" w:rsidP="00FE6C07">
            <w:pPr>
              <w:spacing w:after="0" w:line="240" w:lineRule="auto"/>
              <w:rPr>
                <w:rFonts w:ascii="Arial" w:eastAsia="Times New Roman" w:hAnsi="Arial" w:cs="Arial"/>
                <w:b/>
                <w:bCs/>
              </w:rPr>
            </w:pPr>
            <w:r w:rsidRPr="00FE6C07">
              <w:rPr>
                <w:rFonts w:ascii="Arial" w:eastAsia="Times New Roman" w:hAnsi="Arial" w:cs="Arial"/>
                <w:b/>
                <w:bCs/>
              </w:rPr>
              <w:t>Page</w:t>
            </w:r>
          </w:p>
        </w:tc>
      </w:tr>
      <w:tr w:rsidR="00FE6C07" w:rsidRPr="00FE6C07" w14:paraId="71537B44" w14:textId="77777777" w:rsidTr="007F30CA">
        <w:tc>
          <w:tcPr>
            <w:tcW w:w="9039" w:type="dxa"/>
            <w:tcBorders>
              <w:top w:val="single" w:sz="4" w:space="0" w:color="auto"/>
              <w:left w:val="single" w:sz="4" w:space="0" w:color="auto"/>
              <w:bottom w:val="single" w:sz="4" w:space="0" w:color="auto"/>
              <w:right w:val="single" w:sz="4" w:space="0" w:color="auto"/>
            </w:tcBorders>
          </w:tcPr>
          <w:p w14:paraId="5AF763FC"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5FC3B068" w14:textId="2B1A5DBA" w:rsidR="00FE6C07" w:rsidRPr="00FE6C07" w:rsidRDefault="003A2215" w:rsidP="00FE6C07">
            <w:pPr>
              <w:spacing w:after="0" w:line="240" w:lineRule="auto"/>
              <w:jc w:val="right"/>
              <w:rPr>
                <w:rFonts w:ascii="Arial" w:eastAsia="Times New Roman" w:hAnsi="Arial" w:cs="Arial"/>
              </w:rPr>
            </w:pPr>
            <w:r>
              <w:rPr>
                <w:rFonts w:ascii="Arial" w:eastAsia="Times New Roman" w:hAnsi="Arial" w:cs="Arial"/>
              </w:rPr>
              <w:t>2</w:t>
            </w:r>
          </w:p>
        </w:tc>
      </w:tr>
      <w:tr w:rsidR="00FE6C07" w:rsidRPr="00FE6C07" w14:paraId="3491CC66" w14:textId="77777777" w:rsidTr="007F30CA">
        <w:tc>
          <w:tcPr>
            <w:tcW w:w="9039" w:type="dxa"/>
            <w:tcBorders>
              <w:top w:val="single" w:sz="4" w:space="0" w:color="auto"/>
              <w:left w:val="single" w:sz="4" w:space="0" w:color="auto"/>
              <w:bottom w:val="single" w:sz="4" w:space="0" w:color="auto"/>
              <w:right w:val="single" w:sz="4" w:space="0" w:color="auto"/>
            </w:tcBorders>
          </w:tcPr>
          <w:p w14:paraId="2AACD8B7"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4402A572" w14:textId="2D8A6590" w:rsidR="00FE6C07" w:rsidRPr="00FE6C07" w:rsidRDefault="003A2215" w:rsidP="00FE6C07">
            <w:pPr>
              <w:spacing w:after="0" w:line="240" w:lineRule="auto"/>
              <w:jc w:val="right"/>
              <w:rPr>
                <w:rFonts w:ascii="Arial" w:eastAsia="Times New Roman" w:hAnsi="Arial" w:cs="Arial"/>
              </w:rPr>
            </w:pPr>
            <w:r>
              <w:rPr>
                <w:rFonts w:ascii="Arial" w:eastAsia="Times New Roman" w:hAnsi="Arial" w:cs="Arial"/>
              </w:rPr>
              <w:t>3</w:t>
            </w:r>
          </w:p>
        </w:tc>
      </w:tr>
      <w:tr w:rsidR="00622A19" w:rsidRPr="00FE6C07" w14:paraId="5EFCF24D" w14:textId="77777777" w:rsidTr="007F30CA">
        <w:tc>
          <w:tcPr>
            <w:tcW w:w="9039" w:type="dxa"/>
            <w:tcBorders>
              <w:top w:val="single" w:sz="4" w:space="0" w:color="auto"/>
              <w:left w:val="single" w:sz="4" w:space="0" w:color="auto"/>
              <w:bottom w:val="single" w:sz="4" w:space="0" w:color="auto"/>
              <w:right w:val="single" w:sz="4" w:space="0" w:color="auto"/>
            </w:tcBorders>
          </w:tcPr>
          <w:p w14:paraId="1645DB04" w14:textId="3920E7B4" w:rsidR="00622A19" w:rsidRPr="00FE6C07" w:rsidRDefault="00622A19" w:rsidP="00FE6C07">
            <w:pPr>
              <w:spacing w:after="0" w:line="240" w:lineRule="auto"/>
              <w:rPr>
                <w:rFonts w:ascii="Arial" w:eastAsia="Times New Roman" w:hAnsi="Arial" w:cs="Arial"/>
              </w:rPr>
            </w:pPr>
            <w:r>
              <w:rPr>
                <w:rFonts w:ascii="Arial" w:eastAsia="Times New Roman" w:hAnsi="Arial" w:cs="Arial"/>
              </w:rPr>
              <w:t>Consultation questions</w:t>
            </w:r>
            <w:r w:rsidR="00BB74D6">
              <w:rPr>
                <w:rFonts w:ascii="Arial" w:eastAsia="Times New Roman" w:hAnsi="Arial" w:cs="Arial"/>
              </w:rPr>
              <w:t xml:space="preserve"> specific to the assessment</w:t>
            </w:r>
          </w:p>
        </w:tc>
        <w:tc>
          <w:tcPr>
            <w:tcW w:w="815" w:type="dxa"/>
            <w:tcBorders>
              <w:top w:val="single" w:sz="4" w:space="0" w:color="auto"/>
              <w:left w:val="single" w:sz="4" w:space="0" w:color="auto"/>
              <w:bottom w:val="single" w:sz="4" w:space="0" w:color="auto"/>
              <w:right w:val="single" w:sz="4" w:space="0" w:color="auto"/>
            </w:tcBorders>
          </w:tcPr>
          <w:p w14:paraId="10EFEA51" w14:textId="3167199C" w:rsidR="00622A19" w:rsidRPr="00FE6C07" w:rsidRDefault="003A2215" w:rsidP="00FE6C07">
            <w:pPr>
              <w:spacing w:after="0" w:line="240" w:lineRule="auto"/>
              <w:jc w:val="right"/>
              <w:rPr>
                <w:rFonts w:ascii="Arial" w:eastAsia="Times New Roman" w:hAnsi="Arial" w:cs="Arial"/>
              </w:rPr>
            </w:pPr>
            <w:r>
              <w:rPr>
                <w:rFonts w:ascii="Arial" w:eastAsia="Times New Roman" w:hAnsi="Arial" w:cs="Arial"/>
              </w:rPr>
              <w:t>4</w:t>
            </w:r>
          </w:p>
        </w:tc>
      </w:tr>
      <w:tr w:rsidR="00622A19" w:rsidRPr="00FE6C07" w14:paraId="27CE40FC" w14:textId="77777777" w:rsidTr="007F30CA">
        <w:tc>
          <w:tcPr>
            <w:tcW w:w="9039" w:type="dxa"/>
            <w:tcBorders>
              <w:top w:val="single" w:sz="4" w:space="0" w:color="auto"/>
              <w:left w:val="single" w:sz="4" w:space="0" w:color="auto"/>
              <w:bottom w:val="single" w:sz="4" w:space="0" w:color="auto"/>
              <w:right w:val="single" w:sz="4" w:space="0" w:color="auto"/>
            </w:tcBorders>
          </w:tcPr>
          <w:p w14:paraId="12927768" w14:textId="44C95E79" w:rsidR="00622A19" w:rsidRPr="00FE6C07" w:rsidRDefault="00622A19" w:rsidP="00FE6C07">
            <w:pPr>
              <w:spacing w:after="0" w:line="240" w:lineRule="auto"/>
              <w:rPr>
                <w:rFonts w:ascii="Arial" w:eastAsia="Times New Roman" w:hAnsi="Arial" w:cs="Arial"/>
              </w:rPr>
            </w:pPr>
            <w:r w:rsidRPr="00FE6C07">
              <w:rPr>
                <w:rFonts w:ascii="Arial" w:eastAsia="Times New Roman" w:hAnsi="Arial" w:cs="Arial"/>
              </w:rPr>
              <w:t xml:space="preserve">Draft </w:t>
            </w:r>
            <w:r>
              <w:rPr>
                <w:rFonts w:ascii="Arial" w:eastAsia="Times New Roman" w:hAnsi="Arial" w:cs="Arial"/>
              </w:rPr>
              <w:t>assessment/</w:t>
            </w:r>
            <w:r w:rsidRPr="00FE6C07">
              <w:rPr>
                <w:rFonts w:ascii="Arial" w:eastAsia="Times New Roman" w:hAnsi="Arial" w:cs="Arial"/>
              </w:rPr>
              <w:t xml:space="preserve">information about </w:t>
            </w:r>
            <w:r w:rsidRPr="00FE6C07">
              <w:rPr>
                <w:rFonts w:ascii="Arial" w:eastAsia="Times New Roman" w:hAnsi="Arial" w:cs="Arial"/>
                <w:iCs/>
              </w:rPr>
              <w:t xml:space="preserve">the </w:t>
            </w:r>
            <w:r>
              <w:rPr>
                <w:rFonts w:ascii="Arial" w:eastAsia="Times New Roman" w:hAnsi="Arial" w:cs="Arial"/>
              </w:rPr>
              <w:t>species</w:t>
            </w:r>
            <w:r w:rsidRPr="00FE6C07">
              <w:rPr>
                <w:rFonts w:ascii="Arial" w:eastAsia="Times New Roman" w:hAnsi="Arial" w:cs="Arial"/>
              </w:rPr>
              <w:t xml:space="preserve">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17FB8948" w14:textId="5B4E3669" w:rsidR="00622A19" w:rsidRPr="00FE6C07" w:rsidRDefault="003A2215" w:rsidP="00FE6C07">
            <w:pPr>
              <w:spacing w:after="0" w:line="240" w:lineRule="auto"/>
              <w:jc w:val="right"/>
              <w:rPr>
                <w:rFonts w:ascii="Arial" w:eastAsia="Times New Roman" w:hAnsi="Arial" w:cs="Arial"/>
              </w:rPr>
            </w:pPr>
            <w:r>
              <w:rPr>
                <w:rFonts w:ascii="Arial" w:eastAsia="Times New Roman" w:hAnsi="Arial" w:cs="Arial"/>
              </w:rPr>
              <w:t>6</w:t>
            </w:r>
          </w:p>
        </w:tc>
      </w:tr>
      <w:tr w:rsidR="00622A19" w:rsidRPr="00FE6C07" w14:paraId="0FD3A816" w14:textId="77777777" w:rsidTr="007F30CA">
        <w:tc>
          <w:tcPr>
            <w:tcW w:w="9039" w:type="dxa"/>
            <w:tcBorders>
              <w:top w:val="single" w:sz="4" w:space="0" w:color="auto"/>
              <w:left w:val="single" w:sz="4" w:space="0" w:color="auto"/>
              <w:bottom w:val="single" w:sz="4" w:space="0" w:color="auto"/>
              <w:right w:val="single" w:sz="4" w:space="0" w:color="auto"/>
            </w:tcBorders>
          </w:tcPr>
          <w:p w14:paraId="46348574" w14:textId="0A97D399" w:rsidR="00622A19" w:rsidRPr="00FE6C07" w:rsidRDefault="00622A19" w:rsidP="00FE6C07">
            <w:pPr>
              <w:spacing w:after="0" w:line="240" w:lineRule="auto"/>
              <w:rPr>
                <w:rFonts w:ascii="Arial" w:eastAsia="Times New Roman" w:hAnsi="Arial" w:cs="Arial"/>
              </w:rPr>
            </w:pPr>
            <w:r>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67F07C0B" w14:textId="04E5B6DD" w:rsidR="00622A19" w:rsidRPr="00FE6C07" w:rsidRDefault="003A2215" w:rsidP="00FE6C07">
            <w:pPr>
              <w:spacing w:after="0" w:line="240" w:lineRule="auto"/>
              <w:jc w:val="right"/>
              <w:rPr>
                <w:rFonts w:ascii="Arial" w:eastAsia="Times New Roman" w:hAnsi="Arial" w:cs="Arial"/>
              </w:rPr>
            </w:pPr>
            <w:r>
              <w:rPr>
                <w:rFonts w:ascii="Arial" w:eastAsia="Times New Roman" w:hAnsi="Arial" w:cs="Arial"/>
              </w:rPr>
              <w:t>15</w:t>
            </w:r>
          </w:p>
        </w:tc>
      </w:tr>
      <w:tr w:rsidR="00622A19" w:rsidRPr="00FE6C07" w14:paraId="02593048" w14:textId="77777777" w:rsidTr="007F30CA">
        <w:tc>
          <w:tcPr>
            <w:tcW w:w="9039" w:type="dxa"/>
            <w:tcBorders>
              <w:top w:val="single" w:sz="4" w:space="0" w:color="auto"/>
              <w:left w:val="single" w:sz="4" w:space="0" w:color="auto"/>
              <w:bottom w:val="single" w:sz="4" w:space="0" w:color="auto"/>
              <w:right w:val="single" w:sz="4" w:space="0" w:color="auto"/>
            </w:tcBorders>
          </w:tcPr>
          <w:p w14:paraId="6390DD1D" w14:textId="316229F7" w:rsidR="00622A19" w:rsidRPr="00FE6C07" w:rsidRDefault="00622A19" w:rsidP="00FE6C07">
            <w:pPr>
              <w:spacing w:after="0" w:line="240" w:lineRule="auto"/>
              <w:rPr>
                <w:rFonts w:ascii="Arial" w:eastAsia="Times New Roman" w:hAnsi="Arial" w:cs="Arial"/>
              </w:rPr>
            </w:pPr>
            <w:r>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477F868A" w14:textId="773D3A9F" w:rsidR="00622A19" w:rsidRPr="00FE6C07" w:rsidRDefault="003C79F3" w:rsidP="00FE6C07">
            <w:pPr>
              <w:spacing w:after="0" w:line="240" w:lineRule="auto"/>
              <w:jc w:val="right"/>
              <w:rPr>
                <w:rFonts w:ascii="Arial" w:eastAsia="Times New Roman" w:hAnsi="Arial" w:cs="Arial"/>
              </w:rPr>
            </w:pPr>
            <w:r>
              <w:rPr>
                <w:rFonts w:ascii="Arial" w:eastAsia="Times New Roman" w:hAnsi="Arial" w:cs="Arial"/>
              </w:rPr>
              <w:t>18</w:t>
            </w:r>
          </w:p>
        </w:tc>
      </w:tr>
    </w:tbl>
    <w:p w14:paraId="3A86B2E7" w14:textId="6D82D09C"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lastRenderedPageBreak/>
        <w:t>General background information about listing threatened species</w:t>
      </w:r>
    </w:p>
    <w:p w14:paraId="5C8A0C7A" w14:textId="21756ED8"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370D85E1" w14:textId="77777777" w:rsidR="00FE6C07" w:rsidRPr="00FE6C07" w:rsidRDefault="00C54332" w:rsidP="00FE6C07">
      <w:pPr>
        <w:spacing w:after="200" w:line="240" w:lineRule="auto"/>
        <w:rPr>
          <w:rFonts w:ascii="Arial" w:eastAsia="Times New Roman" w:hAnsi="Arial" w:cs="Arial"/>
        </w:rPr>
      </w:pPr>
      <w:hyperlink r:id="rId12" w:history="1">
        <w:r w:rsidR="00FE6C07" w:rsidRPr="00FE6C07">
          <w:rPr>
            <w:rFonts w:ascii="Arial" w:eastAsia="Times New Roman" w:hAnsi="Arial" w:cs="Arial"/>
            <w:color w:val="0000FF"/>
            <w:u w:val="single"/>
          </w:rPr>
          <w:t>http://www.environment.gov.au/biodiversity/threatened/index.html</w:t>
        </w:r>
      </w:hyperlink>
      <w:r w:rsidR="00FE6C07" w:rsidRPr="00FE6C07">
        <w:rPr>
          <w:rFonts w:ascii="Arial" w:eastAsia="Times New Roman" w:hAnsi="Arial" w:cs="Arial"/>
        </w:rPr>
        <w:t>.</w:t>
      </w:r>
    </w:p>
    <w:p w14:paraId="1CD5CF40" w14:textId="7BCED97B" w:rsidR="00FE6C07" w:rsidRPr="00FE6C07" w:rsidRDefault="00FE6C07" w:rsidP="00FE6C07">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w:t>
      </w:r>
      <w:r w:rsidR="00925989">
        <w:rPr>
          <w:rFonts w:ascii="Arial" w:eastAsia="Times New Roman" w:hAnsi="Arial" w:cs="Arial"/>
        </w:rPr>
        <w:t>department</w:t>
      </w:r>
      <w:r w:rsidRPr="00FE6C07">
        <w:rPr>
          <w:rFonts w:ascii="Arial" w:eastAsia="Times New Roman" w:hAnsi="Arial" w:cs="Arial"/>
        </w:rPr>
        <w:t xml:space="preserve">.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2F7FFF4A" w14:textId="4AA5BD52" w:rsidR="00FE6C07" w:rsidRDefault="00C54332" w:rsidP="00032EF9">
      <w:pPr>
        <w:spacing w:after="0" w:line="240" w:lineRule="auto"/>
        <w:rPr>
          <w:rFonts w:ascii="Times New Roman" w:eastAsia="Times New Roman" w:hAnsi="Times New Roman" w:cs="Times New Roman"/>
          <w:color w:val="1F497D"/>
          <w:szCs w:val="24"/>
        </w:rPr>
      </w:pPr>
      <w:hyperlink r:id="rId13" w:history="1">
        <w:r w:rsidR="00FE6C07" w:rsidRPr="00FE6C07">
          <w:rPr>
            <w:rFonts w:ascii="Arial" w:eastAsia="Times New Roman" w:hAnsi="Arial" w:cs="Arial"/>
            <w:color w:val="0000FF"/>
            <w:szCs w:val="24"/>
            <w:u w:val="single"/>
          </w:rPr>
          <w:t>http://www.environment.gov.au/system/files/pages/d72dfd1a-f0d8-4699-8d43-5d95bbb02428/files/tssc-guidelines-assessing-species-2018.pdf</w:t>
        </w:r>
      </w:hyperlink>
      <w:r w:rsidR="00FE6C07" w:rsidRPr="00FE6C07">
        <w:rPr>
          <w:rFonts w:ascii="Times New Roman" w:eastAsia="Times New Roman" w:hAnsi="Times New Roman" w:cs="Times New Roman"/>
          <w:color w:val="1F497D"/>
          <w:szCs w:val="24"/>
        </w:rPr>
        <w:t>.</w:t>
      </w:r>
    </w:p>
    <w:p w14:paraId="535CC07D" w14:textId="77777777" w:rsidR="00032EF9" w:rsidRPr="00032EF9" w:rsidRDefault="00032EF9" w:rsidP="00032EF9">
      <w:pPr>
        <w:spacing w:after="0" w:line="240" w:lineRule="auto"/>
        <w:rPr>
          <w:rFonts w:ascii="Times New Roman" w:eastAsia="Times New Roman" w:hAnsi="Times New Roman" w:cs="Times New Roman"/>
          <w:color w:val="1F497D"/>
          <w:szCs w:val="24"/>
        </w:rPr>
      </w:pPr>
    </w:p>
    <w:p w14:paraId="5C71742D" w14:textId="77777777"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4" w:history="1">
        <w:r w:rsidRPr="00FE6C07">
          <w:rPr>
            <w:rFonts w:ascii="Arial" w:eastAsia="Times New Roman" w:hAnsi="Arial" w:cs="Arial"/>
            <w:color w:val="0000FF"/>
            <w:u w:val="single"/>
          </w:rPr>
          <w:t>http://www.environment.gov.au/biodiversity/threatened/nominations.html</w:t>
        </w:r>
      </w:hyperlink>
      <w:r w:rsidRPr="00FE6C07">
        <w:rPr>
          <w:rFonts w:ascii="Arial" w:eastAsia="Times New Roman" w:hAnsi="Arial" w:cs="Arial"/>
        </w:rPr>
        <w:t>.</w:t>
      </w:r>
    </w:p>
    <w:p w14:paraId="0782C854" w14:textId="4659FD9A"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w:t>
      </w:r>
      <w:r w:rsidR="00B9331A">
        <w:rPr>
          <w:rFonts w:ascii="Arial" w:eastAsia="Times New Roman" w:hAnsi="Arial" w:cs="Arial"/>
        </w:rPr>
        <w:t>C</w:t>
      </w:r>
      <w:r w:rsidRPr="00FE6C07">
        <w:rPr>
          <w:rFonts w:ascii="Arial" w:eastAsia="Times New Roman" w:hAnsi="Arial" w:cs="Arial"/>
        </w:rPr>
        <w:t>onservation</w:t>
      </w:r>
      <w:r w:rsidR="007F30CA">
        <w:rPr>
          <w:rFonts w:ascii="Arial" w:eastAsia="Times New Roman" w:hAnsi="Arial" w:cs="Arial"/>
        </w:rPr>
        <w:t xml:space="preserve"> </w:t>
      </w:r>
      <w:r w:rsidR="00B9331A">
        <w:rPr>
          <w:rFonts w:ascii="Arial" w:eastAsia="Times New Roman" w:hAnsi="Arial" w:cs="Arial"/>
        </w:rPr>
        <w:t>A</w:t>
      </w:r>
      <w:r w:rsidRPr="00FE6C07">
        <w:rPr>
          <w:rFonts w:ascii="Arial" w:eastAsia="Times New Roman" w:hAnsi="Arial" w:cs="Arial"/>
        </w:rPr>
        <w:t xml:space="preserve">dvices and where required, </w:t>
      </w:r>
      <w:r w:rsidR="00B9331A">
        <w:rPr>
          <w:rFonts w:ascii="Arial" w:eastAsia="Times New Roman" w:hAnsi="Arial" w:cs="Arial"/>
        </w:rPr>
        <w:t>R</w:t>
      </w:r>
      <w:r w:rsidRPr="00FE6C07">
        <w:rPr>
          <w:rFonts w:ascii="Arial" w:eastAsia="Times New Roman" w:hAnsi="Arial" w:cs="Arial"/>
        </w:rPr>
        <w:t xml:space="preserve">ecovery </w:t>
      </w:r>
      <w:r w:rsidR="00B9331A">
        <w:rPr>
          <w:rFonts w:ascii="Arial" w:eastAsia="Times New Roman" w:hAnsi="Arial" w:cs="Arial"/>
        </w:rPr>
        <w:t>P</w:t>
      </w:r>
      <w:r w:rsidRPr="00FE6C07">
        <w:rPr>
          <w:rFonts w:ascii="Arial" w:eastAsia="Times New Roman" w:hAnsi="Arial" w:cs="Arial"/>
        </w:rPr>
        <w:t xml:space="preserve">lans are made or adopted in accordance with Part 13 of the EPBC Act. Conservation </w:t>
      </w:r>
      <w:r w:rsidR="005C73F0">
        <w:rPr>
          <w:rFonts w:ascii="Arial" w:eastAsia="Times New Roman" w:hAnsi="Arial" w:cs="Arial"/>
        </w:rPr>
        <w:t>A</w:t>
      </w:r>
      <w:r w:rsidRPr="00FE6C07">
        <w:rPr>
          <w:rFonts w:ascii="Arial" w:eastAsia="Times New Roman" w:hAnsi="Arial" w:cs="Arial"/>
        </w:rPr>
        <w:t xml:space="preserve">dvices provide guidance at the time of listing on known threats and priority recovery actions that can be undertaken at a local and regional level. Recovery </w:t>
      </w:r>
      <w:r w:rsidR="005C73F0">
        <w:rPr>
          <w:rFonts w:ascii="Arial" w:eastAsia="Times New Roman" w:hAnsi="Arial" w:cs="Arial"/>
        </w:rPr>
        <w:t>P</w:t>
      </w:r>
      <w:r w:rsidRPr="00FE6C07">
        <w:rPr>
          <w:rFonts w:ascii="Arial" w:eastAsia="Times New Roman" w:hAnsi="Arial" w:cs="Arial"/>
        </w:rPr>
        <w:t xml:space="preserve">lans describe key threats and identify specific recovery actions that can be undertaken to enable recovery activities to occur within a planned and logical national framework. Information about recovery plans is available on the </w:t>
      </w:r>
      <w:r w:rsidR="00925989">
        <w:rPr>
          <w:rFonts w:ascii="Arial" w:eastAsia="Times New Roman" w:hAnsi="Arial" w:cs="Arial"/>
        </w:rPr>
        <w:t>department</w:t>
      </w:r>
      <w:r w:rsidRPr="00FE6C07">
        <w:rPr>
          <w:rFonts w:ascii="Arial" w:eastAsia="Times New Roman" w:hAnsi="Arial" w:cs="Arial"/>
        </w:rPr>
        <w:t xml:space="preserve">’s website at: </w:t>
      </w:r>
      <w:hyperlink r:id="rId15" w:history="1">
        <w:r w:rsidRPr="00FE6C07">
          <w:rPr>
            <w:rFonts w:ascii="Arial" w:eastAsia="Times New Roman" w:hAnsi="Arial" w:cs="Arial"/>
            <w:color w:val="0000FF"/>
            <w:u w:val="single"/>
          </w:rPr>
          <w:t>http://www.environment.gov.au/biodiversity/threatened/recovery.html</w:t>
        </w:r>
      </w:hyperlink>
      <w:r w:rsidRPr="00FE6C07">
        <w:rPr>
          <w:rFonts w:ascii="Arial" w:eastAsia="Times New Roman" w:hAnsi="Arial" w:cs="Arial"/>
        </w:rPr>
        <w:t>.</w:t>
      </w:r>
    </w:p>
    <w:p w14:paraId="3F4BFA29"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Privacy notice</w:t>
      </w:r>
    </w:p>
    <w:p w14:paraId="2F460997" w14:textId="77777777" w:rsidR="006C66F9" w:rsidRDefault="006C66F9" w:rsidP="006C66F9">
      <w:pPr>
        <w:spacing w:after="200" w:line="240" w:lineRule="auto"/>
        <w:rPr>
          <w:rFonts w:ascii="Arial" w:eastAsia="Times New Roman" w:hAnsi="Arial" w:cs="Arial"/>
        </w:rPr>
      </w:pPr>
      <w:r w:rsidRPr="00983B8E">
        <w:rPr>
          <w:rFonts w:ascii="Arial" w:eastAsia="Times New Roman" w:hAnsi="Arial" w:cs="Arial"/>
        </w:rPr>
        <w:t>Personal information means information or an opinion about an identified individual, or an individual who is reasonably identifiable.</w:t>
      </w:r>
    </w:p>
    <w:p w14:paraId="2CEAA6BF" w14:textId="1B47BD05" w:rsidR="006C66F9" w:rsidRDefault="006C66F9" w:rsidP="006C66F9">
      <w:pPr>
        <w:spacing w:after="200" w:line="240" w:lineRule="auto"/>
        <w:rPr>
          <w:rFonts w:ascii="Arial" w:eastAsia="Times New Roman" w:hAnsi="Arial" w:cs="Arial"/>
        </w:rPr>
      </w:pPr>
      <w:r w:rsidRPr="00983B8E">
        <w:rPr>
          <w:rFonts w:ascii="Arial" w:eastAsia="Times New Roman" w:hAnsi="Arial" w:cs="Arial"/>
        </w:rPr>
        <w:t xml:space="preserve">The </w:t>
      </w:r>
      <w:r>
        <w:rPr>
          <w:rFonts w:ascii="Arial" w:eastAsia="Times New Roman" w:hAnsi="Arial" w:cs="Arial"/>
        </w:rPr>
        <w:t>department</w:t>
      </w:r>
      <w:r w:rsidRPr="00983B8E">
        <w:rPr>
          <w:rFonts w:ascii="Arial" w:eastAsia="Times New Roman" w:hAnsi="Arial" w:cs="Arial"/>
        </w:rPr>
        <w:t xml:space="preserve"> collects your personal information (as defined by the </w:t>
      </w:r>
      <w:r w:rsidRPr="00983B8E">
        <w:rPr>
          <w:rFonts w:ascii="Arial" w:eastAsia="Times New Roman" w:hAnsi="Arial" w:cs="Arial"/>
          <w:i/>
          <w:iCs/>
        </w:rPr>
        <w:t>Privacy Act 1988</w:t>
      </w:r>
      <w:r w:rsidRPr="00983B8E">
        <w:rPr>
          <w:rFonts w:ascii="Arial" w:eastAsia="Times New Roman" w:hAnsi="Arial" w:cs="Arial"/>
        </w:rPr>
        <w:t>)</w:t>
      </w:r>
      <w:r>
        <w:rPr>
          <w:rFonts w:ascii="Arial" w:eastAsia="Times New Roman" w:hAnsi="Arial" w:cs="Arial"/>
        </w:rPr>
        <w:t xml:space="preserve"> in relation to information you provide as part of this consultation for the purposes of t</w:t>
      </w:r>
      <w:r w:rsidRPr="00983B8E">
        <w:rPr>
          <w:rFonts w:ascii="Arial" w:eastAsia="Times New Roman" w:hAnsi="Arial" w:cs="Arial"/>
        </w:rPr>
        <w:t>he nomination</w:t>
      </w:r>
      <w:r>
        <w:rPr>
          <w:rFonts w:ascii="Arial" w:eastAsia="Times New Roman" w:hAnsi="Arial" w:cs="Arial"/>
        </w:rPr>
        <w:t>, assessment</w:t>
      </w:r>
      <w:r w:rsidRPr="00983B8E">
        <w:rPr>
          <w:rFonts w:ascii="Arial" w:eastAsia="Times New Roman" w:hAnsi="Arial" w:cs="Arial"/>
        </w:rPr>
        <w:t xml:space="preserve"> and listing process</w:t>
      </w:r>
      <w:r>
        <w:rPr>
          <w:rFonts w:ascii="Arial" w:eastAsia="Times New Roman" w:hAnsi="Arial" w:cs="Arial"/>
        </w:rPr>
        <w:t xml:space="preserve"> set out in Part 13 of the </w:t>
      </w:r>
      <w:r w:rsidRPr="00FE6C07">
        <w:rPr>
          <w:rFonts w:ascii="Arial" w:eastAsia="Times New Roman" w:hAnsi="Arial" w:cs="Arial"/>
        </w:rPr>
        <w:t>EPBC Act</w:t>
      </w:r>
      <w:r>
        <w:rPr>
          <w:rFonts w:ascii="Arial" w:eastAsia="Times New Roman" w:hAnsi="Arial" w:cs="Arial"/>
        </w:rPr>
        <w:t>.</w:t>
      </w:r>
    </w:p>
    <w:p w14:paraId="410BAC67" w14:textId="77777777" w:rsidR="006C66F9" w:rsidRPr="00FE6C07" w:rsidRDefault="006C66F9" w:rsidP="006C66F9">
      <w:pPr>
        <w:spacing w:after="200" w:line="240" w:lineRule="auto"/>
        <w:rPr>
          <w:rFonts w:ascii="Arial" w:eastAsia="Times New Roman" w:hAnsi="Arial" w:cs="Arial"/>
        </w:rPr>
      </w:pPr>
      <w:r>
        <w:rPr>
          <w:rFonts w:ascii="Arial" w:eastAsia="Times New Roman" w:hAnsi="Arial" w:cs="Arial"/>
        </w:rPr>
        <w:t>P</w:t>
      </w:r>
      <w:r w:rsidRPr="00FE6C07">
        <w:rPr>
          <w:rFonts w:ascii="Arial" w:eastAsia="Times New Roman" w:hAnsi="Arial" w:cs="Arial"/>
        </w:rPr>
        <w:t xml:space="preserve">ersonal information that you provide within, or in addition to, your comments in the threatened species assessment process may be used by the </w:t>
      </w:r>
      <w:r>
        <w:rPr>
          <w:rFonts w:ascii="Arial" w:eastAsia="Times New Roman" w:hAnsi="Arial" w:cs="Arial"/>
        </w:rPr>
        <w:t>department</w:t>
      </w:r>
      <w:r w:rsidRPr="00FE6C07">
        <w:rPr>
          <w:rFonts w:ascii="Arial" w:eastAsia="Times New Roman" w:hAnsi="Arial" w:cs="Arial"/>
        </w:rPr>
        <w:t xml:space="preserve"> for the purposes of its functions relating to threatened species assessments, including contacting you if we have any questions about your comments in the future.</w:t>
      </w:r>
    </w:p>
    <w:p w14:paraId="77E1BC0A" w14:textId="77777777" w:rsidR="006C66F9" w:rsidRDefault="006C66F9" w:rsidP="006C66F9">
      <w:pPr>
        <w:spacing w:after="200" w:line="240" w:lineRule="auto"/>
        <w:rPr>
          <w:rFonts w:ascii="Arial" w:eastAsia="Times New Roman" w:hAnsi="Arial" w:cs="Arial"/>
        </w:rPr>
      </w:pPr>
      <w:r w:rsidRPr="00811A3E">
        <w:rPr>
          <w:rFonts w:ascii="Arial" w:eastAsia="Times New Roman" w:hAnsi="Arial" w:cs="Arial"/>
        </w:rPr>
        <w:t xml:space="preserve">The department may disclose your personal information to </w:t>
      </w:r>
      <w:r>
        <w:rPr>
          <w:rFonts w:ascii="Arial" w:eastAsia="Times New Roman" w:hAnsi="Arial" w:cs="Arial"/>
        </w:rPr>
        <w:t xml:space="preserve">the </w:t>
      </w:r>
      <w:r w:rsidRPr="00FE6C07">
        <w:rPr>
          <w:rFonts w:ascii="Arial" w:eastAsia="Times New Roman" w:hAnsi="Arial" w:cs="Arial"/>
        </w:rPr>
        <w:t>Committee</w:t>
      </w:r>
      <w:r>
        <w:rPr>
          <w:rFonts w:ascii="Arial" w:eastAsia="Times New Roman" w:hAnsi="Arial" w:cs="Arial"/>
        </w:rPr>
        <w:t xml:space="preserve">, the </w:t>
      </w:r>
      <w:r w:rsidRPr="00FE6C07">
        <w:rPr>
          <w:rFonts w:ascii="Arial" w:eastAsia="Times New Roman" w:hAnsi="Arial" w:cs="Arial"/>
        </w:rPr>
        <w:t>Australian Government Minister for the Environmen</w:t>
      </w:r>
      <w:r>
        <w:rPr>
          <w:rFonts w:ascii="Arial" w:eastAsia="Times New Roman" w:hAnsi="Arial" w:cs="Arial"/>
        </w:rPr>
        <w:t>t, State and Territory Governments</w:t>
      </w:r>
      <w:r w:rsidRPr="00811A3E">
        <w:rPr>
          <w:rFonts w:ascii="Arial" w:eastAsia="Times New Roman" w:hAnsi="Arial" w:cs="Arial"/>
        </w:rPr>
        <w:t xml:space="preserve">, and other Australian government agencies, persons or organisations where necessary for the above purposes, provided the disclosure is consistent with relevant laws, in particular the </w:t>
      </w:r>
      <w:r w:rsidRPr="00811A3E">
        <w:rPr>
          <w:rFonts w:ascii="Arial" w:eastAsia="Times New Roman" w:hAnsi="Arial" w:cs="Arial"/>
          <w:i/>
          <w:iCs/>
        </w:rPr>
        <w:t>Privacy Act 1988</w:t>
      </w:r>
      <w:r>
        <w:rPr>
          <w:rFonts w:ascii="Arial" w:eastAsia="Times New Roman" w:hAnsi="Arial" w:cs="Arial"/>
          <w:i/>
          <w:iCs/>
        </w:rPr>
        <w:t xml:space="preserve"> </w:t>
      </w:r>
      <w:r>
        <w:rPr>
          <w:rFonts w:ascii="Arial" w:eastAsia="Times New Roman" w:hAnsi="Arial" w:cs="Arial"/>
        </w:rPr>
        <w:t>(</w:t>
      </w:r>
      <w:proofErr w:type="spellStart"/>
      <w:r>
        <w:rPr>
          <w:rFonts w:ascii="Arial" w:eastAsia="Times New Roman" w:hAnsi="Arial" w:cs="Arial"/>
        </w:rPr>
        <w:t>Cth</w:t>
      </w:r>
      <w:proofErr w:type="spellEnd"/>
      <w:r>
        <w:rPr>
          <w:rFonts w:ascii="Arial" w:eastAsia="Times New Roman" w:hAnsi="Arial" w:cs="Arial"/>
        </w:rPr>
        <w:t>)</w:t>
      </w:r>
      <w:r w:rsidRPr="00811A3E">
        <w:rPr>
          <w:rFonts w:ascii="Arial" w:eastAsia="Times New Roman" w:hAnsi="Arial" w:cs="Arial"/>
          <w:i/>
          <w:iCs/>
        </w:rPr>
        <w:t xml:space="preserve"> </w:t>
      </w:r>
      <w:r w:rsidRPr="00811A3E">
        <w:rPr>
          <w:rFonts w:ascii="Arial" w:eastAsia="Times New Roman" w:hAnsi="Arial" w:cs="Arial"/>
        </w:rPr>
        <w:t xml:space="preserve">(Privacy Act). </w:t>
      </w:r>
    </w:p>
    <w:p w14:paraId="29F7B68F" w14:textId="2A6E45D7" w:rsidR="006C66F9" w:rsidRDefault="006C66F9" w:rsidP="006C66F9">
      <w:pPr>
        <w:spacing w:after="200" w:line="240" w:lineRule="auto"/>
        <w:rPr>
          <w:rFonts w:ascii="Arial" w:eastAsia="Times New Roman" w:hAnsi="Arial" w:cs="Arial"/>
        </w:rPr>
      </w:pPr>
      <w:r w:rsidRPr="00FE6C07">
        <w:rPr>
          <w:rFonts w:ascii="Arial" w:eastAsia="Times New Roman" w:hAnsi="Arial" w:cs="Arial"/>
        </w:rPr>
        <w:lastRenderedPageBreak/>
        <w:t xml:space="preserve">Further, the Commonwealth, State and Territory governments have agreed to share threatened species assessment documentation (including comments) to ensure that all States and Territories have access to the same documentation when making a decision on the status of a potentially threatened species. This is also known as the </w:t>
      </w:r>
      <w:hyperlink r:id="rId16" w:history="1">
        <w:r>
          <w:rPr>
            <w:rFonts w:ascii="Arial" w:eastAsia="Times New Roman" w:hAnsi="Arial" w:cs="Arial"/>
            <w:color w:val="0000FF"/>
            <w:u w:val="single"/>
          </w:rPr>
          <w:t>‘Common Assessment Method’</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1F234738" w14:textId="77777777" w:rsidR="006C66F9" w:rsidRPr="00FE6C07" w:rsidRDefault="006C66F9" w:rsidP="006C66F9">
      <w:pPr>
        <w:spacing w:after="200" w:line="240" w:lineRule="auto"/>
        <w:rPr>
          <w:rFonts w:ascii="Arial" w:eastAsia="Times New Roman" w:hAnsi="Arial" w:cs="Arial"/>
        </w:rPr>
      </w:pPr>
      <w:r w:rsidRPr="00811A3E">
        <w:rPr>
          <w:rFonts w:ascii="Arial" w:eastAsia="Times New Roman" w:hAnsi="Arial" w:cs="Arial"/>
        </w:rPr>
        <w:t>Your personal information will be used and stored in accordance with the Australian Privacy Principles.</w:t>
      </w:r>
    </w:p>
    <w:p w14:paraId="276FFCD2" w14:textId="77777777" w:rsidR="006C66F9" w:rsidRPr="00FE6C07" w:rsidRDefault="006C66F9" w:rsidP="006C66F9">
      <w:pPr>
        <w:spacing w:after="200" w:line="240" w:lineRule="auto"/>
        <w:rPr>
          <w:rFonts w:ascii="Arial" w:eastAsia="Times New Roman" w:hAnsi="Arial" w:cs="Arial"/>
        </w:rPr>
      </w:pPr>
      <w:r w:rsidRPr="00811A3E">
        <w:rPr>
          <w:rFonts w:ascii="Arial" w:eastAsia="Times New Roman" w:hAnsi="Arial" w:cs="Arial"/>
        </w:rPr>
        <w:t xml:space="preserve">See the </w:t>
      </w:r>
      <w:hyperlink r:id="rId17" w:history="1">
        <w:r w:rsidRPr="00811A3E">
          <w:rPr>
            <w:rStyle w:val="Hyperlink"/>
            <w:rFonts w:ascii="Arial" w:eastAsia="Times New Roman" w:hAnsi="Arial" w:cs="Arial"/>
          </w:rPr>
          <w:t>department's Privacy Policy</w:t>
        </w:r>
      </w:hyperlink>
      <w:r w:rsidRPr="00811A3E">
        <w:rPr>
          <w:rFonts w:ascii="Arial" w:eastAsia="Times New Roman" w:hAnsi="Arial" w:cs="Arial"/>
        </w:rPr>
        <w:t xml:space="preserve"> to learn more about accessing or correcting personal information or making a complaint. Alternatively, email the department at </w:t>
      </w:r>
      <w:hyperlink r:id="rId18" w:history="1">
        <w:r w:rsidRPr="00811A3E">
          <w:rPr>
            <w:rStyle w:val="Hyperlink"/>
            <w:rFonts w:ascii="Arial" w:eastAsia="Times New Roman" w:hAnsi="Arial" w:cs="Arial"/>
          </w:rPr>
          <w:t>privacy@awe.gov.au</w:t>
        </w:r>
      </w:hyperlink>
      <w:r w:rsidRPr="00811A3E">
        <w:rPr>
          <w:rFonts w:ascii="Arial" w:eastAsia="Times New Roman" w:hAnsi="Arial" w:cs="Arial"/>
        </w:rPr>
        <w:t>.</w:t>
      </w:r>
    </w:p>
    <w:p w14:paraId="089001F5"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Information about this consultation process</w:t>
      </w:r>
    </w:p>
    <w:p w14:paraId="17A7DAE4" w14:textId="77777777"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7641ED02" w14:textId="457B7B98" w:rsidR="00D9091E"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w:t>
      </w:r>
      <w:r w:rsidR="00925989">
        <w:rPr>
          <w:rFonts w:ascii="Arial" w:eastAsia="Times New Roman" w:hAnsi="Arial" w:cs="Arial"/>
        </w:rPr>
        <w:t>department</w:t>
      </w:r>
      <w:r w:rsidRPr="00FE6C07">
        <w:rPr>
          <w:rFonts w:ascii="Arial" w:eastAsia="Times New Roman" w:hAnsi="Arial" w:cs="Arial"/>
        </w:rPr>
        <w:t>’s website following the listing decision by the Minister</w:t>
      </w:r>
      <w:r w:rsidR="00D9091E">
        <w:rPr>
          <w:rFonts w:ascii="Arial" w:eastAsia="Times New Roman" w:hAnsi="Arial" w:cs="Arial"/>
        </w:rPr>
        <w:t xml:space="preserve">. </w:t>
      </w:r>
    </w:p>
    <w:p w14:paraId="13D81D22" w14:textId="1B8C73C4" w:rsidR="00FE6C07" w:rsidRDefault="00FE6C07" w:rsidP="00FE6C07">
      <w:pPr>
        <w:spacing w:after="200"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67AF6F36" w14:textId="77777777" w:rsidR="00BE53C9" w:rsidRDefault="00BE53C9">
      <w:pPr>
        <w:rPr>
          <w:rFonts w:ascii="Arial" w:eastAsia="Times New Roman" w:hAnsi="Arial" w:cs="Arial"/>
          <w:b/>
        </w:rPr>
      </w:pPr>
      <w:r>
        <w:rPr>
          <w:rFonts w:ascii="Arial" w:eastAsia="Times New Roman" w:hAnsi="Arial" w:cs="Arial"/>
          <w:b/>
        </w:rPr>
        <w:br w:type="page"/>
      </w:r>
    </w:p>
    <w:p w14:paraId="1183C50F" w14:textId="1DA540B0" w:rsidR="00622A19" w:rsidRDefault="00622A19" w:rsidP="00FE6C07">
      <w:pPr>
        <w:spacing w:after="200" w:line="240" w:lineRule="auto"/>
        <w:rPr>
          <w:rFonts w:ascii="Arial" w:eastAsia="Times New Roman" w:hAnsi="Arial" w:cs="Arial"/>
          <w:b/>
        </w:rPr>
      </w:pPr>
      <w:r w:rsidRPr="00622A19">
        <w:rPr>
          <w:rFonts w:ascii="Arial" w:eastAsia="Times New Roman" w:hAnsi="Arial" w:cs="Arial"/>
          <w:b/>
        </w:rPr>
        <w:lastRenderedPageBreak/>
        <w:t>Consultation questions</w:t>
      </w:r>
    </w:p>
    <w:p w14:paraId="48BC1ADE" w14:textId="77777777" w:rsidR="00622A19" w:rsidRPr="00DB6870" w:rsidRDefault="00622A19" w:rsidP="00622A19">
      <w:pPr>
        <w:pStyle w:val="ListNumber"/>
        <w:spacing w:after="120"/>
        <w:rPr>
          <w:rFonts w:ascii="Arial" w:hAnsi="Arial" w:cs="Arial"/>
          <w:sz w:val="22"/>
          <w:szCs w:val="22"/>
        </w:rPr>
      </w:pPr>
      <w:r w:rsidRPr="00DB6870">
        <w:rPr>
          <w:rFonts w:ascii="Arial" w:hAnsi="Arial" w:cs="Arial"/>
          <w:sz w:val="22"/>
          <w:szCs w:val="22"/>
        </w:rPr>
        <w:t xml:space="preserve">Do you agree with the current taxonomic position of the </w:t>
      </w:r>
      <w:bookmarkStart w:id="0" w:name="top"/>
      <w:r w:rsidRPr="00DB6870">
        <w:rPr>
          <w:rFonts w:ascii="Arial" w:hAnsi="Arial" w:cs="Arial"/>
          <w:bCs/>
          <w:sz w:val="22"/>
          <w:szCs w:val="22"/>
        </w:rPr>
        <w:t xml:space="preserve">Australian </w:t>
      </w:r>
      <w:bookmarkEnd w:id="0"/>
      <w:r w:rsidRPr="00DB6870">
        <w:rPr>
          <w:rFonts w:ascii="Arial" w:hAnsi="Arial" w:cs="Arial"/>
          <w:bCs/>
          <w:sz w:val="22"/>
          <w:szCs w:val="22"/>
        </w:rPr>
        <w:t xml:space="preserve">Faunal Directory </w:t>
      </w:r>
      <w:r w:rsidRPr="00DB6870">
        <w:rPr>
          <w:rFonts w:ascii="Arial" w:hAnsi="Arial" w:cs="Arial"/>
          <w:sz w:val="22"/>
          <w:szCs w:val="22"/>
        </w:rPr>
        <w:t>for this taxon (as identified in the draft conservation advice)?</w:t>
      </w:r>
    </w:p>
    <w:p w14:paraId="735F85B2" w14:textId="77777777" w:rsidR="00622A19" w:rsidRPr="00DB6870" w:rsidRDefault="00622A19" w:rsidP="00622A19">
      <w:pPr>
        <w:pStyle w:val="ListNumber"/>
        <w:numPr>
          <w:ilvl w:val="0"/>
          <w:numId w:val="0"/>
        </w:numPr>
        <w:ind w:left="360"/>
        <w:rPr>
          <w:rFonts w:ascii="Arial" w:hAnsi="Arial" w:cs="Arial"/>
          <w:sz w:val="22"/>
          <w:szCs w:val="22"/>
        </w:rPr>
      </w:pPr>
    </w:p>
    <w:p w14:paraId="3298EFB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Can you provide any additional references, information or estimates on longevity, age of maturity, average life span and generation length?</w:t>
      </w:r>
    </w:p>
    <w:p w14:paraId="3030B7EA" w14:textId="77777777" w:rsidR="00622A19" w:rsidRPr="00DB6870" w:rsidRDefault="00622A19" w:rsidP="00622A19">
      <w:pPr>
        <w:pStyle w:val="ListNumber"/>
        <w:numPr>
          <w:ilvl w:val="0"/>
          <w:numId w:val="0"/>
        </w:numPr>
        <w:ind w:left="360"/>
        <w:rPr>
          <w:rFonts w:ascii="Arial" w:hAnsi="Arial" w:cs="Arial"/>
          <w:sz w:val="22"/>
          <w:szCs w:val="22"/>
        </w:rPr>
      </w:pPr>
    </w:p>
    <w:p w14:paraId="580C589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Has the survey effort for this taxon been adequate to determine its national distribution and adult population size?</w:t>
      </w:r>
    </w:p>
    <w:p w14:paraId="6CAF3E64" w14:textId="77777777" w:rsidR="00622A19" w:rsidRPr="00DB6870" w:rsidRDefault="00622A19" w:rsidP="00622A19">
      <w:pPr>
        <w:pStyle w:val="ListNumber"/>
        <w:numPr>
          <w:ilvl w:val="0"/>
          <w:numId w:val="0"/>
        </w:numPr>
        <w:ind w:left="360"/>
        <w:rPr>
          <w:rFonts w:ascii="Arial" w:hAnsi="Arial" w:cs="Arial"/>
          <w:sz w:val="22"/>
          <w:szCs w:val="22"/>
        </w:rPr>
      </w:pPr>
    </w:p>
    <w:p w14:paraId="19F9829C"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accept the estimate provided in the nomination for the current population size of the taxon? </w:t>
      </w:r>
    </w:p>
    <w:p w14:paraId="14144CF4" w14:textId="77777777" w:rsidR="00622A19" w:rsidRPr="00DB6870" w:rsidRDefault="00622A19" w:rsidP="00622A19">
      <w:pPr>
        <w:pStyle w:val="ListNumber"/>
        <w:numPr>
          <w:ilvl w:val="0"/>
          <w:numId w:val="0"/>
        </w:numPr>
        <w:ind w:left="360"/>
        <w:rPr>
          <w:rFonts w:ascii="Arial" w:hAnsi="Arial" w:cs="Arial"/>
          <w:sz w:val="22"/>
          <w:szCs w:val="22"/>
        </w:rPr>
      </w:pPr>
    </w:p>
    <w:p w14:paraId="69D8DB8B" w14:textId="1E0F2502"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For </w:t>
      </w:r>
      <w:r w:rsidR="00467BD9">
        <w:rPr>
          <w:rFonts w:ascii="Arial" w:hAnsi="Arial" w:cs="Arial"/>
          <w:sz w:val="22"/>
          <w:szCs w:val="22"/>
        </w:rPr>
        <w:t xml:space="preserve">the total </w:t>
      </w:r>
      <w:r w:rsidRPr="00DB6870">
        <w:rPr>
          <w:rFonts w:ascii="Arial" w:hAnsi="Arial" w:cs="Arial"/>
          <w:sz w:val="22"/>
          <w:szCs w:val="22"/>
        </w:rPr>
        <w:t xml:space="preserve">population </w:t>
      </w:r>
      <w:r w:rsidR="00467BD9">
        <w:rPr>
          <w:rFonts w:ascii="Arial" w:hAnsi="Arial" w:cs="Arial"/>
          <w:sz w:val="22"/>
          <w:szCs w:val="22"/>
        </w:rPr>
        <w:t>or any subpopulation</w:t>
      </w:r>
      <w:r w:rsidR="00F0262C">
        <w:rPr>
          <w:rFonts w:ascii="Arial" w:hAnsi="Arial" w:cs="Arial"/>
          <w:sz w:val="22"/>
          <w:szCs w:val="22"/>
        </w:rPr>
        <w:t xml:space="preserve"> </w:t>
      </w:r>
      <w:r w:rsidRPr="00DB6870">
        <w:rPr>
          <w:rFonts w:ascii="Arial" w:hAnsi="Arial" w:cs="Arial"/>
          <w:sz w:val="22"/>
          <w:szCs w:val="22"/>
        </w:rPr>
        <w:t xml:space="preserve">with which you are familiar, do you agree with the population estimate provided? If not, are you able to provide a plausible estimate based on your own knowledge? If so, please provide in the form: </w:t>
      </w:r>
    </w:p>
    <w:p w14:paraId="3F6B5876" w14:textId="77777777" w:rsidR="00622A19" w:rsidRPr="00DB6870" w:rsidRDefault="00622A19" w:rsidP="00622A19">
      <w:pPr>
        <w:pStyle w:val="ListParagraph"/>
        <w:rPr>
          <w:rFonts w:ascii="Arial" w:hAnsi="Arial" w:cs="Arial"/>
          <w:sz w:val="22"/>
          <w:szCs w:val="22"/>
        </w:rPr>
      </w:pPr>
      <w:r w:rsidRPr="00DB6870">
        <w:rPr>
          <w:rFonts w:ascii="Arial" w:hAnsi="Arial" w:cs="Arial"/>
          <w:sz w:val="22"/>
          <w:szCs w:val="22"/>
        </w:rPr>
        <w:t>Lower bound (estimated minimum):</w:t>
      </w:r>
    </w:p>
    <w:p w14:paraId="142D6F1A"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Upper bound (estimated maximum):</w:t>
      </w:r>
    </w:p>
    <w:p w14:paraId="2E0BEFD2"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Best Estimate:</w:t>
      </w:r>
    </w:p>
    <w:p w14:paraId="1AFC07AF" w14:textId="0D91AD49" w:rsidR="00622A19" w:rsidRPr="00DB6870" w:rsidRDefault="00622A19" w:rsidP="00622A19">
      <w:pPr>
        <w:pStyle w:val="ListParagraph"/>
        <w:ind w:left="360" w:firstLine="360"/>
        <w:rPr>
          <w:rFonts w:ascii="Arial" w:hAnsi="Arial" w:cs="Arial"/>
          <w:sz w:val="22"/>
          <w:szCs w:val="22"/>
        </w:rPr>
      </w:pPr>
      <w:r w:rsidRPr="6E365911">
        <w:rPr>
          <w:rFonts w:ascii="Arial" w:hAnsi="Arial" w:cs="Arial"/>
          <w:sz w:val="22"/>
          <w:szCs w:val="22"/>
        </w:rPr>
        <w:t>Estimated level of Confidence: %</w:t>
      </w:r>
      <w:r w:rsidR="00F02CBE">
        <w:rPr>
          <w:rFonts w:ascii="Arial" w:hAnsi="Arial" w:cs="Arial"/>
          <w:sz w:val="22"/>
          <w:szCs w:val="22"/>
        </w:rPr>
        <w:t xml:space="preserve"> (the level of confidence should </w:t>
      </w:r>
      <w:r w:rsidR="00666C48">
        <w:rPr>
          <w:rFonts w:ascii="Arial" w:hAnsi="Arial" w:cs="Arial"/>
          <w:sz w:val="22"/>
          <w:szCs w:val="22"/>
        </w:rPr>
        <w:t>be</w:t>
      </w:r>
      <w:r w:rsidR="00F02CBE">
        <w:rPr>
          <w:rFonts w:ascii="Arial" w:hAnsi="Arial" w:cs="Arial"/>
          <w:sz w:val="22"/>
          <w:szCs w:val="22"/>
        </w:rPr>
        <w:t xml:space="preserve"> </w:t>
      </w:r>
      <w:r w:rsidR="00666C48">
        <w:rPr>
          <w:rFonts w:ascii="Arial" w:hAnsi="Arial" w:cs="Arial"/>
          <w:sz w:val="22"/>
          <w:szCs w:val="22"/>
        </w:rPr>
        <w:t>&gt;</w:t>
      </w:r>
      <w:r w:rsidR="00887193">
        <w:rPr>
          <w:rFonts w:ascii="Arial" w:hAnsi="Arial" w:cs="Arial"/>
          <w:sz w:val="22"/>
          <w:szCs w:val="22"/>
        </w:rPr>
        <w:t xml:space="preserve"> 50</w:t>
      </w:r>
      <w:r w:rsidR="00666C48">
        <w:rPr>
          <w:rFonts w:ascii="Arial" w:hAnsi="Arial" w:cs="Arial"/>
          <w:sz w:val="22"/>
          <w:szCs w:val="22"/>
        </w:rPr>
        <w:t xml:space="preserve"> </w:t>
      </w:r>
      <w:r w:rsidR="00887193">
        <w:rPr>
          <w:rFonts w:ascii="Arial" w:hAnsi="Arial" w:cs="Arial"/>
          <w:sz w:val="22"/>
          <w:szCs w:val="22"/>
        </w:rPr>
        <w:t>%)</w:t>
      </w:r>
    </w:p>
    <w:p w14:paraId="51BF877C" w14:textId="77777777" w:rsidR="00622A19" w:rsidRPr="00DB6870" w:rsidRDefault="00622A19" w:rsidP="00622A19">
      <w:pPr>
        <w:pStyle w:val="ListNumber"/>
        <w:numPr>
          <w:ilvl w:val="0"/>
          <w:numId w:val="0"/>
        </w:numPr>
        <w:rPr>
          <w:rFonts w:ascii="Arial" w:hAnsi="Arial" w:cs="Arial"/>
          <w:sz w:val="22"/>
          <w:szCs w:val="22"/>
        </w:rPr>
      </w:pPr>
    </w:p>
    <w:p w14:paraId="3BBD81C1" w14:textId="468EF52F"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Can you provide any additional data, not contained in the current </w:t>
      </w:r>
      <w:r w:rsidR="000A3BE6">
        <w:rPr>
          <w:rFonts w:ascii="Arial" w:hAnsi="Arial" w:cs="Arial"/>
          <w:sz w:val="22"/>
          <w:szCs w:val="22"/>
        </w:rPr>
        <w:t>draft conservation advice</w:t>
      </w:r>
      <w:r w:rsidRPr="00DB6870">
        <w:rPr>
          <w:rFonts w:ascii="Arial" w:hAnsi="Arial" w:cs="Arial"/>
          <w:sz w:val="22"/>
          <w:szCs w:val="22"/>
        </w:rPr>
        <w:t>, on declines in population numbers over the past or next 10 years or 3 generations, whichever is the longer?</w:t>
      </w:r>
    </w:p>
    <w:p w14:paraId="70279D8E" w14:textId="77777777" w:rsidR="00622A19" w:rsidRPr="00DB6870" w:rsidRDefault="00622A19" w:rsidP="00622A19">
      <w:pPr>
        <w:pStyle w:val="ListNumber"/>
        <w:numPr>
          <w:ilvl w:val="0"/>
          <w:numId w:val="0"/>
        </w:numPr>
        <w:ind w:left="360"/>
        <w:rPr>
          <w:rFonts w:ascii="Arial" w:hAnsi="Arial" w:cs="Arial"/>
          <w:sz w:val="22"/>
          <w:szCs w:val="22"/>
        </w:rPr>
      </w:pPr>
    </w:p>
    <w:p w14:paraId="3AD445A0" w14:textId="77777777" w:rsidR="00622A19" w:rsidRPr="00DB6870" w:rsidRDefault="00622A19" w:rsidP="00622A19">
      <w:pPr>
        <w:pStyle w:val="ListNumber"/>
        <w:spacing w:after="240"/>
        <w:rPr>
          <w:rFonts w:ascii="Arial" w:hAnsi="Arial" w:cs="Arial"/>
          <w:sz w:val="22"/>
          <w:szCs w:val="22"/>
        </w:rPr>
      </w:pPr>
      <w:r w:rsidRPr="00DB6870">
        <w:rPr>
          <w:rFonts w:ascii="Arial" w:hAnsi="Arial" w:cs="Arial"/>
          <w:sz w:val="22"/>
          <w:szCs w:val="22"/>
        </w:rPr>
        <w:t>Is the distribution as described in the nomination valid? Can you provide an estimate of the current geographic distribution (extent of occurrence or area of occupancy in km</w:t>
      </w:r>
      <w:r w:rsidRPr="00DB6870">
        <w:rPr>
          <w:rFonts w:ascii="Arial" w:hAnsi="Arial" w:cs="Arial"/>
          <w:sz w:val="22"/>
          <w:szCs w:val="22"/>
          <w:vertAlign w:val="superscript"/>
        </w:rPr>
        <w:t>2</w:t>
      </w:r>
      <w:r w:rsidRPr="00DB6870">
        <w:rPr>
          <w:rFonts w:ascii="Arial" w:hAnsi="Arial" w:cs="Arial"/>
          <w:sz w:val="22"/>
          <w:szCs w:val="22"/>
        </w:rPr>
        <w:t xml:space="preserve">) of this taxon? </w:t>
      </w:r>
    </w:p>
    <w:p w14:paraId="7C7FDA78" w14:textId="77777777" w:rsidR="00622A19" w:rsidRPr="00DB6870" w:rsidRDefault="00622A19" w:rsidP="00622A19">
      <w:pPr>
        <w:pStyle w:val="ListNumber"/>
        <w:numPr>
          <w:ilvl w:val="0"/>
          <w:numId w:val="0"/>
        </w:numPr>
        <w:spacing w:before="240"/>
        <w:ind w:left="360"/>
        <w:rPr>
          <w:rFonts w:ascii="Arial" w:hAnsi="Arial" w:cs="Arial"/>
          <w:sz w:val="22"/>
          <w:szCs w:val="22"/>
        </w:rPr>
      </w:pPr>
    </w:p>
    <w:p w14:paraId="4FED3B82" w14:textId="77777777" w:rsidR="00622A19" w:rsidRPr="00DB6870" w:rsidRDefault="00622A19" w:rsidP="00622A19">
      <w:pPr>
        <w:pStyle w:val="ListNumber"/>
        <w:spacing w:before="240"/>
        <w:rPr>
          <w:rFonts w:ascii="Arial" w:hAnsi="Arial" w:cs="Arial"/>
          <w:sz w:val="22"/>
          <w:szCs w:val="22"/>
        </w:rPr>
      </w:pPr>
      <w:r w:rsidRPr="00DB6870">
        <w:rPr>
          <w:rFonts w:ascii="Arial" w:hAnsi="Arial" w:cs="Arial"/>
          <w:sz w:val="22"/>
          <w:szCs w:val="22"/>
        </w:rPr>
        <w:t xml:space="preserve">Has this geographic distribution declined and if so by how much and over what period of time? </w:t>
      </w:r>
    </w:p>
    <w:p w14:paraId="5B10C543" w14:textId="77777777" w:rsidR="00622A19" w:rsidRPr="00DB6870" w:rsidRDefault="00622A19" w:rsidP="00622A19">
      <w:pPr>
        <w:pStyle w:val="ListNumber"/>
        <w:numPr>
          <w:ilvl w:val="0"/>
          <w:numId w:val="0"/>
        </w:numPr>
        <w:ind w:left="360"/>
        <w:rPr>
          <w:rFonts w:ascii="Arial" w:hAnsi="Arial" w:cs="Arial"/>
          <w:sz w:val="22"/>
          <w:szCs w:val="22"/>
        </w:rPr>
      </w:pPr>
    </w:p>
    <w:p w14:paraId="2D6C8FC8" w14:textId="302A3AD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agree that the taxon is eligible for inclusion on the threatened species list, in the category listed in the </w:t>
      </w:r>
      <w:r w:rsidR="000A3BE6">
        <w:rPr>
          <w:rFonts w:ascii="Arial" w:hAnsi="Arial" w:cs="Arial"/>
          <w:sz w:val="22"/>
          <w:szCs w:val="22"/>
        </w:rPr>
        <w:t>draft conservation advice</w:t>
      </w:r>
      <w:r w:rsidRPr="00DB6870">
        <w:rPr>
          <w:rFonts w:ascii="Arial" w:hAnsi="Arial" w:cs="Arial"/>
          <w:sz w:val="22"/>
          <w:szCs w:val="22"/>
        </w:rPr>
        <w:t>?</w:t>
      </w:r>
    </w:p>
    <w:p w14:paraId="38D4A979" w14:textId="77777777" w:rsidR="00622A19" w:rsidRPr="00DB6870" w:rsidRDefault="00622A19" w:rsidP="00622A19">
      <w:pPr>
        <w:pStyle w:val="ListNumber"/>
        <w:numPr>
          <w:ilvl w:val="0"/>
          <w:numId w:val="0"/>
        </w:numPr>
        <w:ind w:left="360"/>
        <w:rPr>
          <w:rFonts w:ascii="Arial" w:hAnsi="Arial" w:cs="Arial"/>
          <w:sz w:val="22"/>
          <w:szCs w:val="22"/>
        </w:rPr>
      </w:pPr>
    </w:p>
    <w:p w14:paraId="637F4ABE" w14:textId="017D7523" w:rsidR="000A3BE6" w:rsidRDefault="00622A19" w:rsidP="00C37A4B">
      <w:pPr>
        <w:pStyle w:val="ListNumber"/>
        <w:rPr>
          <w:rFonts w:ascii="Arial" w:hAnsi="Arial" w:cs="Arial"/>
          <w:sz w:val="22"/>
          <w:szCs w:val="22"/>
        </w:rPr>
      </w:pPr>
      <w:r w:rsidRPr="00DB6870">
        <w:rPr>
          <w:rFonts w:ascii="Arial" w:hAnsi="Arial" w:cs="Arial"/>
          <w:sz w:val="22"/>
          <w:szCs w:val="22"/>
        </w:rPr>
        <w:t>Do you agree that the threats listed are correct and that their effects on the taxon are significant?</w:t>
      </w:r>
    </w:p>
    <w:p w14:paraId="450379C9" w14:textId="77777777" w:rsidR="00C37A4B" w:rsidRPr="00C37A4B" w:rsidRDefault="00C37A4B" w:rsidP="00C37A4B">
      <w:pPr>
        <w:pStyle w:val="ListNumber"/>
        <w:numPr>
          <w:ilvl w:val="0"/>
          <w:numId w:val="0"/>
        </w:numPr>
        <w:rPr>
          <w:rFonts w:ascii="Arial" w:hAnsi="Arial" w:cs="Arial"/>
          <w:sz w:val="22"/>
          <w:szCs w:val="22"/>
        </w:rPr>
      </w:pPr>
    </w:p>
    <w:p w14:paraId="16D02340"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To what degree are the identified threats likely to impact on the taxon in the future?</w:t>
      </w:r>
    </w:p>
    <w:p w14:paraId="49E50060" w14:textId="77777777" w:rsidR="00622A19" w:rsidRPr="00DB6870" w:rsidRDefault="00622A19" w:rsidP="00C37A4B">
      <w:pPr>
        <w:spacing w:after="0"/>
        <w:ind w:left="357"/>
        <w:rPr>
          <w:rFonts w:ascii="Arial" w:hAnsi="Arial" w:cs="Arial"/>
        </w:rPr>
      </w:pPr>
    </w:p>
    <w:p w14:paraId="714C5091"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 xml:space="preserve">Can you provide additional or alternative information on threats, past, current or potential that may adversely affect this taxon at any stage of its life cycle? </w:t>
      </w:r>
    </w:p>
    <w:p w14:paraId="17BBC7E2" w14:textId="77777777" w:rsidR="00622A19" w:rsidRPr="00DB6870" w:rsidRDefault="00622A19" w:rsidP="00622A19">
      <w:pPr>
        <w:pStyle w:val="ListNumber"/>
        <w:numPr>
          <w:ilvl w:val="0"/>
          <w:numId w:val="0"/>
        </w:numPr>
        <w:ind w:left="360"/>
        <w:rPr>
          <w:rFonts w:ascii="Arial" w:hAnsi="Arial" w:cs="Arial"/>
          <w:sz w:val="22"/>
          <w:szCs w:val="22"/>
        </w:rPr>
      </w:pPr>
    </w:p>
    <w:p w14:paraId="19EFF0A9"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In seeking to facilitate the recovery of this taxon, can you provide management advice for the following:</w:t>
      </w:r>
    </w:p>
    <w:p w14:paraId="24F048C8" w14:textId="77777777" w:rsidR="00622A19"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What individuals or organisations are currently, or need to be, involved in planning to abate threats and any other relevant planning issues?</w:t>
      </w:r>
    </w:p>
    <w:p w14:paraId="054CEB61" w14:textId="0F2ED2E1" w:rsidR="002F7E8B" w:rsidRPr="00DB6870" w:rsidRDefault="002F7E8B" w:rsidP="002F7E8B">
      <w:pPr>
        <w:pStyle w:val="ListBullet"/>
        <w:tabs>
          <w:tab w:val="clear" w:pos="786"/>
          <w:tab w:val="num" w:pos="360"/>
        </w:tabs>
        <w:ind w:left="720"/>
        <w:rPr>
          <w:rFonts w:ascii="Arial" w:hAnsi="Arial" w:cs="Arial"/>
          <w:sz w:val="22"/>
          <w:szCs w:val="22"/>
        </w:rPr>
      </w:pPr>
      <w:r>
        <w:rPr>
          <w:rFonts w:ascii="Arial" w:hAnsi="Arial" w:cs="Arial"/>
          <w:sz w:val="22"/>
          <w:szCs w:val="22"/>
        </w:rPr>
        <w:t xml:space="preserve">Does recovery of the taxon involve multiple stakeholders </w:t>
      </w:r>
      <w:r w:rsidR="006C66F9">
        <w:rPr>
          <w:rFonts w:ascii="Arial" w:hAnsi="Arial" w:cs="Arial"/>
          <w:sz w:val="22"/>
          <w:szCs w:val="22"/>
        </w:rPr>
        <w:t xml:space="preserve">and/or </w:t>
      </w:r>
      <w:r>
        <w:rPr>
          <w:rFonts w:ascii="Arial" w:hAnsi="Arial" w:cs="Arial"/>
          <w:sz w:val="22"/>
          <w:szCs w:val="22"/>
        </w:rPr>
        <w:t>cooperati</w:t>
      </w:r>
      <w:r w:rsidR="006C66F9">
        <w:rPr>
          <w:rFonts w:ascii="Arial" w:hAnsi="Arial" w:cs="Arial"/>
          <w:sz w:val="22"/>
          <w:szCs w:val="22"/>
        </w:rPr>
        <w:t>on</w:t>
      </w:r>
      <w:r>
        <w:rPr>
          <w:rFonts w:ascii="Arial" w:hAnsi="Arial" w:cs="Arial"/>
          <w:sz w:val="22"/>
          <w:szCs w:val="22"/>
        </w:rPr>
        <w:t xml:space="preserve"> across land tenures and/or jurisdictions?</w:t>
      </w:r>
    </w:p>
    <w:p w14:paraId="3124DBC7" w14:textId="17DC8068" w:rsidR="00622A19"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 xml:space="preserve">What threats are impacting on different </w:t>
      </w:r>
      <w:r w:rsidR="00C61A02">
        <w:rPr>
          <w:rFonts w:ascii="Arial" w:hAnsi="Arial" w:cs="Arial"/>
          <w:sz w:val="22"/>
          <w:szCs w:val="22"/>
        </w:rPr>
        <w:t>sub</w:t>
      </w:r>
      <w:r w:rsidRPr="00DB6870">
        <w:rPr>
          <w:rFonts w:ascii="Arial" w:hAnsi="Arial" w:cs="Arial"/>
          <w:sz w:val="22"/>
          <w:szCs w:val="22"/>
        </w:rPr>
        <w:t xml:space="preserve">populations, how variable are the threats and what is the relative importance of the different </w:t>
      </w:r>
      <w:r w:rsidR="00C61A02">
        <w:rPr>
          <w:rFonts w:ascii="Arial" w:hAnsi="Arial" w:cs="Arial"/>
          <w:sz w:val="22"/>
          <w:szCs w:val="22"/>
        </w:rPr>
        <w:t>sub</w:t>
      </w:r>
      <w:r w:rsidRPr="00DB6870">
        <w:rPr>
          <w:rFonts w:ascii="Arial" w:hAnsi="Arial" w:cs="Arial"/>
          <w:sz w:val="22"/>
          <w:szCs w:val="22"/>
        </w:rPr>
        <w:t xml:space="preserve">populations? </w:t>
      </w:r>
    </w:p>
    <w:p w14:paraId="6E1020D4" w14:textId="61F51E0A" w:rsidR="00622A19" w:rsidRDefault="00622A19" w:rsidP="00622A19">
      <w:pPr>
        <w:pStyle w:val="ListBullet"/>
        <w:tabs>
          <w:tab w:val="clear" w:pos="786"/>
          <w:tab w:val="num" w:pos="360"/>
        </w:tabs>
        <w:ind w:left="720"/>
        <w:rPr>
          <w:rFonts w:ascii="Arial" w:hAnsi="Arial" w:cs="Arial"/>
          <w:sz w:val="22"/>
          <w:szCs w:val="22"/>
        </w:rPr>
      </w:pPr>
      <w:r>
        <w:rPr>
          <w:rFonts w:ascii="Arial" w:hAnsi="Arial" w:cs="Arial"/>
          <w:sz w:val="22"/>
          <w:szCs w:val="22"/>
        </w:rPr>
        <w:t>Would the development and implementation of a translocation strategy be of benefit?</w:t>
      </w:r>
    </w:p>
    <w:p w14:paraId="44F0BDBC" w14:textId="1417F713" w:rsidR="009F058A"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lastRenderedPageBreak/>
        <w:t>What recovery actions are currently in place, and can you suggest other actions that would help recover the taxon? Please provide evidence and background information.</w:t>
      </w:r>
    </w:p>
    <w:p w14:paraId="520DE505" w14:textId="77777777" w:rsidR="00622A19" w:rsidRPr="00DB6870" w:rsidRDefault="00622A19" w:rsidP="00622A19">
      <w:pPr>
        <w:pStyle w:val="ListNumber"/>
        <w:spacing w:before="240" w:after="240"/>
        <w:rPr>
          <w:rFonts w:ascii="Arial" w:hAnsi="Arial" w:cs="Arial"/>
          <w:sz w:val="22"/>
          <w:szCs w:val="22"/>
        </w:rPr>
      </w:pPr>
      <w:r w:rsidRPr="00DB6870">
        <w:rPr>
          <w:rFonts w:ascii="Arial" w:hAnsi="Arial" w:cs="Arial"/>
          <w:sz w:val="22"/>
          <w:szCs w:val="22"/>
        </w:rPr>
        <w:t>Can you provide additional data or information relevant to this assessment?</w:t>
      </w:r>
    </w:p>
    <w:p w14:paraId="7A17DC09" w14:textId="77777777" w:rsidR="00622A19" w:rsidRPr="00DB6870" w:rsidRDefault="00622A19" w:rsidP="00622A19">
      <w:pPr>
        <w:pStyle w:val="ListNumber"/>
        <w:numPr>
          <w:ilvl w:val="0"/>
          <w:numId w:val="0"/>
        </w:numPr>
        <w:spacing w:before="240" w:after="240"/>
        <w:ind w:left="360"/>
        <w:rPr>
          <w:rFonts w:ascii="Arial" w:hAnsi="Arial" w:cs="Arial"/>
          <w:sz w:val="22"/>
          <w:szCs w:val="22"/>
        </w:rPr>
      </w:pPr>
    </w:p>
    <w:p w14:paraId="582D677B" w14:textId="77777777" w:rsidR="00350498" w:rsidRDefault="00622A19" w:rsidP="009F058A">
      <w:pPr>
        <w:pStyle w:val="ListNumber"/>
        <w:rPr>
          <w:rFonts w:ascii="Arial" w:hAnsi="Arial" w:cs="Arial"/>
          <w:sz w:val="22"/>
          <w:szCs w:val="22"/>
        </w:rPr>
      </w:pPr>
      <w:r w:rsidRPr="00DB6870">
        <w:rPr>
          <w:rFonts w:ascii="Arial" w:hAnsi="Arial" w:cs="Arial"/>
          <w:sz w:val="22"/>
          <w:szCs w:val="22"/>
        </w:rPr>
        <w:t>Can you advise as to whether this species is of cultural significance to Indigenous Australians?</w:t>
      </w:r>
    </w:p>
    <w:p w14:paraId="5C64886F" w14:textId="77777777" w:rsidR="00350498" w:rsidRDefault="00350498" w:rsidP="00350498">
      <w:pPr>
        <w:pStyle w:val="ListNumber"/>
        <w:numPr>
          <w:ilvl w:val="0"/>
          <w:numId w:val="0"/>
        </w:numPr>
        <w:ind w:left="360"/>
        <w:rPr>
          <w:rFonts w:ascii="Arial" w:hAnsi="Arial" w:cs="Arial"/>
          <w:sz w:val="22"/>
          <w:szCs w:val="22"/>
        </w:rPr>
        <w:sectPr w:rsidR="00350498" w:rsidSect="00767D72">
          <w:headerReference w:type="default" r:id="rId19"/>
          <w:footerReference w:type="default" r:id="rId20"/>
          <w:headerReference w:type="first" r:id="rId21"/>
          <w:pgSz w:w="11906" w:h="16838"/>
          <w:pgMar w:top="1440" w:right="1440" w:bottom="1440" w:left="1440" w:header="397" w:footer="708" w:gutter="0"/>
          <w:cols w:space="708"/>
          <w:titlePg/>
          <w:docGrid w:linePitch="360"/>
        </w:sectPr>
      </w:pPr>
    </w:p>
    <w:p w14:paraId="3AC22E72" w14:textId="77777777" w:rsidR="00350498" w:rsidRPr="00521832" w:rsidRDefault="00350498" w:rsidP="00350498">
      <w:pPr>
        <w:pStyle w:val="Heading1"/>
        <w:rPr>
          <w:color w:val="auto"/>
        </w:rPr>
      </w:pPr>
      <w:r w:rsidRPr="00521832">
        <w:rPr>
          <w:color w:val="auto"/>
        </w:rPr>
        <w:lastRenderedPageBreak/>
        <w:t xml:space="preserve">Conservation Advice for </w:t>
      </w:r>
      <w:r w:rsidRPr="00521832">
        <w:rPr>
          <w:color w:val="auto"/>
        </w:rPr>
        <w:br/>
      </w:r>
      <w:proofErr w:type="spellStart"/>
      <w:r w:rsidRPr="00521832">
        <w:rPr>
          <w:rStyle w:val="Emphasis"/>
          <w:color w:val="auto"/>
        </w:rPr>
        <w:t>Mordacia</w:t>
      </w:r>
      <w:proofErr w:type="spellEnd"/>
      <w:r w:rsidRPr="00521832">
        <w:rPr>
          <w:rStyle w:val="Emphasis"/>
          <w:color w:val="auto"/>
        </w:rPr>
        <w:t xml:space="preserve"> praecox</w:t>
      </w:r>
      <w:r w:rsidRPr="00521832">
        <w:rPr>
          <w:color w:val="auto"/>
        </w:rPr>
        <w:t xml:space="preserve"> (</w:t>
      </w:r>
      <w:r>
        <w:rPr>
          <w:color w:val="auto"/>
        </w:rPr>
        <w:t>non-parasitic lamprey</w:t>
      </w:r>
      <w:r w:rsidRPr="00521832">
        <w:rPr>
          <w:color w:val="auto"/>
        </w:rPr>
        <w:t>)</w:t>
      </w:r>
    </w:p>
    <w:p w14:paraId="467C9884" w14:textId="77777777" w:rsidR="00350498" w:rsidRPr="00521832" w:rsidRDefault="00350498" w:rsidP="00350498">
      <w:pPr>
        <w:pStyle w:val="Author"/>
      </w:pPr>
      <w:r w:rsidRPr="00521832">
        <w:t xml:space="preserve">In effect under the </w:t>
      </w:r>
      <w:r w:rsidRPr="00521832">
        <w:rPr>
          <w:rStyle w:val="Emphasis"/>
        </w:rPr>
        <w:t>Environment Protection and Biodiversity Conservation Act 1999</w:t>
      </w:r>
      <w:r w:rsidRPr="00521832">
        <w:t xml:space="preserve"> from </w:t>
      </w:r>
      <w:r w:rsidRPr="00521832">
        <w:rPr>
          <w:highlight w:val="yellow"/>
        </w:rPr>
        <w:t xml:space="preserve">dd month </w:t>
      </w:r>
      <w:proofErr w:type="spellStart"/>
      <w:r w:rsidRPr="00521832">
        <w:rPr>
          <w:highlight w:val="yellow"/>
        </w:rPr>
        <w:t>yyyy</w:t>
      </w:r>
      <w:proofErr w:type="spellEnd"/>
      <w:r w:rsidRPr="00521832">
        <w:t>.</w:t>
      </w:r>
    </w:p>
    <w:p w14:paraId="34F3D646" w14:textId="77777777" w:rsidR="00350498" w:rsidRPr="00521832" w:rsidRDefault="00350498" w:rsidP="00350498">
      <w:r w:rsidRPr="00521832">
        <w:t>This document combines the approved conservation advice and listing assessment for the species. It provides a foundation for conservation action and further planning.</w:t>
      </w:r>
    </w:p>
    <w:p w14:paraId="096FF880" w14:textId="4DA8BA59" w:rsidR="00350498" w:rsidRPr="00521832" w:rsidRDefault="00350498" w:rsidP="00350498">
      <w:pPr>
        <w:pStyle w:val="FigureTableNoteSource"/>
      </w:pPr>
      <w:bookmarkStart w:id="1" w:name="_Hlk46319602"/>
      <w:r w:rsidRPr="00521832">
        <w:rPr>
          <w:noProof/>
          <w:lang w:eastAsia="en-AU"/>
        </w:rPr>
        <w:drawing>
          <wp:inline distT="0" distB="0" distL="0" distR="0" wp14:anchorId="3F64E774" wp14:editId="1D1034B2">
            <wp:extent cx="5759450" cy="1185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59450" cy="1185545"/>
                    </a:xfrm>
                    <a:prstGeom prst="rect">
                      <a:avLst/>
                    </a:prstGeom>
                  </pic:spPr>
                </pic:pic>
              </a:graphicData>
            </a:graphic>
          </wp:inline>
        </w:drawing>
      </w:r>
      <w:r>
        <w:t>Non-parasitic lamprey</w:t>
      </w:r>
      <w:r w:rsidRPr="00521832">
        <w:t xml:space="preserve"> from </w:t>
      </w:r>
      <w:r>
        <w:t>Water Park Creek</w:t>
      </w:r>
      <w:r w:rsidRPr="00521832">
        <w:t>, Queens</w:t>
      </w:r>
      <w:r w:rsidR="002F056F">
        <w:t xml:space="preserve">land (adult top, larva bottom). </w:t>
      </w:r>
      <w:r w:rsidRPr="00521832">
        <w:t>Copyright, David Moffatt (Queensland Department of Environment and Science)</w:t>
      </w:r>
    </w:p>
    <w:bookmarkEnd w:id="1"/>
    <w:p w14:paraId="279CFB67" w14:textId="77777777" w:rsidR="00350498" w:rsidRDefault="00350498" w:rsidP="00350498">
      <w:pPr>
        <w:pStyle w:val="Heading2"/>
        <w:ind w:left="720" w:hanging="720"/>
      </w:pPr>
      <w:r w:rsidRPr="00521832">
        <w:rPr>
          <w:color w:val="auto"/>
        </w:rPr>
        <w:t>Conservation status</w:t>
      </w:r>
      <w:r>
        <w:rPr>
          <w:color w:val="auto"/>
        </w:rPr>
        <w:t xml:space="preserve"> </w:t>
      </w:r>
    </w:p>
    <w:p w14:paraId="4C655B09" w14:textId="77777777" w:rsidR="00350498" w:rsidRPr="003A412E" w:rsidRDefault="00350498" w:rsidP="00350498">
      <w:proofErr w:type="spellStart"/>
      <w:r w:rsidRPr="003A412E">
        <w:rPr>
          <w:rStyle w:val="Emphasis"/>
        </w:rPr>
        <w:t>Mordacia</w:t>
      </w:r>
      <w:proofErr w:type="spellEnd"/>
      <w:r w:rsidRPr="003A412E">
        <w:rPr>
          <w:rStyle w:val="Emphasis"/>
        </w:rPr>
        <w:t xml:space="preserve"> praecox</w:t>
      </w:r>
      <w:r w:rsidRPr="003A412E">
        <w:t xml:space="preserve"> (</w:t>
      </w:r>
      <w:r>
        <w:t>non-parasitic lamprey</w:t>
      </w:r>
      <w:r w:rsidRPr="003A412E">
        <w:t xml:space="preserve">) is </w:t>
      </w:r>
      <w:r>
        <w:t xml:space="preserve">currently </w:t>
      </w:r>
      <w:r w:rsidRPr="003A412E">
        <w:t>not listed in any category of the threatened species list under the</w:t>
      </w:r>
      <w:r w:rsidRPr="003A412E">
        <w:rPr>
          <w:rStyle w:val="Emphasis"/>
        </w:rPr>
        <w:t xml:space="preserve"> Environment Protection and Biodiversity Conservation Act 1999</w:t>
      </w:r>
      <w:r w:rsidRPr="003A412E">
        <w:t xml:space="preserve"> (</w:t>
      </w:r>
      <w:proofErr w:type="spellStart"/>
      <w:r w:rsidRPr="003A412E">
        <w:t>Cwth</w:t>
      </w:r>
      <w:proofErr w:type="spellEnd"/>
      <w:r w:rsidRPr="003A412E">
        <w:t>) (EPBC Act).</w:t>
      </w:r>
    </w:p>
    <w:p w14:paraId="67624015" w14:textId="77777777" w:rsidR="00350498" w:rsidRPr="00FC46F0" w:rsidRDefault="00350498" w:rsidP="00350498">
      <w:r>
        <w:t>The non-parasitic lamprey</w:t>
      </w:r>
      <w:r w:rsidRPr="00B8251E">
        <w:t xml:space="preserve"> is being assessed by the Threatened Species Scientific Committee (the Committee).  The Committee’s assessment (at Attachment A) finds the species likely to be eligible for listing as </w:t>
      </w:r>
      <w:sdt>
        <w:sdtPr>
          <w:rPr>
            <w:b/>
            <w:bCs/>
          </w:rPr>
          <w:id w:val="-1517769445"/>
          <w:placeholder>
            <w:docPart w:val="452E1738EDCE49EF9903FFBEF81DC3CE"/>
          </w:placeholder>
          <w:dropDownList>
            <w:listItem w:displayText="Critically Endangered" w:value="Critically Endangered"/>
            <w:listItem w:displayText="Endangered" w:value="Endangered"/>
            <w:listItem w:displayText="Vulnerable" w:value="Vulnerable"/>
          </w:dropDownList>
        </w:sdtPr>
        <w:sdtEndPr/>
        <w:sdtContent>
          <w:r w:rsidRPr="00B8251E">
            <w:rPr>
              <w:b/>
              <w:bCs/>
            </w:rPr>
            <w:t>Endangered</w:t>
          </w:r>
        </w:sdtContent>
      </w:sdt>
      <w:r w:rsidRPr="00B8251E">
        <w:t xml:space="preserve"> under the EPBC Act. The Committee assessment of the species’ </w:t>
      </w:r>
      <w:r w:rsidRPr="00FC46F0">
        <w:t>eligibility against each of the listing criteria is:</w:t>
      </w:r>
    </w:p>
    <w:p w14:paraId="3F416156" w14:textId="77777777" w:rsidR="00350498" w:rsidRPr="002F056F" w:rsidRDefault="00350498" w:rsidP="00350498">
      <w:pPr>
        <w:pStyle w:val="ListBullet"/>
        <w:numPr>
          <w:ilvl w:val="0"/>
          <w:numId w:val="5"/>
        </w:numPr>
        <w:spacing w:before="120" w:after="120" w:line="276" w:lineRule="auto"/>
        <w:contextualSpacing w:val="0"/>
        <w:rPr>
          <w:rFonts w:asciiTheme="minorHAnsi" w:hAnsiTheme="minorHAnsi"/>
        </w:rPr>
      </w:pPr>
      <w:r w:rsidRPr="002F056F">
        <w:rPr>
          <w:rFonts w:asciiTheme="minorHAnsi" w:hAnsiTheme="minorHAnsi"/>
        </w:rPr>
        <w:t xml:space="preserve">Criterion 1: </w:t>
      </w:r>
      <w:sdt>
        <w:sdtPr>
          <w:rPr>
            <w:rFonts w:asciiTheme="minorHAnsi" w:hAnsiTheme="minorHAnsi"/>
          </w:rPr>
          <w:id w:val="77107183"/>
          <w:placeholder>
            <w:docPart w:val="0E67B7019FE446C4A576B46B50C4FEB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2F056F">
            <w:rPr>
              <w:rFonts w:asciiTheme="minorHAnsi" w:hAnsiTheme="minorHAnsi"/>
            </w:rPr>
            <w:t>Insufficient data</w:t>
          </w:r>
        </w:sdtContent>
      </w:sdt>
    </w:p>
    <w:p w14:paraId="4A3FF5CF" w14:textId="77777777" w:rsidR="00350498" w:rsidRPr="002F056F" w:rsidRDefault="00350498" w:rsidP="00350498">
      <w:pPr>
        <w:pStyle w:val="ListBullet"/>
        <w:numPr>
          <w:ilvl w:val="0"/>
          <w:numId w:val="5"/>
        </w:numPr>
        <w:spacing w:before="120" w:after="120" w:line="276" w:lineRule="auto"/>
        <w:contextualSpacing w:val="0"/>
        <w:rPr>
          <w:rFonts w:asciiTheme="minorHAnsi" w:hAnsiTheme="minorHAnsi"/>
        </w:rPr>
      </w:pPr>
      <w:r w:rsidRPr="002F056F">
        <w:rPr>
          <w:rFonts w:asciiTheme="minorHAnsi" w:hAnsiTheme="minorHAnsi"/>
        </w:rPr>
        <w:t xml:space="preserve">Criterion 2: B2ab(iii): </w:t>
      </w:r>
      <w:sdt>
        <w:sdtPr>
          <w:rPr>
            <w:rFonts w:asciiTheme="minorHAnsi" w:hAnsiTheme="minorHAnsi"/>
          </w:rPr>
          <w:id w:val="-1042367401"/>
          <w:placeholder>
            <w:docPart w:val="3D250CFFBB894B7FBB1322FC39C8FB0A"/>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2F056F">
            <w:rPr>
              <w:rFonts w:asciiTheme="minorHAnsi" w:hAnsiTheme="minorHAnsi"/>
            </w:rPr>
            <w:t>Endangered</w:t>
          </w:r>
        </w:sdtContent>
      </w:sdt>
    </w:p>
    <w:p w14:paraId="12C5F0AD" w14:textId="77777777" w:rsidR="00350498" w:rsidRPr="002F056F" w:rsidRDefault="00350498" w:rsidP="00350498">
      <w:pPr>
        <w:pStyle w:val="ListBullet"/>
        <w:numPr>
          <w:ilvl w:val="0"/>
          <w:numId w:val="5"/>
        </w:numPr>
        <w:spacing w:before="120" w:after="120" w:line="276" w:lineRule="auto"/>
        <w:contextualSpacing w:val="0"/>
        <w:rPr>
          <w:rFonts w:asciiTheme="minorHAnsi" w:hAnsiTheme="minorHAnsi"/>
        </w:rPr>
      </w:pPr>
      <w:r w:rsidRPr="002F056F">
        <w:rPr>
          <w:rFonts w:asciiTheme="minorHAnsi" w:hAnsiTheme="minorHAnsi"/>
        </w:rPr>
        <w:t xml:space="preserve">Criterion 3: </w:t>
      </w:r>
      <w:sdt>
        <w:sdtPr>
          <w:rPr>
            <w:rFonts w:asciiTheme="minorHAnsi" w:hAnsiTheme="minorHAnsi"/>
          </w:rPr>
          <w:id w:val="-151294044"/>
          <w:placeholder>
            <w:docPart w:val="E4F5C7A127E24425A2947DAC686451C1"/>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2F056F">
            <w:rPr>
              <w:rFonts w:asciiTheme="minorHAnsi" w:hAnsiTheme="minorHAnsi"/>
            </w:rPr>
            <w:t>Insufficient data</w:t>
          </w:r>
        </w:sdtContent>
      </w:sdt>
    </w:p>
    <w:p w14:paraId="4EAED498" w14:textId="77777777" w:rsidR="00350498" w:rsidRPr="002F056F" w:rsidRDefault="00350498" w:rsidP="00350498">
      <w:pPr>
        <w:pStyle w:val="ListBullet"/>
        <w:numPr>
          <w:ilvl w:val="0"/>
          <w:numId w:val="5"/>
        </w:numPr>
        <w:spacing w:before="120" w:after="120" w:line="276" w:lineRule="auto"/>
        <w:contextualSpacing w:val="0"/>
        <w:rPr>
          <w:rFonts w:asciiTheme="minorHAnsi" w:hAnsiTheme="minorHAnsi"/>
        </w:rPr>
      </w:pPr>
      <w:r w:rsidRPr="002F056F">
        <w:rPr>
          <w:rFonts w:asciiTheme="minorHAnsi" w:hAnsiTheme="minorHAnsi"/>
        </w:rPr>
        <w:t xml:space="preserve">Criterion 4: </w:t>
      </w:r>
      <w:sdt>
        <w:sdtPr>
          <w:rPr>
            <w:rFonts w:asciiTheme="minorHAnsi" w:hAnsiTheme="minorHAnsi"/>
          </w:rPr>
          <w:id w:val="-2084978900"/>
          <w:placeholder>
            <w:docPart w:val="6532DD9A2CB646C1BF6655BFDF936730"/>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Pr="002F056F">
            <w:rPr>
              <w:rFonts w:asciiTheme="minorHAnsi" w:hAnsiTheme="minorHAnsi"/>
            </w:rPr>
            <w:t>Insufficient data</w:t>
          </w:r>
        </w:sdtContent>
      </w:sdt>
    </w:p>
    <w:p w14:paraId="241EAA74" w14:textId="77777777" w:rsidR="00350498" w:rsidRPr="002F056F" w:rsidRDefault="00350498" w:rsidP="00350498">
      <w:pPr>
        <w:pStyle w:val="ListBullet"/>
        <w:numPr>
          <w:ilvl w:val="0"/>
          <w:numId w:val="5"/>
        </w:numPr>
        <w:spacing w:before="120" w:after="120" w:line="276" w:lineRule="auto"/>
        <w:contextualSpacing w:val="0"/>
        <w:rPr>
          <w:rFonts w:asciiTheme="minorHAnsi" w:hAnsiTheme="minorHAnsi"/>
        </w:rPr>
      </w:pPr>
      <w:r w:rsidRPr="002F056F">
        <w:rPr>
          <w:rFonts w:asciiTheme="minorHAnsi" w:hAnsiTheme="minorHAnsi"/>
        </w:rPr>
        <w:t xml:space="preserve">Criterion 5: </w:t>
      </w:r>
      <w:sdt>
        <w:sdtPr>
          <w:rPr>
            <w:rFonts w:asciiTheme="minorHAnsi" w:hAnsiTheme="minorHAnsi"/>
          </w:rPr>
          <w:id w:val="1205373663"/>
          <w:placeholder>
            <w:docPart w:val="AC426BA7EEDE41A19922748E23334C5F"/>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2F056F">
            <w:rPr>
              <w:rFonts w:asciiTheme="minorHAnsi" w:hAnsiTheme="minorHAnsi"/>
            </w:rPr>
            <w:t>Insufficient data</w:t>
          </w:r>
        </w:sdtContent>
      </w:sdt>
    </w:p>
    <w:p w14:paraId="477DF8CF" w14:textId="77777777" w:rsidR="00350498" w:rsidRDefault="00350498" w:rsidP="00350498">
      <w:r w:rsidRPr="00B8251E">
        <w:t xml:space="preserve">The main factor that makes the species eligible for listing in the </w:t>
      </w:r>
      <w:sdt>
        <w:sdtPr>
          <w:id w:val="-775248640"/>
          <w:placeholder>
            <w:docPart w:val="98F620F8A8CE4022899E2E0D03A83C64"/>
          </w:placeholder>
          <w:dropDownList>
            <w:listItem w:displayText="Critically Endangered" w:value="Critically Endangered"/>
            <w:listItem w:displayText="Endangered" w:value="Endangered"/>
            <w:listItem w:displayText="Vulnerable" w:value="Vulnerable"/>
          </w:dropDownList>
        </w:sdtPr>
        <w:sdtEndPr/>
        <w:sdtContent>
          <w:r w:rsidRPr="00B8251E">
            <w:t>Endangered</w:t>
          </w:r>
        </w:sdtContent>
      </w:sdt>
      <w:r w:rsidRPr="00B8251E">
        <w:t xml:space="preserve"> category is a restricted and declining </w:t>
      </w:r>
      <w:r w:rsidRPr="000553C2">
        <w:t xml:space="preserve">area, extent and/or quality of habitat </w:t>
      </w:r>
      <w:r w:rsidRPr="00B8251E">
        <w:t xml:space="preserve">due to the impacts of habitat degradation </w:t>
      </w:r>
      <w:r>
        <w:t>from</w:t>
      </w:r>
      <w:r w:rsidRPr="00B8251E">
        <w:t xml:space="preserve"> human mediated landscape change </w:t>
      </w:r>
      <w:r>
        <w:t xml:space="preserve">(e.g., </w:t>
      </w:r>
      <w:r w:rsidRPr="000553C2">
        <w:t>sedimentation, water quality</w:t>
      </w:r>
      <w:r>
        <w:t>).</w:t>
      </w:r>
    </w:p>
    <w:p w14:paraId="46BF00C7" w14:textId="77777777" w:rsidR="00350498" w:rsidRPr="00521832" w:rsidRDefault="00350498" w:rsidP="00350498">
      <w:r w:rsidRPr="00174AAA">
        <w:t>Species can also be listed as threatened under state and territory legislation. For information</w:t>
      </w:r>
      <w:r w:rsidRPr="00521832">
        <w:t xml:space="preserve"> on the current listing status of this species under relevant state or territory legislation, see the </w:t>
      </w:r>
      <w:hyperlink r:id="rId23" w:history="1">
        <w:r w:rsidRPr="00521832">
          <w:rPr>
            <w:rStyle w:val="Hyperlink"/>
            <w:color w:val="auto"/>
          </w:rPr>
          <w:t>Species Profile and Threat Database</w:t>
        </w:r>
      </w:hyperlink>
      <w:r w:rsidRPr="00521832">
        <w:t>.</w:t>
      </w:r>
    </w:p>
    <w:p w14:paraId="288DBB7E" w14:textId="77777777" w:rsidR="00350498" w:rsidRPr="00D84DDE" w:rsidRDefault="00350498" w:rsidP="00350498">
      <w:pPr>
        <w:pStyle w:val="Heading2"/>
        <w:ind w:left="720" w:hanging="720"/>
        <w:rPr>
          <w:color w:val="auto"/>
        </w:rPr>
      </w:pPr>
      <w:r w:rsidRPr="00D84DDE">
        <w:rPr>
          <w:color w:val="auto"/>
        </w:rPr>
        <w:lastRenderedPageBreak/>
        <w:t>Species information</w:t>
      </w:r>
    </w:p>
    <w:p w14:paraId="605EAB83" w14:textId="77777777" w:rsidR="00350498" w:rsidRPr="00D84DDE" w:rsidRDefault="00350498" w:rsidP="00350498">
      <w:pPr>
        <w:pStyle w:val="Heading3"/>
      </w:pPr>
      <w:r w:rsidRPr="00D84DDE">
        <w:t>Taxonomy</w:t>
      </w:r>
    </w:p>
    <w:p w14:paraId="2AE69928" w14:textId="77777777" w:rsidR="00350498" w:rsidRDefault="00350498" w:rsidP="00350498">
      <w:r w:rsidRPr="00D84DDE">
        <w:t xml:space="preserve">Conventionally accepted as </w:t>
      </w:r>
      <w:proofErr w:type="spellStart"/>
      <w:r w:rsidRPr="00D84DDE">
        <w:rPr>
          <w:i/>
          <w:iCs/>
        </w:rPr>
        <w:t>Mordacia</w:t>
      </w:r>
      <w:proofErr w:type="spellEnd"/>
      <w:r w:rsidRPr="00D84DDE">
        <w:rPr>
          <w:i/>
          <w:iCs/>
        </w:rPr>
        <w:t xml:space="preserve"> praecox</w:t>
      </w:r>
      <w:r w:rsidRPr="00D84DDE">
        <w:t xml:space="preserve"> Potter, 1968</w:t>
      </w:r>
      <w:r>
        <w:t>.</w:t>
      </w:r>
    </w:p>
    <w:p w14:paraId="6B8E61D4" w14:textId="77777777" w:rsidR="00350498" w:rsidRPr="00FA16B9" w:rsidRDefault="00350498" w:rsidP="00350498">
      <w:r w:rsidRPr="00FA16B9">
        <w:t xml:space="preserve">There are taxonomic </w:t>
      </w:r>
      <w:r>
        <w:t>uncertainties</w:t>
      </w:r>
      <w:r w:rsidRPr="00FA16B9">
        <w:t xml:space="preserve"> relating to the </w:t>
      </w:r>
      <w:r>
        <w:t xml:space="preserve">non-parasitic lamprey because </w:t>
      </w:r>
      <w:r w:rsidRPr="00FA16B9">
        <w:t xml:space="preserve">lamprey taxonomy as a whole </w:t>
      </w:r>
      <w:r>
        <w:t>is in a</w:t>
      </w:r>
      <w:r w:rsidRPr="00FA16B9">
        <w:t xml:space="preserve"> “state of flux” (Docker &amp; Hume 2019). There is debate within the lamprey systematics community on the </w:t>
      </w:r>
      <w:r>
        <w:t>status of taxa</w:t>
      </w:r>
      <w:r w:rsidRPr="00FA16B9">
        <w:t xml:space="preserve"> that are not parasitic (in Australia, </w:t>
      </w:r>
      <w:proofErr w:type="spellStart"/>
      <w:r w:rsidRPr="6A012BED">
        <w:rPr>
          <w:i/>
          <w:iCs/>
        </w:rPr>
        <w:t>Mordacia</w:t>
      </w:r>
      <w:proofErr w:type="spellEnd"/>
      <w:r w:rsidRPr="6A012BED">
        <w:rPr>
          <w:i/>
          <w:iCs/>
        </w:rPr>
        <w:t xml:space="preserve"> praecox</w:t>
      </w:r>
      <w:r w:rsidRPr="00FA16B9">
        <w:t xml:space="preserve">) relative to their closely related sister </w:t>
      </w:r>
      <w:r>
        <w:t>taxa</w:t>
      </w:r>
      <w:r w:rsidRPr="00FA16B9">
        <w:t xml:space="preserve"> (</w:t>
      </w:r>
      <w:r>
        <w:t xml:space="preserve">known as </w:t>
      </w:r>
      <w:r w:rsidRPr="00FA16B9">
        <w:t xml:space="preserve">“paired-species”; Docker 2009), in this case, </w:t>
      </w:r>
      <w:proofErr w:type="spellStart"/>
      <w:r w:rsidRPr="6A012BED">
        <w:rPr>
          <w:i/>
          <w:iCs/>
        </w:rPr>
        <w:t>Mordacia</w:t>
      </w:r>
      <w:proofErr w:type="spellEnd"/>
      <w:r w:rsidRPr="6A012BED">
        <w:rPr>
          <w:i/>
          <w:iCs/>
        </w:rPr>
        <w:t xml:space="preserve"> </w:t>
      </w:r>
      <w:proofErr w:type="spellStart"/>
      <w:r w:rsidRPr="6A012BED">
        <w:rPr>
          <w:i/>
          <w:iCs/>
        </w:rPr>
        <w:t>mordax</w:t>
      </w:r>
      <w:proofErr w:type="spellEnd"/>
      <w:r w:rsidRPr="00FA16B9">
        <w:t xml:space="preserve"> (</w:t>
      </w:r>
      <w:r>
        <w:t>short-headed lamprey</w:t>
      </w:r>
      <w:r w:rsidRPr="00FA16B9">
        <w:t>) (Potter 1968). This is because paired</w:t>
      </w:r>
      <w:r>
        <w:t>-</w:t>
      </w:r>
      <w:r w:rsidRPr="00FA16B9">
        <w:t>species almost always have larvae that are morphologically and ecologically</w:t>
      </w:r>
      <w:r w:rsidRPr="00E971C6">
        <w:t xml:space="preserve"> </w:t>
      </w:r>
      <w:r w:rsidRPr="00FA16B9">
        <w:t xml:space="preserve">identical, and the </w:t>
      </w:r>
      <w:r>
        <w:t>parasitic and non-parasitic forms</w:t>
      </w:r>
      <w:r w:rsidRPr="00FA16B9">
        <w:t xml:space="preserve"> are not distinguishable through standard DNA barcode methods (</w:t>
      </w:r>
      <w:r>
        <w:t>Docker &amp; Potter 2019</w:t>
      </w:r>
      <w:r w:rsidRPr="00FA16B9">
        <w:t>)</w:t>
      </w:r>
      <w:r>
        <w:t xml:space="preserve">. This </w:t>
      </w:r>
      <w:r w:rsidRPr="00FA16B9">
        <w:t xml:space="preserve">is the case for the </w:t>
      </w:r>
      <w:r>
        <w:t>non-parasitic lamprey</w:t>
      </w:r>
      <w:r w:rsidRPr="00FA16B9">
        <w:t xml:space="preserve"> and the </w:t>
      </w:r>
      <w:r>
        <w:t>short-headed lamprey</w:t>
      </w:r>
      <w:r w:rsidRPr="00FA16B9">
        <w:t xml:space="preserve"> (Potter 1968; Garbutt 2015). Indeed, </w:t>
      </w:r>
      <w:r>
        <w:t xml:space="preserve">it is possible that </w:t>
      </w:r>
      <w:r w:rsidRPr="00FA16B9">
        <w:t xml:space="preserve">the </w:t>
      </w:r>
      <w:r>
        <w:t>non-parasitic lamprey</w:t>
      </w:r>
      <w:r w:rsidRPr="00FA16B9">
        <w:t xml:space="preserve"> may not be a separate biological species, but instead an </w:t>
      </w:r>
      <w:bookmarkStart w:id="2" w:name="_Hlk74298553"/>
      <w:proofErr w:type="spellStart"/>
      <w:r w:rsidRPr="00FA16B9">
        <w:t>ecomorph</w:t>
      </w:r>
      <w:proofErr w:type="spellEnd"/>
      <w:r w:rsidRPr="00FA16B9">
        <w:t xml:space="preserve"> </w:t>
      </w:r>
      <w:bookmarkEnd w:id="2"/>
      <w:r w:rsidRPr="00FA16B9">
        <w:t xml:space="preserve">of the </w:t>
      </w:r>
      <w:r>
        <w:t>short-headed lamprey</w:t>
      </w:r>
      <w:r w:rsidRPr="00FA16B9">
        <w:t xml:space="preserve">, displaying an alternative life-history resulting from phenotypic plasticity </w:t>
      </w:r>
      <w:r>
        <w:t>in response</w:t>
      </w:r>
      <w:r w:rsidRPr="00FA16B9">
        <w:t xml:space="preserve"> to local environmental conditions (Docker 2009; Mateus et al. 2013). </w:t>
      </w:r>
      <w:r>
        <w:t xml:space="preserve"> </w:t>
      </w:r>
    </w:p>
    <w:p w14:paraId="504BFB19" w14:textId="77777777" w:rsidR="00350498" w:rsidRPr="00D84DDE" w:rsidRDefault="00350498" w:rsidP="00350498">
      <w:r>
        <w:t>There is a demonstrated, complex continuum of levels of speciation between paired lamprey species worldwide, with some clearly being two distinct, good biological species, others clearly a single interbreeding species, but with most somewhere in between (Docker &amp; Potter 2019). It has not yet been resolved where the non-parasitic lamprey and the short-headed lamprey fall along this speciation continuum (Docker 2009). However, the differences in adult body size, breeding cycle, breeding times, and feeding type (see Biology/Ecology section below), as well as the possibility of nuclear genomic divergence (demonstrated in other species pairs; Yamazaki et al. 2006; Mateus et al. 2013), combined with the necessity for a precautionary approach when dealing with taxonomic changes (Potter et al. 2015), suggest that these two taxa should be considered as distinct species until proven otherwise. Therefore, the current taxonomy, which regards the non-parasitic lamprey as a good biological species, has been followed in this assessment.</w:t>
      </w:r>
    </w:p>
    <w:p w14:paraId="0DECDC4E" w14:textId="77777777" w:rsidR="00350498" w:rsidRPr="00D84DDE" w:rsidRDefault="00350498" w:rsidP="00350498">
      <w:r>
        <w:t xml:space="preserve">There is also taxonomic uncertainty at the smaller systematic and geographic scale. A geographically isolated lamprey population in the Noosa River area in Queensland (Qld) was initially assigned to </w:t>
      </w:r>
      <w:proofErr w:type="spellStart"/>
      <w:r w:rsidRPr="66E7FC34">
        <w:rPr>
          <w:i/>
          <w:iCs/>
        </w:rPr>
        <w:t>Mordacia</w:t>
      </w:r>
      <w:proofErr w:type="spellEnd"/>
      <w:r w:rsidRPr="66E7FC34">
        <w:rPr>
          <w:i/>
          <w:iCs/>
        </w:rPr>
        <w:t xml:space="preserve"> praecox</w:t>
      </w:r>
      <w:r>
        <w:t xml:space="preserve"> (</w:t>
      </w:r>
      <w:proofErr w:type="spellStart"/>
      <w:r>
        <w:t>Teewah</w:t>
      </w:r>
      <w:proofErr w:type="spellEnd"/>
      <w:r>
        <w:t xml:space="preserve"> Creek, </w:t>
      </w:r>
      <w:proofErr w:type="spellStart"/>
      <w:r>
        <w:t>Searys</w:t>
      </w:r>
      <w:proofErr w:type="spellEnd"/>
      <w:r>
        <w:t xml:space="preserve"> Creek) (Gilligan et al. 2019b). However, evidence of genetic and morphological divergence of this population clearly shows that it represents a new, undescribed species of non-parasitic lamprey (ABC News 2012; D. Moffatt 2020 </w:t>
      </w:r>
      <w:proofErr w:type="spellStart"/>
      <w:r>
        <w:t>unpub</w:t>
      </w:r>
      <w:proofErr w:type="spellEnd"/>
      <w:r>
        <w:t>). Therefore, the Noosa River population has not been included in this assessment.</w:t>
      </w:r>
    </w:p>
    <w:p w14:paraId="52CC573B" w14:textId="77777777" w:rsidR="00350498" w:rsidRPr="00D84DDE" w:rsidRDefault="00350498" w:rsidP="00350498">
      <w:pPr>
        <w:pStyle w:val="Heading3"/>
      </w:pPr>
      <w:bookmarkStart w:id="3" w:name="_Ref445985062"/>
      <w:bookmarkStart w:id="4" w:name="_Toc409769199"/>
      <w:bookmarkStart w:id="5" w:name="_Toc454439316"/>
      <w:r w:rsidRPr="00D84DDE">
        <w:t>Description</w:t>
      </w:r>
    </w:p>
    <w:p w14:paraId="043B436F" w14:textId="77777777" w:rsidR="00350498" w:rsidRPr="00D84DDE" w:rsidRDefault="00350498" w:rsidP="00350498">
      <w:r w:rsidRPr="00D84DDE">
        <w:t>Adults</w:t>
      </w:r>
      <w:r w:rsidRPr="00D84DDE">
        <w:rPr>
          <w:i/>
          <w:iCs/>
        </w:rPr>
        <w:t xml:space="preserve"> </w:t>
      </w:r>
      <w:r w:rsidRPr="00D84DDE">
        <w:t>have a typical lamprey, eel-like, long slender body, with two low dorsal fins near the tail. There are seven gill openings on each side behind the eyes, which are on the dorsal surface (Allen et al. 2002). In common with all lamprey species, adults are jawless and</w:t>
      </w:r>
      <w:r>
        <w:t xml:space="preserve"> instead</w:t>
      </w:r>
      <w:r w:rsidRPr="00D84DDE">
        <w:t xml:space="preserve"> have a suctorial disk with small teeth around the edge. </w:t>
      </w:r>
    </w:p>
    <w:p w14:paraId="7096BA5C" w14:textId="77777777" w:rsidR="00350498" w:rsidRPr="00D84DDE" w:rsidRDefault="00350498" w:rsidP="00350498">
      <w:r w:rsidRPr="00445158">
        <w:t xml:space="preserve">The </w:t>
      </w:r>
      <w:r>
        <w:t>non-parasitic lamprey</w:t>
      </w:r>
      <w:r w:rsidRPr="00445158">
        <w:t xml:space="preserve"> has only been described in southern New South Wales (NSW)</w:t>
      </w:r>
      <w:r>
        <w:t>, where adults are</w:t>
      </w:r>
      <w:r w:rsidRPr="00D84DDE">
        <w:t xml:space="preserve"> bluish-black on the back, sometimes with a greenish tinge, and mottled grey on the stomach, while females with eggs have a yellow belly (Potter 1968; Allen et al. 2002). Adults are fairly small (~100–170 mm), with males a little larger than females (Potter 1968). When they first metamorphose from larvae, </w:t>
      </w:r>
      <w:r>
        <w:t>the sub-adults (</w:t>
      </w:r>
      <w:proofErr w:type="spellStart"/>
      <w:r>
        <w:t>macrophthalmia</w:t>
      </w:r>
      <w:proofErr w:type="spellEnd"/>
      <w:r>
        <w:t>)</w:t>
      </w:r>
      <w:r w:rsidRPr="00D84DDE">
        <w:t xml:space="preserve"> are actually a little longer </w:t>
      </w:r>
      <w:r>
        <w:t xml:space="preserve">than adults </w:t>
      </w:r>
      <w:r w:rsidRPr="00D84DDE">
        <w:t>(Docker 2009).</w:t>
      </w:r>
    </w:p>
    <w:p w14:paraId="61784EBC" w14:textId="77777777" w:rsidR="00350498" w:rsidRPr="00D84DDE" w:rsidRDefault="00350498" w:rsidP="00350498">
      <w:r>
        <w:lastRenderedPageBreak/>
        <w:t>Where the non-parasitic lamprey occurs in sympatry with the short-headed lamprey in southern NSW, the two species are readily distinguishable as sexually mature adults (Garbutt 2015); the short-headed lamprey is much larger (300–420 mm) (Potter 1968) and has more developed radial teeth. The non-parasitic lamprey may also be sympatric with the pouched lamprey (</w:t>
      </w:r>
      <w:proofErr w:type="spellStart"/>
      <w:r w:rsidRPr="66E7FC34">
        <w:rPr>
          <w:i/>
          <w:iCs/>
        </w:rPr>
        <w:t>Geotria</w:t>
      </w:r>
      <w:proofErr w:type="spellEnd"/>
      <w:r w:rsidRPr="66E7FC34">
        <w:rPr>
          <w:i/>
          <w:iCs/>
        </w:rPr>
        <w:t xml:space="preserve"> australis</w:t>
      </w:r>
      <w:r>
        <w:t xml:space="preserve">) at the southern end of the non-parasitic lamprey’s range. Again, adults are easily distinguished as the pouched lamprey is much larger (450–600 mm), has different dentition, and its eyes are more laterally situated (Allen et al. 2002; Potter et al. 2015; Miller et al. 2021). </w:t>
      </w:r>
    </w:p>
    <w:p w14:paraId="5F71711D" w14:textId="77777777" w:rsidR="00350498" w:rsidRPr="00D84DDE" w:rsidRDefault="00350498" w:rsidP="00350498">
      <w:r>
        <w:t xml:space="preserve">Lamprey larvae (also known as ammocetes) are very different from adults, having no eyes or teeth (Potter et al. 2015). Larvae of the non-parasitic lamprey are small, brown, and worm-like with low fins (Potter 1970; Allen et al. 2002), although size and colour may vary with location (D. Moffatt 2020 pers comm 17 Nov). The larvae of the non-parasitic lamprey and the short-headed lamprey are indistinguishable (Potter 1968; Miller et al. 2021), which is common between paired-species (Docker 2009; M. Docker 2020 pers comm 18 Nov). </w:t>
      </w:r>
    </w:p>
    <w:p w14:paraId="1E0D582E" w14:textId="77777777" w:rsidR="00350498" w:rsidRPr="00D84DDE" w:rsidRDefault="00350498" w:rsidP="00350498">
      <w:pPr>
        <w:pStyle w:val="Heading3"/>
      </w:pPr>
      <w:r w:rsidRPr="00D84DDE">
        <w:t>Distribution</w:t>
      </w:r>
    </w:p>
    <w:p w14:paraId="00FC8CBF" w14:textId="77777777" w:rsidR="00350498" w:rsidRDefault="00350498" w:rsidP="00350498">
      <w:r w:rsidRPr="00D84DDE">
        <w:t xml:space="preserve">Unlike most parasitic lamprey species, the </w:t>
      </w:r>
      <w:r>
        <w:t>non-parasitic lamprey</w:t>
      </w:r>
      <w:r w:rsidRPr="00D84DDE">
        <w:t xml:space="preserve"> is entirely a freshwater species, completing its life cycle in rivers and never migrating to brackish or marine systems</w:t>
      </w:r>
      <w:r>
        <w:t>. Consequently, it is restricted to individual river basins.</w:t>
      </w:r>
      <w:r w:rsidRPr="00D84DDE">
        <w:t xml:space="preserve"> Within each river system, specimens of the </w:t>
      </w:r>
      <w:r>
        <w:t>non-parasitic lamprey</w:t>
      </w:r>
      <w:r w:rsidRPr="00D84DDE">
        <w:t xml:space="preserve"> have only been reported relatively close to the coast (&lt; 50 km) (Potter &amp; Strahan 1968). </w:t>
      </w:r>
    </w:p>
    <w:p w14:paraId="73B0190E" w14:textId="77777777" w:rsidR="00350498" w:rsidRDefault="00350498" w:rsidP="00350498">
      <w:r w:rsidRPr="00D84DDE">
        <w:t xml:space="preserve">The </w:t>
      </w:r>
      <w:r>
        <w:t>non-parasitic lamprey</w:t>
      </w:r>
      <w:r w:rsidRPr="00D84DDE">
        <w:t xml:space="preserve"> is known from a small number of isolated coastal rivers in eastern Australia (Gilligan 2019b)</w:t>
      </w:r>
      <w:r>
        <w:t xml:space="preserve"> (Figure 1)</w:t>
      </w:r>
      <w:r w:rsidRPr="00D84DDE">
        <w:t xml:space="preserve">. The species was originally described by Potter (1968) from the Tuross River and </w:t>
      </w:r>
      <w:proofErr w:type="spellStart"/>
      <w:r w:rsidRPr="00D84DDE">
        <w:t>Deua</w:t>
      </w:r>
      <w:proofErr w:type="spellEnd"/>
      <w:r w:rsidRPr="00D84DDE">
        <w:t xml:space="preserve"> River (Moruya River Basin) in southern coastal NSW</w:t>
      </w:r>
      <w:r>
        <w:t xml:space="preserve">; however, </w:t>
      </w:r>
      <w:r>
        <w:rPr>
          <w:lang w:eastAsia="ja-JP"/>
        </w:rPr>
        <w:t>it likely went</w:t>
      </w:r>
      <w:r w:rsidRPr="001C1EF1">
        <w:rPr>
          <w:lang w:eastAsia="ja-JP"/>
        </w:rPr>
        <w:t xml:space="preserve"> locally extinct at this location sometime between the </w:t>
      </w:r>
      <w:r w:rsidRPr="007B58AF">
        <w:rPr>
          <w:lang w:eastAsia="ja-JP"/>
        </w:rPr>
        <w:t>1995 and 2003 (Gilligan</w:t>
      </w:r>
      <w:r w:rsidRPr="001C1EF1">
        <w:rPr>
          <w:lang w:eastAsia="ja-JP"/>
        </w:rPr>
        <w:t xml:space="preserve"> 2019</w:t>
      </w:r>
      <w:r>
        <w:rPr>
          <w:lang w:eastAsia="ja-JP"/>
        </w:rPr>
        <w:t>b</w:t>
      </w:r>
      <w:r w:rsidRPr="001C1EF1">
        <w:rPr>
          <w:lang w:eastAsia="ja-JP"/>
        </w:rPr>
        <w:t>)</w:t>
      </w:r>
      <w:r>
        <w:rPr>
          <w:lang w:eastAsia="ja-JP"/>
        </w:rPr>
        <w:t xml:space="preserve">. </w:t>
      </w:r>
      <w:r>
        <w:t>The species</w:t>
      </w:r>
      <w:r w:rsidRPr="00D84DDE">
        <w:t xml:space="preserve"> has also been reported in far southern NSW from the </w:t>
      </w:r>
      <w:proofErr w:type="spellStart"/>
      <w:r w:rsidRPr="00D84DDE">
        <w:t>Wallagaraugh</w:t>
      </w:r>
      <w:proofErr w:type="spellEnd"/>
      <w:r w:rsidRPr="00D84DDE">
        <w:t xml:space="preserve"> River (East Gippsland Basin) on the NSW/Victorian border (Gilligan 2019b)</w:t>
      </w:r>
      <w:r>
        <w:t xml:space="preserve">; </w:t>
      </w:r>
      <w:r w:rsidRPr="00D84DDE">
        <w:t xml:space="preserve">northern NSW </w:t>
      </w:r>
      <w:r>
        <w:t>(</w:t>
      </w:r>
      <w:r w:rsidRPr="00D84DDE">
        <w:t>Macleay River Basin</w:t>
      </w:r>
      <w:r>
        <w:t>)</w:t>
      </w:r>
      <w:r w:rsidRPr="00646ED8">
        <w:t xml:space="preserve"> </w:t>
      </w:r>
      <w:r w:rsidRPr="00D84DDE">
        <w:t>(</w:t>
      </w:r>
      <w:r>
        <w:t xml:space="preserve">Butler et al. 2016; </w:t>
      </w:r>
      <w:r w:rsidRPr="00D84DDE">
        <w:t>Gilligan 2019b)</w:t>
      </w:r>
      <w:r>
        <w:t xml:space="preserve">, far northern NSW (a larval </w:t>
      </w:r>
      <w:r w:rsidRPr="00D84DDE">
        <w:t xml:space="preserve">specimen of </w:t>
      </w:r>
      <w:proofErr w:type="spellStart"/>
      <w:r w:rsidRPr="00D84DDE">
        <w:rPr>
          <w:i/>
          <w:iCs/>
        </w:rPr>
        <w:t>Mordacia</w:t>
      </w:r>
      <w:proofErr w:type="spellEnd"/>
      <w:r w:rsidRPr="00D84DDE">
        <w:t xml:space="preserve"> </w:t>
      </w:r>
      <w:r>
        <w:t xml:space="preserve">recorded </w:t>
      </w:r>
      <w:r w:rsidRPr="00D84DDE">
        <w:t>from the Richmond River</w:t>
      </w:r>
      <w:r>
        <w:t xml:space="preserve">; </w:t>
      </w:r>
      <w:r w:rsidRPr="00D84DDE">
        <w:t>D. Gilligan 2020 pers comm 16 Nov</w:t>
      </w:r>
      <w:r>
        <w:t xml:space="preserve">; </w:t>
      </w:r>
      <w:r w:rsidRPr="00D84DDE">
        <w:t>Australian Museum Ichthyology Collection)</w:t>
      </w:r>
      <w:r>
        <w:t xml:space="preserve">; </w:t>
      </w:r>
      <w:r w:rsidRPr="00D84DDE">
        <w:t>south</w:t>
      </w:r>
      <w:r>
        <w:noBreakHyphen/>
      </w:r>
      <w:r w:rsidRPr="00D84DDE">
        <w:t xml:space="preserve">eastern </w:t>
      </w:r>
      <w:r>
        <w:t>Qld (</w:t>
      </w:r>
      <w:r w:rsidRPr="00D84DDE">
        <w:t>Maroochy River Basin</w:t>
      </w:r>
      <w:r>
        <w:t xml:space="preserve"> [</w:t>
      </w:r>
      <w:proofErr w:type="spellStart"/>
      <w:r w:rsidRPr="00D84DDE">
        <w:t>Coochin</w:t>
      </w:r>
      <w:proofErr w:type="spellEnd"/>
      <w:r w:rsidRPr="00D84DDE">
        <w:t xml:space="preserve"> Creek</w:t>
      </w:r>
      <w:r>
        <w:t xml:space="preserve">]); </w:t>
      </w:r>
      <w:r w:rsidRPr="00D84DDE">
        <w:t>and central Qld</w:t>
      </w:r>
      <w:r>
        <w:t xml:space="preserve"> (</w:t>
      </w:r>
      <w:r w:rsidRPr="00D84DDE">
        <w:t>Water Park Creek</w:t>
      </w:r>
      <w:r>
        <w:t>) (</w:t>
      </w:r>
      <w:r w:rsidRPr="00D84DDE">
        <w:t>Gilligan 2019b; D. Moffatt 2020 pers comm 17 Nov</w:t>
      </w:r>
      <w:r>
        <w:t>).</w:t>
      </w:r>
    </w:p>
    <w:p w14:paraId="45BE2B98" w14:textId="77777777" w:rsidR="00350498" w:rsidRDefault="00350498" w:rsidP="00350498">
      <w:r>
        <w:t xml:space="preserve">There has been some confusion regarding the species’ precise distribution because adults, which are identifiable to species, are rarely encountered (Miller et al. 2021), and most location records are of larvae (D. Gilligan 2020 pers comm 16 Nov), which are not readily distinguished between the non-parasitic and short-headed lamprey (see Taxonomy section). </w:t>
      </w:r>
    </w:p>
    <w:p w14:paraId="2B9B2ED3" w14:textId="77777777" w:rsidR="00350498" w:rsidRDefault="00350498" w:rsidP="00350498">
      <w:r>
        <w:t xml:space="preserve">The short-headed lamprey is distributed in coastal rivers from Adelaide to Sydney (including Tasmania) and overlaps the southern coastal NSW non-parasitic lamprey distribution (Gilligan 2019a, 2019b). Given they share the same habitat, some of the reported records of the non-parasitic lamprey from southern NSW and Victoria (e.g., Allen et al. 2002; ALA 2021) cannot be confirmed (Gilligan 2019b; D. Gilligan 2020 pers comm 16 Nov; T. </w:t>
      </w:r>
      <w:proofErr w:type="spellStart"/>
      <w:r>
        <w:t>Raadik</w:t>
      </w:r>
      <w:proofErr w:type="spellEnd"/>
      <w:r>
        <w:t xml:space="preserve"> 2021 pers comm 15 Feb). Gilligan (2019b) and T. </w:t>
      </w:r>
      <w:proofErr w:type="spellStart"/>
      <w:r>
        <w:t>Raadik</w:t>
      </w:r>
      <w:proofErr w:type="spellEnd"/>
      <w:r>
        <w:t xml:space="preserve"> (2021 pers comm 15 Feb) both consider Victorian records of the non-parasitic lamprey as unproven, although they may be in far eastern Victoria as the non-parasitic lamprey is known from the NSW portion of the </w:t>
      </w:r>
      <w:proofErr w:type="spellStart"/>
      <w:r>
        <w:t>Wallagaraugh</w:t>
      </w:r>
      <w:proofErr w:type="spellEnd"/>
      <w:r>
        <w:t xml:space="preserve"> River (East Gippsland Basin), which flows across the border into Victoria. </w:t>
      </w:r>
    </w:p>
    <w:p w14:paraId="7B602EDD" w14:textId="77777777" w:rsidR="00350498" w:rsidRPr="00AC2C1B" w:rsidRDefault="00350498" w:rsidP="00350498">
      <w:r>
        <w:t>G</w:t>
      </w:r>
      <w:r w:rsidRPr="00D84DDE">
        <w:t>eographically isolated lamprey populations are likely to be a freshwater species</w:t>
      </w:r>
      <w:r>
        <w:t xml:space="preserve"> that is not parasitic</w:t>
      </w:r>
      <w:r w:rsidRPr="00D84DDE">
        <w:t xml:space="preserve"> (the </w:t>
      </w:r>
      <w:r>
        <w:t>non-parasitic lamprey</w:t>
      </w:r>
      <w:r w:rsidRPr="00D84DDE">
        <w:t xml:space="preserve">) rather than an anadromous parasitic species (the </w:t>
      </w:r>
      <w:r>
        <w:t>short-headed lamprey</w:t>
      </w:r>
      <w:r w:rsidRPr="00D84DDE">
        <w:t xml:space="preserve">) (Docker 2009; Gilligan 2019b; D. Gilligan 2020 pers comm 17 Nov). This is because parasitic species </w:t>
      </w:r>
      <w:r w:rsidRPr="00D84DDE">
        <w:lastRenderedPageBreak/>
        <w:t xml:space="preserve">are not philopatric (Docker &amp; Hume 2019), so </w:t>
      </w:r>
      <w:r>
        <w:t xml:space="preserve">when they return to freshwaters, they do so to a general area, and are found spread across a series </w:t>
      </w:r>
      <w:r w:rsidRPr="00D84DDE">
        <w:t>of contiguous river systems</w:t>
      </w:r>
      <w:r>
        <w:t>;</w:t>
      </w:r>
      <w:r w:rsidRPr="00D84DDE">
        <w:t xml:space="preserve"> a pattern followed by both the </w:t>
      </w:r>
      <w:r>
        <w:t>s</w:t>
      </w:r>
      <w:r w:rsidRPr="00D84DDE">
        <w:t xml:space="preserve">hort-headed and </w:t>
      </w:r>
      <w:r>
        <w:t>pouched lamprey</w:t>
      </w:r>
      <w:r w:rsidRPr="00D84DDE">
        <w:t xml:space="preserve">s in southern Australia (Gilligan 2019a; Miller et al. 2021). </w:t>
      </w:r>
      <w:r>
        <w:t xml:space="preserve">In contrast, non-parasitic species are typically restricted to a single river basin. </w:t>
      </w:r>
    </w:p>
    <w:p w14:paraId="33F2C8CD" w14:textId="77777777" w:rsidR="00350498" w:rsidRPr="00D84DDE" w:rsidRDefault="00350498" w:rsidP="00350498">
      <w:r w:rsidRPr="00D84DDE">
        <w:rPr>
          <w:b/>
          <w:bCs/>
        </w:rPr>
        <w:t>Table 1</w:t>
      </w:r>
      <w:r w:rsidRPr="00D84DDE">
        <w:t xml:space="preserve">: </w:t>
      </w:r>
      <w:r w:rsidRPr="002F056F">
        <w:t xml:space="preserve">River basins where the non-parasitic lamprey has been reported (from north to south) (Potter 1968; Lang et al. 2009; Hardy et al. 2011; Moore &amp; Marsden 2011; Butler et al. 2016; Gilligan 2019b; D. Gilligan 2020 pers comm 16 Nov; D. Moffatt 2020 pers comm 17 Nov; ALA 2020, 2021; T. </w:t>
      </w:r>
      <w:proofErr w:type="spellStart"/>
      <w:r w:rsidRPr="002F056F">
        <w:t>Raadik</w:t>
      </w:r>
      <w:proofErr w:type="spellEnd"/>
      <w:r w:rsidRPr="002F056F">
        <w:t xml:space="preserve"> 2021 pers comm 15 Feb). * AIATSIS (1996)</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526"/>
        <w:gridCol w:w="769"/>
        <w:gridCol w:w="1273"/>
        <w:gridCol w:w="1601"/>
        <w:gridCol w:w="2356"/>
      </w:tblGrid>
      <w:tr w:rsidR="00350498" w:rsidRPr="00D84DDE" w14:paraId="0D758ED0" w14:textId="77777777" w:rsidTr="007F30CA">
        <w:trPr>
          <w:trHeight w:val="345"/>
          <w:jc w:val="center"/>
        </w:trPr>
        <w:tc>
          <w:tcPr>
            <w:tcW w:w="1244" w:type="dxa"/>
            <w:shd w:val="clear" w:color="auto" w:fill="D9D9D9" w:themeFill="background1" w:themeFillShade="D9"/>
            <w:noWrap/>
            <w:vAlign w:val="bottom"/>
            <w:hideMark/>
          </w:tcPr>
          <w:p w14:paraId="040E2556" w14:textId="77777777" w:rsidR="00350498" w:rsidRPr="00D84DDE" w:rsidRDefault="00350498" w:rsidP="007F30CA">
            <w:pPr>
              <w:pStyle w:val="TableText"/>
              <w:jc w:val="center"/>
              <w:rPr>
                <w:b/>
                <w:bCs/>
                <w:lang w:eastAsia="en-AU"/>
              </w:rPr>
            </w:pPr>
            <w:r w:rsidRPr="00D84DDE">
              <w:rPr>
                <w:b/>
                <w:bCs/>
                <w:lang w:eastAsia="en-AU"/>
              </w:rPr>
              <w:t>River Basin</w:t>
            </w:r>
          </w:p>
        </w:tc>
        <w:tc>
          <w:tcPr>
            <w:tcW w:w="1526" w:type="dxa"/>
            <w:shd w:val="clear" w:color="auto" w:fill="D9D9D9" w:themeFill="background1" w:themeFillShade="D9"/>
            <w:noWrap/>
            <w:vAlign w:val="bottom"/>
            <w:hideMark/>
          </w:tcPr>
          <w:p w14:paraId="2DBB04F2" w14:textId="77777777" w:rsidR="00350498" w:rsidRPr="00D84DDE" w:rsidRDefault="00350498" w:rsidP="007F30CA">
            <w:pPr>
              <w:pStyle w:val="TableText"/>
              <w:jc w:val="center"/>
              <w:rPr>
                <w:b/>
                <w:bCs/>
                <w:lang w:eastAsia="en-AU"/>
              </w:rPr>
            </w:pPr>
            <w:r w:rsidRPr="00D84DDE">
              <w:rPr>
                <w:b/>
                <w:bCs/>
                <w:lang w:eastAsia="en-AU"/>
              </w:rPr>
              <w:t>National Park (sampling site)</w:t>
            </w:r>
          </w:p>
        </w:tc>
        <w:tc>
          <w:tcPr>
            <w:tcW w:w="769" w:type="dxa"/>
            <w:shd w:val="clear" w:color="auto" w:fill="D9D9D9" w:themeFill="background1" w:themeFillShade="D9"/>
            <w:noWrap/>
            <w:vAlign w:val="bottom"/>
            <w:hideMark/>
          </w:tcPr>
          <w:p w14:paraId="7AB9944C" w14:textId="77777777" w:rsidR="00350498" w:rsidRPr="00D84DDE" w:rsidRDefault="00350498" w:rsidP="007F30CA">
            <w:pPr>
              <w:pStyle w:val="TableText"/>
              <w:jc w:val="center"/>
              <w:rPr>
                <w:b/>
                <w:bCs/>
                <w:lang w:eastAsia="en-AU"/>
              </w:rPr>
            </w:pPr>
            <w:r w:rsidRPr="00D84DDE">
              <w:rPr>
                <w:b/>
                <w:bCs/>
                <w:lang w:eastAsia="en-AU"/>
              </w:rPr>
              <w:t>State</w:t>
            </w:r>
          </w:p>
        </w:tc>
        <w:tc>
          <w:tcPr>
            <w:tcW w:w="1273" w:type="dxa"/>
            <w:shd w:val="clear" w:color="auto" w:fill="D9D9D9" w:themeFill="background1" w:themeFillShade="D9"/>
          </w:tcPr>
          <w:p w14:paraId="3C7B2663" w14:textId="77777777" w:rsidR="00350498" w:rsidRPr="00D84DDE" w:rsidRDefault="00350498" w:rsidP="007F30CA">
            <w:pPr>
              <w:pStyle w:val="TableText"/>
              <w:jc w:val="center"/>
              <w:rPr>
                <w:b/>
                <w:bCs/>
                <w:lang w:eastAsia="en-AU"/>
              </w:rPr>
            </w:pPr>
            <w:r>
              <w:rPr>
                <w:b/>
                <w:bCs/>
                <w:lang w:eastAsia="en-AU"/>
              </w:rPr>
              <w:t>Traditional owners*</w:t>
            </w:r>
          </w:p>
        </w:tc>
        <w:tc>
          <w:tcPr>
            <w:tcW w:w="1601" w:type="dxa"/>
            <w:shd w:val="clear" w:color="auto" w:fill="D9D9D9" w:themeFill="background1" w:themeFillShade="D9"/>
            <w:noWrap/>
            <w:vAlign w:val="bottom"/>
            <w:hideMark/>
          </w:tcPr>
          <w:p w14:paraId="5B7C8AB1" w14:textId="77777777" w:rsidR="00350498" w:rsidRPr="00D84DDE" w:rsidRDefault="00350498" w:rsidP="007F30CA">
            <w:pPr>
              <w:pStyle w:val="TableText"/>
              <w:jc w:val="center"/>
              <w:rPr>
                <w:b/>
                <w:bCs/>
                <w:lang w:eastAsia="en-AU"/>
              </w:rPr>
            </w:pPr>
            <w:r w:rsidRPr="00D84DDE">
              <w:rPr>
                <w:b/>
                <w:bCs/>
                <w:lang w:eastAsia="en-AU"/>
              </w:rPr>
              <w:t>IBRA7 Region</w:t>
            </w:r>
          </w:p>
        </w:tc>
        <w:tc>
          <w:tcPr>
            <w:tcW w:w="2356" w:type="dxa"/>
            <w:shd w:val="clear" w:color="auto" w:fill="D9D9D9" w:themeFill="background1" w:themeFillShade="D9"/>
            <w:noWrap/>
            <w:vAlign w:val="bottom"/>
            <w:hideMark/>
          </w:tcPr>
          <w:p w14:paraId="53E18343" w14:textId="77777777" w:rsidR="00350498" w:rsidRPr="00D84DDE" w:rsidRDefault="00350498" w:rsidP="007F30CA">
            <w:pPr>
              <w:pStyle w:val="TableText"/>
              <w:jc w:val="center"/>
              <w:rPr>
                <w:b/>
                <w:bCs/>
                <w:lang w:eastAsia="en-AU"/>
              </w:rPr>
            </w:pPr>
            <w:r w:rsidRPr="00D84DDE">
              <w:rPr>
                <w:b/>
                <w:bCs/>
                <w:lang w:eastAsia="en-AU"/>
              </w:rPr>
              <w:t>IBRA7 Subregion</w:t>
            </w:r>
          </w:p>
        </w:tc>
      </w:tr>
      <w:tr w:rsidR="00350498" w:rsidRPr="00D84DDE" w14:paraId="5FD1FF0D" w14:textId="77777777" w:rsidTr="007F30CA">
        <w:trPr>
          <w:trHeight w:val="345"/>
          <w:jc w:val="center"/>
        </w:trPr>
        <w:tc>
          <w:tcPr>
            <w:tcW w:w="1244" w:type="dxa"/>
            <w:shd w:val="clear" w:color="auto" w:fill="auto"/>
            <w:noWrap/>
            <w:hideMark/>
          </w:tcPr>
          <w:p w14:paraId="71F4837F" w14:textId="77777777" w:rsidR="00350498" w:rsidRPr="00D84DDE" w:rsidRDefault="00350498" w:rsidP="007F30CA">
            <w:pPr>
              <w:pStyle w:val="TableText"/>
              <w:rPr>
                <w:lang w:eastAsia="en-AU"/>
              </w:rPr>
            </w:pPr>
            <w:r w:rsidRPr="00D84DDE">
              <w:rPr>
                <w:lang w:eastAsia="en-AU"/>
              </w:rPr>
              <w:t>Water Park Creek</w:t>
            </w:r>
          </w:p>
        </w:tc>
        <w:tc>
          <w:tcPr>
            <w:tcW w:w="1526" w:type="dxa"/>
            <w:shd w:val="clear" w:color="auto" w:fill="auto"/>
            <w:noWrap/>
            <w:hideMark/>
          </w:tcPr>
          <w:p w14:paraId="4C659958" w14:textId="77777777" w:rsidR="00350498" w:rsidRPr="00D84DDE" w:rsidRDefault="00350498" w:rsidP="007F30CA">
            <w:pPr>
              <w:pStyle w:val="TableText"/>
              <w:rPr>
                <w:lang w:eastAsia="en-AU"/>
              </w:rPr>
            </w:pPr>
            <w:r w:rsidRPr="00D84DDE">
              <w:rPr>
                <w:lang w:eastAsia="en-AU"/>
              </w:rPr>
              <w:t>Byfield NP</w:t>
            </w:r>
          </w:p>
        </w:tc>
        <w:tc>
          <w:tcPr>
            <w:tcW w:w="769" w:type="dxa"/>
            <w:shd w:val="clear" w:color="auto" w:fill="auto"/>
            <w:noWrap/>
            <w:hideMark/>
          </w:tcPr>
          <w:p w14:paraId="70B8A8B2" w14:textId="77777777" w:rsidR="00350498" w:rsidRPr="00D84DDE" w:rsidRDefault="00350498" w:rsidP="007F30CA">
            <w:pPr>
              <w:pStyle w:val="TableText"/>
              <w:rPr>
                <w:lang w:eastAsia="en-AU"/>
              </w:rPr>
            </w:pPr>
            <w:r w:rsidRPr="00D84DDE">
              <w:rPr>
                <w:lang w:eastAsia="en-AU"/>
              </w:rPr>
              <w:t>Qld</w:t>
            </w:r>
          </w:p>
        </w:tc>
        <w:tc>
          <w:tcPr>
            <w:tcW w:w="1273" w:type="dxa"/>
          </w:tcPr>
          <w:p w14:paraId="772CABCC" w14:textId="77777777" w:rsidR="00350498" w:rsidRPr="00A5064D" w:rsidRDefault="00350498" w:rsidP="007F30CA">
            <w:pPr>
              <w:pStyle w:val="TableText"/>
              <w:rPr>
                <w:szCs w:val="18"/>
                <w:lang w:eastAsia="en-AU"/>
              </w:rPr>
            </w:pPr>
            <w:proofErr w:type="spellStart"/>
            <w:r w:rsidRPr="00A5064D">
              <w:rPr>
                <w:color w:val="000000"/>
                <w:szCs w:val="18"/>
              </w:rPr>
              <w:t>Darumbal</w:t>
            </w:r>
            <w:proofErr w:type="spellEnd"/>
          </w:p>
        </w:tc>
        <w:tc>
          <w:tcPr>
            <w:tcW w:w="1601" w:type="dxa"/>
            <w:shd w:val="clear" w:color="auto" w:fill="auto"/>
            <w:noWrap/>
            <w:hideMark/>
          </w:tcPr>
          <w:p w14:paraId="07C7AA1F" w14:textId="77777777" w:rsidR="00350498" w:rsidRPr="00D84DDE" w:rsidRDefault="00350498" w:rsidP="007F30CA">
            <w:pPr>
              <w:pStyle w:val="TableText"/>
              <w:rPr>
                <w:lang w:eastAsia="en-AU"/>
              </w:rPr>
            </w:pPr>
            <w:r w:rsidRPr="00D84DDE">
              <w:rPr>
                <w:lang w:eastAsia="en-AU"/>
              </w:rPr>
              <w:t>Central Mackay Coast</w:t>
            </w:r>
          </w:p>
        </w:tc>
        <w:tc>
          <w:tcPr>
            <w:tcW w:w="2356" w:type="dxa"/>
            <w:shd w:val="clear" w:color="auto" w:fill="auto"/>
            <w:noWrap/>
            <w:hideMark/>
          </w:tcPr>
          <w:p w14:paraId="11D6283A" w14:textId="77777777" w:rsidR="00350498" w:rsidRPr="00D84DDE" w:rsidRDefault="00350498" w:rsidP="007F30CA">
            <w:pPr>
              <w:pStyle w:val="TableText"/>
              <w:rPr>
                <w:lang w:eastAsia="en-AU"/>
              </w:rPr>
            </w:pPr>
            <w:r w:rsidRPr="00D84DDE">
              <w:rPr>
                <w:lang w:eastAsia="en-AU"/>
              </w:rPr>
              <w:t>Manifold</w:t>
            </w:r>
          </w:p>
        </w:tc>
      </w:tr>
      <w:tr w:rsidR="00350498" w:rsidRPr="00D84DDE" w14:paraId="78D474AD" w14:textId="77777777" w:rsidTr="007F30CA">
        <w:trPr>
          <w:trHeight w:val="345"/>
          <w:jc w:val="center"/>
        </w:trPr>
        <w:tc>
          <w:tcPr>
            <w:tcW w:w="1244" w:type="dxa"/>
            <w:shd w:val="clear" w:color="auto" w:fill="auto"/>
            <w:noWrap/>
            <w:hideMark/>
          </w:tcPr>
          <w:p w14:paraId="16328897" w14:textId="77777777" w:rsidR="00350498" w:rsidRPr="00D84DDE" w:rsidRDefault="00350498" w:rsidP="007F30CA">
            <w:pPr>
              <w:pStyle w:val="TableText"/>
              <w:rPr>
                <w:lang w:eastAsia="en-AU"/>
              </w:rPr>
            </w:pPr>
            <w:r w:rsidRPr="00D84DDE">
              <w:rPr>
                <w:lang w:eastAsia="en-AU"/>
              </w:rPr>
              <w:t>Maroochy River</w:t>
            </w:r>
          </w:p>
        </w:tc>
        <w:tc>
          <w:tcPr>
            <w:tcW w:w="1526" w:type="dxa"/>
            <w:shd w:val="clear" w:color="auto" w:fill="auto"/>
            <w:noWrap/>
            <w:hideMark/>
          </w:tcPr>
          <w:p w14:paraId="2BAECDCB" w14:textId="77777777" w:rsidR="00350498" w:rsidRPr="00D84DDE" w:rsidRDefault="00350498" w:rsidP="007F30CA">
            <w:pPr>
              <w:pStyle w:val="TableText"/>
              <w:rPr>
                <w:lang w:eastAsia="en-AU"/>
              </w:rPr>
            </w:pPr>
          </w:p>
        </w:tc>
        <w:tc>
          <w:tcPr>
            <w:tcW w:w="769" w:type="dxa"/>
            <w:shd w:val="clear" w:color="auto" w:fill="auto"/>
            <w:noWrap/>
            <w:hideMark/>
          </w:tcPr>
          <w:p w14:paraId="6C199C6A" w14:textId="77777777" w:rsidR="00350498" w:rsidRPr="00D84DDE" w:rsidRDefault="00350498" w:rsidP="007F30CA">
            <w:pPr>
              <w:pStyle w:val="TableText"/>
              <w:rPr>
                <w:lang w:eastAsia="en-AU"/>
              </w:rPr>
            </w:pPr>
            <w:r w:rsidRPr="00D84DDE">
              <w:rPr>
                <w:lang w:eastAsia="en-AU"/>
              </w:rPr>
              <w:t>Qld</w:t>
            </w:r>
          </w:p>
        </w:tc>
        <w:tc>
          <w:tcPr>
            <w:tcW w:w="1273" w:type="dxa"/>
          </w:tcPr>
          <w:p w14:paraId="2D928D23" w14:textId="77777777" w:rsidR="00350498" w:rsidRPr="00A5064D" w:rsidRDefault="00350498" w:rsidP="007F30CA">
            <w:pPr>
              <w:pStyle w:val="TableText"/>
              <w:rPr>
                <w:szCs w:val="18"/>
                <w:lang w:eastAsia="en-AU"/>
              </w:rPr>
            </w:pPr>
            <w:r w:rsidRPr="00A5064D">
              <w:rPr>
                <w:color w:val="000000"/>
                <w:szCs w:val="18"/>
              </w:rPr>
              <w:t xml:space="preserve">Gubbi </w:t>
            </w:r>
            <w:proofErr w:type="spellStart"/>
            <w:r w:rsidRPr="00A5064D">
              <w:rPr>
                <w:color w:val="000000"/>
                <w:szCs w:val="18"/>
              </w:rPr>
              <w:t>Gubbi</w:t>
            </w:r>
            <w:proofErr w:type="spellEnd"/>
          </w:p>
        </w:tc>
        <w:tc>
          <w:tcPr>
            <w:tcW w:w="1601" w:type="dxa"/>
            <w:shd w:val="clear" w:color="auto" w:fill="auto"/>
            <w:noWrap/>
            <w:hideMark/>
          </w:tcPr>
          <w:p w14:paraId="6A3D50A7" w14:textId="77777777" w:rsidR="00350498" w:rsidRPr="00D84DDE" w:rsidRDefault="00350498" w:rsidP="007F30CA">
            <w:pPr>
              <w:pStyle w:val="TableText"/>
              <w:rPr>
                <w:lang w:eastAsia="en-AU"/>
              </w:rPr>
            </w:pPr>
            <w:r w:rsidRPr="00D84DDE">
              <w:rPr>
                <w:lang w:eastAsia="en-AU"/>
              </w:rPr>
              <w:t>South Eastern Qld</w:t>
            </w:r>
          </w:p>
        </w:tc>
        <w:tc>
          <w:tcPr>
            <w:tcW w:w="2356" w:type="dxa"/>
            <w:shd w:val="clear" w:color="auto" w:fill="auto"/>
            <w:noWrap/>
            <w:hideMark/>
          </w:tcPr>
          <w:p w14:paraId="4D4C07CF" w14:textId="77777777" w:rsidR="00350498" w:rsidRPr="00D84DDE" w:rsidRDefault="00350498" w:rsidP="007F30CA">
            <w:pPr>
              <w:pStyle w:val="TableText"/>
              <w:rPr>
                <w:lang w:eastAsia="en-AU"/>
              </w:rPr>
            </w:pPr>
            <w:r w:rsidRPr="00D84DDE">
              <w:rPr>
                <w:lang w:eastAsia="en-AU"/>
              </w:rPr>
              <w:t>Sunshine Coast-Gold Coast Lowlands</w:t>
            </w:r>
          </w:p>
        </w:tc>
      </w:tr>
      <w:tr w:rsidR="00350498" w:rsidRPr="00D84DDE" w14:paraId="79DD2A93" w14:textId="77777777" w:rsidTr="007F30CA">
        <w:trPr>
          <w:trHeight w:val="345"/>
          <w:jc w:val="center"/>
        </w:trPr>
        <w:tc>
          <w:tcPr>
            <w:tcW w:w="1244" w:type="dxa"/>
            <w:shd w:val="clear" w:color="auto" w:fill="auto"/>
            <w:noWrap/>
            <w:hideMark/>
          </w:tcPr>
          <w:p w14:paraId="098D00F2" w14:textId="77777777" w:rsidR="00350498" w:rsidRPr="00D84DDE" w:rsidRDefault="00350498" w:rsidP="007F30CA">
            <w:pPr>
              <w:pStyle w:val="TableText"/>
              <w:rPr>
                <w:lang w:eastAsia="en-AU"/>
              </w:rPr>
            </w:pPr>
            <w:r w:rsidRPr="00D84DDE">
              <w:rPr>
                <w:lang w:eastAsia="en-AU"/>
              </w:rPr>
              <w:t>Richmond River</w:t>
            </w:r>
          </w:p>
        </w:tc>
        <w:tc>
          <w:tcPr>
            <w:tcW w:w="1526" w:type="dxa"/>
            <w:shd w:val="clear" w:color="auto" w:fill="auto"/>
            <w:noWrap/>
            <w:hideMark/>
          </w:tcPr>
          <w:p w14:paraId="0169ED34" w14:textId="77777777" w:rsidR="00350498" w:rsidRPr="00D84DDE" w:rsidRDefault="00350498" w:rsidP="007F30CA">
            <w:pPr>
              <w:pStyle w:val="TableText"/>
              <w:rPr>
                <w:lang w:eastAsia="en-AU"/>
              </w:rPr>
            </w:pPr>
          </w:p>
        </w:tc>
        <w:tc>
          <w:tcPr>
            <w:tcW w:w="769" w:type="dxa"/>
            <w:shd w:val="clear" w:color="auto" w:fill="auto"/>
            <w:noWrap/>
            <w:hideMark/>
          </w:tcPr>
          <w:p w14:paraId="57BD9A96" w14:textId="77777777" w:rsidR="00350498" w:rsidRPr="00D84DDE" w:rsidRDefault="00350498" w:rsidP="007F30CA">
            <w:pPr>
              <w:pStyle w:val="TableText"/>
              <w:rPr>
                <w:lang w:eastAsia="en-AU"/>
              </w:rPr>
            </w:pPr>
            <w:r w:rsidRPr="00D84DDE">
              <w:rPr>
                <w:lang w:eastAsia="en-AU"/>
              </w:rPr>
              <w:t>NSW</w:t>
            </w:r>
          </w:p>
        </w:tc>
        <w:tc>
          <w:tcPr>
            <w:tcW w:w="1273" w:type="dxa"/>
          </w:tcPr>
          <w:p w14:paraId="1FE05D43" w14:textId="77777777" w:rsidR="00350498" w:rsidRPr="00A5064D" w:rsidRDefault="00350498" w:rsidP="007F30CA">
            <w:pPr>
              <w:pStyle w:val="TableText"/>
              <w:rPr>
                <w:szCs w:val="18"/>
                <w:lang w:eastAsia="en-AU"/>
              </w:rPr>
            </w:pPr>
            <w:r w:rsidRPr="00A5064D">
              <w:rPr>
                <w:color w:val="000000"/>
                <w:szCs w:val="18"/>
              </w:rPr>
              <w:t>Bundjalung</w:t>
            </w:r>
          </w:p>
        </w:tc>
        <w:tc>
          <w:tcPr>
            <w:tcW w:w="1601" w:type="dxa"/>
            <w:shd w:val="clear" w:color="auto" w:fill="auto"/>
            <w:noWrap/>
            <w:hideMark/>
          </w:tcPr>
          <w:p w14:paraId="7D66A070" w14:textId="77777777" w:rsidR="00350498" w:rsidRPr="00D84DDE" w:rsidRDefault="00350498" w:rsidP="007F30CA">
            <w:pPr>
              <w:pStyle w:val="TableText"/>
              <w:rPr>
                <w:lang w:eastAsia="en-AU"/>
              </w:rPr>
            </w:pPr>
            <w:r w:rsidRPr="00D84DDE">
              <w:rPr>
                <w:lang w:eastAsia="en-AU"/>
              </w:rPr>
              <w:t>South Eastern Qld</w:t>
            </w:r>
          </w:p>
        </w:tc>
        <w:tc>
          <w:tcPr>
            <w:tcW w:w="2356" w:type="dxa"/>
            <w:shd w:val="clear" w:color="auto" w:fill="auto"/>
            <w:noWrap/>
            <w:hideMark/>
          </w:tcPr>
          <w:p w14:paraId="6525E55E" w14:textId="77777777" w:rsidR="00350498" w:rsidRPr="00D84DDE" w:rsidRDefault="00350498" w:rsidP="007F30CA">
            <w:pPr>
              <w:pStyle w:val="TableText"/>
              <w:rPr>
                <w:lang w:eastAsia="en-AU"/>
              </w:rPr>
            </w:pPr>
            <w:r w:rsidRPr="00D84DDE">
              <w:rPr>
                <w:lang w:eastAsia="en-AU"/>
              </w:rPr>
              <w:t>Clarence Lowlands</w:t>
            </w:r>
          </w:p>
        </w:tc>
      </w:tr>
      <w:tr w:rsidR="00350498" w:rsidRPr="00D84DDE" w14:paraId="38FD919C" w14:textId="77777777" w:rsidTr="007F30CA">
        <w:trPr>
          <w:trHeight w:val="345"/>
          <w:jc w:val="center"/>
        </w:trPr>
        <w:tc>
          <w:tcPr>
            <w:tcW w:w="1244" w:type="dxa"/>
            <w:shd w:val="clear" w:color="auto" w:fill="auto"/>
            <w:noWrap/>
            <w:hideMark/>
          </w:tcPr>
          <w:p w14:paraId="34B74B08" w14:textId="77777777" w:rsidR="00350498" w:rsidRPr="00D84DDE" w:rsidRDefault="00350498" w:rsidP="007F30CA">
            <w:pPr>
              <w:pStyle w:val="TableText"/>
              <w:rPr>
                <w:lang w:eastAsia="en-AU"/>
              </w:rPr>
            </w:pPr>
            <w:r w:rsidRPr="00D84DDE">
              <w:rPr>
                <w:lang w:eastAsia="en-AU"/>
              </w:rPr>
              <w:t>Macleay River</w:t>
            </w:r>
          </w:p>
        </w:tc>
        <w:tc>
          <w:tcPr>
            <w:tcW w:w="1526" w:type="dxa"/>
            <w:shd w:val="clear" w:color="auto" w:fill="auto"/>
            <w:noWrap/>
            <w:hideMark/>
          </w:tcPr>
          <w:p w14:paraId="76C62EAC" w14:textId="77777777" w:rsidR="00350498" w:rsidRPr="00D84DDE" w:rsidRDefault="00350498" w:rsidP="007F30CA">
            <w:pPr>
              <w:pStyle w:val="TableText"/>
              <w:rPr>
                <w:lang w:eastAsia="en-AU"/>
              </w:rPr>
            </w:pPr>
          </w:p>
        </w:tc>
        <w:tc>
          <w:tcPr>
            <w:tcW w:w="769" w:type="dxa"/>
            <w:shd w:val="clear" w:color="auto" w:fill="auto"/>
            <w:noWrap/>
            <w:hideMark/>
          </w:tcPr>
          <w:p w14:paraId="2BF9623D" w14:textId="77777777" w:rsidR="00350498" w:rsidRPr="00D84DDE" w:rsidRDefault="00350498" w:rsidP="007F30CA">
            <w:pPr>
              <w:pStyle w:val="TableText"/>
              <w:rPr>
                <w:lang w:eastAsia="en-AU"/>
              </w:rPr>
            </w:pPr>
            <w:r w:rsidRPr="00D84DDE">
              <w:rPr>
                <w:lang w:eastAsia="en-AU"/>
              </w:rPr>
              <w:t>NSW</w:t>
            </w:r>
          </w:p>
        </w:tc>
        <w:tc>
          <w:tcPr>
            <w:tcW w:w="1273" w:type="dxa"/>
          </w:tcPr>
          <w:p w14:paraId="193A8B6A" w14:textId="77777777" w:rsidR="00350498" w:rsidRPr="00A5064D" w:rsidRDefault="00350498" w:rsidP="007F30CA">
            <w:pPr>
              <w:pStyle w:val="TableText"/>
              <w:rPr>
                <w:szCs w:val="18"/>
                <w:lang w:eastAsia="en-AU"/>
              </w:rPr>
            </w:pPr>
            <w:proofErr w:type="spellStart"/>
            <w:r w:rsidRPr="00A5064D">
              <w:rPr>
                <w:color w:val="000000"/>
                <w:szCs w:val="18"/>
              </w:rPr>
              <w:t>Dainggatti</w:t>
            </w:r>
            <w:proofErr w:type="spellEnd"/>
          </w:p>
        </w:tc>
        <w:tc>
          <w:tcPr>
            <w:tcW w:w="1601" w:type="dxa"/>
            <w:shd w:val="clear" w:color="auto" w:fill="auto"/>
            <w:noWrap/>
            <w:hideMark/>
          </w:tcPr>
          <w:p w14:paraId="76031F65" w14:textId="77777777" w:rsidR="00350498" w:rsidRPr="00D84DDE" w:rsidRDefault="00350498" w:rsidP="007F30CA">
            <w:pPr>
              <w:pStyle w:val="TableText"/>
              <w:rPr>
                <w:lang w:eastAsia="en-AU"/>
              </w:rPr>
            </w:pPr>
            <w:r w:rsidRPr="00D84DDE">
              <w:rPr>
                <w:lang w:eastAsia="en-AU"/>
              </w:rPr>
              <w:t>NSW North Coast</w:t>
            </w:r>
          </w:p>
        </w:tc>
        <w:tc>
          <w:tcPr>
            <w:tcW w:w="2356" w:type="dxa"/>
            <w:shd w:val="clear" w:color="auto" w:fill="auto"/>
            <w:noWrap/>
            <w:hideMark/>
          </w:tcPr>
          <w:p w14:paraId="70D8673D" w14:textId="77777777" w:rsidR="00350498" w:rsidRPr="00D84DDE" w:rsidRDefault="00350498" w:rsidP="007F30CA">
            <w:pPr>
              <w:pStyle w:val="TableText"/>
              <w:rPr>
                <w:lang w:eastAsia="en-AU"/>
              </w:rPr>
            </w:pPr>
            <w:r w:rsidRPr="00D84DDE">
              <w:rPr>
                <w:lang w:eastAsia="en-AU"/>
              </w:rPr>
              <w:t>Macleay Hastings</w:t>
            </w:r>
          </w:p>
        </w:tc>
      </w:tr>
      <w:tr w:rsidR="00350498" w:rsidRPr="00D84DDE" w14:paraId="7D60D823" w14:textId="77777777" w:rsidTr="007F30CA">
        <w:trPr>
          <w:trHeight w:val="345"/>
          <w:jc w:val="center"/>
        </w:trPr>
        <w:tc>
          <w:tcPr>
            <w:tcW w:w="1244" w:type="dxa"/>
            <w:shd w:val="clear" w:color="auto" w:fill="auto"/>
            <w:noWrap/>
            <w:hideMark/>
          </w:tcPr>
          <w:p w14:paraId="72C7F0A6" w14:textId="77777777" w:rsidR="00350498" w:rsidRDefault="00350498" w:rsidP="007F30CA">
            <w:pPr>
              <w:pStyle w:val="TableText"/>
              <w:rPr>
                <w:lang w:eastAsia="en-AU"/>
              </w:rPr>
            </w:pPr>
            <w:r w:rsidRPr="00D84DDE">
              <w:rPr>
                <w:lang w:eastAsia="en-AU"/>
              </w:rPr>
              <w:t>Moruya River</w:t>
            </w:r>
          </w:p>
          <w:p w14:paraId="7B680E7B" w14:textId="77777777" w:rsidR="00350498" w:rsidRPr="00FA7D84" w:rsidRDefault="00350498" w:rsidP="007F30CA">
            <w:pPr>
              <w:pStyle w:val="TableText"/>
              <w:rPr>
                <w:b/>
                <w:lang w:eastAsia="en-AU"/>
              </w:rPr>
            </w:pPr>
            <w:r w:rsidRPr="00FA7D84">
              <w:rPr>
                <w:b/>
                <w:lang w:eastAsia="en-AU"/>
              </w:rPr>
              <w:t>(extinct)</w:t>
            </w:r>
          </w:p>
        </w:tc>
        <w:tc>
          <w:tcPr>
            <w:tcW w:w="1526" w:type="dxa"/>
            <w:shd w:val="clear" w:color="auto" w:fill="auto"/>
            <w:noWrap/>
            <w:hideMark/>
          </w:tcPr>
          <w:p w14:paraId="62008063" w14:textId="77777777" w:rsidR="00350498" w:rsidRPr="00D84DDE" w:rsidRDefault="00350498" w:rsidP="007F30CA">
            <w:pPr>
              <w:pStyle w:val="TableText"/>
              <w:rPr>
                <w:lang w:eastAsia="en-AU"/>
              </w:rPr>
            </w:pPr>
            <w:proofErr w:type="spellStart"/>
            <w:r w:rsidRPr="00D84DDE">
              <w:rPr>
                <w:lang w:eastAsia="en-AU"/>
              </w:rPr>
              <w:t>Deua</w:t>
            </w:r>
            <w:proofErr w:type="spellEnd"/>
            <w:r w:rsidRPr="00D84DDE">
              <w:rPr>
                <w:lang w:eastAsia="en-AU"/>
              </w:rPr>
              <w:t xml:space="preserve"> NP</w:t>
            </w:r>
          </w:p>
        </w:tc>
        <w:tc>
          <w:tcPr>
            <w:tcW w:w="769" w:type="dxa"/>
            <w:shd w:val="clear" w:color="auto" w:fill="auto"/>
            <w:noWrap/>
            <w:hideMark/>
          </w:tcPr>
          <w:p w14:paraId="484A51F9" w14:textId="77777777" w:rsidR="00350498" w:rsidRPr="00D84DDE" w:rsidRDefault="00350498" w:rsidP="007F30CA">
            <w:pPr>
              <w:pStyle w:val="TableText"/>
              <w:rPr>
                <w:lang w:eastAsia="en-AU"/>
              </w:rPr>
            </w:pPr>
            <w:r w:rsidRPr="00D84DDE">
              <w:rPr>
                <w:lang w:eastAsia="en-AU"/>
              </w:rPr>
              <w:t>NSW</w:t>
            </w:r>
          </w:p>
        </w:tc>
        <w:tc>
          <w:tcPr>
            <w:tcW w:w="1273" w:type="dxa"/>
          </w:tcPr>
          <w:p w14:paraId="66378888" w14:textId="77777777" w:rsidR="00350498" w:rsidRPr="00A5064D" w:rsidRDefault="00350498" w:rsidP="007F30CA">
            <w:pPr>
              <w:pStyle w:val="TableText"/>
              <w:rPr>
                <w:szCs w:val="18"/>
                <w:lang w:eastAsia="en-AU"/>
              </w:rPr>
            </w:pPr>
            <w:proofErr w:type="spellStart"/>
            <w:r w:rsidRPr="00A5064D">
              <w:rPr>
                <w:color w:val="000000"/>
                <w:szCs w:val="18"/>
              </w:rPr>
              <w:t>Yuin</w:t>
            </w:r>
            <w:proofErr w:type="spellEnd"/>
          </w:p>
        </w:tc>
        <w:tc>
          <w:tcPr>
            <w:tcW w:w="1601" w:type="dxa"/>
            <w:shd w:val="clear" w:color="auto" w:fill="auto"/>
            <w:noWrap/>
            <w:hideMark/>
          </w:tcPr>
          <w:p w14:paraId="7B7DC9C1" w14:textId="77777777" w:rsidR="00350498" w:rsidRPr="00D84DDE" w:rsidRDefault="00350498" w:rsidP="007F30CA">
            <w:pPr>
              <w:pStyle w:val="TableText"/>
              <w:rPr>
                <w:lang w:eastAsia="en-AU"/>
              </w:rPr>
            </w:pPr>
            <w:r w:rsidRPr="00D84DDE">
              <w:rPr>
                <w:lang w:eastAsia="en-AU"/>
              </w:rPr>
              <w:t>South East Corner</w:t>
            </w:r>
          </w:p>
        </w:tc>
        <w:tc>
          <w:tcPr>
            <w:tcW w:w="2356" w:type="dxa"/>
            <w:shd w:val="clear" w:color="auto" w:fill="auto"/>
            <w:noWrap/>
            <w:hideMark/>
          </w:tcPr>
          <w:p w14:paraId="23B1F716" w14:textId="77777777" w:rsidR="00350498" w:rsidRPr="00D84DDE" w:rsidRDefault="00350498" w:rsidP="007F30CA">
            <w:pPr>
              <w:pStyle w:val="TableText"/>
              <w:rPr>
                <w:lang w:eastAsia="en-AU"/>
              </w:rPr>
            </w:pPr>
            <w:r w:rsidRPr="00D84DDE">
              <w:rPr>
                <w:lang w:eastAsia="en-AU"/>
              </w:rPr>
              <w:t>South East Coastal Ranges / Bateman</w:t>
            </w:r>
          </w:p>
        </w:tc>
      </w:tr>
      <w:tr w:rsidR="00350498" w:rsidRPr="00D84DDE" w14:paraId="66CA424A" w14:textId="77777777" w:rsidTr="007F30CA">
        <w:trPr>
          <w:trHeight w:val="345"/>
          <w:jc w:val="center"/>
        </w:trPr>
        <w:tc>
          <w:tcPr>
            <w:tcW w:w="1244" w:type="dxa"/>
            <w:shd w:val="clear" w:color="auto" w:fill="auto"/>
            <w:noWrap/>
            <w:hideMark/>
          </w:tcPr>
          <w:p w14:paraId="0750AC0E" w14:textId="77777777" w:rsidR="00350498" w:rsidRDefault="00350498" w:rsidP="007F30CA">
            <w:pPr>
              <w:pStyle w:val="TableText"/>
              <w:rPr>
                <w:lang w:eastAsia="en-AU"/>
              </w:rPr>
            </w:pPr>
            <w:r w:rsidRPr="00D84DDE">
              <w:rPr>
                <w:lang w:eastAsia="en-AU"/>
              </w:rPr>
              <w:t>Tuross River</w:t>
            </w:r>
          </w:p>
          <w:p w14:paraId="3CE559F2" w14:textId="77777777" w:rsidR="00350498" w:rsidRPr="00FA7D84" w:rsidRDefault="00350498" w:rsidP="007F30CA">
            <w:pPr>
              <w:pStyle w:val="TableText"/>
              <w:rPr>
                <w:b/>
                <w:lang w:eastAsia="en-AU"/>
              </w:rPr>
            </w:pPr>
            <w:r w:rsidRPr="00FA7D84">
              <w:rPr>
                <w:b/>
                <w:lang w:eastAsia="en-AU"/>
              </w:rPr>
              <w:t>(extinct)</w:t>
            </w:r>
          </w:p>
        </w:tc>
        <w:tc>
          <w:tcPr>
            <w:tcW w:w="1526" w:type="dxa"/>
            <w:shd w:val="clear" w:color="auto" w:fill="auto"/>
            <w:noWrap/>
            <w:hideMark/>
          </w:tcPr>
          <w:p w14:paraId="45B86FFB" w14:textId="77777777" w:rsidR="00350498" w:rsidRPr="00D84DDE" w:rsidRDefault="00350498" w:rsidP="007F30CA">
            <w:pPr>
              <w:pStyle w:val="TableText"/>
              <w:rPr>
                <w:lang w:eastAsia="en-AU"/>
              </w:rPr>
            </w:pPr>
            <w:proofErr w:type="spellStart"/>
            <w:r w:rsidRPr="00D84DDE">
              <w:rPr>
                <w:lang w:eastAsia="en-AU"/>
              </w:rPr>
              <w:t>Wadbilliga</w:t>
            </w:r>
            <w:proofErr w:type="spellEnd"/>
            <w:r w:rsidRPr="00D84DDE">
              <w:rPr>
                <w:lang w:eastAsia="en-AU"/>
              </w:rPr>
              <w:t xml:space="preserve"> NP</w:t>
            </w:r>
          </w:p>
        </w:tc>
        <w:tc>
          <w:tcPr>
            <w:tcW w:w="769" w:type="dxa"/>
            <w:shd w:val="clear" w:color="auto" w:fill="auto"/>
            <w:noWrap/>
            <w:hideMark/>
          </w:tcPr>
          <w:p w14:paraId="4FACCC92" w14:textId="77777777" w:rsidR="00350498" w:rsidRPr="00D84DDE" w:rsidRDefault="00350498" w:rsidP="007F30CA">
            <w:pPr>
              <w:pStyle w:val="TableText"/>
              <w:rPr>
                <w:lang w:eastAsia="en-AU"/>
              </w:rPr>
            </w:pPr>
            <w:r w:rsidRPr="00D84DDE">
              <w:rPr>
                <w:lang w:eastAsia="en-AU"/>
              </w:rPr>
              <w:t>NSW</w:t>
            </w:r>
          </w:p>
        </w:tc>
        <w:tc>
          <w:tcPr>
            <w:tcW w:w="1273" w:type="dxa"/>
          </w:tcPr>
          <w:p w14:paraId="3330D575" w14:textId="77777777" w:rsidR="00350498" w:rsidRPr="00A5064D" w:rsidRDefault="00350498" w:rsidP="007F30CA">
            <w:pPr>
              <w:pStyle w:val="TableText"/>
              <w:rPr>
                <w:szCs w:val="18"/>
                <w:lang w:eastAsia="en-AU"/>
              </w:rPr>
            </w:pPr>
            <w:proofErr w:type="spellStart"/>
            <w:r w:rsidRPr="00A5064D">
              <w:rPr>
                <w:color w:val="000000"/>
                <w:szCs w:val="18"/>
              </w:rPr>
              <w:t>Yuin</w:t>
            </w:r>
            <w:proofErr w:type="spellEnd"/>
          </w:p>
        </w:tc>
        <w:tc>
          <w:tcPr>
            <w:tcW w:w="1601" w:type="dxa"/>
            <w:shd w:val="clear" w:color="auto" w:fill="auto"/>
            <w:noWrap/>
            <w:hideMark/>
          </w:tcPr>
          <w:p w14:paraId="7379A9DD" w14:textId="77777777" w:rsidR="00350498" w:rsidRPr="00D84DDE" w:rsidRDefault="00350498" w:rsidP="007F30CA">
            <w:pPr>
              <w:pStyle w:val="TableText"/>
              <w:rPr>
                <w:lang w:eastAsia="en-AU"/>
              </w:rPr>
            </w:pPr>
            <w:r w:rsidRPr="00D84DDE">
              <w:rPr>
                <w:lang w:eastAsia="en-AU"/>
              </w:rPr>
              <w:t>South East Corner</w:t>
            </w:r>
          </w:p>
        </w:tc>
        <w:tc>
          <w:tcPr>
            <w:tcW w:w="2356" w:type="dxa"/>
            <w:shd w:val="clear" w:color="auto" w:fill="auto"/>
            <w:noWrap/>
            <w:hideMark/>
          </w:tcPr>
          <w:p w14:paraId="1D76849D" w14:textId="77777777" w:rsidR="00350498" w:rsidRPr="00D84DDE" w:rsidRDefault="00350498" w:rsidP="007F30CA">
            <w:pPr>
              <w:pStyle w:val="TableText"/>
              <w:rPr>
                <w:lang w:eastAsia="en-AU"/>
              </w:rPr>
            </w:pPr>
            <w:r w:rsidRPr="00D84DDE">
              <w:rPr>
                <w:lang w:eastAsia="en-AU"/>
              </w:rPr>
              <w:t>South East Coastal Ranges / Bateman</w:t>
            </w:r>
          </w:p>
        </w:tc>
      </w:tr>
      <w:tr w:rsidR="00350498" w:rsidRPr="00D84DDE" w14:paraId="582B965E" w14:textId="77777777" w:rsidTr="007F30CA">
        <w:trPr>
          <w:trHeight w:val="345"/>
          <w:jc w:val="center"/>
        </w:trPr>
        <w:tc>
          <w:tcPr>
            <w:tcW w:w="1244" w:type="dxa"/>
            <w:shd w:val="clear" w:color="auto" w:fill="auto"/>
            <w:noWrap/>
            <w:hideMark/>
          </w:tcPr>
          <w:p w14:paraId="785E071E" w14:textId="77777777" w:rsidR="00350498" w:rsidRPr="00D84DDE" w:rsidRDefault="00350498" w:rsidP="007F30CA">
            <w:pPr>
              <w:pStyle w:val="TableText"/>
              <w:rPr>
                <w:lang w:eastAsia="en-AU"/>
              </w:rPr>
            </w:pPr>
            <w:r w:rsidRPr="00D84DDE">
              <w:rPr>
                <w:lang w:eastAsia="en-AU"/>
              </w:rPr>
              <w:t>East Gippsland</w:t>
            </w:r>
          </w:p>
        </w:tc>
        <w:tc>
          <w:tcPr>
            <w:tcW w:w="1526" w:type="dxa"/>
            <w:shd w:val="clear" w:color="auto" w:fill="auto"/>
            <w:noWrap/>
            <w:hideMark/>
          </w:tcPr>
          <w:p w14:paraId="4A43FBDD" w14:textId="77777777" w:rsidR="00350498" w:rsidRPr="00D84DDE" w:rsidRDefault="00350498" w:rsidP="007F30CA">
            <w:pPr>
              <w:pStyle w:val="TableText"/>
              <w:rPr>
                <w:lang w:eastAsia="en-AU"/>
              </w:rPr>
            </w:pPr>
          </w:p>
        </w:tc>
        <w:tc>
          <w:tcPr>
            <w:tcW w:w="769" w:type="dxa"/>
            <w:shd w:val="clear" w:color="auto" w:fill="auto"/>
            <w:noWrap/>
            <w:hideMark/>
          </w:tcPr>
          <w:p w14:paraId="2D2231C4" w14:textId="77777777" w:rsidR="00350498" w:rsidRPr="00D84DDE" w:rsidRDefault="00350498" w:rsidP="007F30CA">
            <w:pPr>
              <w:pStyle w:val="TableText"/>
              <w:rPr>
                <w:lang w:eastAsia="en-AU"/>
              </w:rPr>
            </w:pPr>
            <w:r w:rsidRPr="00D84DDE">
              <w:rPr>
                <w:lang w:eastAsia="en-AU"/>
              </w:rPr>
              <w:t>NSW</w:t>
            </w:r>
          </w:p>
        </w:tc>
        <w:tc>
          <w:tcPr>
            <w:tcW w:w="1273" w:type="dxa"/>
          </w:tcPr>
          <w:p w14:paraId="13DBF5F0" w14:textId="77777777" w:rsidR="00350498" w:rsidRPr="00A5064D" w:rsidRDefault="00350498" w:rsidP="007F30CA">
            <w:pPr>
              <w:pStyle w:val="TableText"/>
              <w:rPr>
                <w:szCs w:val="18"/>
                <w:lang w:eastAsia="en-AU"/>
              </w:rPr>
            </w:pPr>
            <w:proofErr w:type="spellStart"/>
            <w:r w:rsidRPr="00A5064D">
              <w:rPr>
                <w:color w:val="000000"/>
                <w:szCs w:val="18"/>
              </w:rPr>
              <w:t>Bid</w:t>
            </w:r>
            <w:r>
              <w:rPr>
                <w:color w:val="000000"/>
                <w:szCs w:val="18"/>
              </w:rPr>
              <w:t>hawal</w:t>
            </w:r>
            <w:proofErr w:type="spellEnd"/>
          </w:p>
        </w:tc>
        <w:tc>
          <w:tcPr>
            <w:tcW w:w="1601" w:type="dxa"/>
            <w:shd w:val="clear" w:color="auto" w:fill="auto"/>
            <w:noWrap/>
            <w:hideMark/>
          </w:tcPr>
          <w:p w14:paraId="7876A178" w14:textId="77777777" w:rsidR="00350498" w:rsidRPr="00D84DDE" w:rsidRDefault="00350498" w:rsidP="007F30CA">
            <w:pPr>
              <w:pStyle w:val="TableText"/>
              <w:rPr>
                <w:lang w:eastAsia="en-AU"/>
              </w:rPr>
            </w:pPr>
            <w:r w:rsidRPr="00D84DDE">
              <w:rPr>
                <w:lang w:eastAsia="en-AU"/>
              </w:rPr>
              <w:t>South East Corner</w:t>
            </w:r>
          </w:p>
        </w:tc>
        <w:tc>
          <w:tcPr>
            <w:tcW w:w="2356" w:type="dxa"/>
            <w:shd w:val="clear" w:color="auto" w:fill="auto"/>
            <w:noWrap/>
            <w:hideMark/>
          </w:tcPr>
          <w:p w14:paraId="7A1D7C04" w14:textId="77777777" w:rsidR="00350498" w:rsidRPr="00D84DDE" w:rsidRDefault="00350498" w:rsidP="007F30CA">
            <w:pPr>
              <w:pStyle w:val="TableText"/>
              <w:rPr>
                <w:lang w:eastAsia="en-AU"/>
              </w:rPr>
            </w:pPr>
            <w:r w:rsidRPr="00D84DDE">
              <w:rPr>
                <w:lang w:eastAsia="en-AU"/>
              </w:rPr>
              <w:t>East Gippsland Lowlands / South East Coastal Ranges</w:t>
            </w:r>
          </w:p>
        </w:tc>
      </w:tr>
    </w:tbl>
    <w:p w14:paraId="1B348A2A" w14:textId="77777777" w:rsidR="00350498" w:rsidRDefault="00350498" w:rsidP="00350498">
      <w:pPr>
        <w:rPr>
          <w:lang w:eastAsia="ja-JP"/>
        </w:rPr>
      </w:pPr>
      <w:r>
        <w:br/>
      </w:r>
      <w:r w:rsidRPr="66E7FC34">
        <w:rPr>
          <w:lang w:eastAsia="ja-JP"/>
        </w:rPr>
        <w:t xml:space="preserve">Although found in a number of different areas, the </w:t>
      </w:r>
      <w:r>
        <w:t>non-parasitic lamprey</w:t>
      </w:r>
      <w:r w:rsidRPr="66E7FC34">
        <w:rPr>
          <w:lang w:eastAsia="ja-JP"/>
        </w:rPr>
        <w:t xml:space="preserve"> is unlikely to be very common or widespread. This is because it appears to have fairly narrow habitat requirements (</w:t>
      </w:r>
      <w:r>
        <w:t>Potter 1970)</w:t>
      </w:r>
      <w:r w:rsidRPr="66E7FC34">
        <w:rPr>
          <w:lang w:eastAsia="ja-JP"/>
        </w:rPr>
        <w:t xml:space="preserve"> and is typically found in a small proportion only of each river system (Gilligan 2019b; </w:t>
      </w:r>
      <w:r>
        <w:t>D. Moffatt 2020, 2021 pers comm 17 Nov., 10 Mar.</w:t>
      </w:r>
      <w:r w:rsidRPr="66E7FC34">
        <w:rPr>
          <w:lang w:eastAsia="ja-JP"/>
        </w:rPr>
        <w:t xml:space="preserve">). The species is thought to be broadly absent from most freshwater systems, as it has been rarely encountered even in those areas that have been extensively and frequently sampled (J. Johnson 2020 pers comm 17 Nov), for example southeast Qld by the Ecosystem Health Monitoring Project (Bunn et al. 2010). </w:t>
      </w:r>
    </w:p>
    <w:p w14:paraId="49A523F5" w14:textId="77777777" w:rsidR="00350498" w:rsidRDefault="00350498" w:rsidP="00350498">
      <w:pPr>
        <w:spacing w:after="0" w:line="240" w:lineRule="auto"/>
        <w:rPr>
          <w:b/>
          <w:bCs/>
        </w:rPr>
      </w:pPr>
    </w:p>
    <w:p w14:paraId="5F613868" w14:textId="77777777" w:rsidR="00350498" w:rsidRPr="00D84DDE" w:rsidRDefault="00350498" w:rsidP="00350498">
      <w:pPr>
        <w:pStyle w:val="Caption"/>
      </w:pPr>
      <w:r w:rsidRPr="00D84DDE">
        <w:lastRenderedPageBreak/>
        <w:t xml:space="preserve">Figure </w:t>
      </w:r>
      <w:r w:rsidRPr="00D84DDE">
        <w:rPr>
          <w:b w:val="0"/>
          <w:bCs w:val="0"/>
          <w:noProof/>
        </w:rPr>
        <w:fldChar w:fldCharType="begin"/>
      </w:r>
      <w:r w:rsidRPr="00D84DDE">
        <w:rPr>
          <w:noProof/>
        </w:rPr>
        <w:instrText xml:space="preserve"> SEQ Map \* ARABIC </w:instrText>
      </w:r>
      <w:r w:rsidRPr="00D84DDE">
        <w:rPr>
          <w:b w:val="0"/>
          <w:bCs w:val="0"/>
          <w:noProof/>
        </w:rPr>
        <w:fldChar w:fldCharType="separate"/>
      </w:r>
      <w:r w:rsidRPr="00D84DDE">
        <w:rPr>
          <w:noProof/>
        </w:rPr>
        <w:t>1</w:t>
      </w:r>
      <w:r w:rsidRPr="00D84DDE">
        <w:rPr>
          <w:b w:val="0"/>
          <w:bCs w:val="0"/>
          <w:noProof/>
        </w:rPr>
        <w:fldChar w:fldCharType="end"/>
      </w:r>
      <w:bookmarkEnd w:id="3"/>
      <w:r w:rsidRPr="00D84DDE">
        <w:t xml:space="preserve"> </w:t>
      </w:r>
      <w:bookmarkEnd w:id="4"/>
      <w:bookmarkEnd w:id="5"/>
      <w:r w:rsidRPr="00D84DDE">
        <w:t xml:space="preserve">Modelled distribution of </w:t>
      </w:r>
      <w:r>
        <w:t>the non-parasitic lamprey</w:t>
      </w:r>
      <w:r w:rsidRPr="00D84DDE">
        <w:t xml:space="preserve"> </w:t>
      </w:r>
    </w:p>
    <w:p w14:paraId="2FBDD5C8" w14:textId="77777777" w:rsidR="00350498" w:rsidRPr="00D84DDE" w:rsidRDefault="00350498" w:rsidP="00350498">
      <w:pPr>
        <w:jc w:val="center"/>
      </w:pPr>
      <w:r>
        <w:rPr>
          <w:noProof/>
          <w:lang w:eastAsia="en-AU"/>
        </w:rPr>
        <w:drawing>
          <wp:inline distT="0" distB="0" distL="0" distR="0" wp14:anchorId="11C24531" wp14:editId="64E528F0">
            <wp:extent cx="5759450" cy="4065905"/>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9450" cy="4065905"/>
                    </a:xfrm>
                    <a:prstGeom prst="rect">
                      <a:avLst/>
                    </a:prstGeom>
                  </pic:spPr>
                </pic:pic>
              </a:graphicData>
            </a:graphic>
          </wp:inline>
        </w:drawing>
      </w:r>
      <w:r w:rsidRPr="00D84DDE">
        <w:t xml:space="preserve"> </w:t>
      </w:r>
    </w:p>
    <w:p w14:paraId="20BF37FE" w14:textId="77777777" w:rsidR="00350498" w:rsidRPr="00D84DDE" w:rsidRDefault="00350498" w:rsidP="00350498">
      <w:pPr>
        <w:pStyle w:val="FigureTableNoteSource"/>
      </w:pPr>
      <w:r w:rsidRPr="00D84DDE">
        <w:t xml:space="preserve">Source: Base map Geoscience Australia; species distribution data </w:t>
      </w:r>
      <w:hyperlink r:id="rId25" w:history="1">
        <w:r w:rsidRPr="00D84DDE">
          <w:rPr>
            <w:rStyle w:val="Hyperlink"/>
            <w:color w:val="auto"/>
          </w:rPr>
          <w:t>Species of National Environmental Significance</w:t>
        </w:r>
      </w:hyperlink>
      <w:r w:rsidRPr="00D84DDE">
        <w:t xml:space="preserve"> database.</w:t>
      </w:r>
    </w:p>
    <w:p w14:paraId="62D3D90C" w14:textId="77777777" w:rsidR="00350498" w:rsidRPr="00D84DDE" w:rsidRDefault="00350498" w:rsidP="00350498">
      <w:pPr>
        <w:pStyle w:val="Heading3"/>
        <w:ind w:left="964" w:hanging="964"/>
      </w:pPr>
      <w:r w:rsidRPr="00D84DDE">
        <w:t>Cultural and community significance</w:t>
      </w:r>
    </w:p>
    <w:p w14:paraId="743A9007" w14:textId="77777777" w:rsidR="00350498" w:rsidRPr="002F056F" w:rsidRDefault="00350498" w:rsidP="00350498">
      <w:pPr>
        <w:pStyle w:val="Heading3"/>
        <w:spacing w:after="200" w:line="276" w:lineRule="auto"/>
        <w:rPr>
          <w:rFonts w:asciiTheme="minorHAnsi" w:eastAsiaTheme="minorEastAsia" w:hAnsiTheme="minorHAnsi" w:cstheme="minorBidi"/>
          <w:b w:val="0"/>
          <w:bCs w:val="0"/>
          <w:sz w:val="22"/>
          <w:szCs w:val="22"/>
        </w:rPr>
      </w:pPr>
      <w:r w:rsidRPr="002F056F">
        <w:rPr>
          <w:rFonts w:asciiTheme="minorHAnsi" w:eastAsiaTheme="minorEastAsia" w:hAnsiTheme="minorHAnsi" w:cstheme="minorBidi"/>
          <w:b w:val="0"/>
          <w:bCs w:val="0"/>
          <w:sz w:val="22"/>
          <w:szCs w:val="22"/>
        </w:rPr>
        <w:t xml:space="preserve">This section is not intended to be comprehensive, applicable to, or speak for Indigenous people. Species significance to Indigenous people may be only held by Indigenous groups and individuals who are the custodians of this knowledge. The non-parasitic lamprey has no known cultural significance to Indigenous communities (A. Miller 2021 pers comm 5 May). However, the pouched lamprey is a known food source for Indigenous groups in Western Australia (Miller et al. 2021), and this is likely also the case for </w:t>
      </w:r>
      <w:proofErr w:type="spellStart"/>
      <w:r w:rsidRPr="002F056F">
        <w:rPr>
          <w:rFonts w:asciiTheme="minorHAnsi" w:eastAsiaTheme="minorEastAsia" w:hAnsiTheme="minorHAnsi" w:cstheme="minorBidi"/>
          <w:b w:val="0"/>
          <w:bCs w:val="0"/>
          <w:i/>
          <w:iCs/>
          <w:sz w:val="22"/>
          <w:szCs w:val="22"/>
        </w:rPr>
        <w:t>Mordacia</w:t>
      </w:r>
      <w:proofErr w:type="spellEnd"/>
      <w:r w:rsidRPr="002F056F">
        <w:rPr>
          <w:rFonts w:asciiTheme="minorHAnsi" w:eastAsiaTheme="minorEastAsia" w:hAnsiTheme="minorHAnsi" w:cstheme="minorBidi"/>
          <w:b w:val="0"/>
          <w:bCs w:val="0"/>
          <w:sz w:val="22"/>
          <w:szCs w:val="22"/>
        </w:rPr>
        <w:t xml:space="preserve"> species, especially as the short-headed lamprey has been very common in some areas, especially at the start of adult upstream migration. The widely separated subpopulations of the non-parasitic lamprey are found on the lands of many different Indigenous groups (see Table 1). Ascertaining the cultural significance of </w:t>
      </w:r>
      <w:proofErr w:type="spellStart"/>
      <w:r w:rsidRPr="002F056F">
        <w:rPr>
          <w:rFonts w:asciiTheme="minorHAnsi" w:eastAsiaTheme="minorEastAsia" w:hAnsiTheme="minorHAnsi" w:cstheme="minorBidi"/>
          <w:b w:val="0"/>
          <w:bCs w:val="0"/>
          <w:i/>
          <w:iCs/>
          <w:sz w:val="22"/>
          <w:szCs w:val="22"/>
        </w:rPr>
        <w:t>Mordacia</w:t>
      </w:r>
      <w:proofErr w:type="spellEnd"/>
      <w:r w:rsidRPr="002F056F">
        <w:rPr>
          <w:rFonts w:asciiTheme="minorHAnsi" w:eastAsiaTheme="minorEastAsia" w:hAnsiTheme="minorHAnsi" w:cstheme="minorBidi"/>
          <w:b w:val="0"/>
          <w:bCs w:val="0"/>
          <w:sz w:val="22"/>
          <w:szCs w:val="22"/>
        </w:rPr>
        <w:t xml:space="preserve"> species is a research priority identified in the conservation actions.</w:t>
      </w:r>
    </w:p>
    <w:p w14:paraId="05B44140" w14:textId="77777777" w:rsidR="00350498" w:rsidRPr="00D84DDE" w:rsidRDefault="00350498" w:rsidP="00350498">
      <w:pPr>
        <w:pStyle w:val="Heading3"/>
      </w:pPr>
      <w:r w:rsidRPr="00D84DDE">
        <w:t>Relevant biology and ecology</w:t>
      </w:r>
    </w:p>
    <w:p w14:paraId="6F37EC85" w14:textId="77777777" w:rsidR="00350498" w:rsidRPr="00D84DDE" w:rsidRDefault="00350498" w:rsidP="00350498">
      <w:r>
        <w:t xml:space="preserve">The general biology and ecology of the non-parasitic lamprey is not well understood as it has been the subject of only limited study since the early 1970s. However, the basic framework of lamprey development is well established, with a two-phase life cycle (Potter et al. 2015). The biology and ecology of the first larval phase of the non-parasitic lamprey is believed to be virtually identical to that of its paired sister species, the short-headed lamprey (Potter 1968; Garbutt 2015). The non-parasitic lamprey is the only described lamprey species from the Southern Hemisphere that does not have a host-parasite life-stage, whereas there are numerous examples in the Northern Hemisphere (Miller et al. 2021). </w:t>
      </w:r>
    </w:p>
    <w:p w14:paraId="4F7993F7" w14:textId="77777777" w:rsidR="00350498" w:rsidRPr="00D84DDE" w:rsidRDefault="00350498" w:rsidP="00350498">
      <w:r w:rsidRPr="66E7FC34">
        <w:rPr>
          <w:i/>
          <w:iCs/>
        </w:rPr>
        <w:lastRenderedPageBreak/>
        <w:t>Larval phase</w:t>
      </w:r>
      <w:r>
        <w:br/>
        <w:t xml:space="preserve">After hatching, lamprey larvae drift downstream to low-flow river areas with soft, silty substrate (Allen et al. 2002). The larvae are small, eyeless and worm-like, living sedentary lives, buried in soft sediments and filter-feeding for microorganisms (diatoms, unicellular algae, detritus), mostly at night (Potter 1968; Allen et al. 2002; Warrington et al. 2017). Non-parasitic lamprey larvae spend many years feeding and growing, building up reserves of lipids for later metamorphosis and spawning (Evans et al. 2018). </w:t>
      </w:r>
    </w:p>
    <w:p w14:paraId="062E4912" w14:textId="77777777" w:rsidR="00350498" w:rsidRPr="00D84DDE" w:rsidRDefault="00350498" w:rsidP="00350498">
      <w:r>
        <w:t>In the final year before metamorphosis, lamprey larvae increase their weight rather than length (Evans et al. 2018). The onset of metamorphosis may be temperature-related (Potter 1970) and is reported to begin in southern NSW in February/March for the short-headed lamprey (Hughes &amp; Potter 1969; Potter 1970). The metamorphosis is very substantial, with the adults developing functional eyes, a suctorial oral disc and well-developed fins (Docker 2009).</w:t>
      </w:r>
    </w:p>
    <w:p w14:paraId="38B5DEF4" w14:textId="77777777" w:rsidR="00350498" w:rsidRPr="00D84DDE" w:rsidRDefault="00350498" w:rsidP="00350498">
      <w:r>
        <w:t xml:space="preserve">The life cycles of the non-parasitic lamprey and the short-headed lamprey are virtually identical until the short-headed lamprey begins to metamorphose into a sexually immature young adult after about 3.5 years as a larva (Potter 1970). Then, they diverge radically. While the short-headed lamprey enters a standard parasitic lamprey juvenile/adult phase, where it spends about 1.5 years in marine habitats parasitising fish and growing much larger (Miller et al. 2021), the non-parasitic lamprey forgoes the entire parasitic feeding phase, and instead remains as larvae in freshwaters for about the same length of time that the short-headed lamprey is at sea. This makes the larval phase for the non-parasitic lamprey about five years (Potter 1970; Garbutt 2015; Gilligan 2019b; Miller et al. 2021). </w:t>
      </w:r>
    </w:p>
    <w:p w14:paraId="3436FEF3" w14:textId="77777777" w:rsidR="00350498" w:rsidRPr="00D84DDE" w:rsidRDefault="00350498" w:rsidP="00350498">
      <w:r w:rsidRPr="00D84DDE">
        <w:rPr>
          <w:i/>
          <w:iCs/>
        </w:rPr>
        <w:t>Adult phase</w:t>
      </w:r>
      <w:r w:rsidRPr="00D84DDE">
        <w:rPr>
          <w:i/>
          <w:iCs/>
        </w:rPr>
        <w:br/>
      </w:r>
      <w:r w:rsidRPr="00A972A2">
        <w:t xml:space="preserve">Metamorphosis from larval to the adult </w:t>
      </w:r>
      <w:r>
        <w:t>non-parasitic lamprey</w:t>
      </w:r>
      <w:r w:rsidRPr="00A972A2">
        <w:t xml:space="preserve"> </w:t>
      </w:r>
      <w:r>
        <w:t>has been</w:t>
      </w:r>
      <w:r w:rsidRPr="00A972A2">
        <w:t xml:space="preserve"> recorded as beginning in October/November</w:t>
      </w:r>
      <w:r w:rsidRPr="00D84DDE" w:rsidDel="004D00CD">
        <w:t xml:space="preserve"> </w:t>
      </w:r>
      <w:r w:rsidRPr="00D84DDE">
        <w:t>(Hughes &amp; Potter 1969; Potter 1970)</w:t>
      </w:r>
      <w:r>
        <w:t xml:space="preserve"> in southern NSW</w:t>
      </w:r>
      <w:r w:rsidRPr="00D84DDE">
        <w:t xml:space="preserve">.  After they metamorphose, </w:t>
      </w:r>
      <w:r>
        <w:t>juveniles</w:t>
      </w:r>
      <w:r w:rsidRPr="00D84DDE">
        <w:t xml:space="preserve"> immediately begin to mature sexually, and they are ready to spawn by July. However, the timing may vary between areas and years (Hughes &amp; Potter 1969; Docker 2009; Gilligan 2019b). The </w:t>
      </w:r>
      <w:r>
        <w:t>non-parasitic lamprey</w:t>
      </w:r>
      <w:r w:rsidRPr="00D84DDE">
        <w:t xml:space="preserve"> appears to have a cohort breeding strategy in which all individuals breed </w:t>
      </w:r>
      <w:r>
        <w:t xml:space="preserve">roughly </w:t>
      </w:r>
      <w:r w:rsidRPr="00D84DDE">
        <w:t>simultaneously.</w:t>
      </w:r>
    </w:p>
    <w:p w14:paraId="3CDF6E9E" w14:textId="77777777" w:rsidR="00350498" w:rsidRPr="00D84DDE" w:rsidRDefault="00350498" w:rsidP="00350498">
      <w:r w:rsidRPr="00D84DDE">
        <w:t>After metamorphosis, adult</w:t>
      </w:r>
      <w:r>
        <w:t xml:space="preserve">s from </w:t>
      </w:r>
      <w:r w:rsidRPr="00D84DDE">
        <w:t>non-parasitic lamprey</w:t>
      </w:r>
      <w:r>
        <w:t xml:space="preserve"> species</w:t>
      </w:r>
      <w:r w:rsidRPr="00D84DDE">
        <w:t xml:space="preserve"> do not feed, and even lack a functional digestive tract, making them the only known vertebrates with a non-trophic adult phase (Docker 2009; Docker &amp; Potter 2019). </w:t>
      </w:r>
    </w:p>
    <w:p w14:paraId="62A38208" w14:textId="77777777" w:rsidR="00350498" w:rsidRPr="00D84DDE" w:rsidRDefault="00350498" w:rsidP="00350498">
      <w:r>
        <w:t xml:space="preserve">Mature adults make short, nocturnal upstream migrations from larval to spawning areas in faster flowing, better oxygenated headwaters (Allen et al. 2002; Warrington et al. 2017). Non-parasitic lamprey spawning behaviour is not known; however, the short-headed lamprey spawns in shallow, gravel-bottomed tributaries, with the female making a nest in a depression and the male using its oral disc to attach to the female (Allen et al. 2002). Spawning occurs from August to November (Hughes &amp; Potter 1969; Potter 1970). Adults die soon after spawning due to a lack of energy reserves (Garbutt 2015). The non-parasitic lamprey has a lower fecundity than the short-headed lamprey (326–675 eggs per female vs. 3789–13372, respectively) (Hughes &amp; Potter 1969). While the eggs are of a similar size, the non-parasitic lamprey’s much smaller body size at sexual maturity explains its reduced fecundity (Docker 2009). </w:t>
      </w:r>
    </w:p>
    <w:p w14:paraId="35C0568E" w14:textId="77777777" w:rsidR="00350498" w:rsidRPr="00D84DDE" w:rsidRDefault="00350498" w:rsidP="00350498">
      <w:r w:rsidRPr="00D84DDE">
        <w:rPr>
          <w:i/>
          <w:iCs/>
        </w:rPr>
        <w:t>Habitat</w:t>
      </w:r>
      <w:r w:rsidRPr="00D84DDE">
        <w:rPr>
          <w:i/>
          <w:iCs/>
        </w:rPr>
        <w:br/>
      </w:r>
      <w:r w:rsidRPr="00D84DDE">
        <w:t xml:space="preserve">The </w:t>
      </w:r>
      <w:r>
        <w:t>non-parasitic lamprey</w:t>
      </w:r>
      <w:r w:rsidRPr="00D84DDE">
        <w:t xml:space="preserve"> </w:t>
      </w:r>
      <w:r>
        <w:t>is</w:t>
      </w:r>
      <w:r w:rsidRPr="00D84DDE">
        <w:t xml:space="preserve"> found exclusively in the freshwater lower reaches of a few coastal rivers. The </w:t>
      </w:r>
      <w:r>
        <w:t>species</w:t>
      </w:r>
      <w:r w:rsidRPr="00D84DDE">
        <w:t xml:space="preserve"> spends an overwhelming proportion of </w:t>
      </w:r>
      <w:r>
        <w:t>its</w:t>
      </w:r>
      <w:r w:rsidRPr="00D84DDE">
        <w:t xml:space="preserve"> li</w:t>
      </w:r>
      <w:r>
        <w:t>fe</w:t>
      </w:r>
      <w:r w:rsidRPr="00D84DDE">
        <w:t xml:space="preserve"> as </w:t>
      </w:r>
      <w:r>
        <w:t xml:space="preserve">a </w:t>
      </w:r>
      <w:r w:rsidRPr="00D84DDE">
        <w:t xml:space="preserve">larva in low-flow reaches, buried in soft sand, silt, and clay substrates (Potter 1970). Larger larvae may prefer coarser substrates (Potter </w:t>
      </w:r>
      <w:r w:rsidRPr="00D84DDE">
        <w:lastRenderedPageBreak/>
        <w:t xml:space="preserve">1970). Their downstream limit is likely determined by salinity (Potter 1970). Upstream spawning habitats are in areas of faster flow and are more gravel bottomed (Allen et al. 2002). </w:t>
      </w:r>
    </w:p>
    <w:p w14:paraId="2EC563C6" w14:textId="77777777" w:rsidR="00350498" w:rsidRPr="00D84DDE" w:rsidRDefault="00350498" w:rsidP="00350498">
      <w:pPr>
        <w:pStyle w:val="Heading3"/>
        <w:ind w:left="964" w:hanging="964"/>
      </w:pPr>
      <w:r w:rsidRPr="00D84DDE">
        <w:t>Habitat critical to the survival</w:t>
      </w:r>
    </w:p>
    <w:p w14:paraId="659162C4" w14:textId="77777777" w:rsidR="00350498" w:rsidRPr="00D84DDE" w:rsidRDefault="00350498" w:rsidP="00350498">
      <w:r>
        <w:t>It is difficult to define habitat critical to the survival of the non-parasitic lamprey narrowly as data are scant (Allen et al. 2002). The species has poorly defined habitat preferences beyond a requirement for freshwater habitats with soft substrates as larvae and, possibly, gravel substrates for spawning (Potter 1970).</w:t>
      </w:r>
    </w:p>
    <w:p w14:paraId="1586F01E" w14:textId="77777777" w:rsidR="00350498" w:rsidRPr="00D84DDE" w:rsidRDefault="00350498" w:rsidP="00350498">
      <w:r>
        <w:t xml:space="preserve">The species is not definitively known to occur on Commonwealth lands, however the northernmost location at Water Park Creek is on the border of the </w:t>
      </w:r>
      <w:r w:rsidRPr="00B55C80">
        <w:t>Shoalw</w:t>
      </w:r>
      <w:r>
        <w:t xml:space="preserve">ater Bay Military Training Area, which is itself listed on the Australian Heritage Database based on its natural values (DAWE 2021). </w:t>
      </w:r>
      <w:r w:rsidRPr="00D84DDE">
        <w:t>No Critical Habitat as defined under section 207A of the EPBC Act has been identified or included in the Register of Critical Habitat.</w:t>
      </w:r>
    </w:p>
    <w:p w14:paraId="74B66C7D" w14:textId="77777777" w:rsidR="00350498" w:rsidRPr="00D84DDE" w:rsidRDefault="00350498" w:rsidP="00350498">
      <w:pPr>
        <w:pStyle w:val="Heading3"/>
      </w:pPr>
      <w:r w:rsidRPr="00D84DDE">
        <w:rPr>
          <w:rFonts w:eastAsiaTheme="minorHAnsi"/>
        </w:rPr>
        <w:t>Important populations</w:t>
      </w:r>
    </w:p>
    <w:p w14:paraId="156CDD17" w14:textId="77777777" w:rsidR="00350498" w:rsidRDefault="00350498" w:rsidP="00350498">
      <w:r w:rsidRPr="00D84DDE">
        <w:t xml:space="preserve">Because each subpopulation is </w:t>
      </w:r>
      <w:r>
        <w:t xml:space="preserve">likely demographically and </w:t>
      </w:r>
      <w:r w:rsidRPr="00D84DDE">
        <w:t xml:space="preserve">geographically isolated, often by a large distance, every population is </w:t>
      </w:r>
      <w:r>
        <w:t xml:space="preserve">potentially </w:t>
      </w:r>
      <w:r w:rsidRPr="00D84DDE">
        <w:t xml:space="preserve">important. </w:t>
      </w:r>
      <w:r>
        <w:t>However, Water Park and East Gippsland certainly qualify as important populations (</w:t>
      </w:r>
      <w:proofErr w:type="spellStart"/>
      <w:r w:rsidRPr="007D7C9D">
        <w:rPr>
          <w:i/>
          <w:iCs/>
        </w:rPr>
        <w:t>sensu</w:t>
      </w:r>
      <w:proofErr w:type="spellEnd"/>
      <w:r>
        <w:t xml:space="preserve"> </w:t>
      </w:r>
      <w:r w:rsidRPr="00C00480">
        <w:rPr>
          <w:rFonts w:asciiTheme="majorHAnsi" w:hAnsiTheme="majorHAnsi"/>
        </w:rPr>
        <w:t>Commonwealth of Australia</w:t>
      </w:r>
      <w:r>
        <w:rPr>
          <w:rFonts w:asciiTheme="majorHAnsi" w:hAnsiTheme="majorHAnsi"/>
        </w:rPr>
        <w:t xml:space="preserve"> </w:t>
      </w:r>
      <w:r w:rsidRPr="00C00480">
        <w:rPr>
          <w:rFonts w:asciiTheme="majorHAnsi" w:hAnsiTheme="majorHAnsi"/>
        </w:rPr>
        <w:t>2013</w:t>
      </w:r>
      <w:r>
        <w:rPr>
          <w:rFonts w:asciiTheme="majorHAnsi" w:hAnsiTheme="majorHAnsi"/>
        </w:rPr>
        <w:t xml:space="preserve">) as they are both </w:t>
      </w:r>
      <w:r>
        <w:t>near the limit of the species range. Further, Maroochy should also be considered as an important population, as it, and the two previously mentioned populations, are the only locations where the species has been regularly found, and so all three serve as source populations and potential arks for the species.</w:t>
      </w:r>
    </w:p>
    <w:p w14:paraId="0C6A8191" w14:textId="77777777" w:rsidR="00350498" w:rsidRPr="00D84DDE" w:rsidRDefault="00350498" w:rsidP="00350498">
      <w:pPr>
        <w:pStyle w:val="Heading3"/>
        <w:ind w:left="964" w:hanging="964"/>
      </w:pPr>
      <w:r>
        <w:t>Threats</w:t>
      </w:r>
    </w:p>
    <w:p w14:paraId="6CF952B8" w14:textId="77777777" w:rsidR="00350498" w:rsidRPr="00D84DDE" w:rsidRDefault="00350498" w:rsidP="00350498">
      <w:r>
        <w:t xml:space="preserve">The impacts of the various threats to the non-parasitic lamprey do not exist in isolation, but interact and can compound each other. For example, climate change is resulting in more frequent and severe droughts and heatwaves, leading to more intense bushfires (Nolan et al. 2020), which when followed by extreme rainfall events (also becoming more frequent), aquatic fauna can be severely impacted (Silva et al. 2020). Compounding the ongoing threats associated with climate change, past and present land management practices (mining, agriculture, urbanisation) likely have already impacted the non-parasitic lamprey in a number of areas (Gilligan 2019b; T. </w:t>
      </w:r>
      <w:proofErr w:type="spellStart"/>
      <w:r>
        <w:t>Raadik</w:t>
      </w:r>
      <w:proofErr w:type="spellEnd"/>
      <w:r>
        <w:t xml:space="preserve"> 2021 pers comm 8 March). </w:t>
      </w:r>
    </w:p>
    <w:p w14:paraId="33E73BC7" w14:textId="77777777" w:rsidR="00350498" w:rsidRPr="00D84DDE" w:rsidRDefault="00350498" w:rsidP="00350498">
      <w:r>
        <w:t>The complexity of the life cycle of the non-parasitic lamprey (long larval stage, cohort breeding strategy) means there are numerous ways in which it can be disrupted (Miller et al. 2021). This is especially so as the species is prone to genetic bottlenecks due to its geographic isolation and reduced fecundity and mobility (Mateus et al. 2013). This means that subpopulations are vulnerable to stochastic events, as well as continuous ramp pressure threats (Table 2), and even to low level threats, that in isolation may not have presented an existential threat. These low/potential threats include 1) invasive fish species feeding on lamprey larvae (Gilligan 2019b; Miller et al. 2021); 2) higher temperatures leading to a possible change in the timing of metamorphosis and sexual maturation (Potter 1970; Docker &amp; Potter 2019; Lucas et al. 2020); 3) the spread of diseases from pouched lampreys (haemorrhagic septicaemia in Western Australia, lamprey reddening syndrome in New Zealand; Miller et al. 2021).</w:t>
      </w:r>
    </w:p>
    <w:p w14:paraId="48ED2087" w14:textId="77777777" w:rsidR="00350498" w:rsidRPr="00D84DDE" w:rsidRDefault="00350498" w:rsidP="00350498">
      <w:pPr>
        <w:pStyle w:val="Caption"/>
      </w:pPr>
      <w:bookmarkStart w:id="6" w:name="_Ref40886856"/>
      <w:r w:rsidRPr="00D84DDE">
        <w:lastRenderedPageBreak/>
        <w:t xml:space="preserve">Table </w:t>
      </w:r>
      <w:bookmarkEnd w:id="6"/>
      <w:r w:rsidRPr="00D84DDE">
        <w:rPr>
          <w:noProof/>
        </w:rPr>
        <w:t>2</w:t>
      </w:r>
      <w:r w:rsidRPr="00D84DDE">
        <w:t xml:space="preserve"> Threats impacting </w:t>
      </w:r>
      <w:r>
        <w:t>non-parasitic lamprey</w:t>
      </w:r>
    </w:p>
    <w:tbl>
      <w:tblPr>
        <w:tblStyle w:val="TableGrid"/>
        <w:tblW w:w="9209" w:type="dxa"/>
        <w:tblLook w:val="04A0" w:firstRow="1" w:lastRow="0" w:firstColumn="1" w:lastColumn="0" w:noHBand="0" w:noVBand="1"/>
      </w:tblPr>
      <w:tblGrid>
        <w:gridCol w:w="1756"/>
        <w:gridCol w:w="1925"/>
        <w:gridCol w:w="5528"/>
      </w:tblGrid>
      <w:tr w:rsidR="00350498" w:rsidRPr="00D84DDE" w14:paraId="124EB607" w14:textId="77777777" w:rsidTr="007F30CA">
        <w:trPr>
          <w:cantSplit/>
          <w:tblHeader/>
        </w:trPr>
        <w:tc>
          <w:tcPr>
            <w:tcW w:w="1756" w:type="dxa"/>
          </w:tcPr>
          <w:p w14:paraId="4C05AFB6" w14:textId="77777777" w:rsidR="00350498" w:rsidRPr="00D84DDE" w:rsidRDefault="00350498" w:rsidP="007F30CA">
            <w:pPr>
              <w:pStyle w:val="TableText"/>
              <w:keepNext/>
              <w:rPr>
                <w:rStyle w:val="Strong"/>
                <w:rFonts w:ascii="Calibri" w:hAnsi="Calibri"/>
                <w:b w:val="0"/>
                <w:bCs w:val="0"/>
                <w:sz w:val="24"/>
                <w:szCs w:val="18"/>
              </w:rPr>
            </w:pPr>
            <w:r w:rsidRPr="00D84DDE">
              <w:rPr>
                <w:rStyle w:val="Strong"/>
              </w:rPr>
              <w:t>Threat</w:t>
            </w:r>
          </w:p>
        </w:tc>
        <w:tc>
          <w:tcPr>
            <w:tcW w:w="1925" w:type="dxa"/>
          </w:tcPr>
          <w:p w14:paraId="1132BCB3" w14:textId="77777777" w:rsidR="00350498" w:rsidRPr="00D84DDE" w:rsidRDefault="00350498" w:rsidP="007F30CA">
            <w:pPr>
              <w:pStyle w:val="TableText"/>
              <w:keepNext/>
              <w:rPr>
                <w:rStyle w:val="Strong"/>
              </w:rPr>
            </w:pPr>
            <w:r w:rsidRPr="00D84DDE">
              <w:rPr>
                <w:rStyle w:val="Strong"/>
              </w:rPr>
              <w:t xml:space="preserve">Status and severity </w:t>
            </w:r>
          </w:p>
        </w:tc>
        <w:tc>
          <w:tcPr>
            <w:tcW w:w="5528" w:type="dxa"/>
          </w:tcPr>
          <w:p w14:paraId="627DE1DD" w14:textId="77777777" w:rsidR="00350498" w:rsidRPr="00D84DDE" w:rsidRDefault="00350498" w:rsidP="007F30CA">
            <w:pPr>
              <w:pStyle w:val="TableText"/>
              <w:keepNext/>
              <w:rPr>
                <w:rStyle w:val="Strong"/>
              </w:rPr>
            </w:pPr>
            <w:r w:rsidRPr="00D84DDE">
              <w:rPr>
                <w:rStyle w:val="Strong"/>
              </w:rPr>
              <w:t>Evidence</w:t>
            </w:r>
          </w:p>
        </w:tc>
      </w:tr>
      <w:tr w:rsidR="00350498" w:rsidRPr="00D84DDE" w14:paraId="3F8659B0" w14:textId="77777777" w:rsidTr="007F30CA">
        <w:trPr>
          <w:tblHeader/>
        </w:trPr>
        <w:tc>
          <w:tcPr>
            <w:tcW w:w="9209" w:type="dxa"/>
            <w:gridSpan w:val="3"/>
          </w:tcPr>
          <w:p w14:paraId="70A9DCBE" w14:textId="77777777" w:rsidR="00350498" w:rsidRPr="005D3D86" w:rsidRDefault="00350498" w:rsidP="007F30CA">
            <w:pPr>
              <w:pStyle w:val="TableText"/>
              <w:keepNext/>
            </w:pPr>
            <w:r>
              <w:t>Habitat loss, disturbance and modifications</w:t>
            </w:r>
          </w:p>
        </w:tc>
      </w:tr>
      <w:tr w:rsidR="00350498" w:rsidRPr="00D84DDE" w14:paraId="1C411F28" w14:textId="77777777" w:rsidTr="007F30CA">
        <w:trPr>
          <w:tblHeader/>
        </w:trPr>
        <w:tc>
          <w:tcPr>
            <w:tcW w:w="1756" w:type="dxa"/>
          </w:tcPr>
          <w:p w14:paraId="202B87BC" w14:textId="77777777" w:rsidR="00350498" w:rsidRPr="00D84DDE" w:rsidRDefault="00350498" w:rsidP="007F30CA">
            <w:pPr>
              <w:pStyle w:val="TableText"/>
              <w:keepNext/>
              <w:spacing w:before="80" w:after="80"/>
            </w:pPr>
            <w:r>
              <w:t>Habitat degradation/loss</w:t>
            </w:r>
          </w:p>
        </w:tc>
        <w:tc>
          <w:tcPr>
            <w:tcW w:w="1925" w:type="dxa"/>
          </w:tcPr>
          <w:p w14:paraId="4103061F" w14:textId="77777777" w:rsidR="00350498" w:rsidRPr="00D84DDE" w:rsidRDefault="00350498" w:rsidP="007F30CA">
            <w:pPr>
              <w:pStyle w:val="TableText"/>
              <w:spacing w:before="80" w:after="80"/>
            </w:pPr>
            <w:r w:rsidRPr="00D84DDE">
              <w:t>Status: current</w:t>
            </w:r>
          </w:p>
          <w:p w14:paraId="2C0EB066" w14:textId="77777777" w:rsidR="00350498" w:rsidRPr="00D84DDE" w:rsidRDefault="00350498" w:rsidP="007F30CA">
            <w:pPr>
              <w:pStyle w:val="TableText"/>
              <w:spacing w:before="80" w:after="80"/>
            </w:pPr>
            <w:r w:rsidRPr="00D84DDE">
              <w:t>Confidence: inferred</w:t>
            </w:r>
          </w:p>
          <w:p w14:paraId="4A920A6D" w14:textId="77777777" w:rsidR="00350498" w:rsidRPr="00D84DDE" w:rsidRDefault="00350498" w:rsidP="007F30CA">
            <w:pPr>
              <w:pStyle w:val="TableText"/>
              <w:spacing w:before="80" w:after="80"/>
            </w:pPr>
            <w:r>
              <w:t>Consequence: severe</w:t>
            </w:r>
          </w:p>
          <w:p w14:paraId="5FA6DB7A" w14:textId="77777777" w:rsidR="00350498" w:rsidRPr="00D84DDE" w:rsidRDefault="00350498" w:rsidP="007F30CA">
            <w:pPr>
              <w:pStyle w:val="TableText"/>
              <w:spacing w:before="80" w:after="80"/>
            </w:pPr>
            <w:r w:rsidRPr="00D84DDE">
              <w:t>Trend: increasing</w:t>
            </w:r>
          </w:p>
          <w:p w14:paraId="1F3EB608" w14:textId="77777777" w:rsidR="00350498" w:rsidRPr="00D84DDE" w:rsidRDefault="00350498" w:rsidP="007F30CA">
            <w:pPr>
              <w:pStyle w:val="TableText"/>
              <w:keepNext/>
              <w:spacing w:before="80" w:after="80"/>
            </w:pPr>
            <w:r w:rsidRPr="00D84DDE">
              <w:t>Extent: catchment-specific</w:t>
            </w:r>
          </w:p>
        </w:tc>
        <w:tc>
          <w:tcPr>
            <w:tcW w:w="5528" w:type="dxa"/>
          </w:tcPr>
          <w:p w14:paraId="43DA1B29" w14:textId="77777777" w:rsidR="00350498" w:rsidRDefault="00350498" w:rsidP="007F30CA">
            <w:pPr>
              <w:pStyle w:val="TableText"/>
              <w:spacing w:before="80" w:after="80"/>
            </w:pPr>
            <w:r w:rsidRPr="00D84DDE">
              <w:t xml:space="preserve">The </w:t>
            </w:r>
            <w:r>
              <w:t>non-parasitic lamprey</w:t>
            </w:r>
            <w:r w:rsidRPr="00D84DDE">
              <w:t xml:space="preserve"> is found exclusively close to the coast in eastern Australia. This is an area of large-scale habitat alteration and degradation due to past and present human activities, such as land clearing </w:t>
            </w:r>
            <w:r>
              <w:t xml:space="preserve">and </w:t>
            </w:r>
            <w:r w:rsidRPr="00D84DDE">
              <w:t>water extraction for urbanisation, agriculture, forestry and mining, and the associated impacts, such as sedimentation</w:t>
            </w:r>
            <w:r>
              <w:t xml:space="preserve">, </w:t>
            </w:r>
            <w:r w:rsidRPr="00D84DDE">
              <w:t xml:space="preserve">water pollution, </w:t>
            </w:r>
            <w:r>
              <w:t xml:space="preserve">and </w:t>
            </w:r>
            <w:r w:rsidRPr="00D84DDE">
              <w:t xml:space="preserve">increased salinisation (AMOG Consulting 2003; Howson et al. 2009; Gilligan et al. 2019b; Miller et al. 2021; T. </w:t>
            </w:r>
            <w:proofErr w:type="spellStart"/>
            <w:r w:rsidRPr="00D84DDE">
              <w:t>Raadik</w:t>
            </w:r>
            <w:proofErr w:type="spellEnd"/>
            <w:r w:rsidRPr="00D84DDE">
              <w:t xml:space="preserve"> 2021 pers comm 15 February, 8 March). </w:t>
            </w:r>
            <w:r>
              <w:t xml:space="preserve">Habitat degradation is one of the major threats to lampreys worldwide (Lucas et al. 2020). </w:t>
            </w:r>
          </w:p>
          <w:p w14:paraId="2150CDF6" w14:textId="77777777" w:rsidR="00350498" w:rsidRPr="00D84DDE" w:rsidRDefault="00350498" w:rsidP="007F30CA">
            <w:pPr>
              <w:pStyle w:val="TableText"/>
              <w:spacing w:before="80" w:after="80"/>
            </w:pPr>
            <w:r>
              <w:t>An increase in the input of sediments into streams can smother the riverbed and fill in smaller pools and can change the composition of the sediment from finer silt/clay material to coarser sand/gravel derived from surface run-off (Rutherford et al. 2000; AMOG Consulting 2003). Increased sedimentation may be a particular issue for the non-parasitic lamprey as they spend most their lives buried in fine sediments as larvae, and so any changes are very disruptive (Gilligan 2019b; Miller et al. 2021). Increased sedimentation can reduce the habitat quality and area available to larvae, and make spawning areas unsuitable, and smother eggs (</w:t>
            </w:r>
            <w:proofErr w:type="spellStart"/>
            <w:r>
              <w:t>Metzeling</w:t>
            </w:r>
            <w:proofErr w:type="spellEnd"/>
            <w:r>
              <w:t xml:space="preserve"> et al. 1995). However, the precise impacts of sediment of lampreys are not fully known (Clemens et al. 2020).</w:t>
            </w:r>
          </w:p>
          <w:p w14:paraId="33FA1695" w14:textId="77777777" w:rsidR="00350498" w:rsidRPr="00D84DDE" w:rsidRDefault="00350498" w:rsidP="007F30CA">
            <w:pPr>
              <w:pStyle w:val="TableText"/>
              <w:keepNext/>
              <w:spacing w:before="80" w:after="80"/>
            </w:pPr>
            <w:r>
              <w:t>The intensity of human activities, and therefore impacts, varies greatly based on location, especially given the very large area over which the species is found. For example, high rates of sedimentation due to past gold mining was likely relevant to the presumed extinct location in the Moruya Basin in southern NSW (AMOG Consulting 2003), and the Macleay Basin in northern NSW is largely cleared agricultural land (WMA Water 2009), whilst the non-parasitic lamprey sites in Water Park Creek in central Qld are in a largely unimpacted national park.</w:t>
            </w:r>
          </w:p>
        </w:tc>
      </w:tr>
      <w:tr w:rsidR="00350498" w:rsidRPr="00D84DDE" w14:paraId="3B4B2BF7" w14:textId="77777777" w:rsidTr="007F30CA">
        <w:trPr>
          <w:tblHeader/>
        </w:trPr>
        <w:tc>
          <w:tcPr>
            <w:tcW w:w="1756" w:type="dxa"/>
          </w:tcPr>
          <w:p w14:paraId="095510E2" w14:textId="77777777" w:rsidR="00350498" w:rsidRPr="00D84DDE" w:rsidRDefault="00350498" w:rsidP="007F30CA">
            <w:pPr>
              <w:pStyle w:val="TableText"/>
              <w:keepNext/>
              <w:spacing w:before="80" w:after="80"/>
            </w:pPr>
            <w:r>
              <w:t>Instream barriers to movement</w:t>
            </w:r>
          </w:p>
        </w:tc>
        <w:tc>
          <w:tcPr>
            <w:tcW w:w="1925" w:type="dxa"/>
          </w:tcPr>
          <w:p w14:paraId="1F756F4B" w14:textId="77777777" w:rsidR="00350498" w:rsidRPr="00D84DDE" w:rsidRDefault="00350498" w:rsidP="007F30CA">
            <w:pPr>
              <w:pStyle w:val="TableText"/>
              <w:spacing w:before="80" w:after="80"/>
            </w:pPr>
            <w:r w:rsidRPr="00D84DDE">
              <w:t>Status: current</w:t>
            </w:r>
          </w:p>
          <w:p w14:paraId="773B44C5" w14:textId="77777777" w:rsidR="00350498" w:rsidRPr="00D84DDE" w:rsidRDefault="00350498" w:rsidP="007F30CA">
            <w:pPr>
              <w:pStyle w:val="TableText"/>
              <w:spacing w:before="80" w:after="80"/>
            </w:pPr>
            <w:r w:rsidRPr="00D84DDE">
              <w:t>Confidence: inferred</w:t>
            </w:r>
          </w:p>
          <w:p w14:paraId="37CA2012" w14:textId="77777777" w:rsidR="00350498" w:rsidRPr="00D84DDE" w:rsidRDefault="00350498" w:rsidP="007F30CA">
            <w:pPr>
              <w:pStyle w:val="TableText"/>
              <w:spacing w:before="80" w:after="80"/>
            </w:pPr>
            <w:r>
              <w:t>Consequence: low – moderate</w:t>
            </w:r>
          </w:p>
          <w:p w14:paraId="603D1898" w14:textId="77777777" w:rsidR="00350498" w:rsidRPr="00D84DDE" w:rsidRDefault="00350498" w:rsidP="007F30CA">
            <w:pPr>
              <w:pStyle w:val="TableText"/>
              <w:spacing w:before="80" w:after="80"/>
            </w:pPr>
            <w:r w:rsidRPr="00D84DDE">
              <w:t xml:space="preserve">Trend: </w:t>
            </w:r>
            <w:r>
              <w:t>stable</w:t>
            </w:r>
          </w:p>
          <w:p w14:paraId="22E5790E" w14:textId="77777777" w:rsidR="00350498" w:rsidRPr="00D84DDE" w:rsidRDefault="00350498" w:rsidP="007F30CA">
            <w:pPr>
              <w:pStyle w:val="TableText"/>
              <w:spacing w:before="80" w:after="80"/>
            </w:pPr>
            <w:r w:rsidRPr="00D84DDE">
              <w:t>Extent: catchment-specific</w:t>
            </w:r>
          </w:p>
        </w:tc>
        <w:tc>
          <w:tcPr>
            <w:tcW w:w="5528" w:type="dxa"/>
          </w:tcPr>
          <w:p w14:paraId="5861CEE6" w14:textId="77777777" w:rsidR="00350498" w:rsidRPr="00D84DDE" w:rsidRDefault="00350498" w:rsidP="007F30CA">
            <w:pPr>
              <w:pStyle w:val="TableText"/>
              <w:spacing w:before="80" w:after="80"/>
            </w:pPr>
            <w:r>
              <w:t>I</w:t>
            </w:r>
            <w:r w:rsidRPr="00D84DDE">
              <w:t xml:space="preserve">nstream barriers to movement </w:t>
            </w:r>
            <w:r>
              <w:t xml:space="preserve">are a recognised threat to lampreys generally </w:t>
            </w:r>
            <w:r w:rsidRPr="00D84DDE">
              <w:t>(</w:t>
            </w:r>
            <w:proofErr w:type="spellStart"/>
            <w:r w:rsidRPr="00D84DDE">
              <w:t>Petherbridge</w:t>
            </w:r>
            <w:proofErr w:type="spellEnd"/>
            <w:r w:rsidRPr="00D84DDE">
              <w:t xml:space="preserve"> et al. 1998; Morris et al. 2001). However, </w:t>
            </w:r>
            <w:r>
              <w:t xml:space="preserve">the primacy of connectivity to lamprey conservation </w:t>
            </w:r>
            <w:r w:rsidRPr="00D84DDE">
              <w:t xml:space="preserve">may be more relevant to parasitic species that need access </w:t>
            </w:r>
            <w:r>
              <w:t xml:space="preserve">to </w:t>
            </w:r>
            <w:r w:rsidRPr="00D84DDE">
              <w:t>both the sea and to sites often far upstream</w:t>
            </w:r>
            <w:r>
              <w:t xml:space="preserve"> (Moser et al. 2020)</w:t>
            </w:r>
            <w:r w:rsidRPr="00D84DDE">
              <w:t xml:space="preserve">, whereas the </w:t>
            </w:r>
            <w:r>
              <w:t>non-parasitic lamprey</w:t>
            </w:r>
            <w:r w:rsidRPr="00D84DDE">
              <w:t xml:space="preserve"> move</w:t>
            </w:r>
            <w:r>
              <w:t>s</w:t>
            </w:r>
            <w:r w:rsidRPr="00D84DDE">
              <w:t xml:space="preserve"> much less, and likely only make</w:t>
            </w:r>
            <w:r>
              <w:t>s</w:t>
            </w:r>
            <w:r w:rsidRPr="00D84DDE">
              <w:t xml:space="preserve"> short migrations upstream (Docker &amp; Potter 2019; Miller et al. 2021). Harris &amp; </w:t>
            </w:r>
            <w:proofErr w:type="spellStart"/>
            <w:r w:rsidRPr="00D84DDE">
              <w:t>Gehrke</w:t>
            </w:r>
            <w:proofErr w:type="spellEnd"/>
            <w:r w:rsidRPr="00D84DDE">
              <w:t xml:space="preserve"> (1997) reported more </w:t>
            </w:r>
            <w:r>
              <w:t>non-parasitic lamprey</w:t>
            </w:r>
            <w:r w:rsidRPr="00D84DDE">
              <w:t xml:space="preserve">s in unregulated rivers without barriers, but this may have been confounded by misidentification with the </w:t>
            </w:r>
            <w:r>
              <w:t>short-headed lamprey</w:t>
            </w:r>
            <w:r w:rsidRPr="00D84DDE">
              <w:t xml:space="preserve"> (Gilligan et al. 2019b). The threat that barriers present is not clear</w:t>
            </w:r>
            <w:r>
              <w:t>;</w:t>
            </w:r>
            <w:r w:rsidRPr="00D84DDE">
              <w:t xml:space="preserve"> however</w:t>
            </w:r>
            <w:r>
              <w:t>,</w:t>
            </w:r>
            <w:r w:rsidRPr="00D84DDE">
              <w:t xml:space="preserve"> there is some evidence of reduced genetic diversity in </w:t>
            </w:r>
            <w:r>
              <w:t xml:space="preserve">some </w:t>
            </w:r>
            <w:r w:rsidRPr="00D84DDE">
              <w:t>non-parasitic species in the Northern Hemisphere, especially downstream from barriers (Docker &amp; Potter 2019).</w:t>
            </w:r>
          </w:p>
        </w:tc>
      </w:tr>
    </w:tbl>
    <w:p w14:paraId="4DE27779" w14:textId="77777777" w:rsidR="00350498" w:rsidRDefault="00350498" w:rsidP="00350498">
      <w:pPr>
        <w:spacing w:before="80" w:after="80"/>
      </w:pPr>
      <w:r>
        <w:br w:type="page"/>
      </w:r>
    </w:p>
    <w:tbl>
      <w:tblPr>
        <w:tblStyle w:val="TableGrid"/>
        <w:tblW w:w="9209" w:type="dxa"/>
        <w:tblLook w:val="04A0" w:firstRow="1" w:lastRow="0" w:firstColumn="1" w:lastColumn="0" w:noHBand="0" w:noVBand="1"/>
      </w:tblPr>
      <w:tblGrid>
        <w:gridCol w:w="1756"/>
        <w:gridCol w:w="1925"/>
        <w:gridCol w:w="5528"/>
      </w:tblGrid>
      <w:tr w:rsidR="00350498" w:rsidRPr="00D84DDE" w14:paraId="32DA04F1" w14:textId="77777777" w:rsidTr="007F30CA">
        <w:trPr>
          <w:tblHeader/>
        </w:trPr>
        <w:tc>
          <w:tcPr>
            <w:tcW w:w="9209" w:type="dxa"/>
            <w:gridSpan w:val="3"/>
          </w:tcPr>
          <w:p w14:paraId="040E4782" w14:textId="77777777" w:rsidR="00350498" w:rsidRPr="00D84DDE" w:rsidRDefault="00350498" w:rsidP="007F30CA">
            <w:pPr>
              <w:pStyle w:val="TableText"/>
              <w:keepNext/>
              <w:spacing w:before="80" w:after="80"/>
            </w:pPr>
            <w:r w:rsidRPr="005D3D86">
              <w:lastRenderedPageBreak/>
              <w:t>Climate change</w:t>
            </w:r>
          </w:p>
        </w:tc>
      </w:tr>
      <w:tr w:rsidR="00350498" w:rsidRPr="00D84DDE" w14:paraId="103218FA" w14:textId="77777777" w:rsidTr="007F30CA">
        <w:trPr>
          <w:tblHeader/>
        </w:trPr>
        <w:tc>
          <w:tcPr>
            <w:tcW w:w="1756" w:type="dxa"/>
          </w:tcPr>
          <w:p w14:paraId="70FC6CA9" w14:textId="77777777" w:rsidR="00350498" w:rsidRPr="00D84DDE" w:rsidRDefault="00350498" w:rsidP="007F30CA">
            <w:pPr>
              <w:pStyle w:val="TableText"/>
              <w:keepNext/>
              <w:spacing w:before="80" w:after="80"/>
              <w:rPr>
                <w:rFonts w:asciiTheme="majorHAnsi" w:hAnsiTheme="majorHAnsi" w:cstheme="minorHAnsi"/>
              </w:rPr>
            </w:pPr>
            <w:r w:rsidRPr="00D84DDE">
              <w:t xml:space="preserve">Increase in </w:t>
            </w:r>
            <w:r>
              <w:t>bush</w:t>
            </w:r>
            <w:r w:rsidRPr="00D84DDE">
              <w:t>fire frequency/intensity</w:t>
            </w:r>
          </w:p>
        </w:tc>
        <w:tc>
          <w:tcPr>
            <w:tcW w:w="1925" w:type="dxa"/>
          </w:tcPr>
          <w:p w14:paraId="1EE18ACE" w14:textId="77777777" w:rsidR="00350498" w:rsidRPr="00D84DDE" w:rsidRDefault="00350498" w:rsidP="007F30CA">
            <w:pPr>
              <w:pStyle w:val="TableText"/>
              <w:keepNext/>
              <w:spacing w:before="80" w:after="80"/>
            </w:pPr>
            <w:r w:rsidRPr="00D84DDE">
              <w:t>Status: current</w:t>
            </w:r>
          </w:p>
          <w:p w14:paraId="4D96BA9B" w14:textId="77777777" w:rsidR="00350498" w:rsidRPr="00D84DDE" w:rsidRDefault="00350498" w:rsidP="007F30CA">
            <w:pPr>
              <w:pStyle w:val="TableText"/>
              <w:keepNext/>
              <w:spacing w:before="80" w:after="80"/>
            </w:pPr>
            <w:r w:rsidRPr="00D84DDE">
              <w:t>Confidence: inferred</w:t>
            </w:r>
          </w:p>
          <w:p w14:paraId="2A81A7DF" w14:textId="77777777" w:rsidR="00350498" w:rsidRPr="00D84DDE" w:rsidRDefault="00350498" w:rsidP="007F30CA">
            <w:pPr>
              <w:pStyle w:val="TableText"/>
              <w:keepNext/>
              <w:spacing w:before="80" w:after="80"/>
            </w:pPr>
            <w:r w:rsidRPr="00D84DDE">
              <w:t>Consequence: severe</w:t>
            </w:r>
          </w:p>
          <w:p w14:paraId="4B11EE80" w14:textId="77777777" w:rsidR="00350498" w:rsidRPr="00D84DDE" w:rsidRDefault="00350498" w:rsidP="007F30CA">
            <w:pPr>
              <w:pStyle w:val="TableText"/>
              <w:keepNext/>
              <w:spacing w:before="80" w:after="80"/>
            </w:pPr>
            <w:r w:rsidRPr="00D84DDE">
              <w:t>Trend: increasing</w:t>
            </w:r>
          </w:p>
          <w:p w14:paraId="09F79233" w14:textId="77777777" w:rsidR="00350498" w:rsidRPr="00D84DDE" w:rsidRDefault="00350498" w:rsidP="007F30CA">
            <w:pPr>
              <w:pStyle w:val="TableText"/>
              <w:keepNext/>
              <w:spacing w:before="80" w:after="80"/>
            </w:pPr>
            <w:r w:rsidRPr="00D84DDE">
              <w:t>Extent: across the entire range</w:t>
            </w:r>
          </w:p>
        </w:tc>
        <w:tc>
          <w:tcPr>
            <w:tcW w:w="5528" w:type="dxa"/>
          </w:tcPr>
          <w:p w14:paraId="79B05F01" w14:textId="77777777" w:rsidR="00350498" w:rsidRPr="00D84DDE" w:rsidRDefault="00350498" w:rsidP="007F30CA">
            <w:pPr>
              <w:pStyle w:val="TableText"/>
              <w:keepNext/>
              <w:spacing w:before="80" w:after="80"/>
            </w:pPr>
            <w:r w:rsidRPr="00D84DDE">
              <w:t>Climate projections for eastern Australia include a decrease in annual average rainfall, increased average temperatures, and more frequent droughts (Hobday &amp; Lough 2011; CSIRO &amp; Bureau of Meteorology 2015). These conditions will increase the scale, frequency, and intensity of bushfires (CSIRO 2020). Bushfires can lead to complex direct and indirect effects on aquatic ecosystems (</w:t>
            </w:r>
            <w:proofErr w:type="spellStart"/>
            <w:r w:rsidRPr="00D84DDE">
              <w:t>Gresswell</w:t>
            </w:r>
            <w:proofErr w:type="spellEnd"/>
            <w:r w:rsidRPr="00D84DDE">
              <w:t xml:space="preserve"> 1999; Lyon &amp; O’Connor 2008). </w:t>
            </w:r>
          </w:p>
          <w:p w14:paraId="7E399734" w14:textId="77777777" w:rsidR="00350498" w:rsidRPr="00D84DDE" w:rsidRDefault="00350498" w:rsidP="007F30CA">
            <w:pPr>
              <w:pStyle w:val="TableText"/>
              <w:keepNext/>
              <w:spacing w:before="80" w:after="80"/>
            </w:pPr>
            <w:r>
              <w:t xml:space="preserve">Direct effects of bushfires are often short-term, including increased water temperature and change in water chemistry (Lyon &amp; O’Connor 2008). Whereas indirect effects can be long-lasting and are compounded by the </w:t>
            </w:r>
            <w:proofErr w:type="spellStart"/>
            <w:r>
              <w:t>bushfires’</w:t>
            </w:r>
            <w:proofErr w:type="spellEnd"/>
            <w:r>
              <w:t xml:space="preserve"> impact on the surrounding landscape. The biggest indirect impact for aquatic fauna is probably post-fire rainfall leading to sediment runoff or “sediment slugs” into waterways, which can also include ash, toxic contaminants, nutrients and fire retardant (Lyon &amp; O’Connor 2008; Alexandra &amp; Finlayson 2020; Silva et al. 2020).  The larvae of various lamprey species can bioaccumulate various toxicants that may be harmful (Clemens et al. 2020).</w:t>
            </w:r>
          </w:p>
          <w:p w14:paraId="026AB130" w14:textId="77777777" w:rsidR="00350498" w:rsidRPr="00D84DDE" w:rsidRDefault="00350498" w:rsidP="007F30CA">
            <w:pPr>
              <w:pStyle w:val="TableText"/>
              <w:keepNext/>
              <w:spacing w:before="80" w:after="80"/>
            </w:pPr>
            <w:r w:rsidRPr="00D84DDE">
              <w:t xml:space="preserve">The amount of sediment run-off can increase by orders of magnitude after a </w:t>
            </w:r>
            <w:r>
              <w:t>bush</w:t>
            </w:r>
            <w:r w:rsidRPr="00D84DDE">
              <w:t xml:space="preserve">fire (Wilkinson et al. 2007; Johnston 2021). Sediment slugs can change water temperature (Mulvey 2021) and clog gills, and also cause toxic algal blooms which deoxygenate the water, leading to fish kills (Alexandra &amp; Finlayson 2020). Impacts to aquatic ecosystems have been documented long distances downstream (50–80 kms) of the direct fire impacted area (Lyon &amp; O’Connor 2008; Silva et al. 2020). </w:t>
            </w:r>
          </w:p>
          <w:p w14:paraId="521C2553" w14:textId="77777777" w:rsidR="00350498" w:rsidRPr="00D84DDE" w:rsidRDefault="00350498" w:rsidP="007F30CA">
            <w:pPr>
              <w:pStyle w:val="TableText"/>
              <w:keepNext/>
              <w:spacing w:before="80" w:after="80"/>
            </w:pPr>
            <w:r>
              <w:t>Non-parasitic lamprey</w:t>
            </w:r>
            <w:r w:rsidRPr="00D84DDE">
              <w:t xml:space="preserve"> habitat is often in </w:t>
            </w:r>
            <w:r>
              <w:t>bush</w:t>
            </w:r>
            <w:r w:rsidRPr="00D84DDE">
              <w:t xml:space="preserve">fire prone areas (e.g., wallum and eucalypt swamps) (Gilligan 2019b). Further, </w:t>
            </w:r>
            <w:r>
              <w:t>non-parasitic lamprey</w:t>
            </w:r>
            <w:r w:rsidRPr="00D84DDE">
              <w:t xml:space="preserve"> larvae are potentially very sensitive to changes in sediment composition and distribution </w:t>
            </w:r>
            <w:r>
              <w:t xml:space="preserve">associated with bushfires </w:t>
            </w:r>
            <w:r w:rsidRPr="00D84DDE">
              <w:t xml:space="preserve">(see </w:t>
            </w:r>
            <w:r>
              <w:t>h</w:t>
            </w:r>
            <w:r w:rsidRPr="00D84DDE">
              <w:t xml:space="preserve">abitat degradation/loss </w:t>
            </w:r>
            <w:r>
              <w:t>above</w:t>
            </w:r>
            <w:r w:rsidRPr="00D84DDE">
              <w:t>).</w:t>
            </w:r>
          </w:p>
          <w:p w14:paraId="1CD0C569" w14:textId="77777777" w:rsidR="00350498" w:rsidRPr="00D84DDE" w:rsidRDefault="00350498" w:rsidP="007F30CA">
            <w:pPr>
              <w:pStyle w:val="TableText"/>
              <w:keepNext/>
              <w:spacing w:before="80" w:after="80"/>
            </w:pPr>
            <w:r w:rsidRPr="00D84DDE">
              <w:t xml:space="preserve">Recent significant </w:t>
            </w:r>
            <w:r>
              <w:t>bush</w:t>
            </w:r>
            <w:r w:rsidRPr="00D84DDE">
              <w:t xml:space="preserve">fire events have extensively overlapped with the distribution range of </w:t>
            </w:r>
            <w:r w:rsidRPr="00AB6991">
              <w:t xml:space="preserve">the </w:t>
            </w:r>
            <w:r>
              <w:t>non-parasitic lamprey</w:t>
            </w:r>
            <w:r w:rsidRPr="00AB6991">
              <w:t xml:space="preserve">, in particular during 2019-20, </w:t>
            </w:r>
            <w:r w:rsidRPr="005C3543">
              <w:t>when catastrophic bushfire conditions culminated in fires that overlapped substantially with</w:t>
            </w:r>
            <w:r>
              <w:t xml:space="preserve"> the species distribution </w:t>
            </w:r>
            <w:r w:rsidRPr="005C3543">
              <w:t>(</w:t>
            </w:r>
            <w:proofErr w:type="spellStart"/>
            <w:r w:rsidRPr="005C3543">
              <w:t>Legge</w:t>
            </w:r>
            <w:proofErr w:type="spellEnd"/>
            <w:r w:rsidRPr="005C3543">
              <w:t xml:space="preserve"> et al. 2021). This</w:t>
            </w:r>
            <w:r w:rsidRPr="00D84DDE">
              <w:t xml:space="preserve"> sort of event is increasingly likely to reoccur as a result of climate change.</w:t>
            </w:r>
          </w:p>
        </w:tc>
      </w:tr>
      <w:tr w:rsidR="00350498" w:rsidRPr="00D84DDE" w14:paraId="5973D1E4" w14:textId="77777777" w:rsidTr="007F30CA">
        <w:trPr>
          <w:tblHeader/>
        </w:trPr>
        <w:tc>
          <w:tcPr>
            <w:tcW w:w="1756" w:type="dxa"/>
          </w:tcPr>
          <w:p w14:paraId="6CF4DB66" w14:textId="77777777" w:rsidR="00350498" w:rsidRPr="00D84DDE" w:rsidRDefault="00350498" w:rsidP="007F30CA">
            <w:pPr>
              <w:pStyle w:val="TableText"/>
              <w:keepNext/>
              <w:spacing w:before="80" w:after="80"/>
            </w:pPr>
            <w:r w:rsidRPr="00FB04F2">
              <w:lastRenderedPageBreak/>
              <w:t>Change to precipitation patterns (increased drought &amp; flood)</w:t>
            </w:r>
          </w:p>
        </w:tc>
        <w:tc>
          <w:tcPr>
            <w:tcW w:w="1925" w:type="dxa"/>
          </w:tcPr>
          <w:p w14:paraId="0891DB2F" w14:textId="77777777" w:rsidR="00350498" w:rsidRPr="00D84DDE" w:rsidRDefault="00350498" w:rsidP="007F30CA">
            <w:pPr>
              <w:pStyle w:val="TableText"/>
              <w:keepNext/>
              <w:spacing w:before="80" w:after="80"/>
            </w:pPr>
            <w:r w:rsidRPr="00D84DDE">
              <w:t>Status: current</w:t>
            </w:r>
          </w:p>
          <w:p w14:paraId="5E9248C1" w14:textId="77777777" w:rsidR="00350498" w:rsidRPr="00D84DDE" w:rsidRDefault="00350498" w:rsidP="007F30CA">
            <w:pPr>
              <w:pStyle w:val="TableText"/>
              <w:keepNext/>
              <w:spacing w:before="80" w:after="80"/>
            </w:pPr>
            <w:r w:rsidRPr="00D84DDE">
              <w:t>Confidence: inferred</w:t>
            </w:r>
          </w:p>
          <w:p w14:paraId="2CFDF42C" w14:textId="77777777" w:rsidR="00350498" w:rsidRPr="00D84DDE" w:rsidRDefault="00350498" w:rsidP="007F30CA">
            <w:pPr>
              <w:pStyle w:val="TableText"/>
              <w:keepNext/>
              <w:spacing w:before="80" w:after="80"/>
            </w:pPr>
            <w:r w:rsidRPr="00D84DDE">
              <w:t>Consequence: severe</w:t>
            </w:r>
          </w:p>
          <w:p w14:paraId="258D1095" w14:textId="77777777" w:rsidR="00350498" w:rsidRPr="00D84DDE" w:rsidRDefault="00350498" w:rsidP="007F30CA">
            <w:pPr>
              <w:pStyle w:val="TableText"/>
              <w:keepNext/>
              <w:spacing w:before="80" w:after="80"/>
            </w:pPr>
            <w:r w:rsidRPr="00D84DDE">
              <w:t>Trend: increasing</w:t>
            </w:r>
          </w:p>
          <w:p w14:paraId="2FC1DA61" w14:textId="77777777" w:rsidR="00350498" w:rsidRPr="00D84DDE" w:rsidRDefault="00350498" w:rsidP="007F30CA">
            <w:pPr>
              <w:pStyle w:val="TableText"/>
              <w:keepNext/>
              <w:spacing w:before="80" w:after="80"/>
            </w:pPr>
            <w:r w:rsidRPr="00D84DDE">
              <w:t>Extent: across the entire range</w:t>
            </w:r>
          </w:p>
        </w:tc>
        <w:tc>
          <w:tcPr>
            <w:tcW w:w="5528" w:type="dxa"/>
          </w:tcPr>
          <w:p w14:paraId="3AE38232" w14:textId="77777777" w:rsidR="00350498" w:rsidRPr="00D84DDE" w:rsidRDefault="00350498" w:rsidP="007F30CA">
            <w:pPr>
              <w:pStyle w:val="TableText"/>
              <w:keepNext/>
              <w:spacing w:before="80" w:after="80"/>
            </w:pPr>
            <w:r w:rsidRPr="00D84DDE">
              <w:t xml:space="preserve">Climate projections for eastern Australia include an increase in extreme rain events, and more frequent and severe droughts in southern </w:t>
            </w:r>
            <w:r>
              <w:t>areas</w:t>
            </w:r>
            <w:r w:rsidRPr="00D84DDE">
              <w:t xml:space="preserve"> (CSIRO &amp; Bureau of Meteorology 2015). </w:t>
            </w:r>
          </w:p>
          <w:p w14:paraId="45069287" w14:textId="77777777" w:rsidR="00350498" w:rsidRPr="00D84DDE" w:rsidRDefault="00350498" w:rsidP="007F30CA">
            <w:pPr>
              <w:pStyle w:val="TableText"/>
              <w:keepNext/>
              <w:spacing w:before="80" w:after="80"/>
            </w:pPr>
            <w:r w:rsidRPr="00D84DDE">
              <w:t xml:space="preserve">Flooding rains that follow bushfires are associated with severe impacts on aquatic fauna (see increased intensity/frequency of bushfire section, above). Flooding in absence of fire has also been shown to impact the </w:t>
            </w:r>
            <w:r>
              <w:t>non-parasitic lamprey</w:t>
            </w:r>
            <w:r w:rsidRPr="00D84DDE">
              <w:t xml:space="preserve"> directly by removing silt bed</w:t>
            </w:r>
            <w:r>
              <w:t xml:space="preserve"> habitat and </w:t>
            </w:r>
            <w:r w:rsidRPr="00D84DDE">
              <w:t>swe</w:t>
            </w:r>
            <w:r>
              <w:t>e</w:t>
            </w:r>
            <w:r w:rsidRPr="00D84DDE">
              <w:t>p</w:t>
            </w:r>
            <w:r>
              <w:t>ing larvae</w:t>
            </w:r>
            <w:r w:rsidRPr="00D84DDE">
              <w:t xml:space="preserve"> into estuar</w:t>
            </w:r>
            <w:r>
              <w:t>ine waters</w:t>
            </w:r>
            <w:r w:rsidRPr="00D84DDE">
              <w:t xml:space="preserve"> </w:t>
            </w:r>
            <w:r>
              <w:t xml:space="preserve">where they </w:t>
            </w:r>
            <w:r w:rsidRPr="00D84DDE">
              <w:t>a</w:t>
            </w:r>
            <w:r>
              <w:t>re</w:t>
            </w:r>
            <w:r w:rsidRPr="00D84DDE">
              <w:t xml:space="preserve"> presumably killed by high salinity (Potter 1970). Indirect impacts, such as changes in growth rates and delays in metamorphosis, have also been seen in response to floods (Hughes &amp; Potter 1969; Potter 1970).</w:t>
            </w:r>
          </w:p>
          <w:p w14:paraId="28302122" w14:textId="77777777" w:rsidR="00350498" w:rsidRPr="00D84DDE" w:rsidRDefault="00350498" w:rsidP="007F30CA">
            <w:pPr>
              <w:pStyle w:val="TableText"/>
              <w:keepNext/>
              <w:spacing w:before="80" w:after="80"/>
            </w:pPr>
            <w:r w:rsidRPr="00D84DDE">
              <w:t xml:space="preserve">The </w:t>
            </w:r>
            <w:r>
              <w:t>non-parasitic lamprey</w:t>
            </w:r>
            <w:r w:rsidRPr="00D84DDE">
              <w:t xml:space="preserve"> is a fully freshwater species and </w:t>
            </w:r>
            <w:r>
              <w:t>therefore</w:t>
            </w:r>
            <w:r w:rsidRPr="00D84DDE">
              <w:t xml:space="preserve"> vulnerable to drought, which has led to larvae disappearing from downstream sites as brackish waters intrude upstream during low flows (Potter 1970). Drought also reduces usable habitat area as shallow portions of streams dry out (Potter 1970). There was a decline in the larvae of the </w:t>
            </w:r>
            <w:r>
              <w:t>short-headed lamprey</w:t>
            </w:r>
            <w:r w:rsidRPr="00D84DDE">
              <w:t xml:space="preserve"> in Victoria associated with the Millennium Drought (T. </w:t>
            </w:r>
            <w:proofErr w:type="spellStart"/>
            <w:r w:rsidRPr="00D84DDE">
              <w:t>Raadik</w:t>
            </w:r>
            <w:proofErr w:type="spellEnd"/>
            <w:r w:rsidRPr="00D84DDE">
              <w:t xml:space="preserve"> 2021 pers comm 8 Mar). As the </w:t>
            </w:r>
            <w:r>
              <w:t>non-parasitic lamprey</w:t>
            </w:r>
            <w:r w:rsidRPr="00D84DDE">
              <w:t xml:space="preserve"> larvae </w:t>
            </w:r>
            <w:r>
              <w:t>are sympatric and have a near</w:t>
            </w:r>
            <w:r w:rsidRPr="00D84DDE">
              <w:t xml:space="preserve"> identical </w:t>
            </w:r>
            <w:r>
              <w:t>biology and ecology</w:t>
            </w:r>
            <w:r w:rsidRPr="00D84DDE">
              <w:t xml:space="preserve"> (Potter 1968; Garbutt 2015), they were probably similarly impacted. However, the effect of drought may be reduced for some subpopulations where there are perennial springs (Gilligan 2019b).</w:t>
            </w:r>
          </w:p>
        </w:tc>
      </w:tr>
    </w:tbl>
    <w:p w14:paraId="4B480F0A" w14:textId="77777777" w:rsidR="00350498" w:rsidRDefault="00350498" w:rsidP="00350498">
      <w:pPr>
        <w:spacing w:after="0"/>
        <w:rPr>
          <w:sz w:val="18"/>
          <w:szCs w:val="18"/>
        </w:rPr>
      </w:pPr>
    </w:p>
    <w:p w14:paraId="2675CC19" w14:textId="77777777" w:rsidR="00350498" w:rsidRPr="005D3D86" w:rsidRDefault="00350498" w:rsidP="00350498">
      <w:pPr>
        <w:spacing w:after="0"/>
        <w:rPr>
          <w:sz w:val="18"/>
          <w:szCs w:val="18"/>
        </w:rPr>
      </w:pPr>
      <w:r w:rsidRPr="005D3D86">
        <w:rPr>
          <w:sz w:val="18"/>
          <w:szCs w:val="18"/>
        </w:rPr>
        <w:t>Status—identify the temporal nature of the threat;</w:t>
      </w:r>
    </w:p>
    <w:p w14:paraId="1023B047" w14:textId="77777777" w:rsidR="00350498" w:rsidRPr="005D3D86" w:rsidRDefault="00350498" w:rsidP="00350498">
      <w:pPr>
        <w:pStyle w:val="TableText"/>
        <w:spacing w:before="0" w:after="0"/>
        <w:rPr>
          <w:szCs w:val="18"/>
        </w:rPr>
      </w:pPr>
      <w:r w:rsidRPr="00210095">
        <w:rPr>
          <w:szCs w:val="18"/>
        </w:rPr>
        <w:t>C</w:t>
      </w:r>
      <w:r w:rsidRPr="005D3D86">
        <w:rPr>
          <w:szCs w:val="18"/>
        </w:rPr>
        <w:t>onfidence—identify the extent to which we have confidence about the impact of the threat on the species;</w:t>
      </w:r>
    </w:p>
    <w:p w14:paraId="442E5B6D" w14:textId="77777777" w:rsidR="00350498" w:rsidRPr="005D3D86" w:rsidRDefault="00350498" w:rsidP="00350498">
      <w:pPr>
        <w:pStyle w:val="TableText"/>
        <w:spacing w:before="0" w:after="0"/>
        <w:rPr>
          <w:szCs w:val="18"/>
        </w:rPr>
      </w:pPr>
      <w:r w:rsidRPr="005D3D86">
        <w:rPr>
          <w:szCs w:val="18"/>
        </w:rPr>
        <w:t>Consequence—identify the severity of the threat;</w:t>
      </w:r>
    </w:p>
    <w:p w14:paraId="417630F3" w14:textId="77777777" w:rsidR="00350498" w:rsidRPr="00D84DDE" w:rsidRDefault="00350498" w:rsidP="00350498">
      <w:pPr>
        <w:pStyle w:val="TableText"/>
        <w:spacing w:before="0" w:after="0"/>
      </w:pPr>
      <w:r w:rsidRPr="00D84DDE">
        <w:t>Trend—identify the extent to which it will continue to operate on the species;</w:t>
      </w:r>
    </w:p>
    <w:p w14:paraId="6E40B7A3" w14:textId="77777777" w:rsidR="00350498" w:rsidRDefault="00350498" w:rsidP="00350498">
      <w:pPr>
        <w:pStyle w:val="TableText"/>
        <w:spacing w:before="0" w:after="0"/>
      </w:pPr>
      <w:r w:rsidRPr="00D84DDE">
        <w:t>Extent—identify its spatial content in terms of the range of the species.</w:t>
      </w:r>
    </w:p>
    <w:p w14:paraId="43D1CE7E" w14:textId="77777777" w:rsidR="00350498" w:rsidRPr="000E5A34" w:rsidRDefault="00350498" w:rsidP="00350498">
      <w:bookmarkStart w:id="7" w:name="_Ref43127879"/>
    </w:p>
    <w:p w14:paraId="62EB8F5D" w14:textId="77777777" w:rsidR="00350498" w:rsidRPr="001A3C77" w:rsidRDefault="00350498" w:rsidP="00350498">
      <w:pPr>
        <w:pStyle w:val="Caption"/>
      </w:pPr>
      <w:r>
        <w:t xml:space="preserve">Table </w:t>
      </w:r>
      <w:bookmarkEnd w:id="7"/>
      <w:r w:rsidRPr="6A012BED">
        <w:rPr>
          <w:noProof/>
        </w:rPr>
        <w:t>3</w:t>
      </w:r>
      <w:r>
        <w:t xml:space="preserve"> non-parasitic lamprey risk matrix</w:t>
      </w:r>
    </w:p>
    <w:tbl>
      <w:tblPr>
        <w:tblStyle w:val="TableGrid"/>
        <w:tblW w:w="0" w:type="auto"/>
        <w:tblLook w:val="04A0" w:firstRow="1" w:lastRow="0" w:firstColumn="1" w:lastColumn="0" w:noHBand="0" w:noVBand="1"/>
      </w:tblPr>
      <w:tblGrid>
        <w:gridCol w:w="1428"/>
        <w:gridCol w:w="1422"/>
        <w:gridCol w:w="1396"/>
        <w:gridCol w:w="1425"/>
        <w:gridCol w:w="1929"/>
        <w:gridCol w:w="1460"/>
      </w:tblGrid>
      <w:tr w:rsidR="00350498" w14:paraId="4BFF5596" w14:textId="77777777" w:rsidTr="007F30CA">
        <w:trPr>
          <w:cantSplit/>
          <w:tblHeader/>
        </w:trPr>
        <w:tc>
          <w:tcPr>
            <w:tcW w:w="1510" w:type="dxa"/>
            <w:vMerge w:val="restart"/>
          </w:tcPr>
          <w:p w14:paraId="01E7C997" w14:textId="77777777" w:rsidR="00350498" w:rsidRDefault="00350498" w:rsidP="007F30CA">
            <w:pPr>
              <w:pStyle w:val="TableHeading"/>
            </w:pPr>
            <w:r>
              <w:t>Likelihood</w:t>
            </w:r>
          </w:p>
        </w:tc>
        <w:tc>
          <w:tcPr>
            <w:tcW w:w="7550" w:type="dxa"/>
            <w:gridSpan w:val="5"/>
          </w:tcPr>
          <w:p w14:paraId="342D616D" w14:textId="77777777" w:rsidR="00350498" w:rsidRDefault="00350498" w:rsidP="007F30CA">
            <w:pPr>
              <w:pStyle w:val="TableHeading"/>
            </w:pPr>
            <w:r>
              <w:t>Consequences</w:t>
            </w:r>
          </w:p>
        </w:tc>
      </w:tr>
      <w:tr w:rsidR="00350498" w14:paraId="3C900C77" w14:textId="77777777" w:rsidTr="007F30CA">
        <w:trPr>
          <w:cantSplit/>
          <w:tblHeader/>
        </w:trPr>
        <w:tc>
          <w:tcPr>
            <w:tcW w:w="1510" w:type="dxa"/>
            <w:vMerge/>
          </w:tcPr>
          <w:p w14:paraId="1D8334CF" w14:textId="77777777" w:rsidR="00350498" w:rsidRDefault="00350498" w:rsidP="007F30CA">
            <w:pPr>
              <w:pStyle w:val="TableHeading"/>
            </w:pPr>
          </w:p>
        </w:tc>
        <w:tc>
          <w:tcPr>
            <w:tcW w:w="1510" w:type="dxa"/>
          </w:tcPr>
          <w:p w14:paraId="4D8DB075" w14:textId="77777777" w:rsidR="00350498" w:rsidRDefault="00350498" w:rsidP="007F30CA">
            <w:pPr>
              <w:pStyle w:val="TableHeading"/>
            </w:pPr>
            <w:r>
              <w:t>Not significant</w:t>
            </w:r>
          </w:p>
        </w:tc>
        <w:tc>
          <w:tcPr>
            <w:tcW w:w="1510" w:type="dxa"/>
          </w:tcPr>
          <w:p w14:paraId="4FB74860" w14:textId="77777777" w:rsidR="00350498" w:rsidRDefault="00350498" w:rsidP="007F30CA">
            <w:pPr>
              <w:pStyle w:val="TableHeading"/>
            </w:pPr>
            <w:r>
              <w:t>Minor</w:t>
            </w:r>
          </w:p>
        </w:tc>
        <w:tc>
          <w:tcPr>
            <w:tcW w:w="1510" w:type="dxa"/>
          </w:tcPr>
          <w:p w14:paraId="45607CD7" w14:textId="77777777" w:rsidR="00350498" w:rsidRDefault="00350498" w:rsidP="007F30CA">
            <w:pPr>
              <w:pStyle w:val="TableHeading"/>
            </w:pPr>
            <w:r>
              <w:t>Moderate</w:t>
            </w:r>
          </w:p>
        </w:tc>
        <w:tc>
          <w:tcPr>
            <w:tcW w:w="1510" w:type="dxa"/>
          </w:tcPr>
          <w:p w14:paraId="21A22883" w14:textId="77777777" w:rsidR="00350498" w:rsidRDefault="00350498" w:rsidP="007F30CA">
            <w:pPr>
              <w:pStyle w:val="TableHeading"/>
            </w:pPr>
            <w:r>
              <w:t>Major</w:t>
            </w:r>
          </w:p>
        </w:tc>
        <w:tc>
          <w:tcPr>
            <w:tcW w:w="1510" w:type="dxa"/>
          </w:tcPr>
          <w:p w14:paraId="64F8EC59" w14:textId="77777777" w:rsidR="00350498" w:rsidRDefault="00350498" w:rsidP="007F30CA">
            <w:pPr>
              <w:pStyle w:val="TableHeading"/>
            </w:pPr>
            <w:r>
              <w:t>Catastrophic</w:t>
            </w:r>
          </w:p>
        </w:tc>
      </w:tr>
      <w:tr w:rsidR="00350498" w14:paraId="3D0442E0" w14:textId="77777777" w:rsidTr="007F30CA">
        <w:tc>
          <w:tcPr>
            <w:tcW w:w="1510" w:type="dxa"/>
          </w:tcPr>
          <w:p w14:paraId="7D3B0DEA" w14:textId="77777777" w:rsidR="00350498" w:rsidRPr="00774EAA" w:rsidRDefault="00350498" w:rsidP="007F30CA">
            <w:pPr>
              <w:pStyle w:val="TableText"/>
              <w:rPr>
                <w:rStyle w:val="Strong"/>
              </w:rPr>
            </w:pPr>
            <w:r w:rsidRPr="00774EAA">
              <w:rPr>
                <w:rStyle w:val="Strong"/>
              </w:rPr>
              <w:t>Almost certain</w:t>
            </w:r>
          </w:p>
        </w:tc>
        <w:tc>
          <w:tcPr>
            <w:tcW w:w="1510" w:type="dxa"/>
            <w:shd w:val="clear" w:color="auto" w:fill="C9C9C9" w:themeFill="accent3" w:themeFillTint="99"/>
          </w:tcPr>
          <w:p w14:paraId="5D91BE4C" w14:textId="77777777" w:rsidR="00350498" w:rsidRDefault="00350498" w:rsidP="007F30CA">
            <w:pPr>
              <w:pStyle w:val="TableText"/>
            </w:pPr>
            <w:r>
              <w:t>Low risk</w:t>
            </w:r>
          </w:p>
        </w:tc>
        <w:tc>
          <w:tcPr>
            <w:tcW w:w="1510" w:type="dxa"/>
            <w:shd w:val="clear" w:color="auto" w:fill="ACB9CA" w:themeFill="text2" w:themeFillTint="66"/>
          </w:tcPr>
          <w:p w14:paraId="3B3E3FDA" w14:textId="77777777" w:rsidR="00350498" w:rsidRDefault="00350498" w:rsidP="007F30CA">
            <w:pPr>
              <w:pStyle w:val="TableText"/>
            </w:pPr>
            <w:r>
              <w:t>Moderate risk</w:t>
            </w:r>
          </w:p>
        </w:tc>
        <w:tc>
          <w:tcPr>
            <w:tcW w:w="1510" w:type="dxa"/>
            <w:shd w:val="clear" w:color="auto" w:fill="F4B083" w:themeFill="accent2" w:themeFillTint="99"/>
          </w:tcPr>
          <w:p w14:paraId="5E246AA8" w14:textId="77777777" w:rsidR="00350498" w:rsidRDefault="00350498" w:rsidP="007F30CA">
            <w:pPr>
              <w:pStyle w:val="TableText"/>
            </w:pPr>
            <w:r>
              <w:t>Very high risk</w:t>
            </w:r>
          </w:p>
        </w:tc>
        <w:tc>
          <w:tcPr>
            <w:tcW w:w="1510" w:type="dxa"/>
            <w:shd w:val="clear" w:color="auto" w:fill="F4B083" w:themeFill="accent2" w:themeFillTint="99"/>
          </w:tcPr>
          <w:p w14:paraId="361C8E6A" w14:textId="77777777" w:rsidR="00350498" w:rsidRDefault="00350498" w:rsidP="007F30CA">
            <w:pPr>
              <w:pStyle w:val="TableText"/>
            </w:pPr>
            <w:r>
              <w:t xml:space="preserve">Very high risk </w:t>
            </w:r>
            <w:r w:rsidRPr="6A012BED">
              <w:rPr>
                <w:b/>
                <w:bCs/>
              </w:rPr>
              <w:t>Habitat degradation/loss</w:t>
            </w:r>
          </w:p>
        </w:tc>
        <w:tc>
          <w:tcPr>
            <w:tcW w:w="1510" w:type="dxa"/>
            <w:shd w:val="clear" w:color="auto" w:fill="F4B083" w:themeFill="accent2" w:themeFillTint="99"/>
          </w:tcPr>
          <w:p w14:paraId="00905B1E" w14:textId="77777777" w:rsidR="00350498" w:rsidRDefault="00350498" w:rsidP="007F30CA">
            <w:pPr>
              <w:pStyle w:val="TableText"/>
            </w:pPr>
            <w:r>
              <w:t>Very high risk</w:t>
            </w:r>
          </w:p>
        </w:tc>
      </w:tr>
      <w:tr w:rsidR="00350498" w14:paraId="5D360A6D" w14:textId="77777777" w:rsidTr="007F30CA">
        <w:tc>
          <w:tcPr>
            <w:tcW w:w="1510" w:type="dxa"/>
          </w:tcPr>
          <w:p w14:paraId="67864EF6" w14:textId="77777777" w:rsidR="00350498" w:rsidRPr="00774EAA" w:rsidRDefault="00350498" w:rsidP="007F30CA">
            <w:pPr>
              <w:pStyle w:val="TableText"/>
              <w:rPr>
                <w:rStyle w:val="Strong"/>
              </w:rPr>
            </w:pPr>
            <w:r w:rsidRPr="00774EAA">
              <w:rPr>
                <w:rStyle w:val="Strong"/>
              </w:rPr>
              <w:t>Likely</w:t>
            </w:r>
          </w:p>
        </w:tc>
        <w:tc>
          <w:tcPr>
            <w:tcW w:w="1510" w:type="dxa"/>
            <w:shd w:val="clear" w:color="auto" w:fill="C9C9C9" w:themeFill="accent3" w:themeFillTint="99"/>
          </w:tcPr>
          <w:p w14:paraId="26901287" w14:textId="77777777" w:rsidR="00350498" w:rsidRDefault="00350498" w:rsidP="007F30CA">
            <w:pPr>
              <w:pStyle w:val="TableText"/>
            </w:pPr>
            <w:r>
              <w:t>Low risk</w:t>
            </w:r>
          </w:p>
        </w:tc>
        <w:tc>
          <w:tcPr>
            <w:tcW w:w="1510" w:type="dxa"/>
            <w:shd w:val="clear" w:color="auto" w:fill="ACB9CA" w:themeFill="text2" w:themeFillTint="66"/>
          </w:tcPr>
          <w:p w14:paraId="002392BF" w14:textId="77777777" w:rsidR="00350498" w:rsidRDefault="00350498" w:rsidP="007F30CA">
            <w:pPr>
              <w:pStyle w:val="TableText"/>
            </w:pPr>
            <w:r>
              <w:t>Moderate risk</w:t>
            </w:r>
          </w:p>
        </w:tc>
        <w:tc>
          <w:tcPr>
            <w:tcW w:w="1510" w:type="dxa"/>
            <w:shd w:val="clear" w:color="auto" w:fill="FFFF00"/>
          </w:tcPr>
          <w:p w14:paraId="6FC16AB9" w14:textId="77777777" w:rsidR="00350498" w:rsidRDefault="00350498" w:rsidP="007F30CA">
            <w:pPr>
              <w:pStyle w:val="TableText"/>
            </w:pPr>
            <w:r>
              <w:t>High risk</w:t>
            </w:r>
          </w:p>
        </w:tc>
        <w:tc>
          <w:tcPr>
            <w:tcW w:w="1510" w:type="dxa"/>
            <w:shd w:val="clear" w:color="auto" w:fill="F4B083" w:themeFill="accent2" w:themeFillTint="99"/>
          </w:tcPr>
          <w:p w14:paraId="6A282408" w14:textId="77777777" w:rsidR="00350498" w:rsidRDefault="00350498" w:rsidP="007F30CA">
            <w:pPr>
              <w:pStyle w:val="TableText"/>
            </w:pPr>
            <w:r>
              <w:t>Very high risk</w:t>
            </w:r>
          </w:p>
          <w:p w14:paraId="20FB33A1" w14:textId="77777777" w:rsidR="00350498" w:rsidRPr="00286D61" w:rsidRDefault="00350498" w:rsidP="007F30CA">
            <w:pPr>
              <w:pStyle w:val="TableText"/>
              <w:rPr>
                <w:b/>
              </w:rPr>
            </w:pPr>
            <w:r w:rsidRPr="000E5A34">
              <w:rPr>
                <w:b/>
              </w:rPr>
              <w:t>Increase in fire frequency/intensity;</w:t>
            </w:r>
            <w:r>
              <w:rPr>
                <w:b/>
              </w:rPr>
              <w:t xml:space="preserve"> </w:t>
            </w:r>
            <w:r w:rsidRPr="000E5A34">
              <w:rPr>
                <w:b/>
              </w:rPr>
              <w:t>Change to precipitation patterns</w:t>
            </w:r>
          </w:p>
        </w:tc>
        <w:tc>
          <w:tcPr>
            <w:tcW w:w="1510" w:type="dxa"/>
            <w:shd w:val="clear" w:color="auto" w:fill="F4B083" w:themeFill="accent2" w:themeFillTint="99"/>
          </w:tcPr>
          <w:p w14:paraId="5FF87078" w14:textId="77777777" w:rsidR="00350498" w:rsidRDefault="00350498" w:rsidP="007F30CA">
            <w:pPr>
              <w:pStyle w:val="TableText"/>
            </w:pPr>
            <w:r>
              <w:t>Very high risk</w:t>
            </w:r>
          </w:p>
          <w:p w14:paraId="58FF8249" w14:textId="77777777" w:rsidR="00350498" w:rsidRDefault="00350498" w:rsidP="007F30CA">
            <w:pPr>
              <w:pStyle w:val="TableText"/>
            </w:pPr>
          </w:p>
        </w:tc>
      </w:tr>
      <w:tr w:rsidR="00350498" w14:paraId="35ECEBEA" w14:textId="77777777" w:rsidTr="007F30CA">
        <w:tc>
          <w:tcPr>
            <w:tcW w:w="1510" w:type="dxa"/>
          </w:tcPr>
          <w:p w14:paraId="7D3AE49D" w14:textId="77777777" w:rsidR="00350498" w:rsidRPr="00774EAA" w:rsidRDefault="00350498" w:rsidP="007F30CA">
            <w:pPr>
              <w:pStyle w:val="TableText"/>
              <w:rPr>
                <w:rStyle w:val="Strong"/>
              </w:rPr>
            </w:pPr>
            <w:r w:rsidRPr="00774EAA">
              <w:rPr>
                <w:rStyle w:val="Strong"/>
              </w:rPr>
              <w:t>Possible</w:t>
            </w:r>
          </w:p>
        </w:tc>
        <w:tc>
          <w:tcPr>
            <w:tcW w:w="1510" w:type="dxa"/>
            <w:shd w:val="clear" w:color="auto" w:fill="C9C9C9" w:themeFill="accent3" w:themeFillTint="99"/>
          </w:tcPr>
          <w:p w14:paraId="57616640" w14:textId="77777777" w:rsidR="00350498" w:rsidRDefault="00350498" w:rsidP="007F30CA">
            <w:pPr>
              <w:pStyle w:val="TableText"/>
            </w:pPr>
            <w:r>
              <w:t>Low risk</w:t>
            </w:r>
          </w:p>
          <w:p w14:paraId="4E9C91F8" w14:textId="77777777" w:rsidR="00350498" w:rsidRPr="00742FA3" w:rsidRDefault="00350498" w:rsidP="007F30CA">
            <w:pPr>
              <w:pStyle w:val="TableText"/>
              <w:rPr>
                <w:b/>
                <w:bCs/>
              </w:rPr>
            </w:pPr>
          </w:p>
        </w:tc>
        <w:tc>
          <w:tcPr>
            <w:tcW w:w="1510" w:type="dxa"/>
            <w:shd w:val="clear" w:color="auto" w:fill="ACB9CA" w:themeFill="text2" w:themeFillTint="66"/>
          </w:tcPr>
          <w:p w14:paraId="6798C66F" w14:textId="77777777" w:rsidR="00350498" w:rsidRDefault="00350498" w:rsidP="007F30CA">
            <w:pPr>
              <w:pStyle w:val="TableText"/>
            </w:pPr>
            <w:r>
              <w:t>Moderate risk</w:t>
            </w:r>
          </w:p>
          <w:p w14:paraId="6B018D61" w14:textId="77777777" w:rsidR="00350498" w:rsidRDefault="00350498" w:rsidP="007F30CA">
            <w:pPr>
              <w:pStyle w:val="TableText"/>
            </w:pPr>
          </w:p>
        </w:tc>
        <w:tc>
          <w:tcPr>
            <w:tcW w:w="1510" w:type="dxa"/>
            <w:shd w:val="clear" w:color="auto" w:fill="FFFF00"/>
          </w:tcPr>
          <w:p w14:paraId="3599A226" w14:textId="77777777" w:rsidR="00350498" w:rsidRDefault="00350498" w:rsidP="007F30CA">
            <w:pPr>
              <w:pStyle w:val="TableText"/>
            </w:pPr>
            <w:r>
              <w:t>High risk</w:t>
            </w:r>
          </w:p>
          <w:p w14:paraId="61EE5276" w14:textId="77777777" w:rsidR="00350498" w:rsidRDefault="00350498" w:rsidP="007F30CA">
            <w:pPr>
              <w:pStyle w:val="TableText"/>
            </w:pPr>
            <w:r w:rsidRPr="00742FA3">
              <w:rPr>
                <w:b/>
                <w:bCs/>
              </w:rPr>
              <w:t>Instream barriers to movement</w:t>
            </w:r>
          </w:p>
        </w:tc>
        <w:tc>
          <w:tcPr>
            <w:tcW w:w="1510" w:type="dxa"/>
            <w:shd w:val="clear" w:color="auto" w:fill="F4B083" w:themeFill="accent2" w:themeFillTint="99"/>
          </w:tcPr>
          <w:p w14:paraId="0EDE5DB9" w14:textId="77777777" w:rsidR="00350498" w:rsidRDefault="00350498" w:rsidP="007F30CA">
            <w:pPr>
              <w:pStyle w:val="TableText"/>
            </w:pPr>
            <w:r>
              <w:t>Very high risk</w:t>
            </w:r>
          </w:p>
        </w:tc>
        <w:tc>
          <w:tcPr>
            <w:tcW w:w="1510" w:type="dxa"/>
            <w:shd w:val="clear" w:color="auto" w:fill="F4B083" w:themeFill="accent2" w:themeFillTint="99"/>
          </w:tcPr>
          <w:p w14:paraId="03BE486B" w14:textId="77777777" w:rsidR="00350498" w:rsidRDefault="00350498" w:rsidP="007F30CA">
            <w:pPr>
              <w:pStyle w:val="TableText"/>
            </w:pPr>
            <w:r>
              <w:t>Very high risk</w:t>
            </w:r>
          </w:p>
        </w:tc>
      </w:tr>
      <w:tr w:rsidR="00350498" w14:paraId="6B8598F0" w14:textId="77777777" w:rsidTr="007F30CA">
        <w:tc>
          <w:tcPr>
            <w:tcW w:w="1510" w:type="dxa"/>
          </w:tcPr>
          <w:p w14:paraId="5D234EF1" w14:textId="77777777" w:rsidR="00350498" w:rsidRPr="00774EAA" w:rsidRDefault="00350498" w:rsidP="007F30CA">
            <w:pPr>
              <w:pStyle w:val="TableText"/>
              <w:rPr>
                <w:rStyle w:val="Strong"/>
              </w:rPr>
            </w:pPr>
            <w:r w:rsidRPr="00774EAA">
              <w:rPr>
                <w:rStyle w:val="Strong"/>
              </w:rPr>
              <w:t>Unlikely</w:t>
            </w:r>
          </w:p>
        </w:tc>
        <w:tc>
          <w:tcPr>
            <w:tcW w:w="1510" w:type="dxa"/>
            <w:shd w:val="clear" w:color="auto" w:fill="C9C9C9" w:themeFill="accent3" w:themeFillTint="99"/>
          </w:tcPr>
          <w:p w14:paraId="2E9852B6" w14:textId="77777777" w:rsidR="00350498" w:rsidRDefault="00350498" w:rsidP="007F30CA">
            <w:pPr>
              <w:pStyle w:val="TableText"/>
            </w:pPr>
            <w:r>
              <w:t>Low risk</w:t>
            </w:r>
          </w:p>
        </w:tc>
        <w:tc>
          <w:tcPr>
            <w:tcW w:w="1510" w:type="dxa"/>
            <w:shd w:val="clear" w:color="auto" w:fill="C9C9C9" w:themeFill="accent3" w:themeFillTint="99"/>
          </w:tcPr>
          <w:p w14:paraId="24A9DDD2" w14:textId="77777777" w:rsidR="00350498" w:rsidRDefault="00350498" w:rsidP="007F30CA">
            <w:pPr>
              <w:pStyle w:val="TableText"/>
            </w:pPr>
            <w:r>
              <w:t>Low risk</w:t>
            </w:r>
          </w:p>
        </w:tc>
        <w:tc>
          <w:tcPr>
            <w:tcW w:w="1510" w:type="dxa"/>
            <w:shd w:val="clear" w:color="auto" w:fill="ACB9CA" w:themeFill="text2" w:themeFillTint="66"/>
          </w:tcPr>
          <w:p w14:paraId="23AF82A1" w14:textId="77777777" w:rsidR="00350498" w:rsidRDefault="00350498" w:rsidP="007F30CA">
            <w:pPr>
              <w:pStyle w:val="TableText"/>
            </w:pPr>
            <w:r>
              <w:t>Moderate risk</w:t>
            </w:r>
          </w:p>
        </w:tc>
        <w:tc>
          <w:tcPr>
            <w:tcW w:w="1510" w:type="dxa"/>
            <w:shd w:val="clear" w:color="auto" w:fill="FFFF00"/>
          </w:tcPr>
          <w:p w14:paraId="1F331CF4" w14:textId="77777777" w:rsidR="00350498" w:rsidRDefault="00350498" w:rsidP="007F30CA">
            <w:pPr>
              <w:pStyle w:val="TableText"/>
            </w:pPr>
            <w:r>
              <w:t>High risk</w:t>
            </w:r>
          </w:p>
        </w:tc>
        <w:tc>
          <w:tcPr>
            <w:tcW w:w="1510" w:type="dxa"/>
            <w:shd w:val="clear" w:color="auto" w:fill="F4B083" w:themeFill="accent2" w:themeFillTint="99"/>
          </w:tcPr>
          <w:p w14:paraId="06EA748A" w14:textId="77777777" w:rsidR="00350498" w:rsidRDefault="00350498" w:rsidP="007F30CA">
            <w:pPr>
              <w:pStyle w:val="TableText"/>
            </w:pPr>
            <w:r>
              <w:t>Very high risk</w:t>
            </w:r>
          </w:p>
        </w:tc>
      </w:tr>
      <w:tr w:rsidR="00350498" w14:paraId="59FEDD07" w14:textId="77777777" w:rsidTr="007F30CA">
        <w:tc>
          <w:tcPr>
            <w:tcW w:w="1510" w:type="dxa"/>
          </w:tcPr>
          <w:p w14:paraId="7F4921F9" w14:textId="77777777" w:rsidR="00350498" w:rsidRPr="00774EAA" w:rsidRDefault="00350498" w:rsidP="007F30CA">
            <w:pPr>
              <w:pStyle w:val="TableText"/>
              <w:rPr>
                <w:rStyle w:val="Strong"/>
              </w:rPr>
            </w:pPr>
            <w:r w:rsidRPr="00774EAA">
              <w:rPr>
                <w:rStyle w:val="Strong"/>
              </w:rPr>
              <w:t>Unknown</w:t>
            </w:r>
          </w:p>
        </w:tc>
        <w:tc>
          <w:tcPr>
            <w:tcW w:w="1510" w:type="dxa"/>
            <w:shd w:val="clear" w:color="auto" w:fill="C9C9C9" w:themeFill="accent3" w:themeFillTint="99"/>
          </w:tcPr>
          <w:p w14:paraId="33A95826" w14:textId="77777777" w:rsidR="00350498" w:rsidRDefault="00350498" w:rsidP="007F30CA">
            <w:pPr>
              <w:pStyle w:val="TableText"/>
            </w:pPr>
            <w:r>
              <w:t>Low risk</w:t>
            </w:r>
          </w:p>
        </w:tc>
        <w:tc>
          <w:tcPr>
            <w:tcW w:w="1510" w:type="dxa"/>
            <w:shd w:val="clear" w:color="auto" w:fill="C9C9C9" w:themeFill="accent3" w:themeFillTint="99"/>
          </w:tcPr>
          <w:p w14:paraId="02A78C0A" w14:textId="77777777" w:rsidR="00350498" w:rsidRDefault="00350498" w:rsidP="007F30CA">
            <w:pPr>
              <w:pStyle w:val="TableText"/>
            </w:pPr>
            <w:r>
              <w:t>Low risk</w:t>
            </w:r>
          </w:p>
        </w:tc>
        <w:tc>
          <w:tcPr>
            <w:tcW w:w="1510" w:type="dxa"/>
            <w:shd w:val="clear" w:color="auto" w:fill="ACB9CA" w:themeFill="text2" w:themeFillTint="66"/>
          </w:tcPr>
          <w:p w14:paraId="70B41420" w14:textId="77777777" w:rsidR="00350498" w:rsidRDefault="00350498" w:rsidP="007F30CA">
            <w:pPr>
              <w:pStyle w:val="TableText"/>
            </w:pPr>
            <w:r>
              <w:t>Moderate risk</w:t>
            </w:r>
          </w:p>
        </w:tc>
        <w:tc>
          <w:tcPr>
            <w:tcW w:w="1510" w:type="dxa"/>
            <w:shd w:val="clear" w:color="auto" w:fill="FFFF00"/>
          </w:tcPr>
          <w:p w14:paraId="47750E2E" w14:textId="77777777" w:rsidR="00350498" w:rsidRDefault="00350498" w:rsidP="007F30CA">
            <w:pPr>
              <w:pStyle w:val="TableText"/>
            </w:pPr>
            <w:r>
              <w:t>High risk</w:t>
            </w:r>
          </w:p>
        </w:tc>
        <w:tc>
          <w:tcPr>
            <w:tcW w:w="1510" w:type="dxa"/>
            <w:shd w:val="clear" w:color="auto" w:fill="F4B083" w:themeFill="accent2" w:themeFillTint="99"/>
          </w:tcPr>
          <w:p w14:paraId="70ADE388" w14:textId="77777777" w:rsidR="00350498" w:rsidRDefault="00350498" w:rsidP="007F30CA">
            <w:pPr>
              <w:pStyle w:val="TableText"/>
            </w:pPr>
            <w:r>
              <w:t>Very high risk</w:t>
            </w:r>
          </w:p>
        </w:tc>
      </w:tr>
    </w:tbl>
    <w:p w14:paraId="217242DE" w14:textId="77777777" w:rsidR="00350498" w:rsidRDefault="00350498" w:rsidP="00350498">
      <w:pPr>
        <w:pStyle w:val="TableText"/>
        <w:spacing w:before="0" w:after="0"/>
      </w:pPr>
      <w:bookmarkStart w:id="8" w:name="_Toc430782162"/>
      <w:bookmarkStart w:id="9" w:name="_Toc511376531"/>
    </w:p>
    <w:p w14:paraId="377BF2A6" w14:textId="77777777" w:rsidR="00350498" w:rsidRPr="00D84DDE" w:rsidRDefault="00350498" w:rsidP="00350498">
      <w:pPr>
        <w:pStyle w:val="TableText"/>
        <w:spacing w:before="0" w:after="0"/>
      </w:pPr>
    </w:p>
    <w:p w14:paraId="2918A665" w14:textId="77777777" w:rsidR="00350498" w:rsidRPr="002A5012" w:rsidRDefault="00350498" w:rsidP="00350498">
      <w:pPr>
        <w:pStyle w:val="Heading2"/>
        <w:ind w:left="720" w:hanging="720"/>
        <w:rPr>
          <w:rFonts w:asciiTheme="majorHAnsi" w:hAnsiTheme="majorHAnsi"/>
          <w:color w:val="auto"/>
        </w:rPr>
      </w:pPr>
      <w:r w:rsidRPr="002A5012">
        <w:rPr>
          <w:color w:val="auto"/>
        </w:rPr>
        <w:t>Conservation and recovery actions</w:t>
      </w:r>
    </w:p>
    <w:p w14:paraId="31B42D3C" w14:textId="77777777" w:rsidR="00350498" w:rsidRPr="005D6F88" w:rsidRDefault="00350498" w:rsidP="005D6F88">
      <w:r w:rsidRPr="005D6F88">
        <w:t xml:space="preserve">Conservation and recovery actions for the non-parasitic lamprey are severely hampered by a lack of information about the species, even down to an inability to easily find or identify it (Docker 2009). There are large knowledge gaps regarding the species’ environmental preferences and tolerances, </w:t>
      </w:r>
      <w:r w:rsidRPr="005D6F88">
        <w:lastRenderedPageBreak/>
        <w:t>responses to perturbations, and even its basic taxonomy and distribution. This makes identifying relevant threats and then countering them with effective conservation and mitigation actions challenging (Silva et al. 2020). Some lessons can be transferred across from studies on the closely related short-headed lamprey, especially those actions relating to larvae (Hammer et al. 2009). However, most short-headed lamprey conservation work relates to its adult migration phase (Bice et al. 2019), which is not very relevant to the non-parasitic lamprey. In some cases, it may be more effective in terms of resources and conservation to manage both species together as a single unit where they are sympatric (Docker &amp; Hume 2019). However, each location should be managed independently to recognise the lack of geneflow between them, and the likelihood of significant genetic and environmental divergence.</w:t>
      </w:r>
    </w:p>
    <w:p w14:paraId="683827A4" w14:textId="77777777" w:rsidR="00350498" w:rsidRPr="002A5012" w:rsidRDefault="00350498" w:rsidP="00350498">
      <w:pPr>
        <w:pStyle w:val="Heading3"/>
        <w:spacing w:after="60" w:line="276" w:lineRule="auto"/>
        <w:ind w:left="964" w:hanging="964"/>
      </w:pPr>
      <w:r>
        <w:t>Primary conservation outcome</w:t>
      </w:r>
    </w:p>
    <w:p w14:paraId="6D7670F9" w14:textId="04B1011A" w:rsidR="00350498" w:rsidRPr="002F056F" w:rsidRDefault="00350498" w:rsidP="005D6F88">
      <w:pPr>
        <w:pStyle w:val="ListBullet"/>
        <w:rPr>
          <w:rFonts w:asciiTheme="minorHAnsi" w:hAnsiTheme="minorHAnsi"/>
          <w:sz w:val="22"/>
          <w:szCs w:val="22"/>
        </w:rPr>
      </w:pPr>
      <w:r w:rsidRPr="002F056F">
        <w:rPr>
          <w:rFonts w:asciiTheme="minorHAnsi" w:hAnsiTheme="minorHAnsi"/>
          <w:sz w:val="22"/>
          <w:szCs w:val="22"/>
        </w:rPr>
        <w:t>Stabilise current sub-populations and recover lost sub-populations.</w:t>
      </w:r>
    </w:p>
    <w:p w14:paraId="73D8EE73" w14:textId="77777777" w:rsidR="00350498" w:rsidRPr="002F056F" w:rsidRDefault="00350498" w:rsidP="005D6F88">
      <w:pPr>
        <w:pStyle w:val="ListBullet"/>
        <w:rPr>
          <w:rFonts w:asciiTheme="minorHAnsi" w:hAnsiTheme="minorHAnsi"/>
          <w:sz w:val="22"/>
          <w:szCs w:val="22"/>
        </w:rPr>
      </w:pPr>
      <w:r w:rsidRPr="002F056F">
        <w:rPr>
          <w:rFonts w:asciiTheme="minorHAnsi" w:hAnsiTheme="minorHAnsi"/>
          <w:sz w:val="22"/>
          <w:szCs w:val="22"/>
        </w:rPr>
        <w:t>Clarify the status of sub-populations so that recovery needs can be properly assessed and measured.</w:t>
      </w:r>
    </w:p>
    <w:p w14:paraId="04D29B56" w14:textId="77777777" w:rsidR="005D6F88" w:rsidRPr="005D6F88" w:rsidRDefault="005D6F88" w:rsidP="005D6F88">
      <w:pPr>
        <w:pStyle w:val="ListBullet"/>
        <w:numPr>
          <w:ilvl w:val="0"/>
          <w:numId w:val="0"/>
        </w:numPr>
        <w:ind w:left="786"/>
        <w:rPr>
          <w:rFonts w:asciiTheme="minorHAnsi" w:hAnsiTheme="minorHAnsi"/>
        </w:rPr>
      </w:pPr>
    </w:p>
    <w:p w14:paraId="6440A47E" w14:textId="77777777" w:rsidR="00350498" w:rsidRPr="002A5012" w:rsidRDefault="00350498" w:rsidP="00350498">
      <w:pPr>
        <w:pStyle w:val="Heading4"/>
        <w:spacing w:after="60" w:line="276" w:lineRule="auto"/>
        <w:ind w:left="964" w:hanging="964"/>
      </w:pPr>
      <w:r w:rsidRPr="002A5012">
        <w:t>Habitat loss, disturbance and modifications</w:t>
      </w:r>
    </w:p>
    <w:p w14:paraId="1EF35336" w14:textId="77777777" w:rsidR="00350498" w:rsidRPr="005D6F88" w:rsidRDefault="00350498" w:rsidP="005D6F88">
      <w:pPr>
        <w:pStyle w:val="ListBullet"/>
        <w:rPr>
          <w:rFonts w:asciiTheme="minorHAnsi" w:hAnsiTheme="minorHAnsi"/>
          <w:sz w:val="22"/>
          <w:szCs w:val="22"/>
        </w:rPr>
      </w:pPr>
      <w:r w:rsidRPr="005D6F88">
        <w:rPr>
          <w:rFonts w:asciiTheme="minorHAnsi" w:hAnsiTheme="minorHAnsi"/>
          <w:sz w:val="22"/>
          <w:szCs w:val="22"/>
          <w:lang w:eastAsia="en-AU"/>
        </w:rPr>
        <w:t>Identify the species’ breeding and non-breeding habitat locations and requirements, and evaluate factors influencing the quality and availability of suitable habitat across its distribution.</w:t>
      </w:r>
      <w:r w:rsidRPr="005D6F88">
        <w:rPr>
          <w:rFonts w:asciiTheme="minorHAnsi" w:hAnsiTheme="minorHAnsi"/>
          <w:sz w:val="22"/>
          <w:szCs w:val="22"/>
        </w:rPr>
        <w:t xml:space="preserve"> </w:t>
      </w:r>
    </w:p>
    <w:p w14:paraId="77CC057F" w14:textId="77777777" w:rsidR="00350498" w:rsidRPr="005D6F88" w:rsidRDefault="00350498" w:rsidP="005D6F88">
      <w:pPr>
        <w:pStyle w:val="ListBullet"/>
        <w:rPr>
          <w:rFonts w:asciiTheme="minorHAnsi" w:hAnsiTheme="minorHAnsi"/>
          <w:sz w:val="22"/>
          <w:szCs w:val="22"/>
          <w:lang w:eastAsia="en-AU"/>
        </w:rPr>
      </w:pPr>
      <w:r w:rsidRPr="005D6F88">
        <w:rPr>
          <w:rFonts w:asciiTheme="minorHAnsi" w:hAnsiTheme="minorHAnsi"/>
          <w:sz w:val="22"/>
          <w:szCs w:val="22"/>
        </w:rPr>
        <w:t xml:space="preserve">Assess the effectiveness of current land management practices in ameliorating disturbance to the habitat of the species, and revise management practices as necessary. </w:t>
      </w:r>
    </w:p>
    <w:p w14:paraId="68FBD2E5" w14:textId="77777777" w:rsidR="00350498" w:rsidRPr="005D6F88" w:rsidRDefault="00350498" w:rsidP="005D6F88">
      <w:pPr>
        <w:pStyle w:val="ListBullet"/>
        <w:rPr>
          <w:rFonts w:asciiTheme="minorHAnsi" w:hAnsiTheme="minorHAnsi"/>
          <w:sz w:val="22"/>
          <w:szCs w:val="22"/>
          <w:lang w:eastAsia="en-AU"/>
        </w:rPr>
      </w:pPr>
      <w:r w:rsidRPr="005D6F88">
        <w:rPr>
          <w:rFonts w:asciiTheme="minorHAnsi" w:hAnsiTheme="minorHAnsi"/>
          <w:sz w:val="22"/>
          <w:szCs w:val="22"/>
          <w:lang w:eastAsia="en-AU"/>
        </w:rPr>
        <w:t>Identify riparian areas responsible for increased erosion and sedimentation (particularly in the wake of bushfires).</w:t>
      </w:r>
    </w:p>
    <w:p w14:paraId="1FD67B7A" w14:textId="77777777" w:rsidR="00350498" w:rsidRPr="005D6F88" w:rsidRDefault="00350498" w:rsidP="005D6F88">
      <w:pPr>
        <w:pStyle w:val="ListBullet"/>
        <w:rPr>
          <w:rFonts w:asciiTheme="minorHAnsi" w:hAnsiTheme="minorHAnsi"/>
          <w:sz w:val="22"/>
          <w:szCs w:val="22"/>
          <w:lang w:eastAsia="en-AU"/>
        </w:rPr>
      </w:pPr>
      <w:r w:rsidRPr="005D6F88">
        <w:rPr>
          <w:rFonts w:asciiTheme="minorHAnsi" w:hAnsiTheme="minorHAnsi"/>
          <w:sz w:val="22"/>
          <w:szCs w:val="22"/>
          <w:lang w:eastAsia="en-AU"/>
        </w:rPr>
        <w:t xml:space="preserve">Conduct habitat restoration works to support the regeneration of riparian vegetation. </w:t>
      </w:r>
    </w:p>
    <w:p w14:paraId="024BBA76" w14:textId="77777777" w:rsidR="00350498" w:rsidRPr="005D6F88" w:rsidRDefault="00350498" w:rsidP="005D6F88">
      <w:pPr>
        <w:pStyle w:val="ListBullet"/>
        <w:rPr>
          <w:rFonts w:asciiTheme="minorHAnsi" w:hAnsiTheme="minorHAnsi"/>
          <w:sz w:val="22"/>
          <w:szCs w:val="22"/>
          <w:lang w:eastAsia="en-AU"/>
        </w:rPr>
      </w:pPr>
      <w:r w:rsidRPr="005D6F88">
        <w:rPr>
          <w:rFonts w:asciiTheme="minorHAnsi" w:hAnsiTheme="minorHAnsi"/>
          <w:sz w:val="22"/>
          <w:szCs w:val="22"/>
          <w:lang w:eastAsia="en-AU"/>
        </w:rPr>
        <w:t>Stabilise upstream areas responsible for sand slug material and remove instream sand where appropriate.</w:t>
      </w:r>
    </w:p>
    <w:p w14:paraId="15840595" w14:textId="77777777" w:rsidR="005D6F88" w:rsidRPr="008608F8" w:rsidRDefault="005D6F88" w:rsidP="005D6F88">
      <w:pPr>
        <w:pStyle w:val="ListBullet"/>
        <w:numPr>
          <w:ilvl w:val="0"/>
          <w:numId w:val="0"/>
        </w:numPr>
        <w:ind w:left="786"/>
        <w:rPr>
          <w:lang w:eastAsia="en-AU"/>
        </w:rPr>
      </w:pPr>
    </w:p>
    <w:p w14:paraId="2E3CEAC1" w14:textId="77777777" w:rsidR="00350498" w:rsidRPr="002A5012" w:rsidRDefault="00350498" w:rsidP="00350498">
      <w:pPr>
        <w:pStyle w:val="Heading3"/>
        <w:spacing w:after="60" w:line="276" w:lineRule="auto"/>
        <w:ind w:left="964" w:hanging="964"/>
      </w:pPr>
      <w:r w:rsidRPr="002A5012">
        <w:t>Conservation and management priorities</w:t>
      </w:r>
    </w:p>
    <w:p w14:paraId="7206B632" w14:textId="77777777" w:rsidR="00350498" w:rsidRPr="002A5012" w:rsidRDefault="00350498" w:rsidP="00350498">
      <w:pPr>
        <w:pStyle w:val="Heading4"/>
      </w:pPr>
      <w:r w:rsidRPr="002A5012">
        <w:t>2019-</w:t>
      </w:r>
      <w:r w:rsidRPr="002A5012">
        <w:rPr>
          <w:lang w:eastAsia="en-AU"/>
        </w:rPr>
        <w:t>20 bushfire response</w:t>
      </w:r>
      <w:r w:rsidRPr="002A5012" w:rsidDel="00CC29EE">
        <w:t xml:space="preserve"> </w:t>
      </w:r>
    </w:p>
    <w:p w14:paraId="068882F8" w14:textId="77777777" w:rsidR="00350498" w:rsidRPr="005D6F88" w:rsidRDefault="00350498" w:rsidP="005D6F88">
      <w:pPr>
        <w:pStyle w:val="ListBullet"/>
        <w:rPr>
          <w:rFonts w:asciiTheme="minorHAnsi" w:hAnsiTheme="minorHAnsi"/>
          <w:sz w:val="22"/>
          <w:szCs w:val="22"/>
          <w:lang w:eastAsia="en-AU"/>
        </w:rPr>
      </w:pPr>
      <w:r w:rsidRPr="005D6F88">
        <w:rPr>
          <w:rFonts w:asciiTheme="minorHAnsi" w:hAnsiTheme="minorHAnsi"/>
          <w:sz w:val="22"/>
          <w:szCs w:val="22"/>
          <w:lang w:eastAsia="en-AU"/>
        </w:rPr>
        <w:t xml:space="preserve">Conduct on-ground surveys to establish extent of population response to the 2019-20 bushfires and to provide a baseline for ongoing monitoring. The design of these surveys should reflect considerations in </w:t>
      </w:r>
      <w:proofErr w:type="spellStart"/>
      <w:r w:rsidRPr="005D6F88">
        <w:rPr>
          <w:rFonts w:asciiTheme="minorHAnsi" w:hAnsiTheme="minorHAnsi"/>
          <w:sz w:val="22"/>
          <w:szCs w:val="22"/>
          <w:lang w:eastAsia="en-AU"/>
        </w:rPr>
        <w:t>Southwell</w:t>
      </w:r>
      <w:proofErr w:type="spellEnd"/>
      <w:r w:rsidRPr="005D6F88">
        <w:rPr>
          <w:rFonts w:asciiTheme="minorHAnsi" w:hAnsiTheme="minorHAnsi"/>
          <w:sz w:val="22"/>
          <w:szCs w:val="22"/>
          <w:lang w:eastAsia="en-AU"/>
        </w:rPr>
        <w:t xml:space="preserve"> (2020). </w:t>
      </w:r>
    </w:p>
    <w:p w14:paraId="3E151FAA" w14:textId="77777777" w:rsidR="00350498" w:rsidRDefault="00350498" w:rsidP="005D6F88">
      <w:pPr>
        <w:pStyle w:val="ListBullet"/>
        <w:rPr>
          <w:rFonts w:asciiTheme="minorHAnsi" w:hAnsiTheme="minorHAnsi"/>
          <w:sz w:val="22"/>
          <w:szCs w:val="22"/>
          <w:lang w:eastAsia="en-AU"/>
        </w:rPr>
      </w:pPr>
      <w:r w:rsidRPr="005D6F88">
        <w:rPr>
          <w:rFonts w:asciiTheme="minorHAnsi" w:hAnsiTheme="minorHAnsi"/>
          <w:sz w:val="22"/>
          <w:szCs w:val="22"/>
          <w:lang w:eastAsia="en-AU"/>
        </w:rPr>
        <w:t xml:space="preserve">Establish the impact of fire retardants used to fight bushfires on fish populations. </w:t>
      </w:r>
    </w:p>
    <w:p w14:paraId="047F927B" w14:textId="77777777" w:rsidR="005D6F88" w:rsidRPr="005D6F88" w:rsidRDefault="005D6F88" w:rsidP="005D6F88">
      <w:pPr>
        <w:pStyle w:val="ListBullet"/>
        <w:numPr>
          <w:ilvl w:val="0"/>
          <w:numId w:val="0"/>
        </w:numPr>
        <w:ind w:left="786"/>
        <w:rPr>
          <w:rFonts w:asciiTheme="minorHAnsi" w:hAnsiTheme="minorHAnsi"/>
          <w:sz w:val="22"/>
          <w:szCs w:val="22"/>
          <w:lang w:eastAsia="en-AU"/>
        </w:rPr>
      </w:pPr>
    </w:p>
    <w:p w14:paraId="4B6C7FBE" w14:textId="77777777" w:rsidR="00350498" w:rsidRPr="002A5012" w:rsidRDefault="00350498" w:rsidP="00350498">
      <w:pPr>
        <w:pStyle w:val="Heading4"/>
        <w:spacing w:after="60" w:line="276" w:lineRule="auto"/>
        <w:ind w:left="964" w:hanging="964"/>
      </w:pPr>
      <w:r w:rsidRPr="002A5012">
        <w:t xml:space="preserve">Climate change-induced intensified drought and flooding </w:t>
      </w:r>
    </w:p>
    <w:p w14:paraId="1C6D84B3" w14:textId="77777777" w:rsidR="00350498" w:rsidRPr="005D6F88" w:rsidRDefault="00350498" w:rsidP="005D6F88">
      <w:pPr>
        <w:pStyle w:val="ListBullet"/>
        <w:rPr>
          <w:rFonts w:asciiTheme="minorHAnsi" w:hAnsiTheme="minorHAnsi"/>
          <w:sz w:val="22"/>
          <w:szCs w:val="22"/>
        </w:rPr>
      </w:pPr>
      <w:r w:rsidRPr="005D6F88">
        <w:rPr>
          <w:rFonts w:asciiTheme="minorHAnsi" w:hAnsiTheme="minorHAnsi"/>
          <w:sz w:val="22"/>
          <w:szCs w:val="22"/>
        </w:rPr>
        <w:t>Investigate</w:t>
      </w:r>
      <w:r w:rsidRPr="005D6F88">
        <w:rPr>
          <w:rFonts w:asciiTheme="minorHAnsi" w:hAnsiTheme="minorHAnsi"/>
          <w:bCs/>
          <w:sz w:val="22"/>
          <w:szCs w:val="22"/>
          <w:lang w:eastAsia="en-AU"/>
        </w:rPr>
        <w:t xml:space="preserve"> the </w:t>
      </w:r>
      <w:r w:rsidRPr="005D6F88">
        <w:rPr>
          <w:rFonts w:asciiTheme="minorHAnsi" w:hAnsiTheme="minorHAnsi"/>
          <w:sz w:val="22"/>
          <w:szCs w:val="22"/>
        </w:rPr>
        <w:t>impact of flooding on the species.</w:t>
      </w:r>
    </w:p>
    <w:p w14:paraId="3088975A" w14:textId="77777777" w:rsidR="00350498" w:rsidRDefault="00350498" w:rsidP="005D6F88">
      <w:pPr>
        <w:pStyle w:val="ListBullet"/>
        <w:rPr>
          <w:rFonts w:asciiTheme="minorHAnsi" w:hAnsiTheme="minorHAnsi"/>
          <w:sz w:val="22"/>
          <w:szCs w:val="22"/>
        </w:rPr>
      </w:pPr>
      <w:r w:rsidRPr="005D6F88">
        <w:rPr>
          <w:rFonts w:asciiTheme="minorHAnsi" w:hAnsiTheme="minorHAnsi"/>
          <w:sz w:val="22"/>
          <w:szCs w:val="22"/>
        </w:rPr>
        <w:t>Establish the importance of springs and groundwater on the species’ persistence during drought.</w:t>
      </w:r>
    </w:p>
    <w:p w14:paraId="07D48939" w14:textId="77777777" w:rsidR="005D6F88" w:rsidRPr="005D6F88" w:rsidRDefault="005D6F88" w:rsidP="005D6F88">
      <w:pPr>
        <w:pStyle w:val="ListBullet"/>
        <w:numPr>
          <w:ilvl w:val="0"/>
          <w:numId w:val="0"/>
        </w:numPr>
        <w:ind w:left="786"/>
        <w:rPr>
          <w:rFonts w:asciiTheme="minorHAnsi" w:hAnsiTheme="minorHAnsi"/>
          <w:sz w:val="22"/>
          <w:szCs w:val="22"/>
        </w:rPr>
      </w:pPr>
    </w:p>
    <w:p w14:paraId="032326C0" w14:textId="77777777" w:rsidR="00350498" w:rsidRPr="002A5012" w:rsidRDefault="00350498" w:rsidP="00350498">
      <w:pPr>
        <w:pStyle w:val="Heading3"/>
        <w:spacing w:after="120" w:line="276" w:lineRule="auto"/>
        <w:ind w:left="964" w:hanging="964"/>
      </w:pPr>
      <w:r w:rsidRPr="002A5012">
        <w:t>Stakeholder engagement/community engagement</w:t>
      </w:r>
    </w:p>
    <w:p w14:paraId="76923910" w14:textId="77777777" w:rsidR="00350498" w:rsidRPr="005D6F88" w:rsidRDefault="00350498" w:rsidP="005D6F88">
      <w:pPr>
        <w:pStyle w:val="ListBullet"/>
        <w:rPr>
          <w:rFonts w:asciiTheme="minorHAnsi" w:hAnsiTheme="minorHAnsi"/>
          <w:sz w:val="22"/>
          <w:szCs w:val="22"/>
        </w:rPr>
      </w:pPr>
      <w:r w:rsidRPr="005D6F88">
        <w:rPr>
          <w:rFonts w:asciiTheme="minorHAnsi" w:hAnsiTheme="minorHAnsi"/>
          <w:sz w:val="22"/>
          <w:szCs w:val="22"/>
        </w:rPr>
        <w:t>Work with landowners and managers to raise awareness of the importance of maintaining riparian zones as part of land management regulations.</w:t>
      </w:r>
    </w:p>
    <w:p w14:paraId="62A4062F" w14:textId="77777777" w:rsidR="00350498" w:rsidRPr="005D6F88" w:rsidRDefault="00350498" w:rsidP="005D6F88">
      <w:pPr>
        <w:pStyle w:val="ListBullet"/>
        <w:rPr>
          <w:rFonts w:asciiTheme="minorHAnsi" w:hAnsiTheme="minorHAnsi"/>
          <w:sz w:val="22"/>
          <w:szCs w:val="22"/>
        </w:rPr>
      </w:pPr>
      <w:r w:rsidRPr="005D6F88">
        <w:rPr>
          <w:rFonts w:asciiTheme="minorHAnsi" w:hAnsiTheme="minorHAnsi"/>
          <w:sz w:val="22"/>
          <w:szCs w:val="22"/>
        </w:rPr>
        <w:t xml:space="preserve">Provide input into the various impact assessment and planning processes on measures to protect </w:t>
      </w:r>
      <w:r w:rsidRPr="005D6F88">
        <w:rPr>
          <w:rFonts w:asciiTheme="minorHAnsi" w:hAnsiTheme="minorHAnsi" w:cstheme="minorHAnsi"/>
          <w:sz w:val="22"/>
          <w:szCs w:val="22"/>
        </w:rPr>
        <w:t xml:space="preserve">the non-parasitic lamprey </w:t>
      </w:r>
      <w:r w:rsidRPr="005D6F88">
        <w:rPr>
          <w:rFonts w:asciiTheme="minorHAnsi" w:hAnsiTheme="minorHAnsi"/>
          <w:sz w:val="22"/>
          <w:szCs w:val="22"/>
        </w:rPr>
        <w:t>and its habitat. These include water resource plans, park management plans, and environmental impact assessments.</w:t>
      </w:r>
    </w:p>
    <w:p w14:paraId="498E3515" w14:textId="77777777" w:rsidR="00350498" w:rsidRPr="005D6F88" w:rsidRDefault="00350498" w:rsidP="005D6F88">
      <w:pPr>
        <w:pStyle w:val="ListBullet"/>
        <w:rPr>
          <w:rFonts w:asciiTheme="minorHAnsi" w:hAnsiTheme="minorHAnsi"/>
          <w:sz w:val="22"/>
          <w:szCs w:val="22"/>
        </w:rPr>
      </w:pPr>
      <w:r w:rsidRPr="005D6F88">
        <w:rPr>
          <w:rFonts w:asciiTheme="minorHAnsi" w:hAnsiTheme="minorHAnsi"/>
          <w:sz w:val="22"/>
          <w:szCs w:val="22"/>
        </w:rPr>
        <w:lastRenderedPageBreak/>
        <w:t>Use workshops to aid stakeholders in developing the skills and knowledge required to manage threats to this species while undertaking these activities.</w:t>
      </w:r>
    </w:p>
    <w:p w14:paraId="6F9731B4" w14:textId="77777777" w:rsidR="00350498" w:rsidRDefault="00350498" w:rsidP="005D6F88">
      <w:pPr>
        <w:pStyle w:val="ListBullet"/>
        <w:rPr>
          <w:rFonts w:asciiTheme="minorHAnsi" w:hAnsiTheme="minorHAnsi"/>
          <w:sz w:val="22"/>
          <w:szCs w:val="22"/>
        </w:rPr>
      </w:pPr>
      <w:r w:rsidRPr="005D6F88">
        <w:rPr>
          <w:rFonts w:asciiTheme="minorHAnsi" w:hAnsiTheme="minorHAnsi"/>
          <w:sz w:val="22"/>
          <w:szCs w:val="22"/>
        </w:rPr>
        <w:t>Liaise with government agencies and stakeholders to ensure information on the non-parasitic lamprey subpopulations and threat identification and management is conveyed to land/water managers and included in relevant management processes.</w:t>
      </w:r>
    </w:p>
    <w:p w14:paraId="0342683D" w14:textId="77777777" w:rsidR="005D6F88" w:rsidRPr="005D6F88" w:rsidRDefault="005D6F88" w:rsidP="005D6F88">
      <w:pPr>
        <w:pStyle w:val="ListBullet"/>
        <w:numPr>
          <w:ilvl w:val="0"/>
          <w:numId w:val="0"/>
        </w:numPr>
        <w:ind w:left="786"/>
        <w:rPr>
          <w:rFonts w:asciiTheme="minorHAnsi" w:hAnsiTheme="minorHAnsi"/>
          <w:sz w:val="22"/>
          <w:szCs w:val="22"/>
        </w:rPr>
      </w:pPr>
    </w:p>
    <w:p w14:paraId="165AC6BF" w14:textId="77777777" w:rsidR="00350498" w:rsidRPr="002A5012" w:rsidRDefault="00350498" w:rsidP="00350498">
      <w:pPr>
        <w:pStyle w:val="Heading3"/>
        <w:spacing w:after="120" w:line="276" w:lineRule="auto"/>
        <w:ind w:left="964" w:hanging="964"/>
      </w:pPr>
      <w:r w:rsidRPr="002A5012">
        <w:t>Survey and monitoring priorities</w:t>
      </w:r>
    </w:p>
    <w:p w14:paraId="338746B5" w14:textId="77777777" w:rsidR="00350498" w:rsidRPr="00C650D4" w:rsidRDefault="00350498" w:rsidP="00C650D4">
      <w:pPr>
        <w:pStyle w:val="ListBullet"/>
        <w:rPr>
          <w:rFonts w:asciiTheme="minorHAnsi" w:hAnsiTheme="minorHAnsi"/>
          <w:sz w:val="22"/>
          <w:szCs w:val="22"/>
        </w:rPr>
      </w:pPr>
      <w:r w:rsidRPr="00C650D4">
        <w:rPr>
          <w:rFonts w:asciiTheme="minorHAnsi" w:hAnsiTheme="minorHAnsi"/>
          <w:sz w:val="22"/>
          <w:szCs w:val="22"/>
        </w:rPr>
        <w:t xml:space="preserve">Survey sites within the known distributional range of the species where the environment is considered likely to be suitable for the species to identify whether subpopulations exist that are previously unknown. </w:t>
      </w:r>
    </w:p>
    <w:p w14:paraId="67B065DE" w14:textId="77777777" w:rsidR="00350498" w:rsidRPr="00C650D4" w:rsidRDefault="00350498" w:rsidP="00C650D4">
      <w:pPr>
        <w:pStyle w:val="ListBullet"/>
        <w:rPr>
          <w:rFonts w:asciiTheme="minorHAnsi" w:hAnsiTheme="minorHAnsi" w:cs="Arial"/>
          <w:sz w:val="22"/>
          <w:szCs w:val="22"/>
          <w:lang w:eastAsia="en-AU"/>
        </w:rPr>
      </w:pPr>
      <w:r w:rsidRPr="00C650D4">
        <w:rPr>
          <w:rFonts w:asciiTheme="minorHAnsi" w:hAnsiTheme="minorHAnsi" w:cs="Arial"/>
          <w:sz w:val="22"/>
          <w:szCs w:val="22"/>
          <w:lang w:eastAsia="en-AU"/>
        </w:rPr>
        <w:t xml:space="preserve">Undertake </w:t>
      </w:r>
      <w:proofErr w:type="spellStart"/>
      <w:r w:rsidRPr="00C650D4">
        <w:rPr>
          <w:rFonts w:asciiTheme="minorHAnsi" w:hAnsiTheme="minorHAnsi" w:cs="Arial"/>
          <w:sz w:val="22"/>
          <w:szCs w:val="22"/>
          <w:lang w:eastAsia="en-AU"/>
        </w:rPr>
        <w:t>electrofisher</w:t>
      </w:r>
      <w:proofErr w:type="spellEnd"/>
      <w:r w:rsidRPr="00C650D4">
        <w:rPr>
          <w:rFonts w:asciiTheme="minorHAnsi" w:hAnsiTheme="minorHAnsi" w:cs="Arial"/>
          <w:sz w:val="22"/>
          <w:szCs w:val="22"/>
          <w:lang w:eastAsia="en-AU"/>
        </w:rPr>
        <w:t xml:space="preserve"> surveys to determine the current distribution and spatial, temporal, and demographic characteristics of the species.</w:t>
      </w:r>
    </w:p>
    <w:p w14:paraId="7540E6DD" w14:textId="77777777" w:rsidR="00350498" w:rsidRPr="00C650D4" w:rsidRDefault="00350498" w:rsidP="00C650D4">
      <w:pPr>
        <w:pStyle w:val="ListBullet"/>
        <w:rPr>
          <w:rFonts w:asciiTheme="minorHAnsi" w:hAnsiTheme="minorHAnsi" w:cs="Arial"/>
          <w:sz w:val="22"/>
          <w:szCs w:val="22"/>
          <w:lang w:eastAsia="en-AU"/>
        </w:rPr>
      </w:pPr>
      <w:r w:rsidRPr="00C650D4">
        <w:rPr>
          <w:rFonts w:asciiTheme="minorHAnsi" w:hAnsiTheme="minorHAnsi" w:cs="Arial"/>
          <w:sz w:val="22"/>
          <w:szCs w:val="22"/>
          <w:lang w:eastAsia="en-AU"/>
        </w:rPr>
        <w:t>Adopt non-traditional, passive techniques for surveying and monitoring to bolster current efforts and identify any new areas. These include: 1) environmental DNA (eDNA), 2) pheromones, 3) bile acid (</w:t>
      </w:r>
      <w:proofErr w:type="spellStart"/>
      <w:r w:rsidRPr="00C650D4">
        <w:rPr>
          <w:rFonts w:asciiTheme="minorHAnsi" w:hAnsiTheme="minorHAnsi" w:cs="Arial"/>
          <w:sz w:val="22"/>
          <w:szCs w:val="22"/>
          <w:lang w:eastAsia="en-AU"/>
        </w:rPr>
        <w:t>petromyzonol</w:t>
      </w:r>
      <w:proofErr w:type="spellEnd"/>
      <w:r w:rsidRPr="00C650D4">
        <w:rPr>
          <w:rFonts w:asciiTheme="minorHAnsi" w:hAnsiTheme="minorHAnsi" w:cs="Arial"/>
          <w:sz w:val="22"/>
          <w:szCs w:val="22"/>
          <w:lang w:eastAsia="en-AU"/>
        </w:rPr>
        <w:t xml:space="preserve"> </w:t>
      </w:r>
      <w:proofErr w:type="spellStart"/>
      <w:r w:rsidRPr="00C650D4">
        <w:rPr>
          <w:rFonts w:asciiTheme="minorHAnsi" w:hAnsiTheme="minorHAnsi" w:cs="Arial"/>
          <w:sz w:val="22"/>
          <w:szCs w:val="22"/>
          <w:lang w:eastAsia="en-AU"/>
        </w:rPr>
        <w:t>sulfate</w:t>
      </w:r>
      <w:proofErr w:type="spellEnd"/>
      <w:r w:rsidRPr="00C650D4">
        <w:rPr>
          <w:rFonts w:asciiTheme="minorHAnsi" w:hAnsiTheme="minorHAnsi" w:cs="Arial"/>
          <w:sz w:val="22"/>
          <w:szCs w:val="22"/>
          <w:lang w:eastAsia="en-AU"/>
        </w:rPr>
        <w:t>) (Miller et al. 2021).</w:t>
      </w:r>
    </w:p>
    <w:p w14:paraId="55E597BB" w14:textId="77777777" w:rsidR="00350498" w:rsidRDefault="00350498" w:rsidP="00C650D4">
      <w:pPr>
        <w:pStyle w:val="ListBullet"/>
        <w:rPr>
          <w:rFonts w:asciiTheme="minorHAnsi" w:hAnsiTheme="minorHAnsi"/>
          <w:sz w:val="22"/>
          <w:szCs w:val="22"/>
        </w:rPr>
      </w:pPr>
      <w:r w:rsidRPr="00C650D4">
        <w:rPr>
          <w:rFonts w:asciiTheme="minorHAnsi" w:hAnsiTheme="minorHAnsi"/>
          <w:sz w:val="22"/>
          <w:szCs w:val="22"/>
        </w:rPr>
        <w:t xml:space="preserve">Use genetic and recruitment modelling to assess </w:t>
      </w:r>
      <w:r w:rsidRPr="00C650D4">
        <w:rPr>
          <w:rFonts w:asciiTheme="minorHAnsi" w:hAnsiTheme="minorHAnsi"/>
          <w:sz w:val="22"/>
          <w:szCs w:val="22"/>
          <w:lang w:eastAsia="en-AU"/>
        </w:rPr>
        <w:t>demographic status and trajectories of different subpopulations.</w:t>
      </w:r>
    </w:p>
    <w:p w14:paraId="6009D7A9" w14:textId="77777777" w:rsidR="00C650D4" w:rsidRPr="00C650D4" w:rsidRDefault="00C650D4" w:rsidP="00C650D4">
      <w:pPr>
        <w:pStyle w:val="ListBullet"/>
        <w:numPr>
          <w:ilvl w:val="0"/>
          <w:numId w:val="0"/>
        </w:numPr>
        <w:ind w:left="786"/>
        <w:rPr>
          <w:rFonts w:asciiTheme="minorHAnsi" w:hAnsiTheme="minorHAnsi"/>
          <w:sz w:val="22"/>
          <w:szCs w:val="22"/>
        </w:rPr>
      </w:pPr>
    </w:p>
    <w:p w14:paraId="63FACD0E" w14:textId="77777777" w:rsidR="00350498" w:rsidRPr="002A5012" w:rsidRDefault="00350498" w:rsidP="00350498">
      <w:pPr>
        <w:pStyle w:val="Heading3"/>
        <w:spacing w:after="120" w:line="276" w:lineRule="auto"/>
        <w:ind w:left="964" w:hanging="964"/>
      </w:pPr>
      <w:r w:rsidRPr="002A5012">
        <w:t>Information and research priorities</w:t>
      </w:r>
    </w:p>
    <w:p w14:paraId="2799700C" w14:textId="77777777" w:rsidR="00350498" w:rsidRPr="00C650D4" w:rsidRDefault="00350498" w:rsidP="00C650D4">
      <w:pPr>
        <w:pStyle w:val="ListBullet"/>
        <w:rPr>
          <w:rFonts w:asciiTheme="minorHAnsi" w:hAnsiTheme="minorHAnsi"/>
          <w:sz w:val="22"/>
          <w:szCs w:val="22"/>
        </w:rPr>
      </w:pPr>
      <w:r w:rsidRPr="00C650D4">
        <w:rPr>
          <w:rFonts w:asciiTheme="minorHAnsi" w:hAnsiTheme="minorHAnsi"/>
          <w:sz w:val="22"/>
          <w:szCs w:val="22"/>
        </w:rPr>
        <w:t>Conduct alpha taxonomic research to clearly delineate the species boundaries of the non-parasitic lamprey relative to the short-headed lamprey and the undescribed lamprey species in the Noosa River area. This should include nuclear genomic data to establish if feeding type and species differentiation is genetically determined. The publication of the sea lamprey (</w:t>
      </w:r>
      <w:r w:rsidRPr="00C650D4">
        <w:rPr>
          <w:rFonts w:asciiTheme="minorHAnsi" w:hAnsiTheme="minorHAnsi"/>
          <w:i/>
          <w:iCs/>
          <w:sz w:val="22"/>
          <w:szCs w:val="22"/>
        </w:rPr>
        <w:t>Petromyzon marinus</w:t>
      </w:r>
      <w:r w:rsidRPr="00C650D4">
        <w:rPr>
          <w:rFonts w:asciiTheme="minorHAnsi" w:hAnsiTheme="minorHAnsi"/>
          <w:sz w:val="22"/>
          <w:szCs w:val="22"/>
        </w:rPr>
        <w:t>) genome has made this more feasible (Smith et al. 2013).</w:t>
      </w:r>
    </w:p>
    <w:p w14:paraId="446C4DA8" w14:textId="77777777" w:rsidR="00350498" w:rsidRPr="00C650D4" w:rsidRDefault="00350498" w:rsidP="00C650D4">
      <w:pPr>
        <w:pStyle w:val="ListBullet"/>
        <w:rPr>
          <w:rFonts w:asciiTheme="minorHAnsi" w:hAnsiTheme="minorHAnsi"/>
          <w:sz w:val="22"/>
          <w:szCs w:val="22"/>
        </w:rPr>
      </w:pPr>
      <w:r w:rsidRPr="00C650D4">
        <w:rPr>
          <w:rFonts w:asciiTheme="minorHAnsi" w:hAnsiTheme="minorHAnsi"/>
          <w:sz w:val="22"/>
          <w:szCs w:val="22"/>
        </w:rPr>
        <w:t>Conduct distributional surveys to better understand the distribution of the non-parasitic lamprey to delineate more clearly actual distribution and environmental preferences.</w:t>
      </w:r>
    </w:p>
    <w:p w14:paraId="09EC02F2" w14:textId="77777777" w:rsidR="00350498" w:rsidRPr="00C650D4" w:rsidRDefault="00350498" w:rsidP="00C650D4">
      <w:pPr>
        <w:pStyle w:val="ListBullet"/>
        <w:rPr>
          <w:rFonts w:asciiTheme="minorHAnsi" w:hAnsiTheme="minorHAnsi"/>
          <w:sz w:val="22"/>
          <w:szCs w:val="22"/>
        </w:rPr>
      </w:pPr>
      <w:r w:rsidRPr="00C650D4">
        <w:rPr>
          <w:rFonts w:asciiTheme="minorHAnsi" w:hAnsiTheme="minorHAnsi"/>
          <w:sz w:val="22"/>
          <w:szCs w:val="22"/>
        </w:rPr>
        <w:t>Conduct basic biological and ecological research to better understand environmental tolerances of the species.</w:t>
      </w:r>
    </w:p>
    <w:p w14:paraId="3E39BA62" w14:textId="77777777" w:rsidR="00350498" w:rsidRPr="00C650D4" w:rsidRDefault="00350498" w:rsidP="00C650D4">
      <w:pPr>
        <w:pStyle w:val="ListBullet"/>
        <w:rPr>
          <w:rFonts w:asciiTheme="minorHAnsi" w:hAnsiTheme="minorHAnsi"/>
          <w:sz w:val="22"/>
          <w:szCs w:val="22"/>
        </w:rPr>
      </w:pPr>
      <w:r w:rsidRPr="00C650D4">
        <w:rPr>
          <w:rFonts w:asciiTheme="minorHAnsi" w:hAnsiTheme="minorHAnsi"/>
          <w:sz w:val="22"/>
          <w:szCs w:val="22"/>
        </w:rPr>
        <w:t>Establish long-term monitoring sites so the response of the non-parasitic lamprey to various future perturbations can be accurately assessed.</w:t>
      </w:r>
    </w:p>
    <w:p w14:paraId="47B00B7B" w14:textId="77777777" w:rsidR="00350498" w:rsidRPr="00C650D4" w:rsidRDefault="00350498" w:rsidP="00C650D4">
      <w:pPr>
        <w:pStyle w:val="ListBullet"/>
        <w:rPr>
          <w:rFonts w:asciiTheme="minorHAnsi" w:hAnsiTheme="minorHAnsi"/>
          <w:sz w:val="22"/>
          <w:szCs w:val="22"/>
        </w:rPr>
      </w:pPr>
      <w:r w:rsidRPr="00C650D4">
        <w:rPr>
          <w:rFonts w:asciiTheme="minorHAnsi" w:hAnsiTheme="minorHAnsi"/>
          <w:sz w:val="22"/>
          <w:szCs w:val="22"/>
        </w:rPr>
        <w:t>Establish the cultural significance of the non-parasitic lamprey to Indigenous groups and enquire about their knowledge relating to this species and its habitat.</w:t>
      </w:r>
    </w:p>
    <w:p w14:paraId="47B54B45" w14:textId="77777777" w:rsidR="00350498" w:rsidRPr="00C650D4" w:rsidRDefault="00350498" w:rsidP="00C650D4">
      <w:pPr>
        <w:pStyle w:val="ListBullet"/>
        <w:rPr>
          <w:rFonts w:asciiTheme="minorHAnsi" w:hAnsiTheme="minorHAnsi"/>
          <w:sz w:val="22"/>
          <w:szCs w:val="22"/>
        </w:rPr>
      </w:pPr>
      <w:r w:rsidRPr="00C650D4">
        <w:rPr>
          <w:rFonts w:asciiTheme="minorHAnsi" w:hAnsiTheme="minorHAnsi"/>
          <w:sz w:val="22"/>
          <w:szCs w:val="22"/>
        </w:rPr>
        <w:t>Identify all potential threatening processes that may have affected the species’ distribution and abundance, then evaluate their relative contribution to the decline and impediment to recovery. In particular:</w:t>
      </w:r>
    </w:p>
    <w:p w14:paraId="11156AE3" w14:textId="77777777" w:rsidR="00350498" w:rsidRPr="00C650D4" w:rsidRDefault="00350498" w:rsidP="00153759">
      <w:pPr>
        <w:pStyle w:val="ListBullet"/>
        <w:tabs>
          <w:tab w:val="clear" w:pos="786"/>
          <w:tab w:val="num" w:pos="1080"/>
        </w:tabs>
        <w:ind w:left="1080"/>
        <w:rPr>
          <w:rFonts w:asciiTheme="minorHAnsi" w:hAnsiTheme="minorHAnsi"/>
          <w:sz w:val="22"/>
          <w:szCs w:val="22"/>
        </w:rPr>
      </w:pPr>
      <w:r w:rsidRPr="00C650D4">
        <w:rPr>
          <w:rFonts w:asciiTheme="minorHAnsi" w:hAnsiTheme="minorHAnsi"/>
          <w:sz w:val="22"/>
          <w:szCs w:val="22"/>
        </w:rPr>
        <w:t>Assess the effects of bushfire on survival and reproduction, including:</w:t>
      </w:r>
    </w:p>
    <w:p w14:paraId="7DB2519D" w14:textId="77777777" w:rsidR="00350498" w:rsidRPr="00C650D4" w:rsidRDefault="00350498" w:rsidP="00153759">
      <w:pPr>
        <w:pStyle w:val="ListBullet"/>
        <w:tabs>
          <w:tab w:val="clear" w:pos="786"/>
          <w:tab w:val="num" w:pos="1440"/>
        </w:tabs>
        <w:ind w:left="1440"/>
        <w:rPr>
          <w:rFonts w:asciiTheme="minorHAnsi" w:hAnsiTheme="minorHAnsi"/>
          <w:sz w:val="22"/>
          <w:szCs w:val="22"/>
        </w:rPr>
      </w:pPr>
      <w:r w:rsidRPr="00C650D4">
        <w:rPr>
          <w:rFonts w:asciiTheme="minorHAnsi" w:hAnsiTheme="minorHAnsi"/>
          <w:sz w:val="22"/>
          <w:szCs w:val="22"/>
        </w:rPr>
        <w:t>The impact of altered environmental attributes, such as sediment loads, stream hydrological regimes, and riparian vegetation structure and composition.</w:t>
      </w:r>
    </w:p>
    <w:p w14:paraId="3CF1FB5B" w14:textId="77777777" w:rsidR="00350498" w:rsidRPr="00C650D4" w:rsidRDefault="00350498" w:rsidP="00153759">
      <w:pPr>
        <w:pStyle w:val="ListBullet"/>
        <w:tabs>
          <w:tab w:val="clear" w:pos="786"/>
          <w:tab w:val="num" w:pos="1440"/>
        </w:tabs>
        <w:ind w:left="1440"/>
        <w:rPr>
          <w:rFonts w:asciiTheme="minorHAnsi" w:hAnsiTheme="minorHAnsi" w:cstheme="minorHAnsi"/>
          <w:sz w:val="22"/>
          <w:szCs w:val="22"/>
        </w:rPr>
      </w:pPr>
      <w:r w:rsidRPr="00C650D4">
        <w:rPr>
          <w:rFonts w:asciiTheme="minorHAnsi" w:hAnsiTheme="minorHAnsi" w:cstheme="minorHAnsi"/>
          <w:sz w:val="22"/>
          <w:szCs w:val="22"/>
        </w:rPr>
        <w:t xml:space="preserve">Low dissolved oxygen tolerance of </w:t>
      </w:r>
      <w:bookmarkStart w:id="10" w:name="_Hlk62466024"/>
      <w:r w:rsidRPr="00C650D4">
        <w:rPr>
          <w:rFonts w:asciiTheme="minorHAnsi" w:hAnsiTheme="minorHAnsi" w:cstheme="minorHAnsi"/>
          <w:sz w:val="22"/>
          <w:szCs w:val="22"/>
        </w:rPr>
        <w:t>adults, juveniles, larvae and eggs</w:t>
      </w:r>
      <w:bookmarkEnd w:id="10"/>
      <w:r w:rsidRPr="00C650D4">
        <w:rPr>
          <w:rFonts w:asciiTheme="minorHAnsi" w:hAnsiTheme="minorHAnsi" w:cstheme="minorHAnsi"/>
          <w:sz w:val="22"/>
          <w:szCs w:val="22"/>
        </w:rPr>
        <w:t xml:space="preserve">. </w:t>
      </w:r>
    </w:p>
    <w:p w14:paraId="2A44ADB3" w14:textId="77777777" w:rsidR="00350498" w:rsidRPr="00C650D4" w:rsidRDefault="00350498" w:rsidP="00153759">
      <w:pPr>
        <w:pStyle w:val="ListBullet"/>
        <w:tabs>
          <w:tab w:val="clear" w:pos="786"/>
          <w:tab w:val="num" w:pos="1440"/>
        </w:tabs>
        <w:ind w:left="1440"/>
        <w:rPr>
          <w:rFonts w:asciiTheme="minorHAnsi" w:hAnsiTheme="minorHAnsi"/>
          <w:sz w:val="22"/>
          <w:szCs w:val="22"/>
        </w:rPr>
      </w:pPr>
      <w:r w:rsidRPr="00C650D4">
        <w:rPr>
          <w:rFonts w:asciiTheme="minorHAnsi" w:hAnsiTheme="minorHAnsi"/>
          <w:sz w:val="22"/>
          <w:szCs w:val="22"/>
        </w:rPr>
        <w:t xml:space="preserve">The species’ long-term response to major bushfire events or altered fire regimes, through identifying those parts of its range that are most vulnerable, or conversely, where there are opportunities to enhance refuges from fire. </w:t>
      </w:r>
    </w:p>
    <w:p w14:paraId="27C86520" w14:textId="77777777" w:rsidR="00350498" w:rsidRPr="00521832" w:rsidRDefault="00350498" w:rsidP="00350498">
      <w:pPr>
        <w:pStyle w:val="Heading2"/>
        <w:spacing w:before="120"/>
        <w:ind w:left="709" w:hanging="709"/>
        <w:rPr>
          <w:color w:val="auto"/>
        </w:rPr>
      </w:pPr>
      <w:r>
        <w:rPr>
          <w:rFonts w:asciiTheme="majorHAnsi" w:hAnsiTheme="majorHAnsi"/>
        </w:rPr>
        <w:br w:type="page"/>
      </w:r>
      <w:r w:rsidRPr="00521832">
        <w:rPr>
          <w:color w:val="auto"/>
        </w:rPr>
        <w:lastRenderedPageBreak/>
        <w:t>Con</w:t>
      </w:r>
      <w:r w:rsidRPr="00521832">
        <w:rPr>
          <w:bCs w:val="0"/>
          <w:color w:val="auto"/>
        </w:rPr>
        <w:t>se</w:t>
      </w:r>
      <w:r w:rsidRPr="00521832">
        <w:rPr>
          <w:color w:val="auto"/>
        </w:rPr>
        <w:t>rva</w:t>
      </w:r>
      <w:r w:rsidRPr="00521832">
        <w:rPr>
          <w:bCs w:val="0"/>
          <w:color w:val="auto"/>
        </w:rPr>
        <w:t>t</w:t>
      </w:r>
      <w:r w:rsidRPr="00521832">
        <w:rPr>
          <w:color w:val="auto"/>
        </w:rPr>
        <w:t>io</w:t>
      </w:r>
      <w:r w:rsidRPr="00521832">
        <w:rPr>
          <w:bCs w:val="0"/>
          <w:color w:val="auto"/>
        </w:rPr>
        <w:t>n</w:t>
      </w:r>
      <w:r w:rsidRPr="00521832">
        <w:rPr>
          <w:color w:val="auto"/>
        </w:rPr>
        <w:t xml:space="preserve"> Advi</w:t>
      </w:r>
      <w:r w:rsidRPr="00521832">
        <w:rPr>
          <w:bCs w:val="0"/>
          <w:color w:val="auto"/>
        </w:rPr>
        <w:t>c</w:t>
      </w:r>
      <w:r w:rsidRPr="00521832">
        <w:rPr>
          <w:color w:val="auto"/>
        </w:rPr>
        <w:t xml:space="preserve">e and </w:t>
      </w:r>
      <w:bookmarkEnd w:id="8"/>
      <w:bookmarkEnd w:id="9"/>
      <w:r w:rsidRPr="00521832">
        <w:rPr>
          <w:color w:val="auto"/>
        </w:rPr>
        <w:t xml:space="preserve">Listing Assessment references </w:t>
      </w:r>
    </w:p>
    <w:p w14:paraId="4DDC3FD6"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Alexandra J &amp; Finlayson CM (2020) Floods after bushfires: rapid responses for reducing impacts of sediment, ash, and nutrient slugs. </w:t>
      </w:r>
      <w:r w:rsidRPr="00153759">
        <w:rPr>
          <w:rFonts w:asciiTheme="minorHAnsi" w:hAnsiTheme="minorHAnsi"/>
          <w:i/>
          <w:iCs/>
        </w:rPr>
        <w:t>Australian Journal of Water Resources</w:t>
      </w:r>
      <w:r w:rsidRPr="00153759">
        <w:rPr>
          <w:rFonts w:asciiTheme="minorHAnsi" w:hAnsiTheme="minorHAnsi"/>
        </w:rPr>
        <w:t xml:space="preserve"> 24, 9–11. </w:t>
      </w:r>
    </w:p>
    <w:p w14:paraId="1589CBF6"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Allen GR, Midgley SH &amp; Allen M (2002) </w:t>
      </w:r>
      <w:r w:rsidRPr="00153759">
        <w:rPr>
          <w:rFonts w:asciiTheme="minorHAnsi" w:hAnsiTheme="minorHAnsi"/>
          <w:i/>
          <w:iCs/>
        </w:rPr>
        <w:t>Field Guide to the Freshwater Fishes of Australia</w:t>
      </w:r>
      <w:r w:rsidRPr="00153759">
        <w:rPr>
          <w:rFonts w:asciiTheme="minorHAnsi" w:hAnsiTheme="minorHAnsi"/>
        </w:rPr>
        <w:t>. Western Australian Museum, Perth. </w:t>
      </w:r>
    </w:p>
    <w:p w14:paraId="62626053"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Bachman S, Moat J, Hill AW, de la Torre J &amp; Scott B (2011) Supporting red list threat assessments with </w:t>
      </w:r>
      <w:proofErr w:type="spellStart"/>
      <w:r w:rsidRPr="00153759">
        <w:rPr>
          <w:rFonts w:asciiTheme="minorHAnsi" w:hAnsiTheme="minorHAnsi"/>
        </w:rPr>
        <w:t>GeoCAT</w:t>
      </w:r>
      <w:proofErr w:type="spellEnd"/>
      <w:r w:rsidRPr="00153759">
        <w:rPr>
          <w:rFonts w:asciiTheme="minorHAnsi" w:hAnsiTheme="minorHAnsi"/>
        </w:rPr>
        <w:t xml:space="preserve">: Geospatial conservation assessment tool. </w:t>
      </w:r>
      <w:proofErr w:type="spellStart"/>
      <w:r w:rsidRPr="00153759">
        <w:rPr>
          <w:rFonts w:asciiTheme="minorHAnsi" w:hAnsiTheme="minorHAnsi"/>
          <w:i/>
          <w:iCs/>
        </w:rPr>
        <w:t>ZooKeys</w:t>
      </w:r>
      <w:proofErr w:type="spellEnd"/>
      <w:r w:rsidRPr="00153759">
        <w:rPr>
          <w:rFonts w:asciiTheme="minorHAnsi" w:hAnsiTheme="minorHAnsi"/>
        </w:rPr>
        <w:t xml:space="preserve"> 150, 117–126.</w:t>
      </w:r>
    </w:p>
    <w:p w14:paraId="731646B0"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Bunn SE, </w:t>
      </w:r>
      <w:proofErr w:type="spellStart"/>
      <w:r w:rsidRPr="00153759">
        <w:rPr>
          <w:rFonts w:asciiTheme="minorHAnsi" w:hAnsiTheme="minorHAnsi"/>
        </w:rPr>
        <w:t>Abal</w:t>
      </w:r>
      <w:proofErr w:type="spellEnd"/>
      <w:r w:rsidRPr="00153759">
        <w:rPr>
          <w:rFonts w:asciiTheme="minorHAnsi" w:hAnsiTheme="minorHAnsi"/>
        </w:rPr>
        <w:t xml:space="preserve"> EG, Smith MJ, Choy SC, Fellows CS, </w:t>
      </w:r>
      <w:proofErr w:type="spellStart"/>
      <w:r w:rsidRPr="00153759">
        <w:rPr>
          <w:rFonts w:asciiTheme="minorHAnsi" w:hAnsiTheme="minorHAnsi"/>
        </w:rPr>
        <w:t>Harch</w:t>
      </w:r>
      <w:proofErr w:type="spellEnd"/>
      <w:r w:rsidRPr="00153759">
        <w:rPr>
          <w:rFonts w:asciiTheme="minorHAnsi" w:hAnsiTheme="minorHAnsi"/>
        </w:rPr>
        <w:t xml:space="preserve"> BD, </w:t>
      </w:r>
      <w:r w:rsidRPr="00153759">
        <w:rPr>
          <w:rFonts w:asciiTheme="minorHAnsi" w:hAnsiTheme="minorHAnsi"/>
          <w:i/>
          <w:iCs/>
        </w:rPr>
        <w:t>et al.</w:t>
      </w:r>
      <w:r w:rsidRPr="00153759">
        <w:rPr>
          <w:rFonts w:asciiTheme="minorHAnsi" w:hAnsiTheme="minorHAnsi"/>
        </w:rPr>
        <w:t xml:space="preserve"> (2010) Integration of science and monitoring of river ecosystem health to guide investments in catchment protection and rehabilitation. </w:t>
      </w:r>
      <w:r w:rsidRPr="00153759">
        <w:rPr>
          <w:rFonts w:asciiTheme="minorHAnsi" w:hAnsiTheme="minorHAnsi"/>
          <w:i/>
          <w:iCs/>
        </w:rPr>
        <w:t>Freshwater Biology</w:t>
      </w:r>
      <w:r w:rsidRPr="00153759">
        <w:rPr>
          <w:rFonts w:asciiTheme="minorHAnsi" w:hAnsiTheme="minorHAnsi"/>
        </w:rPr>
        <w:t xml:space="preserve"> 55, 223–240. </w:t>
      </w:r>
    </w:p>
    <w:p w14:paraId="38A2B56A"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Clemens BJ, Arakawa H, Baker C, Coghlan S, </w:t>
      </w:r>
      <w:proofErr w:type="spellStart"/>
      <w:r w:rsidRPr="00153759">
        <w:rPr>
          <w:rFonts w:asciiTheme="minorHAnsi" w:hAnsiTheme="minorHAnsi"/>
        </w:rPr>
        <w:t>Kucheryavyy</w:t>
      </w:r>
      <w:proofErr w:type="spellEnd"/>
      <w:r w:rsidRPr="00153759">
        <w:rPr>
          <w:rFonts w:asciiTheme="minorHAnsi" w:hAnsiTheme="minorHAnsi"/>
        </w:rPr>
        <w:t xml:space="preserve"> A, Lampman R, </w:t>
      </w:r>
      <w:r w:rsidRPr="00153759">
        <w:rPr>
          <w:rFonts w:asciiTheme="minorHAnsi" w:hAnsiTheme="minorHAnsi"/>
          <w:i/>
          <w:iCs/>
        </w:rPr>
        <w:t>et al.</w:t>
      </w:r>
      <w:r w:rsidRPr="00153759">
        <w:rPr>
          <w:rFonts w:asciiTheme="minorHAnsi" w:hAnsiTheme="minorHAnsi"/>
        </w:rPr>
        <w:t xml:space="preserve"> (2020) Management of anadromous lampreys: Common threats, different approaches. </w:t>
      </w:r>
      <w:r w:rsidRPr="00153759">
        <w:rPr>
          <w:rFonts w:asciiTheme="minorHAnsi" w:hAnsiTheme="minorHAnsi"/>
          <w:i/>
          <w:iCs/>
        </w:rPr>
        <w:t>Journal of Great Lakes Research</w:t>
      </w:r>
      <w:r w:rsidRPr="00153759">
        <w:rPr>
          <w:rFonts w:asciiTheme="minorHAnsi" w:hAnsiTheme="minorHAnsi"/>
        </w:rPr>
        <w:t xml:space="preserve">, </w:t>
      </w:r>
      <w:proofErr w:type="spellStart"/>
      <w:r w:rsidRPr="00153759">
        <w:rPr>
          <w:rFonts w:asciiTheme="minorHAnsi" w:hAnsiTheme="minorHAnsi"/>
        </w:rPr>
        <w:t>doi</w:t>
      </w:r>
      <w:proofErr w:type="spellEnd"/>
      <w:r w:rsidRPr="00153759">
        <w:rPr>
          <w:rFonts w:asciiTheme="minorHAnsi" w:hAnsiTheme="minorHAnsi"/>
        </w:rPr>
        <w:t>: 10.1016/j.jglr.2020.09.005.</w:t>
      </w:r>
    </w:p>
    <w:p w14:paraId="55167780"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Docker MF (2009) A Review of the Evolution of </w:t>
      </w:r>
      <w:proofErr w:type="spellStart"/>
      <w:r w:rsidRPr="00153759">
        <w:rPr>
          <w:rFonts w:asciiTheme="minorHAnsi" w:hAnsiTheme="minorHAnsi"/>
        </w:rPr>
        <w:t>Nonparasitism</w:t>
      </w:r>
      <w:proofErr w:type="spellEnd"/>
      <w:r w:rsidRPr="00153759">
        <w:rPr>
          <w:rFonts w:asciiTheme="minorHAnsi" w:hAnsiTheme="minorHAnsi"/>
        </w:rPr>
        <w:t xml:space="preserve"> in Lampreys and an Update of the Paired Species Concept. </w:t>
      </w:r>
      <w:r w:rsidRPr="00153759">
        <w:rPr>
          <w:rFonts w:asciiTheme="minorHAnsi" w:hAnsiTheme="minorHAnsi"/>
          <w:i/>
          <w:iCs/>
        </w:rPr>
        <w:t>American Fisheries Society Symposium</w:t>
      </w:r>
      <w:r w:rsidRPr="00153759">
        <w:rPr>
          <w:rFonts w:asciiTheme="minorHAnsi" w:hAnsiTheme="minorHAnsi"/>
        </w:rPr>
        <w:t xml:space="preserve"> 72, 71–114. </w:t>
      </w:r>
    </w:p>
    <w:p w14:paraId="59F35B17"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Docker MF &amp; Hume JB (2019) Chapter 7: There and Back Again: Lampreys in the 21st Century and Beyond. In: </w:t>
      </w:r>
      <w:r w:rsidRPr="00153759">
        <w:rPr>
          <w:rFonts w:asciiTheme="minorHAnsi" w:hAnsiTheme="minorHAnsi"/>
          <w:i/>
          <w:iCs/>
        </w:rPr>
        <w:t>Lampreys: Biology, Conservation and Control, Vol. 2</w:t>
      </w:r>
      <w:r w:rsidRPr="00153759">
        <w:rPr>
          <w:rFonts w:asciiTheme="minorHAnsi" w:hAnsiTheme="minorHAnsi"/>
        </w:rPr>
        <w:t>, pp 527–570. </w:t>
      </w:r>
    </w:p>
    <w:p w14:paraId="67FA6947"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Docker MF &amp; Potter IC (2019) Chapter 4: Life History Evolution in Lampreys: Alternative Migratory and Feeding Types. In: </w:t>
      </w:r>
      <w:r w:rsidRPr="00153759">
        <w:rPr>
          <w:rFonts w:asciiTheme="minorHAnsi" w:hAnsiTheme="minorHAnsi"/>
          <w:i/>
          <w:iCs/>
        </w:rPr>
        <w:t>Lampreys: Biology, Conservation and Control, Vol. 2</w:t>
      </w:r>
      <w:r w:rsidRPr="00153759">
        <w:rPr>
          <w:rFonts w:asciiTheme="minorHAnsi" w:hAnsiTheme="minorHAnsi"/>
        </w:rPr>
        <w:t>, Springer Netherlands, pp 287–409. </w:t>
      </w:r>
    </w:p>
    <w:p w14:paraId="0CA5C687" w14:textId="77777777" w:rsidR="00350498" w:rsidRPr="00153759" w:rsidRDefault="00350498" w:rsidP="00350498">
      <w:pPr>
        <w:pStyle w:val="CAreference"/>
        <w:rPr>
          <w:rFonts w:asciiTheme="minorHAnsi" w:hAnsiTheme="minorHAnsi"/>
        </w:rPr>
      </w:pPr>
      <w:r w:rsidRPr="00153759">
        <w:rPr>
          <w:rFonts w:asciiTheme="minorHAnsi" w:hAnsiTheme="minorHAnsi"/>
        </w:rPr>
        <w:t>Evans TM, Janvier P &amp; Docker MF (2018) The evolution of lamprey (</w:t>
      </w:r>
      <w:proofErr w:type="spellStart"/>
      <w:r w:rsidRPr="00153759">
        <w:rPr>
          <w:rFonts w:asciiTheme="minorHAnsi" w:hAnsiTheme="minorHAnsi"/>
        </w:rPr>
        <w:t>Petromyzontida</w:t>
      </w:r>
      <w:proofErr w:type="spellEnd"/>
      <w:r w:rsidRPr="00153759">
        <w:rPr>
          <w:rFonts w:asciiTheme="minorHAnsi" w:hAnsiTheme="minorHAnsi"/>
        </w:rPr>
        <w:t xml:space="preserve">) life history and the origin of metamorphosis. </w:t>
      </w:r>
      <w:r w:rsidRPr="00153759">
        <w:rPr>
          <w:rFonts w:asciiTheme="minorHAnsi" w:hAnsiTheme="minorHAnsi"/>
          <w:i/>
          <w:iCs/>
        </w:rPr>
        <w:t>Reviews in Fish Biology and Fisheries</w:t>
      </w:r>
      <w:r w:rsidRPr="00153759">
        <w:rPr>
          <w:rFonts w:asciiTheme="minorHAnsi" w:hAnsiTheme="minorHAnsi"/>
        </w:rPr>
        <w:t xml:space="preserve"> 28, 825–838. </w:t>
      </w:r>
    </w:p>
    <w:p w14:paraId="4EBDD493"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Gresswell</w:t>
      </w:r>
      <w:proofErr w:type="spellEnd"/>
      <w:r w:rsidRPr="00153759">
        <w:rPr>
          <w:rFonts w:asciiTheme="minorHAnsi" w:hAnsiTheme="minorHAnsi"/>
        </w:rPr>
        <w:t xml:space="preserve"> RE (1999) Fire and Aquatic Ecosystems in Forested Biomes of North America. </w:t>
      </w:r>
      <w:r w:rsidRPr="00153759">
        <w:rPr>
          <w:rFonts w:asciiTheme="minorHAnsi" w:hAnsiTheme="minorHAnsi"/>
          <w:i/>
          <w:iCs/>
        </w:rPr>
        <w:t>Transactions of the American Fisheries Society</w:t>
      </w:r>
      <w:r w:rsidRPr="00153759">
        <w:rPr>
          <w:rFonts w:asciiTheme="minorHAnsi" w:hAnsiTheme="minorHAnsi"/>
        </w:rPr>
        <w:t xml:space="preserve"> 128, 193–221. </w:t>
      </w:r>
    </w:p>
    <w:p w14:paraId="6390F9B2"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Hardy CM, Adams M, Jerry DR, Court LN, Morgan MJ, &amp; Hartley DM (2011) DNA barcoding to support conservation: Species identification, genetic structure and biogeography of fishes in the Murray-Darling River Basin, Australia. </w:t>
      </w:r>
      <w:r w:rsidRPr="00153759">
        <w:rPr>
          <w:rFonts w:asciiTheme="minorHAnsi" w:hAnsiTheme="minorHAnsi"/>
          <w:i/>
          <w:iCs/>
        </w:rPr>
        <w:t>Marine and Freshwater Research</w:t>
      </w:r>
      <w:r w:rsidRPr="00153759">
        <w:rPr>
          <w:rFonts w:asciiTheme="minorHAnsi" w:hAnsiTheme="minorHAnsi"/>
        </w:rPr>
        <w:t xml:space="preserve"> 62, 887–901.</w:t>
      </w:r>
    </w:p>
    <w:p w14:paraId="4BC809E4"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Hobday AJ &amp; Lough JM (2011) Projected climate change in Australian marine and freshwater environments Alistair. </w:t>
      </w:r>
      <w:r w:rsidRPr="00153759">
        <w:rPr>
          <w:rFonts w:asciiTheme="minorHAnsi" w:hAnsiTheme="minorHAnsi"/>
          <w:i/>
          <w:iCs/>
        </w:rPr>
        <w:t>Marine and Freshwater Research</w:t>
      </w:r>
      <w:r w:rsidRPr="00153759">
        <w:rPr>
          <w:rFonts w:asciiTheme="minorHAnsi" w:hAnsiTheme="minorHAnsi"/>
        </w:rPr>
        <w:t xml:space="preserve"> 62, 1000–1014. </w:t>
      </w:r>
    </w:p>
    <w:p w14:paraId="54303CB4"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Howson TJ, Robson BJ &amp; Mitchell BD (2009) Fish Assemblage Response to Rehabilitation of a Sand-Slugged Lowland River. </w:t>
      </w:r>
      <w:r w:rsidRPr="00153759">
        <w:rPr>
          <w:rFonts w:asciiTheme="minorHAnsi" w:hAnsiTheme="minorHAnsi"/>
          <w:i/>
          <w:iCs/>
        </w:rPr>
        <w:t>River Research and Applications</w:t>
      </w:r>
      <w:r w:rsidRPr="00153759">
        <w:rPr>
          <w:rFonts w:asciiTheme="minorHAnsi" w:hAnsiTheme="minorHAnsi"/>
        </w:rPr>
        <w:t xml:space="preserve"> 25, 1251–1267. </w:t>
      </w:r>
    </w:p>
    <w:p w14:paraId="5995AD2A" w14:textId="77777777" w:rsidR="00350498" w:rsidRPr="00153759" w:rsidRDefault="00350498" w:rsidP="00350498">
      <w:pPr>
        <w:pStyle w:val="CAreference"/>
        <w:rPr>
          <w:rFonts w:asciiTheme="minorHAnsi" w:hAnsiTheme="minorHAnsi"/>
        </w:rPr>
      </w:pPr>
      <w:r w:rsidRPr="00153759">
        <w:rPr>
          <w:rFonts w:asciiTheme="minorHAnsi" w:hAnsiTheme="minorHAnsi"/>
        </w:rPr>
        <w:lastRenderedPageBreak/>
        <w:t xml:space="preserve">Hughes RL &amp; Potter IC (1969) Studies on gametogenesis and fecundity in the lampreys </w:t>
      </w:r>
      <w:proofErr w:type="spellStart"/>
      <w:r w:rsidRPr="00153759">
        <w:rPr>
          <w:rFonts w:asciiTheme="minorHAnsi" w:hAnsiTheme="minorHAnsi"/>
          <w:i/>
          <w:iCs/>
        </w:rPr>
        <w:t>Mordacia</w:t>
      </w:r>
      <w:proofErr w:type="spellEnd"/>
      <w:r w:rsidRPr="00153759">
        <w:rPr>
          <w:rFonts w:asciiTheme="minorHAnsi" w:hAnsiTheme="minorHAnsi"/>
          <w:i/>
          <w:iCs/>
        </w:rPr>
        <w:t xml:space="preserve"> praecox</w:t>
      </w:r>
      <w:r w:rsidRPr="00153759">
        <w:rPr>
          <w:rFonts w:asciiTheme="minorHAnsi" w:hAnsiTheme="minorHAnsi"/>
        </w:rPr>
        <w:t xml:space="preserve"> and </w:t>
      </w:r>
      <w:r w:rsidRPr="00153759">
        <w:rPr>
          <w:rFonts w:asciiTheme="minorHAnsi" w:hAnsiTheme="minorHAnsi"/>
          <w:i/>
          <w:iCs/>
        </w:rPr>
        <w:t xml:space="preserve">M. </w:t>
      </w:r>
      <w:proofErr w:type="spellStart"/>
      <w:r w:rsidRPr="00153759">
        <w:rPr>
          <w:rFonts w:asciiTheme="minorHAnsi" w:hAnsiTheme="minorHAnsi"/>
          <w:i/>
          <w:iCs/>
        </w:rPr>
        <w:t>mordax</w:t>
      </w:r>
      <w:proofErr w:type="spellEnd"/>
      <w:r w:rsidRPr="00153759">
        <w:rPr>
          <w:rFonts w:asciiTheme="minorHAnsi" w:hAnsiTheme="minorHAnsi"/>
        </w:rPr>
        <w:t xml:space="preserve"> (</w:t>
      </w:r>
      <w:proofErr w:type="spellStart"/>
      <w:r w:rsidRPr="00153759">
        <w:rPr>
          <w:rFonts w:asciiTheme="minorHAnsi" w:hAnsiTheme="minorHAnsi"/>
        </w:rPr>
        <w:t>Petromyzonidae</w:t>
      </w:r>
      <w:proofErr w:type="spellEnd"/>
      <w:r w:rsidRPr="00153759">
        <w:rPr>
          <w:rFonts w:asciiTheme="minorHAnsi" w:hAnsiTheme="minorHAnsi"/>
        </w:rPr>
        <w:t xml:space="preserve">). </w:t>
      </w:r>
      <w:r w:rsidRPr="00153759">
        <w:rPr>
          <w:rFonts w:asciiTheme="minorHAnsi" w:hAnsiTheme="minorHAnsi"/>
          <w:i/>
          <w:iCs/>
        </w:rPr>
        <w:t>Australian Journal of Zoology</w:t>
      </w:r>
      <w:r w:rsidRPr="00153759">
        <w:rPr>
          <w:rFonts w:asciiTheme="minorHAnsi" w:hAnsiTheme="minorHAnsi"/>
        </w:rPr>
        <w:t xml:space="preserve"> 17, 447–464. </w:t>
      </w:r>
    </w:p>
    <w:p w14:paraId="5E21140D"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Lang NJ, Roe KJ, Renaud CB, Gill HS, Potter IC, </w:t>
      </w:r>
      <w:proofErr w:type="spellStart"/>
      <w:r w:rsidRPr="00153759">
        <w:rPr>
          <w:rFonts w:asciiTheme="minorHAnsi" w:hAnsiTheme="minorHAnsi"/>
        </w:rPr>
        <w:t>Freyhof</w:t>
      </w:r>
      <w:proofErr w:type="spellEnd"/>
      <w:r w:rsidRPr="00153759">
        <w:rPr>
          <w:rFonts w:asciiTheme="minorHAnsi" w:hAnsiTheme="minorHAnsi"/>
        </w:rPr>
        <w:t xml:space="preserve"> J, </w:t>
      </w:r>
      <w:r w:rsidRPr="00153759">
        <w:rPr>
          <w:rFonts w:asciiTheme="minorHAnsi" w:hAnsiTheme="minorHAnsi"/>
          <w:i/>
          <w:iCs/>
        </w:rPr>
        <w:t>et al.</w:t>
      </w:r>
      <w:r w:rsidRPr="00153759">
        <w:rPr>
          <w:rFonts w:asciiTheme="minorHAnsi" w:hAnsiTheme="minorHAnsi"/>
        </w:rPr>
        <w:t xml:space="preserve"> (2009) Novel relationships among lampreys (</w:t>
      </w:r>
      <w:proofErr w:type="spellStart"/>
      <w:r w:rsidRPr="00153759">
        <w:rPr>
          <w:rFonts w:asciiTheme="minorHAnsi" w:hAnsiTheme="minorHAnsi"/>
        </w:rPr>
        <w:t>Petromyzontiformes</w:t>
      </w:r>
      <w:proofErr w:type="spellEnd"/>
      <w:r w:rsidRPr="00153759">
        <w:rPr>
          <w:rFonts w:asciiTheme="minorHAnsi" w:hAnsiTheme="minorHAnsi"/>
        </w:rPr>
        <w:t xml:space="preserve">) revealed by a taxonomically comprehensive molecular data set. </w:t>
      </w:r>
      <w:r w:rsidRPr="00153759">
        <w:rPr>
          <w:rFonts w:asciiTheme="minorHAnsi" w:hAnsiTheme="minorHAnsi"/>
          <w:i/>
          <w:iCs/>
        </w:rPr>
        <w:t>American Fisheries Society Symposium</w:t>
      </w:r>
      <w:r w:rsidRPr="00153759">
        <w:rPr>
          <w:rFonts w:asciiTheme="minorHAnsi" w:hAnsiTheme="minorHAnsi"/>
        </w:rPr>
        <w:t xml:space="preserve"> 72, 41–55. </w:t>
      </w:r>
    </w:p>
    <w:p w14:paraId="360B10DD"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Lintermans</w:t>
      </w:r>
      <w:proofErr w:type="spellEnd"/>
      <w:r w:rsidRPr="00153759">
        <w:rPr>
          <w:rFonts w:asciiTheme="minorHAnsi" w:hAnsiTheme="minorHAnsi"/>
        </w:rPr>
        <w:t xml:space="preserve"> M (2009) Fishes of the Murray-Darling Basin: an introductory guide. MDBC, Canberra. </w:t>
      </w:r>
    </w:p>
    <w:p w14:paraId="6192B577"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Lucas MC, Hume JB, Almeida PR, </w:t>
      </w:r>
      <w:proofErr w:type="spellStart"/>
      <w:r w:rsidRPr="00153759">
        <w:rPr>
          <w:rFonts w:asciiTheme="minorHAnsi" w:hAnsiTheme="minorHAnsi"/>
        </w:rPr>
        <w:t>Aronsuu</w:t>
      </w:r>
      <w:proofErr w:type="spellEnd"/>
      <w:r w:rsidRPr="00153759">
        <w:rPr>
          <w:rFonts w:asciiTheme="minorHAnsi" w:hAnsiTheme="minorHAnsi"/>
        </w:rPr>
        <w:t xml:space="preserve"> K, Habit E, Silva S, </w:t>
      </w:r>
      <w:r w:rsidRPr="00153759">
        <w:rPr>
          <w:rFonts w:asciiTheme="minorHAnsi" w:hAnsiTheme="minorHAnsi"/>
          <w:i/>
          <w:iCs/>
        </w:rPr>
        <w:t>et al.</w:t>
      </w:r>
      <w:r w:rsidRPr="00153759">
        <w:rPr>
          <w:rFonts w:asciiTheme="minorHAnsi" w:hAnsiTheme="minorHAnsi"/>
        </w:rPr>
        <w:t xml:space="preserve"> (2020) Emerging conservation initiatives for lampreys: Research challenges and opportunities. </w:t>
      </w:r>
      <w:r w:rsidRPr="00153759">
        <w:rPr>
          <w:rFonts w:asciiTheme="minorHAnsi" w:hAnsiTheme="minorHAnsi"/>
          <w:i/>
          <w:iCs/>
        </w:rPr>
        <w:t>Journal of Great Lakes Research</w:t>
      </w:r>
      <w:r w:rsidRPr="00153759">
        <w:rPr>
          <w:rFonts w:asciiTheme="minorHAnsi" w:hAnsiTheme="minorHAnsi"/>
        </w:rPr>
        <w:t xml:space="preserve">, </w:t>
      </w:r>
      <w:proofErr w:type="spellStart"/>
      <w:r w:rsidRPr="00153759">
        <w:rPr>
          <w:rFonts w:asciiTheme="minorHAnsi" w:hAnsiTheme="minorHAnsi"/>
        </w:rPr>
        <w:t>doi</w:t>
      </w:r>
      <w:proofErr w:type="spellEnd"/>
      <w:r w:rsidRPr="00153759">
        <w:rPr>
          <w:rFonts w:asciiTheme="minorHAnsi" w:hAnsiTheme="minorHAnsi"/>
        </w:rPr>
        <w:t>: 10.1016/j.jglr.2020.06.004.</w:t>
      </w:r>
    </w:p>
    <w:p w14:paraId="54488580"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Lyon JP &amp; O’Connor JP (2008) Smoke on the water: Can riverine fish populations recover following a catastrophic fire-related sediment slug? </w:t>
      </w:r>
      <w:r w:rsidRPr="00153759">
        <w:rPr>
          <w:rFonts w:asciiTheme="minorHAnsi" w:hAnsiTheme="minorHAnsi"/>
          <w:i/>
          <w:iCs/>
        </w:rPr>
        <w:t>Austral Ecology</w:t>
      </w:r>
      <w:r w:rsidRPr="00153759">
        <w:rPr>
          <w:rFonts w:asciiTheme="minorHAnsi" w:hAnsiTheme="minorHAnsi"/>
        </w:rPr>
        <w:t xml:space="preserve"> 33, 794–806. </w:t>
      </w:r>
    </w:p>
    <w:p w14:paraId="7D364F38"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Mateus CS, </w:t>
      </w:r>
      <w:proofErr w:type="spellStart"/>
      <w:r w:rsidRPr="00153759">
        <w:rPr>
          <w:rFonts w:asciiTheme="minorHAnsi" w:hAnsiTheme="minorHAnsi"/>
        </w:rPr>
        <w:t>Stange</w:t>
      </w:r>
      <w:proofErr w:type="spellEnd"/>
      <w:r w:rsidRPr="00153759">
        <w:rPr>
          <w:rFonts w:asciiTheme="minorHAnsi" w:hAnsiTheme="minorHAnsi"/>
        </w:rPr>
        <w:t xml:space="preserve"> M, Berner D, </w:t>
      </w:r>
      <w:proofErr w:type="spellStart"/>
      <w:r w:rsidRPr="00153759">
        <w:rPr>
          <w:rFonts w:asciiTheme="minorHAnsi" w:hAnsiTheme="minorHAnsi"/>
        </w:rPr>
        <w:t>Roesti</w:t>
      </w:r>
      <w:proofErr w:type="spellEnd"/>
      <w:r w:rsidRPr="00153759">
        <w:rPr>
          <w:rFonts w:asciiTheme="minorHAnsi" w:hAnsiTheme="minorHAnsi"/>
        </w:rPr>
        <w:t xml:space="preserve"> M, </w:t>
      </w:r>
      <w:proofErr w:type="spellStart"/>
      <w:r w:rsidRPr="00153759">
        <w:rPr>
          <w:rFonts w:asciiTheme="minorHAnsi" w:hAnsiTheme="minorHAnsi"/>
        </w:rPr>
        <w:t>Quintella</w:t>
      </w:r>
      <w:proofErr w:type="spellEnd"/>
      <w:r w:rsidRPr="00153759">
        <w:rPr>
          <w:rFonts w:asciiTheme="minorHAnsi" w:hAnsiTheme="minorHAnsi"/>
        </w:rPr>
        <w:t xml:space="preserve"> BR, Alves MJ, </w:t>
      </w:r>
      <w:r w:rsidRPr="00153759">
        <w:rPr>
          <w:rFonts w:asciiTheme="minorHAnsi" w:hAnsiTheme="minorHAnsi"/>
          <w:i/>
          <w:iCs/>
        </w:rPr>
        <w:t>et al.</w:t>
      </w:r>
      <w:r w:rsidRPr="00153759">
        <w:rPr>
          <w:rFonts w:asciiTheme="minorHAnsi" w:hAnsiTheme="minorHAnsi"/>
        </w:rPr>
        <w:t xml:space="preserve"> (2013) Strong genome-wide divergence between sympatric European river and brook lampreys. </w:t>
      </w:r>
      <w:r w:rsidRPr="00153759">
        <w:rPr>
          <w:rFonts w:asciiTheme="minorHAnsi" w:hAnsiTheme="minorHAnsi"/>
          <w:i/>
          <w:iCs/>
        </w:rPr>
        <w:t>Current Biology</w:t>
      </w:r>
      <w:r w:rsidRPr="00153759">
        <w:rPr>
          <w:rFonts w:asciiTheme="minorHAnsi" w:hAnsiTheme="minorHAnsi"/>
        </w:rPr>
        <w:t xml:space="preserve"> 23, R649–R650. </w:t>
      </w:r>
    </w:p>
    <w:p w14:paraId="278A21BD"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McCauley DW, Docker MF, </w:t>
      </w:r>
      <w:proofErr w:type="spellStart"/>
      <w:r w:rsidRPr="00153759">
        <w:rPr>
          <w:rFonts w:asciiTheme="minorHAnsi" w:hAnsiTheme="minorHAnsi"/>
        </w:rPr>
        <w:t>Whyard</w:t>
      </w:r>
      <w:proofErr w:type="spellEnd"/>
      <w:r w:rsidRPr="00153759">
        <w:rPr>
          <w:rFonts w:asciiTheme="minorHAnsi" w:hAnsiTheme="minorHAnsi"/>
        </w:rPr>
        <w:t xml:space="preserve"> S &amp; Li W (2015) Lampreys as Diverse Model Organisms in the Genomics Era. </w:t>
      </w:r>
      <w:proofErr w:type="spellStart"/>
      <w:r w:rsidRPr="00153759">
        <w:rPr>
          <w:rFonts w:asciiTheme="minorHAnsi" w:hAnsiTheme="minorHAnsi"/>
          <w:i/>
          <w:iCs/>
        </w:rPr>
        <w:t>BioScience</w:t>
      </w:r>
      <w:proofErr w:type="spellEnd"/>
      <w:r w:rsidRPr="00153759">
        <w:rPr>
          <w:rFonts w:asciiTheme="minorHAnsi" w:hAnsiTheme="minorHAnsi"/>
        </w:rPr>
        <w:t xml:space="preserve"> 65, 1046–1056. </w:t>
      </w:r>
    </w:p>
    <w:p w14:paraId="793D1604"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Metzeling</w:t>
      </w:r>
      <w:proofErr w:type="spellEnd"/>
      <w:r w:rsidRPr="00153759">
        <w:rPr>
          <w:rFonts w:asciiTheme="minorHAnsi" w:hAnsiTheme="minorHAnsi"/>
        </w:rPr>
        <w:t xml:space="preserve"> L, </w:t>
      </w:r>
      <w:proofErr w:type="spellStart"/>
      <w:r w:rsidRPr="00153759">
        <w:rPr>
          <w:rFonts w:asciiTheme="minorHAnsi" w:hAnsiTheme="minorHAnsi"/>
        </w:rPr>
        <w:t>Doeg</w:t>
      </w:r>
      <w:proofErr w:type="spellEnd"/>
      <w:r w:rsidRPr="00153759">
        <w:rPr>
          <w:rFonts w:asciiTheme="minorHAnsi" w:hAnsiTheme="minorHAnsi"/>
        </w:rPr>
        <w:t xml:space="preserve"> T &amp; O’Connor W (1995) The impact of salinization and sedimentation on aquatic biota. In: </w:t>
      </w:r>
      <w:r w:rsidRPr="00153759">
        <w:rPr>
          <w:rFonts w:asciiTheme="minorHAnsi" w:hAnsiTheme="minorHAnsi"/>
          <w:i/>
          <w:iCs/>
        </w:rPr>
        <w:t>Conserving Biodiversity: Threats and Solutions</w:t>
      </w:r>
      <w:r w:rsidRPr="00153759">
        <w:rPr>
          <w:rFonts w:asciiTheme="minorHAnsi" w:hAnsiTheme="minorHAnsi"/>
        </w:rPr>
        <w:t>, Surrey Beatty and Sons, Sydney, pp 126–136. </w:t>
      </w:r>
    </w:p>
    <w:p w14:paraId="378286CC"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Miller AK, Baker C, </w:t>
      </w:r>
      <w:proofErr w:type="spellStart"/>
      <w:r w:rsidRPr="00153759">
        <w:rPr>
          <w:rFonts w:asciiTheme="minorHAnsi" w:hAnsiTheme="minorHAnsi"/>
        </w:rPr>
        <w:t>Kitson</w:t>
      </w:r>
      <w:proofErr w:type="spellEnd"/>
      <w:r w:rsidRPr="00153759">
        <w:rPr>
          <w:rFonts w:asciiTheme="minorHAnsi" w:hAnsiTheme="minorHAnsi"/>
        </w:rPr>
        <w:t xml:space="preserve"> JC, </w:t>
      </w:r>
      <w:proofErr w:type="spellStart"/>
      <w:r w:rsidRPr="00153759">
        <w:rPr>
          <w:rFonts w:asciiTheme="minorHAnsi" w:hAnsiTheme="minorHAnsi"/>
        </w:rPr>
        <w:t>Yick</w:t>
      </w:r>
      <w:proofErr w:type="spellEnd"/>
      <w:r w:rsidRPr="00153759">
        <w:rPr>
          <w:rFonts w:asciiTheme="minorHAnsi" w:hAnsiTheme="minorHAnsi"/>
        </w:rPr>
        <w:t xml:space="preserve"> JL, </w:t>
      </w:r>
      <w:proofErr w:type="spellStart"/>
      <w:r w:rsidRPr="00153759">
        <w:rPr>
          <w:rFonts w:asciiTheme="minorHAnsi" w:hAnsiTheme="minorHAnsi"/>
        </w:rPr>
        <w:t>Manquel</w:t>
      </w:r>
      <w:proofErr w:type="spellEnd"/>
      <w:r w:rsidRPr="00153759">
        <w:rPr>
          <w:rFonts w:asciiTheme="minorHAnsi" w:hAnsiTheme="minorHAnsi"/>
        </w:rPr>
        <w:t xml:space="preserve"> PEI, Alexander A, </w:t>
      </w:r>
      <w:r w:rsidRPr="00153759">
        <w:rPr>
          <w:rFonts w:asciiTheme="minorHAnsi" w:hAnsiTheme="minorHAnsi"/>
          <w:i/>
          <w:iCs/>
        </w:rPr>
        <w:t>et al.</w:t>
      </w:r>
      <w:r w:rsidRPr="00153759">
        <w:rPr>
          <w:rFonts w:asciiTheme="minorHAnsi" w:hAnsiTheme="minorHAnsi"/>
        </w:rPr>
        <w:t xml:space="preserve"> (2021) The Southern Hemisphere lampreys (</w:t>
      </w:r>
      <w:proofErr w:type="spellStart"/>
      <w:r w:rsidRPr="00153759">
        <w:rPr>
          <w:rFonts w:asciiTheme="minorHAnsi" w:hAnsiTheme="minorHAnsi"/>
        </w:rPr>
        <w:t>Geotriidae</w:t>
      </w:r>
      <w:proofErr w:type="spellEnd"/>
      <w:r w:rsidRPr="00153759">
        <w:rPr>
          <w:rFonts w:asciiTheme="minorHAnsi" w:hAnsiTheme="minorHAnsi"/>
        </w:rPr>
        <w:t xml:space="preserve"> and </w:t>
      </w:r>
      <w:proofErr w:type="spellStart"/>
      <w:r w:rsidRPr="00153759">
        <w:rPr>
          <w:rFonts w:asciiTheme="minorHAnsi" w:hAnsiTheme="minorHAnsi"/>
        </w:rPr>
        <w:t>Mordaciidae</w:t>
      </w:r>
      <w:proofErr w:type="spellEnd"/>
      <w:r w:rsidRPr="00153759">
        <w:rPr>
          <w:rFonts w:asciiTheme="minorHAnsi" w:hAnsiTheme="minorHAnsi"/>
        </w:rPr>
        <w:t xml:space="preserve">). </w:t>
      </w:r>
      <w:r w:rsidRPr="00153759">
        <w:rPr>
          <w:rFonts w:asciiTheme="minorHAnsi" w:hAnsiTheme="minorHAnsi"/>
          <w:i/>
          <w:iCs/>
        </w:rPr>
        <w:t>Reviews in Fish Biology and Fisheries</w:t>
      </w:r>
      <w:r w:rsidRPr="00153759">
        <w:rPr>
          <w:rFonts w:asciiTheme="minorHAnsi" w:hAnsiTheme="minorHAnsi"/>
        </w:rPr>
        <w:t xml:space="preserve"> 31, 201-232. </w:t>
      </w:r>
    </w:p>
    <w:p w14:paraId="257A16F4"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Moser ML, Almeida PR, King JJ, &amp; Pereira E (2020) Passage and freshwater habitat requirements of anadromous lampreys: Considerations for conservation and control. </w:t>
      </w:r>
      <w:r w:rsidRPr="00153759">
        <w:rPr>
          <w:rFonts w:asciiTheme="minorHAnsi" w:hAnsiTheme="minorHAnsi"/>
          <w:i/>
          <w:iCs/>
        </w:rPr>
        <w:t>Journal of Great Lakes Research</w:t>
      </w:r>
      <w:r w:rsidRPr="00153759">
        <w:rPr>
          <w:rFonts w:asciiTheme="minorHAnsi" w:hAnsiTheme="minorHAnsi"/>
        </w:rPr>
        <w:t xml:space="preserve">, </w:t>
      </w:r>
      <w:proofErr w:type="spellStart"/>
      <w:r w:rsidRPr="00153759">
        <w:rPr>
          <w:rFonts w:asciiTheme="minorHAnsi" w:hAnsiTheme="minorHAnsi"/>
        </w:rPr>
        <w:t>doi</w:t>
      </w:r>
      <w:proofErr w:type="spellEnd"/>
      <w:r w:rsidRPr="00153759">
        <w:rPr>
          <w:rFonts w:asciiTheme="minorHAnsi" w:hAnsiTheme="minorHAnsi"/>
        </w:rPr>
        <w:t>: 10.1016/j.jglr.2020.07.011.</w:t>
      </w:r>
    </w:p>
    <w:p w14:paraId="57CF561F"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Nolan RH, Boer MM, Collins L, </w:t>
      </w:r>
      <w:proofErr w:type="spellStart"/>
      <w:r w:rsidRPr="00153759">
        <w:rPr>
          <w:rFonts w:asciiTheme="minorHAnsi" w:hAnsiTheme="minorHAnsi"/>
        </w:rPr>
        <w:t>Resco</w:t>
      </w:r>
      <w:proofErr w:type="spellEnd"/>
      <w:r w:rsidRPr="00153759">
        <w:rPr>
          <w:rFonts w:asciiTheme="minorHAnsi" w:hAnsiTheme="minorHAnsi"/>
        </w:rPr>
        <w:t xml:space="preserve"> de Dios V, Clarke H, Jenkins M, </w:t>
      </w:r>
      <w:r w:rsidRPr="00153759">
        <w:rPr>
          <w:rFonts w:asciiTheme="minorHAnsi" w:hAnsiTheme="minorHAnsi"/>
          <w:i/>
          <w:iCs/>
        </w:rPr>
        <w:t>et al.</w:t>
      </w:r>
      <w:r w:rsidRPr="00153759">
        <w:rPr>
          <w:rFonts w:asciiTheme="minorHAnsi" w:hAnsiTheme="minorHAnsi"/>
        </w:rPr>
        <w:t xml:space="preserve"> (2020) Causes and consequences of eastern Australia’s 2019–20 season of mega-fires. </w:t>
      </w:r>
      <w:r w:rsidRPr="00153759">
        <w:rPr>
          <w:rFonts w:asciiTheme="minorHAnsi" w:hAnsiTheme="minorHAnsi"/>
          <w:i/>
          <w:iCs/>
        </w:rPr>
        <w:t>Global Change Biology</w:t>
      </w:r>
      <w:r w:rsidRPr="00153759">
        <w:rPr>
          <w:rFonts w:asciiTheme="minorHAnsi" w:hAnsiTheme="minorHAnsi"/>
        </w:rPr>
        <w:t xml:space="preserve"> 26, 1039–1041. </w:t>
      </w:r>
    </w:p>
    <w:p w14:paraId="4827C80A"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Potter IC (1968) </w:t>
      </w:r>
      <w:proofErr w:type="spellStart"/>
      <w:r w:rsidRPr="00153759">
        <w:rPr>
          <w:rFonts w:asciiTheme="minorHAnsi" w:hAnsiTheme="minorHAnsi"/>
          <w:i/>
          <w:iCs/>
        </w:rPr>
        <w:t>Mordacia</w:t>
      </w:r>
      <w:proofErr w:type="spellEnd"/>
      <w:r w:rsidRPr="00153759">
        <w:rPr>
          <w:rFonts w:asciiTheme="minorHAnsi" w:hAnsiTheme="minorHAnsi"/>
          <w:i/>
          <w:iCs/>
        </w:rPr>
        <w:t xml:space="preserve"> praecox</w:t>
      </w:r>
      <w:r w:rsidRPr="00153759">
        <w:rPr>
          <w:rFonts w:asciiTheme="minorHAnsi" w:hAnsiTheme="minorHAnsi"/>
        </w:rPr>
        <w:t xml:space="preserve"> n. sp., a nonparasitic lamprey (</w:t>
      </w:r>
      <w:proofErr w:type="spellStart"/>
      <w:r w:rsidRPr="00153759">
        <w:rPr>
          <w:rFonts w:asciiTheme="minorHAnsi" w:hAnsiTheme="minorHAnsi"/>
        </w:rPr>
        <w:t>Pectromyzontidae</w:t>
      </w:r>
      <w:proofErr w:type="spellEnd"/>
      <w:r w:rsidRPr="00153759">
        <w:rPr>
          <w:rFonts w:asciiTheme="minorHAnsi" w:hAnsiTheme="minorHAnsi"/>
        </w:rPr>
        <w:t xml:space="preserve">), from New South Wales, Australia. </w:t>
      </w:r>
      <w:r w:rsidRPr="00153759">
        <w:rPr>
          <w:rFonts w:asciiTheme="minorHAnsi" w:hAnsiTheme="minorHAnsi"/>
          <w:i/>
          <w:iCs/>
        </w:rPr>
        <w:t>Proceedings of the Linnaean Society of New South Wales</w:t>
      </w:r>
      <w:r w:rsidRPr="00153759">
        <w:rPr>
          <w:rFonts w:asciiTheme="minorHAnsi" w:hAnsiTheme="minorHAnsi"/>
        </w:rPr>
        <w:t xml:space="preserve"> 92, 254–261. </w:t>
      </w:r>
    </w:p>
    <w:p w14:paraId="39320D3C" w14:textId="77777777" w:rsidR="00350498" w:rsidRPr="00153759" w:rsidRDefault="00350498" w:rsidP="00350498">
      <w:pPr>
        <w:pStyle w:val="CAreference"/>
        <w:rPr>
          <w:rFonts w:asciiTheme="minorHAnsi" w:hAnsiTheme="minorHAnsi"/>
        </w:rPr>
      </w:pPr>
      <w:r w:rsidRPr="00153759">
        <w:rPr>
          <w:rFonts w:asciiTheme="minorHAnsi" w:hAnsiTheme="minorHAnsi"/>
        </w:rPr>
        <w:lastRenderedPageBreak/>
        <w:t xml:space="preserve">Potter IC (1970) The life cycles and ecology of Australian lampreys of the genus </w:t>
      </w:r>
      <w:proofErr w:type="spellStart"/>
      <w:r w:rsidRPr="00153759">
        <w:rPr>
          <w:rFonts w:asciiTheme="minorHAnsi" w:hAnsiTheme="minorHAnsi"/>
          <w:i/>
          <w:iCs/>
        </w:rPr>
        <w:t>Mordacia</w:t>
      </w:r>
      <w:proofErr w:type="spellEnd"/>
      <w:r w:rsidRPr="00153759">
        <w:rPr>
          <w:rFonts w:asciiTheme="minorHAnsi" w:hAnsiTheme="minorHAnsi"/>
        </w:rPr>
        <w:t xml:space="preserve">. </w:t>
      </w:r>
      <w:r w:rsidRPr="00153759">
        <w:rPr>
          <w:rFonts w:asciiTheme="minorHAnsi" w:hAnsiTheme="minorHAnsi"/>
          <w:i/>
          <w:iCs/>
        </w:rPr>
        <w:t>Journal of Zoology</w:t>
      </w:r>
      <w:r w:rsidRPr="00153759">
        <w:rPr>
          <w:rFonts w:asciiTheme="minorHAnsi" w:hAnsiTheme="minorHAnsi"/>
        </w:rPr>
        <w:t xml:space="preserve"> 161, 487–511. </w:t>
      </w:r>
    </w:p>
    <w:p w14:paraId="50329C53"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Potter IC, Gill HS, Renaud CB &amp; </w:t>
      </w:r>
      <w:proofErr w:type="spellStart"/>
      <w:r w:rsidRPr="00153759">
        <w:rPr>
          <w:rFonts w:asciiTheme="minorHAnsi" w:hAnsiTheme="minorHAnsi"/>
        </w:rPr>
        <w:t>Haoucher</w:t>
      </w:r>
      <w:proofErr w:type="spellEnd"/>
      <w:r w:rsidRPr="00153759">
        <w:rPr>
          <w:rFonts w:asciiTheme="minorHAnsi" w:hAnsiTheme="minorHAnsi"/>
        </w:rPr>
        <w:t xml:space="preserve"> D (2015) Chapter 2: The Taxonomy, Phylogeny, and Distribution of Lampreys. In: </w:t>
      </w:r>
      <w:r w:rsidRPr="00153759">
        <w:rPr>
          <w:rFonts w:asciiTheme="minorHAnsi" w:hAnsiTheme="minorHAnsi"/>
          <w:i/>
          <w:iCs/>
        </w:rPr>
        <w:t>Lampreys: Biology, Conservation and Control, Vol. 1</w:t>
      </w:r>
      <w:r w:rsidRPr="00153759">
        <w:rPr>
          <w:rFonts w:asciiTheme="minorHAnsi" w:hAnsiTheme="minorHAnsi"/>
        </w:rPr>
        <w:t>, pp 35–73. </w:t>
      </w:r>
    </w:p>
    <w:p w14:paraId="40A3FAB6"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Potter IC &amp; Strahan R (1968) The taxonomy of the Lampreys </w:t>
      </w:r>
      <w:proofErr w:type="spellStart"/>
      <w:r w:rsidRPr="00153759">
        <w:rPr>
          <w:rFonts w:asciiTheme="minorHAnsi" w:hAnsiTheme="minorHAnsi"/>
          <w:i/>
          <w:iCs/>
        </w:rPr>
        <w:t>Geotria</w:t>
      </w:r>
      <w:proofErr w:type="spellEnd"/>
      <w:r w:rsidRPr="00153759">
        <w:rPr>
          <w:rFonts w:asciiTheme="minorHAnsi" w:hAnsiTheme="minorHAnsi"/>
        </w:rPr>
        <w:t xml:space="preserve"> and </w:t>
      </w:r>
      <w:proofErr w:type="spellStart"/>
      <w:r w:rsidRPr="00153759">
        <w:rPr>
          <w:rFonts w:asciiTheme="minorHAnsi" w:hAnsiTheme="minorHAnsi"/>
          <w:i/>
          <w:iCs/>
        </w:rPr>
        <w:t>Mordacia</w:t>
      </w:r>
      <w:proofErr w:type="spellEnd"/>
      <w:r w:rsidRPr="00153759">
        <w:rPr>
          <w:rFonts w:asciiTheme="minorHAnsi" w:hAnsiTheme="minorHAnsi"/>
        </w:rPr>
        <w:t xml:space="preserve"> and their distribution in Australia. </w:t>
      </w:r>
      <w:r w:rsidRPr="00153759">
        <w:rPr>
          <w:rFonts w:asciiTheme="minorHAnsi" w:hAnsiTheme="minorHAnsi"/>
          <w:i/>
          <w:iCs/>
        </w:rPr>
        <w:t>Proceedings of the Linnean Society of London1</w:t>
      </w:r>
      <w:r w:rsidRPr="00153759">
        <w:rPr>
          <w:rFonts w:asciiTheme="minorHAnsi" w:hAnsiTheme="minorHAnsi"/>
        </w:rPr>
        <w:t xml:space="preserve"> 179, 229–240. </w:t>
      </w:r>
    </w:p>
    <w:p w14:paraId="6DD5FACC"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Rust AJ, Randell J, Todd AS &amp; Hogue TS (2019) Wildfire impacts on water quality, macroinvertebrate, and trout populations in the Upper Rio Grande. </w:t>
      </w:r>
      <w:r w:rsidRPr="00153759">
        <w:rPr>
          <w:rFonts w:asciiTheme="minorHAnsi" w:hAnsiTheme="minorHAnsi"/>
          <w:i/>
          <w:iCs/>
        </w:rPr>
        <w:t>Forest Ecology and Management</w:t>
      </w:r>
      <w:r w:rsidRPr="00153759">
        <w:rPr>
          <w:rFonts w:asciiTheme="minorHAnsi" w:hAnsiTheme="minorHAnsi"/>
        </w:rPr>
        <w:t xml:space="preserve"> 453, 117636. </w:t>
      </w:r>
    </w:p>
    <w:p w14:paraId="4503466A"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Rutherford ID, </w:t>
      </w:r>
      <w:proofErr w:type="spellStart"/>
      <w:r w:rsidRPr="00153759">
        <w:rPr>
          <w:rFonts w:asciiTheme="minorHAnsi" w:hAnsiTheme="minorHAnsi"/>
        </w:rPr>
        <w:t>Jerie</w:t>
      </w:r>
      <w:proofErr w:type="spellEnd"/>
      <w:r w:rsidRPr="00153759">
        <w:rPr>
          <w:rFonts w:asciiTheme="minorHAnsi" w:hAnsiTheme="minorHAnsi"/>
        </w:rPr>
        <w:t xml:space="preserve"> K &amp; Marsh N (2000) </w:t>
      </w:r>
      <w:r w:rsidRPr="00153759">
        <w:rPr>
          <w:rFonts w:asciiTheme="minorHAnsi" w:hAnsiTheme="minorHAnsi"/>
          <w:i/>
          <w:iCs/>
        </w:rPr>
        <w:t>A Rehabilitation Manual for Australian Streams, Vol. 2</w:t>
      </w:r>
      <w:r w:rsidRPr="00153759">
        <w:rPr>
          <w:rFonts w:asciiTheme="minorHAnsi" w:hAnsiTheme="minorHAnsi"/>
        </w:rPr>
        <w:t>. Clayton, VIC. </w:t>
      </w:r>
    </w:p>
    <w:p w14:paraId="29B13656"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Silva LGM, Doyle KE, Duffy D, Humphries P, Horta A &amp; Baumgartner LJ (2020) Mortality events resulting from Australia’s catastrophic fires threaten aquatic biota. </w:t>
      </w:r>
      <w:r w:rsidRPr="00153759">
        <w:rPr>
          <w:rFonts w:asciiTheme="minorHAnsi" w:hAnsiTheme="minorHAnsi"/>
          <w:i/>
          <w:iCs/>
        </w:rPr>
        <w:t>Global Change Biology</w:t>
      </w:r>
      <w:r w:rsidRPr="00153759">
        <w:rPr>
          <w:rFonts w:asciiTheme="minorHAnsi" w:hAnsiTheme="minorHAnsi"/>
        </w:rPr>
        <w:t xml:space="preserve"> 26, 5345–5350. </w:t>
      </w:r>
    </w:p>
    <w:p w14:paraId="0E7E5551"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Smith JJ, </w:t>
      </w:r>
      <w:proofErr w:type="spellStart"/>
      <w:r w:rsidRPr="00153759">
        <w:rPr>
          <w:rFonts w:asciiTheme="minorHAnsi" w:hAnsiTheme="minorHAnsi"/>
        </w:rPr>
        <w:t>Kuraku</w:t>
      </w:r>
      <w:proofErr w:type="spellEnd"/>
      <w:r w:rsidRPr="00153759">
        <w:rPr>
          <w:rFonts w:asciiTheme="minorHAnsi" w:hAnsiTheme="minorHAnsi"/>
        </w:rPr>
        <w:t xml:space="preserve"> S, et al. (2013) Sequencing of the sea lamprey (</w:t>
      </w:r>
      <w:r w:rsidRPr="00153759">
        <w:rPr>
          <w:rFonts w:asciiTheme="minorHAnsi" w:hAnsiTheme="minorHAnsi"/>
          <w:i/>
          <w:iCs/>
        </w:rPr>
        <w:t>Petromyzon marinus</w:t>
      </w:r>
      <w:r w:rsidRPr="00153759">
        <w:rPr>
          <w:rFonts w:asciiTheme="minorHAnsi" w:hAnsiTheme="minorHAnsi"/>
        </w:rPr>
        <w:t xml:space="preserve">) genome provides insights into vertebrate evolution. </w:t>
      </w:r>
      <w:r w:rsidRPr="00153759">
        <w:rPr>
          <w:rFonts w:asciiTheme="minorHAnsi" w:hAnsiTheme="minorHAnsi"/>
          <w:i/>
          <w:iCs/>
        </w:rPr>
        <w:t>Nature Genetics</w:t>
      </w:r>
      <w:r w:rsidRPr="00153759">
        <w:rPr>
          <w:rFonts w:asciiTheme="minorHAnsi" w:hAnsiTheme="minorHAnsi"/>
        </w:rPr>
        <w:t xml:space="preserve"> 45, 415–421.</w:t>
      </w:r>
    </w:p>
    <w:p w14:paraId="1F9BB043"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Ward M, Tulloch AIT, Radford JQ, Williams BA, Reside AE, et al. (2020) Impact of 2019–2020 mega-fires on Australian fauna habitat. </w:t>
      </w:r>
      <w:r w:rsidRPr="00153759">
        <w:rPr>
          <w:rFonts w:asciiTheme="minorHAnsi" w:hAnsiTheme="minorHAnsi"/>
          <w:i/>
          <w:iCs/>
        </w:rPr>
        <w:t>Nature Ecology &amp; Evolution</w:t>
      </w:r>
      <w:r w:rsidRPr="00153759">
        <w:rPr>
          <w:rFonts w:asciiTheme="minorHAnsi" w:hAnsiTheme="minorHAnsi"/>
        </w:rPr>
        <w:t xml:space="preserve"> 4, 1321–1326.</w:t>
      </w:r>
    </w:p>
    <w:p w14:paraId="32C5B7C8"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Warrington RE, Hart NS, Potter IC, Collin SP &amp; </w:t>
      </w:r>
      <w:proofErr w:type="spellStart"/>
      <w:r w:rsidRPr="00153759">
        <w:rPr>
          <w:rFonts w:asciiTheme="minorHAnsi" w:hAnsiTheme="minorHAnsi"/>
        </w:rPr>
        <w:t>Hemmi</w:t>
      </w:r>
      <w:proofErr w:type="spellEnd"/>
      <w:r w:rsidRPr="00153759">
        <w:rPr>
          <w:rFonts w:asciiTheme="minorHAnsi" w:hAnsiTheme="minorHAnsi"/>
        </w:rPr>
        <w:t xml:space="preserve"> JM (2017) Retinal temporal resolution and contrast sensitivity in the parasitic lamprey </w:t>
      </w:r>
      <w:proofErr w:type="spellStart"/>
      <w:r w:rsidRPr="00153759">
        <w:rPr>
          <w:rFonts w:asciiTheme="minorHAnsi" w:hAnsiTheme="minorHAnsi"/>
          <w:i/>
          <w:iCs/>
        </w:rPr>
        <w:t>Mordacia</w:t>
      </w:r>
      <w:proofErr w:type="spellEnd"/>
      <w:r w:rsidRPr="00153759">
        <w:rPr>
          <w:rFonts w:asciiTheme="minorHAnsi" w:hAnsiTheme="minorHAnsi"/>
          <w:i/>
          <w:iCs/>
        </w:rPr>
        <w:t xml:space="preserve"> </w:t>
      </w:r>
      <w:proofErr w:type="spellStart"/>
      <w:r w:rsidRPr="00153759">
        <w:rPr>
          <w:rFonts w:asciiTheme="minorHAnsi" w:hAnsiTheme="minorHAnsi"/>
          <w:i/>
          <w:iCs/>
        </w:rPr>
        <w:t>mordax</w:t>
      </w:r>
      <w:proofErr w:type="spellEnd"/>
      <w:r w:rsidRPr="00153759">
        <w:rPr>
          <w:rFonts w:asciiTheme="minorHAnsi" w:hAnsiTheme="minorHAnsi"/>
        </w:rPr>
        <w:t xml:space="preserve"> and its non-parasitic derivative </w:t>
      </w:r>
      <w:proofErr w:type="spellStart"/>
      <w:r w:rsidRPr="00153759">
        <w:rPr>
          <w:rFonts w:asciiTheme="minorHAnsi" w:hAnsiTheme="minorHAnsi"/>
          <w:i/>
          <w:iCs/>
        </w:rPr>
        <w:t>Mordacia</w:t>
      </w:r>
      <w:proofErr w:type="spellEnd"/>
      <w:r w:rsidRPr="00153759">
        <w:rPr>
          <w:rFonts w:asciiTheme="minorHAnsi" w:hAnsiTheme="minorHAnsi"/>
          <w:i/>
          <w:iCs/>
        </w:rPr>
        <w:t xml:space="preserve"> praecox</w:t>
      </w:r>
      <w:r w:rsidRPr="00153759">
        <w:rPr>
          <w:rFonts w:asciiTheme="minorHAnsi" w:hAnsiTheme="minorHAnsi"/>
        </w:rPr>
        <w:t xml:space="preserve">. </w:t>
      </w:r>
      <w:r w:rsidRPr="00153759">
        <w:rPr>
          <w:rFonts w:asciiTheme="minorHAnsi" w:hAnsiTheme="minorHAnsi"/>
          <w:i/>
          <w:iCs/>
        </w:rPr>
        <w:t>Journal of Experimental Biology</w:t>
      </w:r>
      <w:r w:rsidRPr="00153759">
        <w:rPr>
          <w:rFonts w:asciiTheme="minorHAnsi" w:hAnsiTheme="minorHAnsi"/>
        </w:rPr>
        <w:t xml:space="preserve"> 220, 1245–1255. </w:t>
      </w:r>
    </w:p>
    <w:p w14:paraId="66284B65"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Yamazaki Y, Yokoyama R, Nishida M, &amp; </w:t>
      </w:r>
      <w:proofErr w:type="spellStart"/>
      <w:r w:rsidRPr="00153759">
        <w:rPr>
          <w:rFonts w:asciiTheme="minorHAnsi" w:hAnsiTheme="minorHAnsi"/>
        </w:rPr>
        <w:t>Goto</w:t>
      </w:r>
      <w:proofErr w:type="spellEnd"/>
      <w:r w:rsidRPr="00153759">
        <w:rPr>
          <w:rFonts w:asciiTheme="minorHAnsi" w:hAnsiTheme="minorHAnsi"/>
        </w:rPr>
        <w:t xml:space="preserve"> A (2006) Taxonomy and molecular phylogeny of </w:t>
      </w:r>
      <w:proofErr w:type="spellStart"/>
      <w:r w:rsidRPr="00153759">
        <w:rPr>
          <w:rFonts w:asciiTheme="minorHAnsi" w:hAnsiTheme="minorHAnsi"/>
          <w:i/>
          <w:iCs/>
        </w:rPr>
        <w:t>Lethenteron</w:t>
      </w:r>
      <w:proofErr w:type="spellEnd"/>
      <w:r w:rsidRPr="00153759">
        <w:rPr>
          <w:rFonts w:asciiTheme="minorHAnsi" w:hAnsiTheme="minorHAnsi"/>
        </w:rPr>
        <w:t xml:space="preserve"> lampreys in eastern Eurasia. </w:t>
      </w:r>
      <w:r w:rsidRPr="00153759">
        <w:rPr>
          <w:rFonts w:asciiTheme="minorHAnsi" w:hAnsiTheme="minorHAnsi"/>
          <w:i/>
          <w:iCs/>
        </w:rPr>
        <w:t>Journal of Fish Biology</w:t>
      </w:r>
      <w:r w:rsidRPr="00153759">
        <w:rPr>
          <w:rFonts w:asciiTheme="minorHAnsi" w:hAnsiTheme="minorHAnsi"/>
        </w:rPr>
        <w:t xml:space="preserve"> 68, 251–269.</w:t>
      </w:r>
    </w:p>
    <w:p w14:paraId="32E1566E" w14:textId="77777777" w:rsidR="00350498" w:rsidRPr="00521832" w:rsidRDefault="00350498" w:rsidP="00350498">
      <w:pPr>
        <w:pStyle w:val="CAreference"/>
      </w:pPr>
      <w:r w:rsidRPr="00521832">
        <w:rPr>
          <w:b/>
          <w:sz w:val="24"/>
          <w:u w:val="single"/>
        </w:rPr>
        <w:t>Other sources cited in the advice</w:t>
      </w:r>
    </w:p>
    <w:p w14:paraId="09BD93A7"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ABC News (2012) New species of ancient fish found in Noosa. Viewed 31 March 2021, Available at: https://www.abc.net.au/news/2012-10-25/noosa-reveals-new-species-of-ancient-fish/4333172 </w:t>
      </w:r>
    </w:p>
    <w:p w14:paraId="48D63167" w14:textId="77777777" w:rsidR="00350498" w:rsidRPr="00153759" w:rsidRDefault="00350498" w:rsidP="00350498">
      <w:pPr>
        <w:pStyle w:val="CAreference"/>
        <w:rPr>
          <w:rFonts w:asciiTheme="minorHAnsi" w:hAnsiTheme="minorHAnsi"/>
        </w:rPr>
      </w:pPr>
      <w:r w:rsidRPr="00153759">
        <w:rPr>
          <w:rFonts w:asciiTheme="minorHAnsi" w:hAnsiTheme="minorHAnsi"/>
        </w:rPr>
        <w:t>AIATSIS (Australian Institute of Aboriginal and Torres Strait Islander Studies) (1996) The AIATSIS Map of Indigenous Australia. Created by David R. Horton. Viewed 13 September 2021, Available at: https://aiatsis.gov.au/explore/map-indigenous-australia</w:t>
      </w:r>
    </w:p>
    <w:p w14:paraId="5C321E0C"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ALA (Atlas of Living Australia) (2020) Records of </w:t>
      </w:r>
      <w:proofErr w:type="spellStart"/>
      <w:r w:rsidRPr="00153759">
        <w:rPr>
          <w:rFonts w:asciiTheme="minorHAnsi" w:hAnsiTheme="minorHAnsi"/>
          <w:i/>
          <w:iCs/>
        </w:rPr>
        <w:t>Mordacia</w:t>
      </w:r>
      <w:proofErr w:type="spellEnd"/>
      <w:r w:rsidRPr="00153759">
        <w:rPr>
          <w:rFonts w:asciiTheme="minorHAnsi" w:hAnsiTheme="minorHAnsi"/>
          <w:i/>
          <w:iCs/>
        </w:rPr>
        <w:t xml:space="preserve"> </w:t>
      </w:r>
      <w:proofErr w:type="spellStart"/>
      <w:r w:rsidRPr="00153759">
        <w:rPr>
          <w:rFonts w:asciiTheme="minorHAnsi" w:hAnsiTheme="minorHAnsi"/>
          <w:i/>
          <w:iCs/>
        </w:rPr>
        <w:t>mordax</w:t>
      </w:r>
      <w:proofErr w:type="spellEnd"/>
      <w:r w:rsidRPr="00153759">
        <w:rPr>
          <w:rFonts w:asciiTheme="minorHAnsi" w:hAnsiTheme="minorHAnsi"/>
        </w:rPr>
        <w:t>. Downloaded 17 November 2020, Available at: https://bie.ala.org.au/species/urn:lsid:biodiversity.org.au:afd.taxon:488a78c8-1483-4085-a450-cfb8574c046d</w:t>
      </w:r>
    </w:p>
    <w:p w14:paraId="09B7A634" w14:textId="77777777" w:rsidR="00350498" w:rsidRPr="00153759" w:rsidRDefault="00350498" w:rsidP="00350498">
      <w:pPr>
        <w:pStyle w:val="CAreference"/>
        <w:rPr>
          <w:rFonts w:asciiTheme="minorHAnsi" w:hAnsiTheme="minorHAnsi"/>
        </w:rPr>
      </w:pPr>
      <w:r w:rsidRPr="00153759">
        <w:rPr>
          <w:rFonts w:asciiTheme="minorHAnsi" w:hAnsiTheme="minorHAnsi"/>
        </w:rPr>
        <w:lastRenderedPageBreak/>
        <w:t xml:space="preserve">ALA (Atlas of Living Australia) (2021) Records of </w:t>
      </w:r>
      <w:proofErr w:type="spellStart"/>
      <w:r w:rsidRPr="00153759">
        <w:rPr>
          <w:rFonts w:asciiTheme="minorHAnsi" w:hAnsiTheme="minorHAnsi"/>
          <w:i/>
          <w:iCs/>
        </w:rPr>
        <w:t>Mordacia</w:t>
      </w:r>
      <w:proofErr w:type="spellEnd"/>
      <w:r w:rsidRPr="00153759">
        <w:rPr>
          <w:rFonts w:asciiTheme="minorHAnsi" w:hAnsiTheme="minorHAnsi"/>
          <w:i/>
          <w:iCs/>
        </w:rPr>
        <w:t xml:space="preserve"> praecox</w:t>
      </w:r>
      <w:r w:rsidRPr="00153759">
        <w:rPr>
          <w:rFonts w:asciiTheme="minorHAnsi" w:hAnsiTheme="minorHAnsi"/>
        </w:rPr>
        <w:t>. Downloaded 9 May 2021, Available at: https://bie.ala.org.au/species/urn:lsid:biodiversity.org.au:afd.taxon:10ae61a2-ed8d-402f-94fa-dc9846094763</w:t>
      </w:r>
    </w:p>
    <w:p w14:paraId="656FC552" w14:textId="77777777" w:rsidR="00350498" w:rsidRPr="00153759" w:rsidRDefault="00350498" w:rsidP="00350498">
      <w:pPr>
        <w:pStyle w:val="CAreference"/>
        <w:rPr>
          <w:rFonts w:asciiTheme="minorHAnsi" w:hAnsiTheme="minorHAnsi"/>
        </w:rPr>
      </w:pPr>
      <w:r w:rsidRPr="00153759">
        <w:rPr>
          <w:rFonts w:asciiTheme="minorHAnsi" w:hAnsiTheme="minorHAnsi"/>
        </w:rPr>
        <w:t>Alluvium Consulting Australia (2021) Factor increase in erosion rate in the first year after bushfire (map). Turner, ACT.</w:t>
      </w:r>
    </w:p>
    <w:p w14:paraId="0BF1CFFB" w14:textId="77777777" w:rsidR="00350498" w:rsidRPr="00153759" w:rsidRDefault="00350498" w:rsidP="00350498">
      <w:pPr>
        <w:pStyle w:val="CAreference"/>
        <w:rPr>
          <w:rFonts w:asciiTheme="minorHAnsi" w:hAnsiTheme="minorHAnsi"/>
        </w:rPr>
      </w:pPr>
      <w:r w:rsidRPr="00153759">
        <w:rPr>
          <w:rFonts w:asciiTheme="minorHAnsi" w:hAnsiTheme="minorHAnsi"/>
        </w:rPr>
        <w:t>AMOG Consulting (2003) Moruya/</w:t>
      </w:r>
      <w:proofErr w:type="spellStart"/>
      <w:r w:rsidRPr="00153759">
        <w:rPr>
          <w:rFonts w:asciiTheme="minorHAnsi" w:hAnsiTheme="minorHAnsi"/>
        </w:rPr>
        <w:t>Deua</w:t>
      </w:r>
      <w:proofErr w:type="spellEnd"/>
      <w:r w:rsidRPr="00153759">
        <w:rPr>
          <w:rFonts w:asciiTheme="minorHAnsi" w:hAnsiTheme="minorHAnsi"/>
        </w:rPr>
        <w:t xml:space="preserve"> Estuarine Processes Study. Report to Eurobodalla Shire Council. Viewed 25 March 2021, Available at: https://www.esc.nsw.gov.au/__data/assets/pdf_file/0005/135383/MoruyaRiver_EMS.pdf</w:t>
      </w:r>
    </w:p>
    <w:p w14:paraId="56C486F5"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Bice C, </w:t>
      </w:r>
      <w:proofErr w:type="spellStart"/>
      <w:r w:rsidRPr="00153759">
        <w:rPr>
          <w:rFonts w:asciiTheme="minorHAnsi" w:hAnsiTheme="minorHAnsi"/>
        </w:rPr>
        <w:t>Zampatti</w:t>
      </w:r>
      <w:proofErr w:type="spellEnd"/>
      <w:r w:rsidRPr="00153759">
        <w:rPr>
          <w:rFonts w:asciiTheme="minorHAnsi" w:hAnsiTheme="minorHAnsi"/>
        </w:rPr>
        <w:t xml:space="preserve"> BP &amp; </w:t>
      </w:r>
      <w:proofErr w:type="spellStart"/>
      <w:r w:rsidRPr="00153759">
        <w:rPr>
          <w:rFonts w:asciiTheme="minorHAnsi" w:hAnsiTheme="minorHAnsi"/>
        </w:rPr>
        <w:t>Koster</w:t>
      </w:r>
      <w:proofErr w:type="spellEnd"/>
      <w:r w:rsidRPr="00153759">
        <w:rPr>
          <w:rFonts w:asciiTheme="minorHAnsi" w:hAnsiTheme="minorHAnsi"/>
        </w:rPr>
        <w:t xml:space="preserve"> W (2019) Tracking lamprey spawning migrations in the River Murray. South Australian Research and Development Institute (Aquatic Sciences), Adelaide. Viewed 16 May 2021, Available at: https://pir.sa.gov.au/__data/assets/pdf_file/0005/347099/Tracking_lamprey_spawning_migrations_in_the_River_Murray.pdf</w:t>
      </w:r>
    </w:p>
    <w:p w14:paraId="4C7A3660" w14:textId="77777777" w:rsidR="00350498" w:rsidRPr="00153759" w:rsidRDefault="00350498" w:rsidP="00350498">
      <w:pPr>
        <w:pStyle w:val="CAreference"/>
        <w:rPr>
          <w:rFonts w:asciiTheme="minorHAnsi" w:hAnsiTheme="minorHAnsi"/>
        </w:rPr>
      </w:pPr>
      <w:r w:rsidRPr="00153759">
        <w:rPr>
          <w:rFonts w:asciiTheme="minorHAnsi" w:hAnsiTheme="minorHAnsi"/>
        </w:rPr>
        <w:t>Biswas T (2021) Fire, rain, flood and mud in the mighty Murray. Conference presentation at: Rivers on Fire &amp; Flood: The Journey to Resilience, Port Macquarie, 20-21 April 2021.</w:t>
      </w:r>
    </w:p>
    <w:p w14:paraId="0784E4C2" w14:textId="77777777" w:rsidR="00350498" w:rsidRPr="00153759" w:rsidRDefault="00350498" w:rsidP="00350498">
      <w:pPr>
        <w:pStyle w:val="CAreference"/>
        <w:rPr>
          <w:rFonts w:asciiTheme="minorHAnsi" w:hAnsiTheme="minorHAnsi"/>
        </w:rPr>
      </w:pPr>
      <w:r w:rsidRPr="00153759">
        <w:rPr>
          <w:rFonts w:asciiTheme="minorHAnsi" w:hAnsiTheme="minorHAnsi"/>
        </w:rPr>
        <w:t>Bracewell S (2021) Personal communication by email 21 April 2021. Research Associate, School of Biological, Earth and Environmental Sciences, University of New South Wales.</w:t>
      </w:r>
    </w:p>
    <w:p w14:paraId="10489ED3"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Butler GL, Gilligan D, St Vincent Welsh J, </w:t>
      </w:r>
      <w:proofErr w:type="spellStart"/>
      <w:r w:rsidRPr="00153759">
        <w:rPr>
          <w:rFonts w:asciiTheme="minorHAnsi" w:hAnsiTheme="minorHAnsi"/>
        </w:rPr>
        <w:t>Vivers</w:t>
      </w:r>
      <w:proofErr w:type="spellEnd"/>
      <w:r w:rsidRPr="00153759">
        <w:rPr>
          <w:rFonts w:asciiTheme="minorHAnsi" w:hAnsiTheme="minorHAnsi"/>
        </w:rPr>
        <w:t xml:space="preserve"> HA, Bruce A, Doyle J &amp; </w:t>
      </w:r>
      <w:proofErr w:type="spellStart"/>
      <w:r w:rsidRPr="00153759">
        <w:rPr>
          <w:rFonts w:asciiTheme="minorHAnsi" w:hAnsiTheme="minorHAnsi"/>
        </w:rPr>
        <w:t>Piddocke</w:t>
      </w:r>
      <w:proofErr w:type="spellEnd"/>
      <w:r w:rsidRPr="00153759">
        <w:rPr>
          <w:rFonts w:asciiTheme="minorHAnsi" w:hAnsiTheme="minorHAnsi"/>
        </w:rPr>
        <w:t xml:space="preserve"> TP (2016) Relative condition of the freshwater fish community in the Macleay Basin: North Coast New South Wales </w:t>
      </w:r>
      <w:proofErr w:type="spellStart"/>
      <w:r w:rsidRPr="00153759">
        <w:rPr>
          <w:rFonts w:asciiTheme="minorHAnsi" w:hAnsiTheme="minorHAnsi"/>
        </w:rPr>
        <w:t>Ecohealth</w:t>
      </w:r>
      <w:proofErr w:type="spellEnd"/>
      <w:r w:rsidRPr="00153759">
        <w:rPr>
          <w:rFonts w:asciiTheme="minorHAnsi" w:hAnsiTheme="minorHAnsi"/>
        </w:rPr>
        <w:t xml:space="preserve"> Program. NSW Department of Primary Industries, Grafton, NSW. Viewed 9 August 2021, Available at: https://beta.kempsey.nsw.gov.au/files/sharedassets/public/docs/environment/freshwater-fish-survey-macleay-basin.pdf</w:t>
      </w:r>
    </w:p>
    <w:p w14:paraId="4D01CEE8" w14:textId="77777777" w:rsidR="00350498" w:rsidRPr="00153759" w:rsidRDefault="00350498" w:rsidP="00350498">
      <w:pPr>
        <w:pStyle w:val="CAreference"/>
        <w:rPr>
          <w:rFonts w:asciiTheme="minorHAnsi" w:hAnsiTheme="minorHAnsi"/>
        </w:rPr>
      </w:pPr>
      <w:r w:rsidRPr="00153759">
        <w:rPr>
          <w:rFonts w:asciiTheme="minorHAnsi" w:hAnsiTheme="minorHAnsi"/>
        </w:rPr>
        <w:t>Commonwealth of Australia (2013) Matters of National Environmental Significance - Significant impact guidelines 1.1 - Environment Protection and Biodiversity Conservation Act 1999, Department of the Environment, Canberra, ACT.</w:t>
      </w:r>
    </w:p>
    <w:p w14:paraId="596B7458" w14:textId="77777777" w:rsidR="00350498" w:rsidRPr="00153759" w:rsidRDefault="00350498" w:rsidP="00350498">
      <w:pPr>
        <w:pStyle w:val="CAreference"/>
        <w:rPr>
          <w:rFonts w:asciiTheme="minorHAnsi" w:hAnsiTheme="minorHAnsi"/>
        </w:rPr>
      </w:pPr>
      <w:r w:rsidRPr="00153759">
        <w:rPr>
          <w:rFonts w:asciiTheme="minorHAnsi" w:hAnsiTheme="minorHAnsi"/>
        </w:rPr>
        <w:t>CSIRO (2020) The 2019-20 bushfires: a CSIRO explainer – February 2020. Viewed 14 May 2021, Available at: https://www.csiro.au/-/media/Environment/BushfireFactsheet060220.pdf</w:t>
      </w:r>
    </w:p>
    <w:p w14:paraId="0A5B3A8D" w14:textId="77777777" w:rsidR="00350498" w:rsidRPr="00153759" w:rsidRDefault="00350498" w:rsidP="00350498">
      <w:pPr>
        <w:pStyle w:val="CAreference"/>
        <w:rPr>
          <w:rFonts w:asciiTheme="minorHAnsi" w:hAnsiTheme="minorHAnsi"/>
        </w:rPr>
      </w:pPr>
      <w:r w:rsidRPr="00153759">
        <w:rPr>
          <w:rFonts w:asciiTheme="minorHAnsi" w:hAnsiTheme="minorHAnsi"/>
        </w:rPr>
        <w:t>CSIRO and Bureau of Meteorology (2015) Climate Change in Australia Information for Australia’s Natural Resource Management Regions: Technical Report. CSIRO and Bureau of Meteorology, Australia. Viewed 24 December 2020.</w:t>
      </w:r>
    </w:p>
    <w:p w14:paraId="68E1D9E2" w14:textId="77777777" w:rsidR="00350498" w:rsidRPr="00153759" w:rsidRDefault="00350498" w:rsidP="00350498">
      <w:pPr>
        <w:pStyle w:val="CAreference"/>
        <w:rPr>
          <w:rFonts w:asciiTheme="minorHAnsi" w:hAnsiTheme="minorHAnsi"/>
        </w:rPr>
      </w:pPr>
      <w:r w:rsidRPr="00153759">
        <w:rPr>
          <w:rFonts w:asciiTheme="minorHAnsi" w:hAnsiTheme="minorHAnsi"/>
        </w:rPr>
        <w:lastRenderedPageBreak/>
        <w:t>DAWE (Department of Agriculture Water &amp; the Environment) (2020) National Indicative Aggregated Fire Extent Datasets – NIAFED (Metadata Date: 2020-06-23). Downloaded 16 November 2020. Available at: http://www.environment.gov.au/fed/catalog/search/resource/details.page?uuid=%7B9ACDCB09-0364-4FE8-9459-2A56C792C743%7D</w:t>
      </w:r>
    </w:p>
    <w:p w14:paraId="3B70A8D1" w14:textId="77777777" w:rsidR="00350498" w:rsidRPr="00153759" w:rsidRDefault="00350498" w:rsidP="00350498">
      <w:pPr>
        <w:pStyle w:val="CAreference"/>
        <w:rPr>
          <w:rFonts w:asciiTheme="minorHAnsi" w:hAnsiTheme="minorHAnsi"/>
        </w:rPr>
      </w:pPr>
      <w:r w:rsidRPr="00153759">
        <w:rPr>
          <w:rFonts w:asciiTheme="minorHAnsi" w:hAnsiTheme="minorHAnsi"/>
        </w:rPr>
        <w:t>DAWE (Department of Agriculture Water &amp; the Environment) (2021) ‘Shoalwater Bay Military Training Area’ entry in ‘Australian Heritage Database’. Viewed 13 September 2021. Available at: https://www.environment.gov.au/cgi-bin/ahdb/search.pl?mode=place_detail;search=place_name%3Dshoalwater%3Bkeyword_PD%3Don%3Bkeyword_SS%3Don%3Bkeyword_PH%3Don%3Blatitude_1dir%3DS%3Blongitude_1dir%3DE%3Blongitude_2dir%3DE%3Blatitude_2dir%3DS%3Bin_region%3Dpart;place_id=102722</w:t>
      </w:r>
    </w:p>
    <w:p w14:paraId="6C091B1C" w14:textId="77777777" w:rsidR="00350498" w:rsidRPr="00153759" w:rsidRDefault="00350498" w:rsidP="00350498">
      <w:pPr>
        <w:pStyle w:val="CAreference"/>
        <w:rPr>
          <w:rFonts w:asciiTheme="minorHAnsi" w:hAnsiTheme="minorHAnsi"/>
        </w:rPr>
      </w:pPr>
      <w:r w:rsidRPr="00153759">
        <w:rPr>
          <w:rFonts w:asciiTheme="minorHAnsi" w:hAnsiTheme="minorHAnsi"/>
        </w:rPr>
        <w:t>Docker M (2020) Personal communication by email 18 November 2020. Professor, Department of Biological Sciences, University of Manitoba.</w:t>
      </w:r>
    </w:p>
    <w:p w14:paraId="3462026D"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Garbutt J (2015) The Complete Mitogenome of Two Australian Lampreys: </w:t>
      </w:r>
      <w:proofErr w:type="spellStart"/>
      <w:r w:rsidRPr="00153759">
        <w:rPr>
          <w:rFonts w:asciiTheme="minorHAnsi" w:hAnsiTheme="minorHAnsi"/>
          <w:i/>
          <w:iCs/>
        </w:rPr>
        <w:t>Mordacia</w:t>
      </w:r>
      <w:proofErr w:type="spellEnd"/>
      <w:r w:rsidRPr="00153759">
        <w:rPr>
          <w:rFonts w:asciiTheme="minorHAnsi" w:hAnsiTheme="minorHAnsi"/>
          <w:i/>
          <w:iCs/>
        </w:rPr>
        <w:t xml:space="preserve"> </w:t>
      </w:r>
      <w:proofErr w:type="spellStart"/>
      <w:r w:rsidRPr="00153759">
        <w:rPr>
          <w:rFonts w:asciiTheme="minorHAnsi" w:hAnsiTheme="minorHAnsi"/>
          <w:i/>
          <w:iCs/>
        </w:rPr>
        <w:t>mordax</w:t>
      </w:r>
      <w:proofErr w:type="spellEnd"/>
      <w:r w:rsidRPr="00153759">
        <w:rPr>
          <w:rFonts w:asciiTheme="minorHAnsi" w:hAnsiTheme="minorHAnsi"/>
        </w:rPr>
        <w:t xml:space="preserve"> and </w:t>
      </w:r>
      <w:proofErr w:type="spellStart"/>
      <w:r w:rsidRPr="00153759">
        <w:rPr>
          <w:rFonts w:asciiTheme="minorHAnsi" w:hAnsiTheme="minorHAnsi"/>
          <w:i/>
          <w:iCs/>
        </w:rPr>
        <w:t>Mordacia</w:t>
      </w:r>
      <w:proofErr w:type="spellEnd"/>
      <w:r w:rsidRPr="00153759">
        <w:rPr>
          <w:rFonts w:asciiTheme="minorHAnsi" w:hAnsiTheme="minorHAnsi"/>
          <w:i/>
          <w:iCs/>
        </w:rPr>
        <w:t xml:space="preserve"> praecox</w:t>
      </w:r>
      <w:r w:rsidRPr="00153759">
        <w:rPr>
          <w:rFonts w:asciiTheme="minorHAnsi" w:hAnsiTheme="minorHAnsi"/>
        </w:rPr>
        <w:t>, B.Sc. Thesis. Murdoch University. Viewed 29 December 2020, Available at: https://researchrepository.murdoch.edu.au/id/eprint/30595/1/whole.pdf</w:t>
      </w:r>
    </w:p>
    <w:p w14:paraId="2F03CFD0" w14:textId="77777777" w:rsidR="00350498" w:rsidRPr="00153759" w:rsidRDefault="00350498" w:rsidP="00350498">
      <w:pPr>
        <w:pStyle w:val="CAreference"/>
        <w:rPr>
          <w:rFonts w:asciiTheme="minorHAnsi" w:hAnsiTheme="minorHAnsi"/>
        </w:rPr>
      </w:pPr>
      <w:r w:rsidRPr="00153759">
        <w:rPr>
          <w:rFonts w:asciiTheme="minorHAnsi" w:hAnsiTheme="minorHAnsi"/>
        </w:rPr>
        <w:t>Geoscience Australia (1997) Australia's River Basins 1997. Bioregional Assessment Source Dataset. Viewed 20 November 2020, Available at: http://data.bioregionalassessments.gov.au/dataset/d4561e86-2d13-4dcb-bf9e-aae75ba4850c.</w:t>
      </w:r>
    </w:p>
    <w:p w14:paraId="40482B97" w14:textId="77777777" w:rsidR="00350498" w:rsidRPr="00153759" w:rsidRDefault="00350498" w:rsidP="00350498">
      <w:pPr>
        <w:pStyle w:val="CAreference"/>
        <w:rPr>
          <w:rFonts w:asciiTheme="minorHAnsi" w:hAnsiTheme="minorHAnsi"/>
        </w:rPr>
      </w:pPr>
      <w:r w:rsidRPr="00153759">
        <w:rPr>
          <w:rFonts w:asciiTheme="minorHAnsi" w:hAnsiTheme="minorHAnsi"/>
        </w:rPr>
        <w:t>Geospatial &amp; Information Analytics (GAIA) (2021) Bushfire Recovery Environmental Analysis Decision Support (BREADS) tool, Version 21_18p, Department of Agriculture, Water and the Environment.</w:t>
      </w:r>
    </w:p>
    <w:p w14:paraId="2BBD0F35"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Gilligan D (2019a) </w:t>
      </w:r>
      <w:proofErr w:type="spellStart"/>
      <w:r w:rsidRPr="00153759">
        <w:rPr>
          <w:rFonts w:asciiTheme="minorHAnsi" w:hAnsiTheme="minorHAnsi"/>
          <w:i/>
          <w:iCs/>
        </w:rPr>
        <w:t>Mordacia</w:t>
      </w:r>
      <w:proofErr w:type="spellEnd"/>
      <w:r w:rsidRPr="00153759">
        <w:rPr>
          <w:rFonts w:asciiTheme="minorHAnsi" w:hAnsiTheme="minorHAnsi"/>
          <w:i/>
          <w:iCs/>
        </w:rPr>
        <w:t xml:space="preserve"> </w:t>
      </w:r>
      <w:proofErr w:type="spellStart"/>
      <w:r w:rsidRPr="00153759">
        <w:rPr>
          <w:rFonts w:asciiTheme="minorHAnsi" w:hAnsiTheme="minorHAnsi"/>
          <w:i/>
          <w:iCs/>
        </w:rPr>
        <w:t>mordax</w:t>
      </w:r>
      <w:proofErr w:type="spellEnd"/>
      <w:r w:rsidRPr="00153759">
        <w:rPr>
          <w:rFonts w:asciiTheme="minorHAnsi" w:hAnsiTheme="minorHAnsi"/>
        </w:rPr>
        <w:t xml:space="preserve">. The IUCN Red List of Threatened Species 2019: e e.T122898736A123382016. Viewed 29 December 2020. Available at: https://dx.doi.org/10.2305/IUCN.UK.2019-3.RLTS.T122898736A123382016.en </w:t>
      </w:r>
    </w:p>
    <w:p w14:paraId="0EFD2572"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Gilligan D (2019b) </w:t>
      </w:r>
      <w:proofErr w:type="spellStart"/>
      <w:r w:rsidRPr="00153759">
        <w:rPr>
          <w:rFonts w:asciiTheme="minorHAnsi" w:hAnsiTheme="minorHAnsi"/>
          <w:i/>
          <w:iCs/>
        </w:rPr>
        <w:t>Mordacia</w:t>
      </w:r>
      <w:proofErr w:type="spellEnd"/>
      <w:r w:rsidRPr="00153759">
        <w:rPr>
          <w:rFonts w:asciiTheme="minorHAnsi" w:hAnsiTheme="minorHAnsi"/>
          <w:i/>
          <w:iCs/>
        </w:rPr>
        <w:t xml:space="preserve"> praecox</w:t>
      </w:r>
      <w:r w:rsidRPr="00153759">
        <w:rPr>
          <w:rFonts w:asciiTheme="minorHAnsi" w:hAnsiTheme="minorHAnsi"/>
        </w:rPr>
        <w:t xml:space="preserve"> (errata version published in 2020). The IUCN Red List of Threatened Species 2019: e.T13851A174779500. Viewed 16 November 2020. Available at: https://dx.doi.org/10.2305/IUCN.UK.2019-3.RLTS.T13851A174779500.en.</w:t>
      </w:r>
    </w:p>
    <w:p w14:paraId="20923AF1"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Gilligan D (2020, 2021) Personal communication by email 16, 17 November 2020; 25 June, 15 July 2021. Senior Research Scientist, NSW Department of Primary Industries. </w:t>
      </w:r>
    </w:p>
    <w:p w14:paraId="24EBEFB1"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Guardian Australia (2020) Hundreds of thousands of fish dead in NSW as bushfire ash washed into river. Viewed 13 May 2021, Available at: </w:t>
      </w:r>
      <w:r w:rsidRPr="00153759">
        <w:rPr>
          <w:rFonts w:asciiTheme="minorHAnsi" w:hAnsiTheme="minorHAnsi"/>
        </w:rPr>
        <w:lastRenderedPageBreak/>
        <w:t>https://www.theguardian.com/world/2020/jan/17/hundreds-of-thousands-of-fish-dead-in-nsw-as-bushfire-ash-washed-into-river</w:t>
      </w:r>
    </w:p>
    <w:p w14:paraId="0A571F5D"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Hammer M, Wedderburn S &amp; van </w:t>
      </w:r>
      <w:proofErr w:type="spellStart"/>
      <w:r w:rsidRPr="00153759">
        <w:rPr>
          <w:rFonts w:asciiTheme="minorHAnsi" w:hAnsiTheme="minorHAnsi"/>
        </w:rPr>
        <w:t>Weenen</w:t>
      </w:r>
      <w:proofErr w:type="spellEnd"/>
      <w:r w:rsidRPr="00153759">
        <w:rPr>
          <w:rFonts w:asciiTheme="minorHAnsi" w:hAnsiTheme="minorHAnsi"/>
        </w:rPr>
        <w:t xml:space="preserve"> J (2009) Action Plan for South Australian Freshwater Fishes. SARDI Publication No. F2019/000190-1. Native Fish Australia (SA) &amp; Department for Environment and Heritage, Adelaide. Viewed 16 May 2021, Available at: https://www.environment.sa.gov.au/files/sharedassets/public/plants_and_animals/saff-action-plan-sec1.pdf</w:t>
      </w:r>
    </w:p>
    <w:p w14:paraId="4B5ADFE4"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Harris JH &amp; </w:t>
      </w:r>
      <w:proofErr w:type="spellStart"/>
      <w:r w:rsidRPr="00153759">
        <w:rPr>
          <w:rFonts w:asciiTheme="minorHAnsi" w:hAnsiTheme="minorHAnsi"/>
        </w:rPr>
        <w:t>Gehrke</w:t>
      </w:r>
      <w:proofErr w:type="spellEnd"/>
      <w:r w:rsidRPr="00153759">
        <w:rPr>
          <w:rFonts w:asciiTheme="minorHAnsi" w:hAnsiTheme="minorHAnsi"/>
        </w:rPr>
        <w:t xml:space="preserve"> PC (1997) Fish and rivers in stress: the NSW Rivers Survey. CRC for Freshwater Ecology. Sydney. Viewed 10 May 2021, Available at: </w:t>
      </w:r>
      <w:r w:rsidRPr="00153759">
        <w:rPr>
          <w:rFonts w:asciiTheme="minorHAnsi" w:eastAsiaTheme="minorHAnsi" w:hAnsiTheme="minorHAnsi"/>
        </w:rPr>
        <w:t>https://ewater.org.au/archive/crcfe/freshwater/publications.nsf/0971f5a125d09783ca256f0a00224d3c/b91721ae5974c0e9ca256f19000f062002ec.html?OpenDocument</w:t>
      </w:r>
    </w:p>
    <w:p w14:paraId="784C1500" w14:textId="77777777" w:rsidR="00350498" w:rsidRPr="00153759" w:rsidRDefault="00350498" w:rsidP="00350498">
      <w:pPr>
        <w:pStyle w:val="CAreference"/>
        <w:rPr>
          <w:rFonts w:asciiTheme="minorHAnsi" w:hAnsiTheme="minorHAnsi"/>
        </w:rPr>
      </w:pPr>
      <w:r w:rsidRPr="00153759">
        <w:rPr>
          <w:rFonts w:asciiTheme="minorHAnsi" w:hAnsiTheme="minorHAnsi"/>
        </w:rPr>
        <w:t>IUCN Standards and Petitions Committee (2019) Guidelines for Using the IUCN Red List Categories and Criteria. Version 14. Viewed 15 October 2020, Available at: https://www.iucnredlist.org/resources/redlistguidelines</w:t>
      </w:r>
    </w:p>
    <w:p w14:paraId="19CEA5C7" w14:textId="77777777" w:rsidR="00350498" w:rsidRPr="00153759" w:rsidRDefault="00350498" w:rsidP="00350498">
      <w:pPr>
        <w:pStyle w:val="CAreference"/>
        <w:rPr>
          <w:rFonts w:asciiTheme="minorHAnsi" w:hAnsiTheme="minorHAnsi"/>
        </w:rPr>
      </w:pPr>
      <w:r w:rsidRPr="00153759">
        <w:rPr>
          <w:rFonts w:asciiTheme="minorHAnsi" w:hAnsiTheme="minorHAnsi"/>
        </w:rPr>
        <w:t>Johnson J (2020) Personal communication by email 17 November 2020. Senior Collection Manager, Queensland Museum.</w:t>
      </w:r>
    </w:p>
    <w:p w14:paraId="27BA71AD" w14:textId="77777777" w:rsidR="00350498" w:rsidRPr="00153759" w:rsidRDefault="00350498" w:rsidP="00350498">
      <w:pPr>
        <w:pStyle w:val="CAreference"/>
        <w:rPr>
          <w:rFonts w:asciiTheme="minorHAnsi" w:hAnsiTheme="minorHAnsi"/>
        </w:rPr>
      </w:pPr>
      <w:r w:rsidRPr="00153759">
        <w:rPr>
          <w:rFonts w:asciiTheme="minorHAnsi" w:hAnsiTheme="minorHAnsi"/>
        </w:rPr>
        <w:t>Johnston J (2021) River sediment, nutrient and trace element dynamics following catastrophic bushfires on Australia’s east coast. Conference presentation at: Rivers on Fire &amp; Flood: The Journey to Resilience, Port Macquarie, 20-21 April 2021.</w:t>
      </w:r>
    </w:p>
    <w:p w14:paraId="36A7BE09"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Legge</w:t>
      </w:r>
      <w:proofErr w:type="spellEnd"/>
      <w:r w:rsidRPr="00153759">
        <w:rPr>
          <w:rFonts w:asciiTheme="minorHAnsi" w:hAnsiTheme="minorHAnsi"/>
        </w:rPr>
        <w:t xml:space="preserve"> S, </w:t>
      </w:r>
      <w:proofErr w:type="spellStart"/>
      <w:r w:rsidRPr="00153759">
        <w:rPr>
          <w:rFonts w:asciiTheme="minorHAnsi" w:hAnsiTheme="minorHAnsi"/>
        </w:rPr>
        <w:t>Woinarski</w:t>
      </w:r>
      <w:proofErr w:type="spellEnd"/>
      <w:r w:rsidRPr="00153759">
        <w:rPr>
          <w:rFonts w:asciiTheme="minorHAnsi" w:hAnsiTheme="minorHAnsi"/>
        </w:rPr>
        <w:t xml:space="preserve"> JCZ, Garnett ST, </w:t>
      </w:r>
      <w:proofErr w:type="spellStart"/>
      <w:r w:rsidRPr="00153759">
        <w:rPr>
          <w:rFonts w:asciiTheme="minorHAnsi" w:hAnsiTheme="minorHAnsi"/>
        </w:rPr>
        <w:t>Geyle</w:t>
      </w:r>
      <w:proofErr w:type="spellEnd"/>
      <w:r w:rsidRPr="00153759">
        <w:rPr>
          <w:rFonts w:asciiTheme="minorHAnsi" w:hAnsiTheme="minorHAnsi"/>
        </w:rPr>
        <w:t xml:space="preserve"> H, </w:t>
      </w:r>
      <w:proofErr w:type="spellStart"/>
      <w:r w:rsidRPr="00153759">
        <w:rPr>
          <w:rFonts w:asciiTheme="minorHAnsi" w:hAnsiTheme="minorHAnsi"/>
        </w:rPr>
        <w:t>Lintermans</w:t>
      </w:r>
      <w:proofErr w:type="spellEnd"/>
      <w:r w:rsidRPr="00153759">
        <w:rPr>
          <w:rFonts w:asciiTheme="minorHAnsi" w:hAnsiTheme="minorHAnsi"/>
        </w:rPr>
        <w:t xml:space="preserve"> M, Nimmo DG, </w:t>
      </w:r>
      <w:proofErr w:type="spellStart"/>
      <w:r w:rsidRPr="00153759">
        <w:rPr>
          <w:rFonts w:asciiTheme="minorHAnsi" w:hAnsiTheme="minorHAnsi"/>
        </w:rPr>
        <w:t>Rumpff</w:t>
      </w:r>
      <w:proofErr w:type="spellEnd"/>
      <w:r w:rsidRPr="00153759">
        <w:rPr>
          <w:rFonts w:asciiTheme="minorHAnsi" w:hAnsiTheme="minorHAnsi"/>
        </w:rPr>
        <w:t xml:space="preserve"> L, Scheele BC, </w:t>
      </w:r>
      <w:proofErr w:type="spellStart"/>
      <w:r w:rsidRPr="00153759">
        <w:rPr>
          <w:rFonts w:asciiTheme="minorHAnsi" w:hAnsiTheme="minorHAnsi"/>
        </w:rPr>
        <w:t>Southwell</w:t>
      </w:r>
      <w:proofErr w:type="spellEnd"/>
      <w:r w:rsidRPr="00153759">
        <w:rPr>
          <w:rFonts w:asciiTheme="minorHAnsi" w:hAnsiTheme="minorHAnsi"/>
        </w:rPr>
        <w:t xml:space="preserve"> DG, Ward M, </w:t>
      </w:r>
      <w:proofErr w:type="spellStart"/>
      <w:r w:rsidRPr="00153759">
        <w:rPr>
          <w:rFonts w:asciiTheme="minorHAnsi" w:hAnsiTheme="minorHAnsi"/>
        </w:rPr>
        <w:t>Whiterod</w:t>
      </w:r>
      <w:proofErr w:type="spellEnd"/>
      <w:r w:rsidRPr="00153759">
        <w:rPr>
          <w:rFonts w:asciiTheme="minorHAnsi" w:hAnsiTheme="minorHAnsi"/>
        </w:rPr>
        <w:t xml:space="preserve"> NS, </w:t>
      </w:r>
      <w:proofErr w:type="spellStart"/>
      <w:r w:rsidRPr="00153759">
        <w:rPr>
          <w:rFonts w:asciiTheme="minorHAnsi" w:hAnsiTheme="minorHAnsi"/>
        </w:rPr>
        <w:t>Ahyong</w:t>
      </w:r>
      <w:proofErr w:type="spellEnd"/>
      <w:r w:rsidRPr="00153759">
        <w:rPr>
          <w:rFonts w:asciiTheme="minorHAnsi" w:hAnsiTheme="minorHAnsi"/>
        </w:rPr>
        <w:t xml:space="preserve"> S, Blackmore C, Bower D, </w:t>
      </w:r>
      <w:proofErr w:type="spellStart"/>
      <w:r w:rsidRPr="00153759">
        <w:rPr>
          <w:rFonts w:asciiTheme="minorHAnsi" w:hAnsiTheme="minorHAnsi"/>
        </w:rPr>
        <w:t>Brizuela</w:t>
      </w:r>
      <w:proofErr w:type="spellEnd"/>
      <w:r w:rsidRPr="00153759">
        <w:rPr>
          <w:rFonts w:asciiTheme="minorHAnsi" w:hAnsiTheme="minorHAnsi"/>
        </w:rPr>
        <w:t xml:space="preserve"> Torres D, Burbidge AH, Burns P, Butler G, </w:t>
      </w:r>
      <w:proofErr w:type="spellStart"/>
      <w:r w:rsidRPr="00153759">
        <w:rPr>
          <w:rFonts w:asciiTheme="minorHAnsi" w:hAnsiTheme="minorHAnsi"/>
        </w:rPr>
        <w:t>Catullo</w:t>
      </w:r>
      <w:proofErr w:type="spellEnd"/>
      <w:r w:rsidRPr="00153759">
        <w:rPr>
          <w:rFonts w:asciiTheme="minorHAnsi" w:hAnsiTheme="minorHAnsi"/>
        </w:rPr>
        <w:t xml:space="preserve"> R, Dickman CR, Doyle K, </w:t>
      </w:r>
      <w:proofErr w:type="spellStart"/>
      <w:r w:rsidRPr="00153759">
        <w:rPr>
          <w:rFonts w:asciiTheme="minorHAnsi" w:hAnsiTheme="minorHAnsi"/>
        </w:rPr>
        <w:t>Ensby</w:t>
      </w:r>
      <w:proofErr w:type="spellEnd"/>
      <w:r w:rsidRPr="00153759">
        <w:rPr>
          <w:rFonts w:asciiTheme="minorHAnsi" w:hAnsiTheme="minorHAnsi"/>
        </w:rPr>
        <w:t xml:space="preserve"> M, Ehmke G, Ferris J, Fisher D, Gallagher R, Gillespie G, </w:t>
      </w:r>
      <w:proofErr w:type="spellStart"/>
      <w:r w:rsidRPr="00153759">
        <w:rPr>
          <w:rFonts w:asciiTheme="minorHAnsi" w:hAnsiTheme="minorHAnsi"/>
        </w:rPr>
        <w:t>Greenlees</w:t>
      </w:r>
      <w:proofErr w:type="spellEnd"/>
      <w:r w:rsidRPr="00153759">
        <w:rPr>
          <w:rFonts w:asciiTheme="minorHAnsi" w:hAnsiTheme="minorHAnsi"/>
        </w:rPr>
        <w:t xml:space="preserve"> M J, Hayward-Brown B, </w:t>
      </w:r>
      <w:proofErr w:type="spellStart"/>
      <w:r w:rsidRPr="00153759">
        <w:rPr>
          <w:rFonts w:asciiTheme="minorHAnsi" w:hAnsiTheme="minorHAnsi"/>
        </w:rPr>
        <w:t>Hohnen</w:t>
      </w:r>
      <w:proofErr w:type="spellEnd"/>
      <w:r w:rsidRPr="00153759">
        <w:rPr>
          <w:rFonts w:asciiTheme="minorHAnsi" w:hAnsiTheme="minorHAnsi"/>
        </w:rPr>
        <w:t xml:space="preserve"> R, Hoskin C, Hunter D, Jolly C, Kennard M, King A, </w:t>
      </w:r>
      <w:proofErr w:type="spellStart"/>
      <w:r w:rsidRPr="00153759">
        <w:rPr>
          <w:rFonts w:asciiTheme="minorHAnsi" w:hAnsiTheme="minorHAnsi"/>
        </w:rPr>
        <w:t>Kuchinke</w:t>
      </w:r>
      <w:proofErr w:type="spellEnd"/>
      <w:r w:rsidRPr="00153759">
        <w:rPr>
          <w:rFonts w:asciiTheme="minorHAnsi" w:hAnsiTheme="minorHAnsi"/>
        </w:rPr>
        <w:t xml:space="preserve"> D, Law B, Lawler I, </w:t>
      </w:r>
      <w:proofErr w:type="spellStart"/>
      <w:r w:rsidRPr="00153759">
        <w:rPr>
          <w:rFonts w:asciiTheme="minorHAnsi" w:hAnsiTheme="minorHAnsi"/>
        </w:rPr>
        <w:t>Loyn</w:t>
      </w:r>
      <w:proofErr w:type="spellEnd"/>
      <w:r w:rsidRPr="00153759">
        <w:rPr>
          <w:rFonts w:asciiTheme="minorHAnsi" w:hAnsiTheme="minorHAnsi"/>
        </w:rPr>
        <w:t xml:space="preserve"> R, </w:t>
      </w:r>
      <w:proofErr w:type="spellStart"/>
      <w:r w:rsidRPr="00153759">
        <w:rPr>
          <w:rFonts w:asciiTheme="minorHAnsi" w:hAnsiTheme="minorHAnsi"/>
        </w:rPr>
        <w:t>Lunney</w:t>
      </w:r>
      <w:proofErr w:type="spellEnd"/>
      <w:r w:rsidRPr="00153759">
        <w:rPr>
          <w:rFonts w:asciiTheme="minorHAnsi" w:hAnsiTheme="minorHAnsi"/>
        </w:rPr>
        <w:t xml:space="preserve"> D, Lyon J, </w:t>
      </w:r>
      <w:proofErr w:type="spellStart"/>
      <w:r w:rsidRPr="00153759">
        <w:rPr>
          <w:rFonts w:asciiTheme="minorHAnsi" w:hAnsiTheme="minorHAnsi"/>
        </w:rPr>
        <w:t>MacHunter</w:t>
      </w:r>
      <w:proofErr w:type="spellEnd"/>
      <w:r w:rsidRPr="00153759">
        <w:rPr>
          <w:rFonts w:asciiTheme="minorHAnsi" w:hAnsiTheme="minorHAnsi"/>
        </w:rPr>
        <w:t xml:space="preserve"> J, Mahony M, Mahony S, McCormack R, Melville J, </w:t>
      </w:r>
      <w:proofErr w:type="spellStart"/>
      <w:r w:rsidRPr="00153759">
        <w:rPr>
          <w:rFonts w:asciiTheme="minorHAnsi" w:hAnsiTheme="minorHAnsi"/>
        </w:rPr>
        <w:t>Menkhorst</w:t>
      </w:r>
      <w:proofErr w:type="spellEnd"/>
      <w:r w:rsidRPr="00153759">
        <w:rPr>
          <w:rFonts w:asciiTheme="minorHAnsi" w:hAnsiTheme="minorHAnsi"/>
        </w:rPr>
        <w:t xml:space="preserve"> P, Michael D, Mitchell N, Mulder E, Newell D, Pearce L, </w:t>
      </w:r>
      <w:proofErr w:type="spellStart"/>
      <w:r w:rsidRPr="00153759">
        <w:rPr>
          <w:rFonts w:asciiTheme="minorHAnsi" w:hAnsiTheme="minorHAnsi"/>
        </w:rPr>
        <w:t>Raadik</w:t>
      </w:r>
      <w:proofErr w:type="spellEnd"/>
      <w:r w:rsidRPr="00153759">
        <w:rPr>
          <w:rFonts w:asciiTheme="minorHAnsi" w:hAnsiTheme="minorHAnsi"/>
        </w:rPr>
        <w:t xml:space="preserve"> T, Rowley J, Sitters H, Spencer R, Lawler S, </w:t>
      </w:r>
      <w:proofErr w:type="spellStart"/>
      <w:r w:rsidRPr="00153759">
        <w:rPr>
          <w:rFonts w:asciiTheme="minorHAnsi" w:hAnsiTheme="minorHAnsi"/>
        </w:rPr>
        <w:t>Valavi</w:t>
      </w:r>
      <w:proofErr w:type="spellEnd"/>
      <w:r w:rsidRPr="00153759">
        <w:rPr>
          <w:rFonts w:asciiTheme="minorHAnsi" w:hAnsiTheme="minorHAnsi"/>
        </w:rPr>
        <w:t xml:space="preserve"> R, Ward M, West M, Wilkinson D &amp; </w:t>
      </w:r>
      <w:proofErr w:type="spellStart"/>
      <w:r w:rsidRPr="00153759">
        <w:rPr>
          <w:rFonts w:asciiTheme="minorHAnsi" w:hAnsiTheme="minorHAnsi"/>
        </w:rPr>
        <w:t>Zukowski</w:t>
      </w:r>
      <w:proofErr w:type="spellEnd"/>
      <w:r w:rsidRPr="00153759">
        <w:rPr>
          <w:rFonts w:asciiTheme="minorHAnsi" w:hAnsiTheme="minorHAnsi"/>
        </w:rPr>
        <w:t>, S (2021) Estimates of the impacts of the 2019-2020 fires on populations of native animal species. Report by the National Environmental Science Programme (NESP) Threatened Species Recovery (TSR) Hub project 8.3.2, Brisbane, Australia.</w:t>
      </w:r>
    </w:p>
    <w:p w14:paraId="5C321DFC" w14:textId="77777777" w:rsidR="00350498" w:rsidRPr="00153759" w:rsidRDefault="00350498" w:rsidP="00350498">
      <w:pPr>
        <w:pStyle w:val="CAreference"/>
        <w:rPr>
          <w:rFonts w:asciiTheme="minorHAnsi" w:hAnsiTheme="minorHAnsi"/>
        </w:rPr>
      </w:pPr>
      <w:r w:rsidRPr="00153759">
        <w:rPr>
          <w:rFonts w:asciiTheme="minorHAnsi" w:hAnsiTheme="minorHAnsi"/>
        </w:rPr>
        <w:t>Miller A (2021) Personal communication by email 5 May 2021. Researcher, Department of Pathology and Biomedical Science, University of Otago.</w:t>
      </w:r>
    </w:p>
    <w:p w14:paraId="09B527AA" w14:textId="77777777" w:rsidR="00350498" w:rsidRPr="00153759" w:rsidRDefault="00350498" w:rsidP="00350498">
      <w:pPr>
        <w:pStyle w:val="CAreference"/>
        <w:rPr>
          <w:rFonts w:asciiTheme="minorHAnsi" w:hAnsiTheme="minorHAnsi"/>
        </w:rPr>
      </w:pPr>
      <w:r w:rsidRPr="00153759">
        <w:rPr>
          <w:rFonts w:asciiTheme="minorHAnsi" w:hAnsiTheme="minorHAnsi"/>
        </w:rPr>
        <w:lastRenderedPageBreak/>
        <w:t xml:space="preserve">Moffatt D (2020) Unpublished genetic and morphological data on </w:t>
      </w:r>
      <w:proofErr w:type="spellStart"/>
      <w:r w:rsidRPr="00153759">
        <w:rPr>
          <w:rFonts w:asciiTheme="minorHAnsi" w:hAnsiTheme="minorHAnsi"/>
          <w:i/>
          <w:iCs/>
        </w:rPr>
        <w:t>Mordacia</w:t>
      </w:r>
      <w:proofErr w:type="spellEnd"/>
      <w:r w:rsidRPr="00153759">
        <w:rPr>
          <w:rFonts w:asciiTheme="minorHAnsi" w:hAnsiTheme="minorHAnsi"/>
        </w:rPr>
        <w:t xml:space="preserve"> species. In possession of author, Brisbane. Principal Environmental Officer, Queensland Department of Environment and Science.</w:t>
      </w:r>
    </w:p>
    <w:p w14:paraId="05BF5371" w14:textId="77777777" w:rsidR="00350498" w:rsidRPr="00153759" w:rsidRDefault="00350498" w:rsidP="00350498">
      <w:pPr>
        <w:pStyle w:val="CAreference"/>
        <w:rPr>
          <w:rFonts w:asciiTheme="minorHAnsi" w:hAnsiTheme="minorHAnsi"/>
        </w:rPr>
      </w:pPr>
      <w:r w:rsidRPr="00153759">
        <w:rPr>
          <w:rFonts w:asciiTheme="minorHAnsi" w:hAnsiTheme="minorHAnsi"/>
        </w:rPr>
        <w:t>Moffatt D (2020, 2021) Personal communication by email and Teams 17 November 2020, email 10 March 2021. Principal Environmental Officer, Queensland Department of Environment and Science.</w:t>
      </w:r>
    </w:p>
    <w:p w14:paraId="17F0CFC0"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Moore M &amp; Marsden T (2011) Addressing Threats Posed by Invasive Aquatic Animals on Shoalwater &amp; Corio Bay Ramsar Wetlands. Department of Employment, Economic Development and Innovation, Viewed 10 May 2021, Available at: </w:t>
      </w:r>
      <w:r w:rsidRPr="00153759">
        <w:rPr>
          <w:rFonts w:asciiTheme="minorHAnsi" w:eastAsiaTheme="minorHAnsi" w:hAnsiTheme="minorHAnsi"/>
        </w:rPr>
        <w:t>http://catchmentsolutions.com.au/files/2015/01/Shoalwater-and-Corio-Bay-Pest-Fish-Sampling-Report-2011.pdf</w:t>
      </w:r>
    </w:p>
    <w:p w14:paraId="0C5EA6FC"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Morris SA, Pollard DA, </w:t>
      </w:r>
      <w:proofErr w:type="spellStart"/>
      <w:r w:rsidRPr="00153759">
        <w:rPr>
          <w:rFonts w:asciiTheme="minorHAnsi" w:hAnsiTheme="minorHAnsi"/>
        </w:rPr>
        <w:t>Gehrke</w:t>
      </w:r>
      <w:proofErr w:type="spellEnd"/>
      <w:r w:rsidRPr="00153759">
        <w:rPr>
          <w:rFonts w:asciiTheme="minorHAnsi" w:hAnsiTheme="minorHAnsi"/>
        </w:rPr>
        <w:t xml:space="preserve"> PC &amp; </w:t>
      </w:r>
      <w:proofErr w:type="spellStart"/>
      <w:r w:rsidRPr="00153759">
        <w:rPr>
          <w:rFonts w:asciiTheme="minorHAnsi" w:hAnsiTheme="minorHAnsi"/>
        </w:rPr>
        <w:t>Pogonoski</w:t>
      </w:r>
      <w:proofErr w:type="spellEnd"/>
      <w:r w:rsidRPr="00153759">
        <w:rPr>
          <w:rFonts w:asciiTheme="minorHAnsi" w:hAnsiTheme="minorHAnsi"/>
        </w:rPr>
        <w:t xml:space="preserve"> JJ (2001) Threatened and Potentially Threatened Freshwater Fishes of Coastal New South Wales and the Murray-Darling Basin. Report to Fisheries Action Program and World Wide Fund for Nature, 177. Viewed 10 May 2021, Available: </w:t>
      </w:r>
      <w:r w:rsidRPr="00153759">
        <w:rPr>
          <w:rFonts w:asciiTheme="minorHAnsi" w:eastAsiaTheme="minorHAnsi" w:hAnsiTheme="minorHAnsi"/>
        </w:rPr>
        <w:t>https://www.dpi.nsw.gov.au/__data/assets/pdf_file/0010/545617/FFRS-33_Morris-et-al-2001.pdf</w:t>
      </w:r>
    </w:p>
    <w:p w14:paraId="2638C7CC" w14:textId="77777777" w:rsidR="00350498" w:rsidRPr="00153759" w:rsidRDefault="00350498" w:rsidP="00350498">
      <w:pPr>
        <w:pStyle w:val="CAreference"/>
        <w:rPr>
          <w:rFonts w:asciiTheme="minorHAnsi" w:hAnsiTheme="minorHAnsi"/>
        </w:rPr>
      </w:pPr>
      <w:r w:rsidRPr="00153759">
        <w:rPr>
          <w:rFonts w:asciiTheme="minorHAnsi" w:hAnsiTheme="minorHAnsi"/>
        </w:rPr>
        <w:t>Mulvey C (2021) Impacts of bushfire-associated stressors for threatened freshwater fishes. B.Sc. Honours Thesis. University of Queensland. </w:t>
      </w:r>
    </w:p>
    <w:p w14:paraId="6B55A410"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NSW DPI Fisheries (2021) Unpublished sampling data on </w:t>
      </w:r>
      <w:proofErr w:type="spellStart"/>
      <w:r w:rsidRPr="00153759">
        <w:rPr>
          <w:rFonts w:asciiTheme="minorHAnsi" w:hAnsiTheme="minorHAnsi"/>
          <w:i/>
          <w:iCs/>
        </w:rPr>
        <w:t>Mordacia</w:t>
      </w:r>
      <w:proofErr w:type="spellEnd"/>
      <w:r w:rsidRPr="00153759">
        <w:rPr>
          <w:rFonts w:asciiTheme="minorHAnsi" w:hAnsiTheme="minorHAnsi"/>
        </w:rPr>
        <w:t xml:space="preserve"> species. In possession of Dean Gilligan, Senior Research Scientist, NSW Department of Primary Industries.</w:t>
      </w:r>
    </w:p>
    <w:p w14:paraId="4F83FA8A"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Pethebridge</w:t>
      </w:r>
      <w:proofErr w:type="spellEnd"/>
      <w:r w:rsidRPr="00153759">
        <w:rPr>
          <w:rFonts w:asciiTheme="minorHAnsi" w:hAnsiTheme="minorHAnsi"/>
        </w:rPr>
        <w:t xml:space="preserve"> R, Lugg A, &amp; Harris J (1998) Obstructions to Fish Passage in New South Wales South Coast Streams. Cooperative Research Centre for Freshwater Ecology, Cronulla, NSW.</w:t>
      </w:r>
    </w:p>
    <w:p w14:paraId="152F5C5F"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Pumicestone</w:t>
      </w:r>
      <w:proofErr w:type="spellEnd"/>
      <w:r w:rsidRPr="00153759">
        <w:rPr>
          <w:rFonts w:asciiTheme="minorHAnsi" w:hAnsiTheme="minorHAnsi"/>
        </w:rPr>
        <w:t xml:space="preserve"> Passage Technical Working Group (2011) Causes of declining ecosystem health grades in the </w:t>
      </w:r>
      <w:proofErr w:type="spellStart"/>
      <w:r w:rsidRPr="00153759">
        <w:rPr>
          <w:rFonts w:asciiTheme="minorHAnsi" w:hAnsiTheme="minorHAnsi"/>
        </w:rPr>
        <w:t>Pumicestone</w:t>
      </w:r>
      <w:proofErr w:type="spellEnd"/>
      <w:r w:rsidRPr="00153759">
        <w:rPr>
          <w:rFonts w:asciiTheme="minorHAnsi" w:hAnsiTheme="minorHAnsi"/>
        </w:rPr>
        <w:t xml:space="preserve"> Passage - Findings of the </w:t>
      </w:r>
      <w:proofErr w:type="spellStart"/>
      <w:r w:rsidRPr="00153759">
        <w:rPr>
          <w:rFonts w:asciiTheme="minorHAnsi" w:hAnsiTheme="minorHAnsi"/>
        </w:rPr>
        <w:t>Pumicestone</w:t>
      </w:r>
      <w:proofErr w:type="spellEnd"/>
      <w:r w:rsidRPr="00153759">
        <w:rPr>
          <w:rFonts w:asciiTheme="minorHAnsi" w:hAnsiTheme="minorHAnsi"/>
        </w:rPr>
        <w:t xml:space="preserve"> Passage Technical Working Group. Viewed 10 May 2021.</w:t>
      </w:r>
    </w:p>
    <w:p w14:paraId="54F772FD"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Raadik</w:t>
      </w:r>
      <w:proofErr w:type="spellEnd"/>
      <w:r w:rsidRPr="00153759">
        <w:rPr>
          <w:rFonts w:asciiTheme="minorHAnsi" w:hAnsiTheme="minorHAnsi"/>
        </w:rPr>
        <w:t xml:space="preserve"> T (2021) Personal communication by email 15 February, 8 March 2021. Senior Research Scientist, Applied Aquatic Ecology, Arthur </w:t>
      </w:r>
      <w:proofErr w:type="spellStart"/>
      <w:r w:rsidRPr="00153759">
        <w:rPr>
          <w:rFonts w:asciiTheme="minorHAnsi" w:hAnsiTheme="minorHAnsi"/>
        </w:rPr>
        <w:t>Rylah</w:t>
      </w:r>
      <w:proofErr w:type="spellEnd"/>
      <w:r w:rsidRPr="00153759">
        <w:rPr>
          <w:rFonts w:asciiTheme="minorHAnsi" w:hAnsiTheme="minorHAnsi"/>
        </w:rPr>
        <w:t xml:space="preserve"> Institute for Environmental Research, Victorian DELWP.</w:t>
      </w:r>
    </w:p>
    <w:p w14:paraId="340342E1" w14:textId="77777777" w:rsidR="00350498" w:rsidRPr="00153759" w:rsidRDefault="00350498" w:rsidP="00350498">
      <w:pPr>
        <w:pStyle w:val="CAreference"/>
        <w:rPr>
          <w:rFonts w:asciiTheme="minorHAnsi" w:hAnsiTheme="minorHAnsi"/>
        </w:rPr>
      </w:pPr>
      <w:proofErr w:type="spellStart"/>
      <w:r w:rsidRPr="00153759">
        <w:rPr>
          <w:rFonts w:asciiTheme="minorHAnsi" w:hAnsiTheme="minorHAnsi"/>
        </w:rPr>
        <w:t>Southwell</w:t>
      </w:r>
      <w:proofErr w:type="spellEnd"/>
      <w:r w:rsidRPr="00153759">
        <w:rPr>
          <w:rFonts w:asciiTheme="minorHAnsi" w:hAnsiTheme="minorHAnsi"/>
        </w:rPr>
        <w:t xml:space="preserve"> D (2020). Design considerations for post natural disaster (fire) on-ground assessment of status of species, ecological communities, habitats and threats. Threatened Species Recovery Hub. Viewed 17 December 2020 Available at: </w:t>
      </w:r>
      <w:r w:rsidRPr="00153759">
        <w:rPr>
          <w:rFonts w:asciiTheme="minorHAnsi" w:hAnsiTheme="minorHAnsi"/>
        </w:rPr>
        <w:lastRenderedPageBreak/>
        <w:t>http://www.environment.gov.au/system/files/pages/a8d10ce5-6a49-4fc2-b94d-575d6d11c547/files/draft-post-fire-rapid-assessment-guide.pdf</w:t>
      </w:r>
    </w:p>
    <w:p w14:paraId="7C298BF3" w14:textId="77777777" w:rsidR="00350498" w:rsidRPr="00153759" w:rsidRDefault="00350498" w:rsidP="00350498">
      <w:pPr>
        <w:pStyle w:val="CAreference"/>
        <w:rPr>
          <w:rFonts w:asciiTheme="minorHAnsi" w:hAnsiTheme="minorHAnsi"/>
        </w:rPr>
      </w:pPr>
      <w:r w:rsidRPr="00153759">
        <w:rPr>
          <w:rFonts w:asciiTheme="minorHAnsi" w:hAnsiTheme="minorHAnsi"/>
        </w:rPr>
        <w:t xml:space="preserve">Wilkinson S, </w:t>
      </w:r>
      <w:proofErr w:type="spellStart"/>
      <w:r w:rsidRPr="00153759">
        <w:rPr>
          <w:rFonts w:asciiTheme="minorHAnsi" w:hAnsiTheme="minorHAnsi"/>
        </w:rPr>
        <w:t>Wallbrink</w:t>
      </w:r>
      <w:proofErr w:type="spellEnd"/>
      <w:r w:rsidRPr="00153759">
        <w:rPr>
          <w:rFonts w:asciiTheme="minorHAnsi" w:hAnsiTheme="minorHAnsi"/>
        </w:rPr>
        <w:t xml:space="preserve"> P, </w:t>
      </w:r>
      <w:proofErr w:type="spellStart"/>
      <w:r w:rsidRPr="00153759">
        <w:rPr>
          <w:rFonts w:asciiTheme="minorHAnsi" w:hAnsiTheme="minorHAnsi"/>
        </w:rPr>
        <w:t>Shakesby</w:t>
      </w:r>
      <w:proofErr w:type="spellEnd"/>
      <w:r w:rsidRPr="00153759">
        <w:rPr>
          <w:rFonts w:asciiTheme="minorHAnsi" w:hAnsiTheme="minorHAnsi"/>
        </w:rPr>
        <w:t xml:space="preserve"> R, Blake W &amp; </w:t>
      </w:r>
      <w:proofErr w:type="spellStart"/>
      <w:r w:rsidRPr="00153759">
        <w:rPr>
          <w:rFonts w:asciiTheme="minorHAnsi" w:hAnsiTheme="minorHAnsi"/>
        </w:rPr>
        <w:t>Doerr</w:t>
      </w:r>
      <w:proofErr w:type="spellEnd"/>
      <w:r w:rsidRPr="00153759">
        <w:rPr>
          <w:rFonts w:asciiTheme="minorHAnsi" w:hAnsiTheme="minorHAnsi"/>
        </w:rPr>
        <w:t xml:space="preserve"> S (2007) Impacts on water quality by sediments and nutrients released during extreme bushfires: Summary of findings. Report for the Sydney Catchment Authority. CSIRO. Viewed 10 May 2021, Available: </w:t>
      </w:r>
      <w:r w:rsidRPr="00153759">
        <w:rPr>
          <w:rFonts w:asciiTheme="minorHAnsi" w:eastAsiaTheme="minorHAnsi" w:hAnsiTheme="minorHAnsi"/>
        </w:rPr>
        <w:t>https://publications.csiro.au/rpr/download?pid=procite:2e75ecb5-f52f-4ae7-b7e7-d69a222348ed&amp;dsid=DS1</w:t>
      </w:r>
    </w:p>
    <w:p w14:paraId="60EADDCA" w14:textId="77777777" w:rsidR="00350498" w:rsidRPr="00153759" w:rsidRDefault="00350498" w:rsidP="00350498">
      <w:pPr>
        <w:pStyle w:val="CAreference"/>
        <w:rPr>
          <w:rFonts w:asciiTheme="minorHAnsi" w:hAnsiTheme="minorHAnsi"/>
        </w:rPr>
      </w:pPr>
      <w:r w:rsidRPr="00153759">
        <w:rPr>
          <w:rFonts w:asciiTheme="minorHAnsi" w:hAnsiTheme="minorHAnsi"/>
        </w:rPr>
        <w:t>WMA Water &amp; SCU Centre for Coastal Biogeochemistry (2009) Macleay River Estuary Processes Study. Report for Kempsey Shire Council, Sydney. Viewed 10 May 2021</w:t>
      </w:r>
    </w:p>
    <w:p w14:paraId="2D4B799B" w14:textId="77777777" w:rsidR="00350498" w:rsidRPr="00521832" w:rsidRDefault="00350498" w:rsidP="00350498">
      <w:pPr>
        <w:pStyle w:val="CAreference"/>
      </w:pPr>
    </w:p>
    <w:p w14:paraId="43850660" w14:textId="77777777" w:rsidR="00350498" w:rsidRPr="00521832" w:rsidRDefault="00350498" w:rsidP="00350498">
      <w:pPr>
        <w:pStyle w:val="CAreference"/>
        <w:rPr>
          <w:sz w:val="24"/>
          <w:szCs w:val="24"/>
        </w:rPr>
      </w:pPr>
    </w:p>
    <w:p w14:paraId="61526D43" w14:textId="77777777" w:rsidR="00350498" w:rsidRPr="00521832" w:rsidRDefault="00350498" w:rsidP="00350498">
      <w:pPr>
        <w:sectPr w:rsidR="00350498" w:rsidRPr="00521832" w:rsidSect="007F30CA">
          <w:headerReference w:type="even" r:id="rId26"/>
          <w:headerReference w:type="default" r:id="rId27"/>
          <w:footerReference w:type="default" r:id="rId28"/>
          <w:headerReference w:type="first" r:id="rId29"/>
          <w:footerReference w:type="first" r:id="rId30"/>
          <w:pgSz w:w="11906" w:h="16838"/>
          <w:pgMar w:top="1418" w:right="1418" w:bottom="1418" w:left="1418" w:header="567" w:footer="284" w:gutter="0"/>
          <w:cols w:space="708"/>
          <w:titlePg/>
          <w:docGrid w:linePitch="360"/>
        </w:sectPr>
      </w:pPr>
    </w:p>
    <w:p w14:paraId="32367BC2" w14:textId="77777777" w:rsidR="00350498" w:rsidRPr="00521832" w:rsidRDefault="00350498" w:rsidP="00350498">
      <w:pPr>
        <w:pStyle w:val="Heading2"/>
        <w:pageBreakBefore/>
        <w:ind w:left="720" w:hanging="720"/>
        <w:rPr>
          <w:i/>
          <w:iCs/>
          <w:color w:val="auto"/>
        </w:rPr>
      </w:pPr>
      <w:r w:rsidRPr="00521832">
        <w:rPr>
          <w:color w:val="auto"/>
        </w:rPr>
        <w:lastRenderedPageBreak/>
        <w:t xml:space="preserve">Attachment A: Listing Assessment for </w:t>
      </w:r>
      <w:proofErr w:type="spellStart"/>
      <w:r w:rsidRPr="00521832">
        <w:rPr>
          <w:i/>
          <w:iCs/>
          <w:color w:val="auto"/>
        </w:rPr>
        <w:t>Mordacia</w:t>
      </w:r>
      <w:proofErr w:type="spellEnd"/>
      <w:r w:rsidRPr="00521832">
        <w:rPr>
          <w:i/>
          <w:iCs/>
          <w:color w:val="auto"/>
        </w:rPr>
        <w:t xml:space="preserve"> praecox</w:t>
      </w:r>
    </w:p>
    <w:p w14:paraId="6F3681D6" w14:textId="77777777" w:rsidR="00350498" w:rsidRPr="00521832" w:rsidRDefault="00350498" w:rsidP="00350498">
      <w:pPr>
        <w:pStyle w:val="Heading3"/>
        <w:ind w:left="964" w:hanging="964"/>
        <w:rPr>
          <w:lang w:eastAsia="ja-JP"/>
        </w:rPr>
      </w:pPr>
      <w:r w:rsidRPr="00521832">
        <w:rPr>
          <w:lang w:eastAsia="ja-JP"/>
        </w:rPr>
        <w:t>Reason for assessment</w:t>
      </w:r>
    </w:p>
    <w:p w14:paraId="191FF012" w14:textId="77777777" w:rsidR="00350498" w:rsidRPr="00521832" w:rsidRDefault="00350498" w:rsidP="00350498">
      <w:pPr>
        <w:rPr>
          <w:lang w:eastAsia="ja-JP"/>
        </w:rPr>
      </w:pPr>
      <w:r w:rsidRPr="00521832">
        <w:t>This assessment follows</w:t>
      </w:r>
      <w:r w:rsidRPr="00521832">
        <w:rPr>
          <w:lang w:eastAsia="ja-JP"/>
        </w:rPr>
        <w:t xml:space="preserve"> provision of new information to the Committee.</w:t>
      </w:r>
    </w:p>
    <w:p w14:paraId="7949A9CB" w14:textId="77777777" w:rsidR="00350498" w:rsidRPr="00521832" w:rsidRDefault="00350498" w:rsidP="00350498">
      <w:pPr>
        <w:pStyle w:val="Heading3"/>
        <w:ind w:left="964" w:hanging="964"/>
        <w:rPr>
          <w:lang w:eastAsia="ja-JP"/>
        </w:rPr>
      </w:pPr>
      <w:r w:rsidRPr="00521832">
        <w:rPr>
          <w:lang w:eastAsia="ja-JP"/>
        </w:rPr>
        <w:t>Assessment of eligibility for listing</w:t>
      </w:r>
    </w:p>
    <w:p w14:paraId="1A03C6FC" w14:textId="77777777" w:rsidR="00350498" w:rsidRPr="00521832" w:rsidRDefault="00350498" w:rsidP="00350498">
      <w:pPr>
        <w:rPr>
          <w:lang w:eastAsia="ja-JP"/>
        </w:rPr>
      </w:pPr>
      <w:r w:rsidRPr="00521832">
        <w:rPr>
          <w:lang w:eastAsia="ja-JP"/>
        </w:rPr>
        <w:t xml:space="preserve">This assessment uses the criteria set out in the </w:t>
      </w:r>
      <w:hyperlink r:id="rId31" w:history="1">
        <w:r w:rsidRPr="00521832">
          <w:rPr>
            <w:rStyle w:val="Hyperlink"/>
            <w:color w:val="auto"/>
            <w:lang w:eastAsia="ja-JP"/>
          </w:rPr>
          <w:t>EPBC Regulations</w:t>
        </w:r>
      </w:hyperlink>
      <w:r w:rsidRPr="00521832">
        <w:rPr>
          <w:lang w:eastAsia="ja-JP"/>
        </w:rPr>
        <w:t xml:space="preserve">. The thresholds used correspond with those in the </w:t>
      </w:r>
      <w:hyperlink r:id="rId32" w:history="1">
        <w:r w:rsidRPr="00521832">
          <w:rPr>
            <w:rStyle w:val="Hyperlink"/>
            <w:color w:val="auto"/>
            <w:lang w:eastAsia="ja-JP"/>
          </w:rPr>
          <w:t>IUCN Red List criteria</w:t>
        </w:r>
      </w:hyperlink>
      <w:r w:rsidRPr="00521832">
        <w:rPr>
          <w:lang w:eastAsia="ja-JP"/>
        </w:rPr>
        <w:t xml:space="preserve"> except where noted in criterion 4, sub</w:t>
      </w:r>
      <w:r>
        <w:rPr>
          <w:lang w:eastAsia="ja-JP"/>
        </w:rPr>
        <w:noBreakHyphen/>
      </w:r>
      <w:r w:rsidRPr="00521832">
        <w:rPr>
          <w:lang w:eastAsia="ja-JP"/>
        </w:rPr>
        <w:t>criterion D2. The IUCN criteria are used by Australian jurisdictions to achieve consistent listing assessments through the Common Assessment Method (CAM).</w:t>
      </w:r>
    </w:p>
    <w:p w14:paraId="1DF57D4D" w14:textId="77777777" w:rsidR="00350498" w:rsidRPr="00521832" w:rsidRDefault="00350498" w:rsidP="00350498">
      <w:pPr>
        <w:pStyle w:val="Heading3"/>
        <w:rPr>
          <w:lang w:eastAsia="ja-JP"/>
        </w:rPr>
      </w:pPr>
      <w:r w:rsidRPr="00521832">
        <w:rPr>
          <w:lang w:eastAsia="ja-JP"/>
        </w:rPr>
        <w:t>Key assessment parameters</w:t>
      </w:r>
    </w:p>
    <w:p w14:paraId="6DD4BEF3" w14:textId="77777777" w:rsidR="00350498" w:rsidRPr="00521832" w:rsidRDefault="00350498" w:rsidP="00350498">
      <w:pPr>
        <w:rPr>
          <w:lang w:eastAsia="ja-JP"/>
        </w:rPr>
      </w:pPr>
      <w:r>
        <w:rPr>
          <w:lang w:eastAsia="ja-JP"/>
        </w:rPr>
        <w:t>Table 4</w:t>
      </w:r>
      <w:r w:rsidRPr="00521832">
        <w:rPr>
          <w:lang w:eastAsia="ja-JP"/>
        </w:rPr>
        <w:t xml:space="preserve"> includes the key assessment parameters used in the assessment of eligibility for listing against the criteria.</w:t>
      </w:r>
    </w:p>
    <w:p w14:paraId="15AE512A" w14:textId="77777777" w:rsidR="00350498" w:rsidRPr="00521832" w:rsidRDefault="00350498" w:rsidP="00350498">
      <w:pPr>
        <w:pStyle w:val="Caption"/>
      </w:pPr>
      <w:r w:rsidRPr="00521832">
        <w:t xml:space="preserve">Table </w:t>
      </w:r>
      <w:r>
        <w:t>4</w:t>
      </w:r>
      <w:r w:rsidRPr="00521832">
        <w:t xml:space="preserve"> Key assessment parameters</w:t>
      </w:r>
    </w:p>
    <w:tbl>
      <w:tblPr>
        <w:tblStyle w:val="TableGrid"/>
        <w:tblW w:w="0" w:type="auto"/>
        <w:tblLayout w:type="fixed"/>
        <w:tblLook w:val="04A0" w:firstRow="1" w:lastRow="0" w:firstColumn="1" w:lastColumn="0" w:noHBand="0" w:noVBand="1"/>
      </w:tblPr>
      <w:tblGrid>
        <w:gridCol w:w="1484"/>
        <w:gridCol w:w="1182"/>
        <w:gridCol w:w="1157"/>
        <w:gridCol w:w="1134"/>
        <w:gridCol w:w="4103"/>
      </w:tblGrid>
      <w:tr w:rsidR="00350498" w:rsidRPr="00521832" w14:paraId="49AB769A" w14:textId="77777777" w:rsidTr="007F30CA">
        <w:trPr>
          <w:cantSplit/>
          <w:tblHeader/>
        </w:trPr>
        <w:tc>
          <w:tcPr>
            <w:tcW w:w="1484" w:type="dxa"/>
          </w:tcPr>
          <w:p w14:paraId="5B6C667D" w14:textId="77777777" w:rsidR="00350498" w:rsidRPr="00521832" w:rsidRDefault="00350498" w:rsidP="007F30CA">
            <w:pPr>
              <w:pStyle w:val="TableHeading"/>
              <w:keepNext w:val="0"/>
            </w:pPr>
            <w:r w:rsidRPr="00521832">
              <w:t>Metric</w:t>
            </w:r>
          </w:p>
        </w:tc>
        <w:tc>
          <w:tcPr>
            <w:tcW w:w="1182" w:type="dxa"/>
          </w:tcPr>
          <w:p w14:paraId="68A4A605" w14:textId="77777777" w:rsidR="00350498" w:rsidRPr="00521832" w:rsidRDefault="00350498" w:rsidP="007F30CA">
            <w:pPr>
              <w:pStyle w:val="TableHeading"/>
              <w:keepNext w:val="0"/>
            </w:pPr>
            <w:r w:rsidRPr="00521832">
              <w:t>Estimate used in the assessment</w:t>
            </w:r>
          </w:p>
        </w:tc>
        <w:tc>
          <w:tcPr>
            <w:tcW w:w="1157" w:type="dxa"/>
          </w:tcPr>
          <w:p w14:paraId="0F81FB24" w14:textId="77777777" w:rsidR="00350498" w:rsidRPr="00521832" w:rsidRDefault="00350498" w:rsidP="007F30CA">
            <w:pPr>
              <w:pStyle w:val="TableHeading"/>
              <w:keepNext w:val="0"/>
            </w:pPr>
            <w:r w:rsidRPr="00521832">
              <w:t>Minimum plausible value</w:t>
            </w:r>
          </w:p>
        </w:tc>
        <w:tc>
          <w:tcPr>
            <w:tcW w:w="1134" w:type="dxa"/>
          </w:tcPr>
          <w:p w14:paraId="088C4815" w14:textId="77777777" w:rsidR="00350498" w:rsidRPr="00521832" w:rsidRDefault="00350498" w:rsidP="007F30CA">
            <w:pPr>
              <w:pStyle w:val="TableHeading"/>
              <w:keepNext w:val="0"/>
            </w:pPr>
            <w:r w:rsidRPr="00521832">
              <w:t>Maximum plausible value</w:t>
            </w:r>
          </w:p>
        </w:tc>
        <w:tc>
          <w:tcPr>
            <w:tcW w:w="4103" w:type="dxa"/>
          </w:tcPr>
          <w:p w14:paraId="08B6035B" w14:textId="77777777" w:rsidR="00350498" w:rsidRPr="00521832" w:rsidRDefault="00350498" w:rsidP="007F30CA">
            <w:pPr>
              <w:pStyle w:val="TableHeading"/>
              <w:keepNext w:val="0"/>
            </w:pPr>
            <w:r w:rsidRPr="00521832">
              <w:t>Justification</w:t>
            </w:r>
          </w:p>
        </w:tc>
      </w:tr>
      <w:tr w:rsidR="00350498" w:rsidRPr="00521832" w14:paraId="7BB62C56" w14:textId="77777777" w:rsidTr="007F30CA">
        <w:tc>
          <w:tcPr>
            <w:tcW w:w="1484" w:type="dxa"/>
          </w:tcPr>
          <w:p w14:paraId="51F1C2CB" w14:textId="77777777" w:rsidR="00350498" w:rsidRPr="00521832" w:rsidRDefault="00350498" w:rsidP="007F30CA">
            <w:pPr>
              <w:pStyle w:val="TableHeading"/>
              <w:rPr>
                <w:rStyle w:val="Strong"/>
                <w:b/>
                <w:bCs w:val="0"/>
              </w:rPr>
            </w:pPr>
            <w:r w:rsidRPr="00521832">
              <w:rPr>
                <w:rStyle w:val="Strong"/>
              </w:rPr>
              <w:t>Number of mature individuals</w:t>
            </w:r>
          </w:p>
          <w:p w14:paraId="42CABF36" w14:textId="77777777" w:rsidR="00350498" w:rsidRPr="00521832" w:rsidRDefault="00350498" w:rsidP="007F30CA">
            <w:pPr>
              <w:pStyle w:val="TableText"/>
              <w:rPr>
                <w:rStyle w:val="Strong"/>
                <w:b w:val="0"/>
                <w:bCs w:val="0"/>
              </w:rPr>
            </w:pPr>
          </w:p>
        </w:tc>
        <w:tc>
          <w:tcPr>
            <w:tcW w:w="1182" w:type="dxa"/>
            <w:shd w:val="clear" w:color="auto" w:fill="auto"/>
          </w:tcPr>
          <w:p w14:paraId="77164FCF" w14:textId="77777777" w:rsidR="00350498" w:rsidRPr="00521832" w:rsidRDefault="00350498" w:rsidP="007F30CA">
            <w:pPr>
              <w:pStyle w:val="TableText"/>
            </w:pPr>
            <w:r w:rsidRPr="00521832">
              <w:t>No estimate used</w:t>
            </w:r>
          </w:p>
        </w:tc>
        <w:tc>
          <w:tcPr>
            <w:tcW w:w="1157" w:type="dxa"/>
            <w:shd w:val="clear" w:color="auto" w:fill="auto"/>
          </w:tcPr>
          <w:p w14:paraId="2E00A632" w14:textId="77777777" w:rsidR="00350498" w:rsidRPr="00521832" w:rsidRDefault="00350498" w:rsidP="007F30CA">
            <w:pPr>
              <w:pStyle w:val="TableText"/>
            </w:pPr>
          </w:p>
        </w:tc>
        <w:tc>
          <w:tcPr>
            <w:tcW w:w="1134" w:type="dxa"/>
            <w:shd w:val="clear" w:color="auto" w:fill="auto"/>
          </w:tcPr>
          <w:p w14:paraId="69F49884" w14:textId="77777777" w:rsidR="00350498" w:rsidRPr="00521832" w:rsidRDefault="00350498" w:rsidP="007F30CA">
            <w:pPr>
              <w:pStyle w:val="TableText"/>
            </w:pPr>
          </w:p>
        </w:tc>
        <w:tc>
          <w:tcPr>
            <w:tcW w:w="4103" w:type="dxa"/>
            <w:shd w:val="clear" w:color="auto" w:fill="auto"/>
          </w:tcPr>
          <w:p w14:paraId="678BDD50" w14:textId="77777777" w:rsidR="00350498" w:rsidRPr="00521832" w:rsidRDefault="00350498" w:rsidP="007F30CA">
            <w:pPr>
              <w:pStyle w:val="TableText"/>
            </w:pPr>
            <w:r w:rsidRPr="00521832">
              <w:t>There are insufficient data available to determine the number of mature individuals</w:t>
            </w:r>
            <w:r>
              <w:t xml:space="preserve"> as</w:t>
            </w:r>
            <w:r w:rsidRPr="00521832">
              <w:t xml:space="preserve"> </w:t>
            </w:r>
            <w:r>
              <w:t>adults of this species</w:t>
            </w:r>
            <w:r w:rsidRPr="00521832">
              <w:t xml:space="preserve"> are very rarely encountered (Miller </w:t>
            </w:r>
            <w:r>
              <w:t>et al. 2</w:t>
            </w:r>
            <w:r w:rsidRPr="00521832">
              <w:t>021</w:t>
            </w:r>
            <w:r>
              <w:t xml:space="preserve">; </w:t>
            </w:r>
            <w:r w:rsidRPr="00521832">
              <w:t>D. Gilligan 2020 pers comm 16 Nov</w:t>
            </w:r>
            <w:r>
              <w:t xml:space="preserve">; T. </w:t>
            </w:r>
            <w:proofErr w:type="spellStart"/>
            <w:r>
              <w:t>Raadik</w:t>
            </w:r>
            <w:proofErr w:type="spellEnd"/>
            <w:r>
              <w:t xml:space="preserve"> 2021 pers comm 15 Feb</w:t>
            </w:r>
            <w:r w:rsidRPr="00521832">
              <w:t xml:space="preserve">). </w:t>
            </w:r>
          </w:p>
        </w:tc>
      </w:tr>
      <w:tr w:rsidR="00350498" w:rsidRPr="00521832" w14:paraId="4B85F28A" w14:textId="77777777" w:rsidTr="007F30CA">
        <w:tc>
          <w:tcPr>
            <w:tcW w:w="1484" w:type="dxa"/>
          </w:tcPr>
          <w:p w14:paraId="16CFDD20" w14:textId="77777777" w:rsidR="00350498" w:rsidRPr="00521832" w:rsidRDefault="00350498" w:rsidP="007F30CA">
            <w:pPr>
              <w:pStyle w:val="TableHeading"/>
              <w:ind w:left="720" w:hanging="720"/>
              <w:rPr>
                <w:rStyle w:val="Strong"/>
                <w:b/>
                <w:bCs w:val="0"/>
              </w:rPr>
            </w:pPr>
            <w:r w:rsidRPr="00521832">
              <w:rPr>
                <w:rStyle w:val="Strong"/>
              </w:rPr>
              <w:t>Trend</w:t>
            </w:r>
          </w:p>
        </w:tc>
        <w:tc>
          <w:tcPr>
            <w:tcW w:w="3473" w:type="dxa"/>
            <w:gridSpan w:val="3"/>
            <w:shd w:val="clear" w:color="auto" w:fill="auto"/>
          </w:tcPr>
          <w:p w14:paraId="3F62CE18" w14:textId="77777777" w:rsidR="00350498" w:rsidRPr="00521832" w:rsidRDefault="00350498" w:rsidP="007F30CA">
            <w:pPr>
              <w:pStyle w:val="TableText"/>
            </w:pPr>
            <w:r w:rsidRPr="00521832">
              <w:t>No estimate used</w:t>
            </w:r>
            <w:r>
              <w:t>, but likely contracting due to threats (see Table 2) in most locations except Water Park Creek (Table 5).</w:t>
            </w:r>
          </w:p>
        </w:tc>
        <w:tc>
          <w:tcPr>
            <w:tcW w:w="4103" w:type="dxa"/>
            <w:shd w:val="clear" w:color="auto" w:fill="auto"/>
          </w:tcPr>
          <w:p w14:paraId="4C8954C5" w14:textId="77777777" w:rsidR="00350498" w:rsidRPr="00521832" w:rsidRDefault="00350498" w:rsidP="007F30CA">
            <w:pPr>
              <w:pStyle w:val="TableText"/>
            </w:pPr>
            <w:r w:rsidRPr="00521832">
              <w:t>See Criterion 1.</w:t>
            </w:r>
          </w:p>
        </w:tc>
      </w:tr>
    </w:tbl>
    <w:p w14:paraId="6CB68454" w14:textId="77777777" w:rsidR="00350498" w:rsidRPr="00521832" w:rsidRDefault="00350498" w:rsidP="00350498">
      <w:pPr>
        <w:rPr>
          <w:lang w:eastAsia="ja-JP"/>
        </w:rPr>
      </w:pPr>
    </w:p>
    <w:p w14:paraId="30FF6F72" w14:textId="77777777" w:rsidR="00350498" w:rsidRPr="00521832" w:rsidRDefault="00350498" w:rsidP="00350498">
      <w:pPr>
        <w:rPr>
          <w:lang w:eastAsia="ja-JP"/>
        </w:rPr>
      </w:pPr>
    </w:p>
    <w:tbl>
      <w:tblPr>
        <w:tblStyle w:val="TableGrid"/>
        <w:tblW w:w="0" w:type="auto"/>
        <w:tblLook w:val="04A0" w:firstRow="1" w:lastRow="0" w:firstColumn="1" w:lastColumn="0" w:noHBand="0" w:noVBand="1"/>
      </w:tblPr>
      <w:tblGrid>
        <w:gridCol w:w="1503"/>
        <w:gridCol w:w="1182"/>
        <w:gridCol w:w="1130"/>
        <w:gridCol w:w="1044"/>
        <w:gridCol w:w="4157"/>
      </w:tblGrid>
      <w:tr w:rsidR="00350498" w:rsidRPr="00521832" w14:paraId="0DFA1EFA" w14:textId="77777777" w:rsidTr="007F30CA">
        <w:trPr>
          <w:cantSplit/>
          <w:tblHeader/>
        </w:trPr>
        <w:tc>
          <w:tcPr>
            <w:tcW w:w="1506" w:type="dxa"/>
          </w:tcPr>
          <w:p w14:paraId="526335AA" w14:textId="77777777" w:rsidR="00350498" w:rsidRPr="00521832" w:rsidRDefault="00350498" w:rsidP="007F30CA">
            <w:pPr>
              <w:pStyle w:val="TableHeading"/>
              <w:keepNext w:val="0"/>
            </w:pPr>
            <w:r w:rsidRPr="00521832">
              <w:lastRenderedPageBreak/>
              <w:t>Metric</w:t>
            </w:r>
          </w:p>
        </w:tc>
        <w:tc>
          <w:tcPr>
            <w:tcW w:w="1183" w:type="dxa"/>
          </w:tcPr>
          <w:p w14:paraId="430E9F03" w14:textId="77777777" w:rsidR="00350498" w:rsidRPr="00521832" w:rsidRDefault="00350498" w:rsidP="007F30CA">
            <w:pPr>
              <w:pStyle w:val="TableHeading"/>
              <w:keepNext w:val="0"/>
            </w:pPr>
            <w:r w:rsidRPr="00521832">
              <w:t>Estimate used in the assessment</w:t>
            </w:r>
          </w:p>
        </w:tc>
        <w:tc>
          <w:tcPr>
            <w:tcW w:w="1134" w:type="dxa"/>
          </w:tcPr>
          <w:p w14:paraId="22F71148" w14:textId="77777777" w:rsidR="00350498" w:rsidRPr="00521832" w:rsidRDefault="00350498" w:rsidP="007F30CA">
            <w:pPr>
              <w:pStyle w:val="TableHeading"/>
              <w:keepNext w:val="0"/>
            </w:pPr>
            <w:r w:rsidRPr="00521832">
              <w:t>Minimum plausible value</w:t>
            </w:r>
          </w:p>
        </w:tc>
        <w:tc>
          <w:tcPr>
            <w:tcW w:w="992" w:type="dxa"/>
          </w:tcPr>
          <w:p w14:paraId="7B5EACCD" w14:textId="77777777" w:rsidR="00350498" w:rsidRPr="00521832" w:rsidRDefault="00350498" w:rsidP="007F30CA">
            <w:pPr>
              <w:pStyle w:val="TableHeading"/>
              <w:keepNext w:val="0"/>
            </w:pPr>
            <w:r w:rsidRPr="00521832">
              <w:t>Maximum plausible value</w:t>
            </w:r>
          </w:p>
        </w:tc>
        <w:tc>
          <w:tcPr>
            <w:tcW w:w="4245" w:type="dxa"/>
          </w:tcPr>
          <w:p w14:paraId="7A1836C5" w14:textId="77777777" w:rsidR="00350498" w:rsidRPr="00521832" w:rsidRDefault="00350498" w:rsidP="007F30CA">
            <w:pPr>
              <w:pStyle w:val="TableHeading"/>
              <w:keepNext w:val="0"/>
            </w:pPr>
            <w:r w:rsidRPr="00521832">
              <w:t>Justification</w:t>
            </w:r>
          </w:p>
        </w:tc>
      </w:tr>
      <w:tr w:rsidR="00350498" w:rsidRPr="00521832" w14:paraId="5A74BCD8" w14:textId="77777777" w:rsidTr="007F30CA">
        <w:trPr>
          <w:cantSplit/>
        </w:trPr>
        <w:tc>
          <w:tcPr>
            <w:tcW w:w="1506" w:type="dxa"/>
          </w:tcPr>
          <w:p w14:paraId="4F831697" w14:textId="77777777" w:rsidR="00350498" w:rsidRPr="00521832" w:rsidRDefault="00350498" w:rsidP="007F30CA">
            <w:pPr>
              <w:pStyle w:val="TableHeading"/>
              <w:keepNext w:val="0"/>
              <w:rPr>
                <w:rStyle w:val="Strong"/>
                <w:b/>
                <w:bCs w:val="0"/>
              </w:rPr>
            </w:pPr>
            <w:r w:rsidRPr="00521832">
              <w:rPr>
                <w:rStyle w:val="Strong"/>
              </w:rPr>
              <w:t>Generation time (years)</w:t>
            </w:r>
          </w:p>
        </w:tc>
        <w:tc>
          <w:tcPr>
            <w:tcW w:w="1183" w:type="dxa"/>
            <w:shd w:val="clear" w:color="auto" w:fill="auto"/>
          </w:tcPr>
          <w:p w14:paraId="73067A6A" w14:textId="77777777" w:rsidR="00350498" w:rsidRPr="00521832" w:rsidRDefault="00350498" w:rsidP="007F30CA">
            <w:pPr>
              <w:pStyle w:val="TableText"/>
            </w:pPr>
            <w:r w:rsidRPr="00521832">
              <w:t>6</w:t>
            </w:r>
          </w:p>
        </w:tc>
        <w:tc>
          <w:tcPr>
            <w:tcW w:w="1134" w:type="dxa"/>
            <w:shd w:val="clear" w:color="auto" w:fill="auto"/>
          </w:tcPr>
          <w:p w14:paraId="5A93335C" w14:textId="77777777" w:rsidR="00350498" w:rsidRPr="00521832" w:rsidRDefault="00350498" w:rsidP="007F30CA">
            <w:pPr>
              <w:pStyle w:val="TableText"/>
            </w:pPr>
            <w:r>
              <w:t>5.66</w:t>
            </w:r>
          </w:p>
        </w:tc>
        <w:tc>
          <w:tcPr>
            <w:tcW w:w="992" w:type="dxa"/>
            <w:shd w:val="clear" w:color="auto" w:fill="auto"/>
          </w:tcPr>
          <w:p w14:paraId="5C263E31" w14:textId="77777777" w:rsidR="00350498" w:rsidRPr="00521832" w:rsidRDefault="00350498" w:rsidP="007F30CA">
            <w:pPr>
              <w:pStyle w:val="TableText"/>
            </w:pPr>
            <w:r>
              <w:t>6.33</w:t>
            </w:r>
          </w:p>
        </w:tc>
        <w:tc>
          <w:tcPr>
            <w:tcW w:w="4245" w:type="dxa"/>
            <w:shd w:val="clear" w:color="auto" w:fill="auto"/>
          </w:tcPr>
          <w:p w14:paraId="422CBB9C" w14:textId="77777777" w:rsidR="00350498" w:rsidRDefault="00350498" w:rsidP="007F30CA">
            <w:pPr>
              <w:pStyle w:val="TableText"/>
              <w:spacing w:before="80" w:after="80"/>
            </w:pPr>
            <w:r w:rsidRPr="00F14370">
              <w:t xml:space="preserve">The generation length of the </w:t>
            </w:r>
            <w:r>
              <w:t>non-parasitic lamprey</w:t>
            </w:r>
            <w:r w:rsidRPr="00F14370">
              <w:t xml:space="preserve"> is not known with certainty, but with available demographic data from this species </w:t>
            </w:r>
            <w:r>
              <w:t>(</w:t>
            </w:r>
            <w:r w:rsidRPr="00F14370">
              <w:t>and its sister-species</w:t>
            </w:r>
            <w:r>
              <w:t>)</w:t>
            </w:r>
            <w:r w:rsidRPr="00F14370">
              <w:t xml:space="preserve"> a reasonable estimate of 6 years can be made.</w:t>
            </w:r>
            <w:r>
              <w:t xml:space="preserve"> The short-headed lamprey begins metamorphosis after about 3.5 years, while the non-parasitic lamprey’s larval life is longer (Potter et al. 2015), estimated at about 5 years (Gilligan 2019b). The non-parasitic lamprey’s metamorphosis and sexual maturation takes about 9 months (</w:t>
            </w:r>
            <w:r w:rsidRPr="00521832">
              <w:t>Hughes &amp; Potter 1969</w:t>
            </w:r>
            <w:r>
              <w:t>), followed by a short migration, spawning, and death, which makes for a generation length of approximately 6 years (Gilligan 2019b). This is the same estimate as for the short-headed lamprey (Gilligan 2019a). It is common for paired-species to have similar life spans and generation times (Docker 2009).</w:t>
            </w:r>
          </w:p>
          <w:p w14:paraId="49263965" w14:textId="77777777" w:rsidR="00350498" w:rsidRPr="00521832" w:rsidRDefault="00350498" w:rsidP="007F30CA">
            <w:pPr>
              <w:pStyle w:val="TableText"/>
              <w:spacing w:before="80" w:after="80"/>
            </w:pPr>
            <w:r>
              <w:t xml:space="preserve">Because each individual breeds only once, and likely at the same age, this makes estimates of generation length and life span almost the same. There is </w:t>
            </w:r>
            <w:r w:rsidRPr="00521832">
              <w:t xml:space="preserve">no confounding factor of differential reproductive output </w:t>
            </w:r>
            <w:r>
              <w:t xml:space="preserve">during an individual’s lifetime or between </w:t>
            </w:r>
            <w:r w:rsidRPr="00521832">
              <w:t>indiv</w:t>
            </w:r>
            <w:r>
              <w:t xml:space="preserve">iduals, and so there is potentially </w:t>
            </w:r>
            <w:r w:rsidRPr="00521832">
              <w:t>little variance</w:t>
            </w:r>
            <w:r>
              <w:t xml:space="preserve"> in the estimate of generation length. One</w:t>
            </w:r>
            <w:r w:rsidRPr="00521832">
              <w:t xml:space="preserve"> complication is whether all </w:t>
            </w:r>
            <w:r>
              <w:t xml:space="preserve">individuals </w:t>
            </w:r>
            <w:r w:rsidRPr="00521832">
              <w:t xml:space="preserve">have </w:t>
            </w:r>
            <w:r>
              <w:t xml:space="preserve">precisely the </w:t>
            </w:r>
            <w:r w:rsidRPr="00521832">
              <w:t xml:space="preserve">same length </w:t>
            </w:r>
            <w:r>
              <w:t xml:space="preserve">of </w:t>
            </w:r>
            <w:r w:rsidRPr="00521832">
              <w:t>larval phase</w:t>
            </w:r>
            <w:r>
              <w:t xml:space="preserve">, which is a common assumption, but it is not known for sure. The estimated minimum and maximum values here assume that one third of individuals </w:t>
            </w:r>
            <w:r w:rsidRPr="00521832">
              <w:t xml:space="preserve">emerge </w:t>
            </w:r>
            <w:r>
              <w:t xml:space="preserve">either </w:t>
            </w:r>
            <w:r w:rsidRPr="00521832">
              <w:t>earl</w:t>
            </w:r>
            <w:r>
              <w:t>ier or later by one year.</w:t>
            </w:r>
          </w:p>
        </w:tc>
      </w:tr>
      <w:tr w:rsidR="00350498" w:rsidRPr="00521832" w14:paraId="57ADCAEA" w14:textId="77777777" w:rsidTr="007F30CA">
        <w:trPr>
          <w:cantSplit/>
        </w:trPr>
        <w:tc>
          <w:tcPr>
            <w:tcW w:w="1506" w:type="dxa"/>
          </w:tcPr>
          <w:p w14:paraId="4B7D8C8D" w14:textId="77777777" w:rsidR="00350498" w:rsidRPr="00521832" w:rsidRDefault="00350498" w:rsidP="007F30CA">
            <w:pPr>
              <w:pStyle w:val="TableHeading"/>
              <w:keepNext w:val="0"/>
              <w:rPr>
                <w:rStyle w:val="Strong"/>
                <w:b/>
                <w:sz w:val="22"/>
              </w:rPr>
            </w:pPr>
            <w:r w:rsidRPr="00521832">
              <w:rPr>
                <w:rStyle w:val="Strong"/>
              </w:rPr>
              <w:t>Extent of occurrence (</w:t>
            </w:r>
            <w:r w:rsidRPr="00521832">
              <w:rPr>
                <w:bCs/>
                <w:lang w:eastAsia="ja-JP"/>
              </w:rPr>
              <w:t>km</w:t>
            </w:r>
            <w:r w:rsidRPr="00521832">
              <w:rPr>
                <w:bCs/>
                <w:vertAlign w:val="superscript"/>
                <w:lang w:eastAsia="ja-JP"/>
              </w:rPr>
              <w:t>2</w:t>
            </w:r>
            <w:r w:rsidRPr="00521832">
              <w:rPr>
                <w:bCs/>
                <w:lang w:eastAsia="ja-JP"/>
              </w:rPr>
              <w:t>)</w:t>
            </w:r>
          </w:p>
          <w:p w14:paraId="2A85CE26" w14:textId="77777777" w:rsidR="00350498" w:rsidRPr="00521832" w:rsidRDefault="00350498" w:rsidP="007F30CA">
            <w:pPr>
              <w:pStyle w:val="TableText"/>
              <w:rPr>
                <w:rStyle w:val="Strong"/>
                <w:b w:val="0"/>
                <w:bCs w:val="0"/>
              </w:rPr>
            </w:pPr>
          </w:p>
        </w:tc>
        <w:tc>
          <w:tcPr>
            <w:tcW w:w="1183" w:type="dxa"/>
            <w:shd w:val="clear" w:color="auto" w:fill="auto"/>
          </w:tcPr>
          <w:p w14:paraId="6A4241DF" w14:textId="77777777" w:rsidR="00350498" w:rsidRDefault="00350498" w:rsidP="007F30CA">
            <w:pPr>
              <w:pStyle w:val="TableText"/>
            </w:pPr>
            <w:r w:rsidRPr="000B0741">
              <w:t>264</w:t>
            </w:r>
            <w:r>
              <w:t>,</w:t>
            </w:r>
            <w:r w:rsidRPr="000B0741">
              <w:t>950</w:t>
            </w:r>
          </w:p>
          <w:p w14:paraId="0AE5FF73" w14:textId="77777777" w:rsidR="00350498" w:rsidRPr="00830CEC" w:rsidRDefault="00350498" w:rsidP="007F30CA">
            <w:pPr>
              <w:pStyle w:val="TableText"/>
              <w:rPr>
                <w:highlight w:val="yellow"/>
              </w:rPr>
            </w:pPr>
          </w:p>
        </w:tc>
        <w:tc>
          <w:tcPr>
            <w:tcW w:w="1134" w:type="dxa"/>
            <w:shd w:val="clear" w:color="auto" w:fill="auto"/>
          </w:tcPr>
          <w:p w14:paraId="3485A6C9" w14:textId="77777777" w:rsidR="00350498" w:rsidRDefault="00350498" w:rsidP="007F30CA">
            <w:pPr>
              <w:pStyle w:val="TableText"/>
            </w:pPr>
            <w:r>
              <w:t>245,</w:t>
            </w:r>
            <w:r w:rsidRPr="00785608">
              <w:t>900</w:t>
            </w:r>
          </w:p>
          <w:p w14:paraId="065C35DB" w14:textId="77777777" w:rsidR="00350498" w:rsidRPr="00830CEC" w:rsidRDefault="00350498" w:rsidP="007F30CA">
            <w:pPr>
              <w:pStyle w:val="TableText"/>
              <w:rPr>
                <w:highlight w:val="yellow"/>
              </w:rPr>
            </w:pPr>
          </w:p>
        </w:tc>
        <w:tc>
          <w:tcPr>
            <w:tcW w:w="992" w:type="dxa"/>
            <w:shd w:val="clear" w:color="auto" w:fill="auto"/>
          </w:tcPr>
          <w:p w14:paraId="1A8AB4F4" w14:textId="77777777" w:rsidR="00350498" w:rsidRDefault="00350498" w:rsidP="007F30CA">
            <w:pPr>
              <w:pStyle w:val="TableText"/>
            </w:pPr>
            <w:r w:rsidRPr="001B299A">
              <w:t>266</w:t>
            </w:r>
            <w:r>
              <w:t>,</w:t>
            </w:r>
            <w:r w:rsidRPr="001B299A">
              <w:t>200</w:t>
            </w:r>
          </w:p>
          <w:p w14:paraId="564CB66D" w14:textId="77777777" w:rsidR="00350498" w:rsidRPr="00830CEC" w:rsidRDefault="00350498" w:rsidP="007F30CA">
            <w:pPr>
              <w:pStyle w:val="TableText"/>
              <w:rPr>
                <w:highlight w:val="yellow"/>
              </w:rPr>
            </w:pPr>
          </w:p>
        </w:tc>
        <w:tc>
          <w:tcPr>
            <w:tcW w:w="4245" w:type="dxa"/>
            <w:shd w:val="clear" w:color="auto" w:fill="auto"/>
          </w:tcPr>
          <w:p w14:paraId="57FF5FDE" w14:textId="77777777" w:rsidR="00350498" w:rsidRDefault="00350498" w:rsidP="007F30CA">
            <w:pPr>
              <w:pStyle w:val="TableText"/>
            </w:pPr>
            <w:r w:rsidRPr="00521832">
              <w:t xml:space="preserve">Extent of occurrence (EOO) was calculated as a minimum convex hull in </w:t>
            </w:r>
            <w:proofErr w:type="spellStart"/>
            <w:r w:rsidRPr="00521832">
              <w:t>GeoCat</w:t>
            </w:r>
            <w:proofErr w:type="spellEnd"/>
            <w:r w:rsidRPr="00521832">
              <w:t xml:space="preserve"> (Bachman et al. 2011)</w:t>
            </w:r>
            <w:r>
              <w:t xml:space="preserve"> using species occurrence records (see Distribution and Table 1 above). </w:t>
            </w:r>
            <w:r w:rsidRPr="00521832">
              <w:t xml:space="preserve">The minimum plausible value </w:t>
            </w:r>
            <w:r>
              <w:t xml:space="preserve">excludes the Moruya/Tuross location, because of probable local extinction, and the Richmond location, where the species’ current status is unclear. </w:t>
            </w:r>
            <w:r w:rsidRPr="00521832">
              <w:t xml:space="preserve">The </w:t>
            </w:r>
            <w:r>
              <w:t xml:space="preserve">maximum </w:t>
            </w:r>
            <w:r w:rsidRPr="00521832">
              <w:t xml:space="preserve">plausible value </w:t>
            </w:r>
            <w:r>
              <w:t>includes all locations.</w:t>
            </w:r>
          </w:p>
          <w:p w14:paraId="7B0DB38B" w14:textId="77777777" w:rsidR="00350498" w:rsidRPr="00521832" w:rsidRDefault="00350498" w:rsidP="007F30CA">
            <w:pPr>
              <w:pStyle w:val="TableText"/>
            </w:pPr>
            <w:r>
              <w:t>The estimate used in the assessment does not include the extinct Moruya/Tuross location but does include the Richmond location.</w:t>
            </w:r>
          </w:p>
        </w:tc>
      </w:tr>
      <w:tr w:rsidR="00350498" w:rsidRPr="00521832" w14:paraId="77198E74" w14:textId="77777777" w:rsidTr="007F30CA">
        <w:trPr>
          <w:cantSplit/>
        </w:trPr>
        <w:tc>
          <w:tcPr>
            <w:tcW w:w="1506" w:type="dxa"/>
          </w:tcPr>
          <w:p w14:paraId="414E50BE" w14:textId="77777777" w:rsidR="00350498" w:rsidRPr="00521832" w:rsidRDefault="00350498" w:rsidP="007F30CA">
            <w:pPr>
              <w:pStyle w:val="TableHeading"/>
              <w:keepNext w:val="0"/>
              <w:rPr>
                <w:rStyle w:val="Strong"/>
                <w:b/>
                <w:sz w:val="22"/>
              </w:rPr>
            </w:pPr>
            <w:r w:rsidRPr="00521832">
              <w:rPr>
                <w:rStyle w:val="Strong"/>
              </w:rPr>
              <w:t>Trend</w:t>
            </w:r>
          </w:p>
        </w:tc>
        <w:tc>
          <w:tcPr>
            <w:tcW w:w="3309" w:type="dxa"/>
            <w:gridSpan w:val="3"/>
            <w:shd w:val="clear" w:color="auto" w:fill="auto"/>
          </w:tcPr>
          <w:p w14:paraId="747C6BC7" w14:textId="77777777" w:rsidR="00350498" w:rsidRPr="006434BC" w:rsidRDefault="00350498" w:rsidP="007F30CA">
            <w:pPr>
              <w:pStyle w:val="TableText"/>
            </w:pPr>
            <w:r w:rsidRPr="006434BC">
              <w:t xml:space="preserve">Stable or contracting </w:t>
            </w:r>
          </w:p>
        </w:tc>
        <w:tc>
          <w:tcPr>
            <w:tcW w:w="4245" w:type="dxa"/>
            <w:shd w:val="clear" w:color="auto" w:fill="auto"/>
          </w:tcPr>
          <w:p w14:paraId="643F9A91" w14:textId="77777777" w:rsidR="00350498" w:rsidRPr="006434BC" w:rsidRDefault="00350498" w:rsidP="007F30CA">
            <w:pPr>
              <w:pStyle w:val="TableText"/>
            </w:pPr>
            <w:r w:rsidRPr="006434BC">
              <w:t>For the EOO to change appreciably would require a local extinction at one of the locations.</w:t>
            </w:r>
          </w:p>
        </w:tc>
      </w:tr>
      <w:tr w:rsidR="00350498" w:rsidRPr="00521832" w14:paraId="34F2E403" w14:textId="77777777" w:rsidTr="007F30CA">
        <w:trPr>
          <w:cantSplit/>
        </w:trPr>
        <w:tc>
          <w:tcPr>
            <w:tcW w:w="1506" w:type="dxa"/>
          </w:tcPr>
          <w:p w14:paraId="2A7AF9EB" w14:textId="77777777" w:rsidR="00350498" w:rsidRPr="00521832" w:rsidRDefault="00350498" w:rsidP="007F30CA">
            <w:pPr>
              <w:pStyle w:val="TableHeading"/>
              <w:keepNext w:val="0"/>
              <w:rPr>
                <w:rStyle w:val="Strong"/>
                <w:b/>
                <w:sz w:val="22"/>
              </w:rPr>
            </w:pPr>
            <w:r w:rsidRPr="00521832">
              <w:rPr>
                <w:rStyle w:val="Strong"/>
              </w:rPr>
              <w:t>Area of Occupancy (</w:t>
            </w:r>
            <w:r w:rsidRPr="00521832">
              <w:rPr>
                <w:bCs/>
                <w:lang w:eastAsia="ja-JP"/>
              </w:rPr>
              <w:t>km</w:t>
            </w:r>
            <w:r w:rsidRPr="00521832">
              <w:rPr>
                <w:bCs/>
                <w:vertAlign w:val="superscript"/>
                <w:lang w:eastAsia="ja-JP"/>
              </w:rPr>
              <w:t>2</w:t>
            </w:r>
            <w:r w:rsidRPr="00521832">
              <w:rPr>
                <w:bCs/>
                <w:lang w:eastAsia="ja-JP"/>
              </w:rPr>
              <w:t>)</w:t>
            </w:r>
          </w:p>
          <w:p w14:paraId="4AD276ED" w14:textId="77777777" w:rsidR="00350498" w:rsidRPr="00521832" w:rsidRDefault="00350498" w:rsidP="007F30CA">
            <w:pPr>
              <w:pStyle w:val="TableText"/>
              <w:rPr>
                <w:rStyle w:val="Strong"/>
                <w:b w:val="0"/>
                <w:bCs w:val="0"/>
              </w:rPr>
            </w:pPr>
          </w:p>
        </w:tc>
        <w:tc>
          <w:tcPr>
            <w:tcW w:w="1183" w:type="dxa"/>
            <w:shd w:val="clear" w:color="auto" w:fill="auto"/>
          </w:tcPr>
          <w:p w14:paraId="072931AD" w14:textId="77777777" w:rsidR="00350498" w:rsidRPr="00CE2B99" w:rsidRDefault="00350498" w:rsidP="007F30CA">
            <w:pPr>
              <w:pStyle w:val="TableText"/>
            </w:pPr>
            <w:r w:rsidRPr="00CE2B99">
              <w:t>36</w:t>
            </w:r>
          </w:p>
        </w:tc>
        <w:tc>
          <w:tcPr>
            <w:tcW w:w="1134" w:type="dxa"/>
            <w:shd w:val="clear" w:color="auto" w:fill="auto"/>
          </w:tcPr>
          <w:p w14:paraId="52636994" w14:textId="77777777" w:rsidR="00350498" w:rsidRPr="00CE2B99" w:rsidRDefault="00350498" w:rsidP="007F30CA">
            <w:pPr>
              <w:pStyle w:val="TableText"/>
            </w:pPr>
            <w:r>
              <w:t>32</w:t>
            </w:r>
          </w:p>
          <w:p w14:paraId="4AD6214A" w14:textId="77777777" w:rsidR="00350498" w:rsidRPr="00CE2B99" w:rsidRDefault="00350498" w:rsidP="007F30CA">
            <w:pPr>
              <w:pStyle w:val="TableText"/>
            </w:pPr>
          </w:p>
        </w:tc>
        <w:tc>
          <w:tcPr>
            <w:tcW w:w="992" w:type="dxa"/>
            <w:shd w:val="clear" w:color="auto" w:fill="auto"/>
          </w:tcPr>
          <w:p w14:paraId="13C7FB83" w14:textId="77777777" w:rsidR="00350498" w:rsidRPr="00CE2B99" w:rsidRDefault="00350498" w:rsidP="007F30CA">
            <w:pPr>
              <w:pStyle w:val="TableText"/>
            </w:pPr>
            <w:r w:rsidRPr="00CE2B99">
              <w:t>200</w:t>
            </w:r>
          </w:p>
        </w:tc>
        <w:tc>
          <w:tcPr>
            <w:tcW w:w="4245" w:type="dxa"/>
            <w:shd w:val="clear" w:color="auto" w:fill="auto"/>
          </w:tcPr>
          <w:p w14:paraId="7A088C14" w14:textId="77777777" w:rsidR="00350498" w:rsidRPr="00521832" w:rsidRDefault="00350498" w:rsidP="007F30CA">
            <w:pPr>
              <w:pStyle w:val="TableText"/>
            </w:pPr>
            <w:r w:rsidRPr="00521832">
              <w:t xml:space="preserve">Area of occupancy (AOO) was calculated in </w:t>
            </w:r>
            <w:proofErr w:type="spellStart"/>
            <w:r w:rsidRPr="00521832">
              <w:t>GeoCat</w:t>
            </w:r>
            <w:proofErr w:type="spellEnd"/>
            <w:r w:rsidRPr="00521832">
              <w:t xml:space="preserve"> (Bachman et al. 2011) with the standard IUCN cell size of </w:t>
            </w:r>
            <w:r>
              <w:t>4</w:t>
            </w:r>
            <w:r w:rsidRPr="00521832">
              <w:t xml:space="preserve"> </w:t>
            </w:r>
            <w:r w:rsidRPr="00521832">
              <w:rPr>
                <w:bCs/>
                <w:lang w:eastAsia="ja-JP"/>
              </w:rPr>
              <w:t>km</w:t>
            </w:r>
            <w:r w:rsidRPr="00521832">
              <w:rPr>
                <w:bCs/>
                <w:vertAlign w:val="superscript"/>
                <w:lang w:eastAsia="ja-JP"/>
              </w:rPr>
              <w:t>2</w:t>
            </w:r>
            <w:r w:rsidRPr="00521832" w:rsidDel="00B83B1D">
              <w:t xml:space="preserve"> </w:t>
            </w:r>
            <w:r w:rsidRPr="00521832">
              <w:t xml:space="preserve">(IUCN Standards and Petitions Committee 2019). </w:t>
            </w:r>
            <w:r>
              <w:t>The estimate used in the assessment and minimum value makes the same assumptions as for EOO above.  The maximum value comes from Gilligan (2019b) and recognises the cryptic nature of the species (in that it will have not been detected in some places), while also acknowledging that this species tends to only be found in a relatively small proportion of a catchment (D. Moffatt 2020 pers com 17 Nov) (see Criteria 1 and 2).</w:t>
            </w:r>
          </w:p>
        </w:tc>
      </w:tr>
      <w:tr w:rsidR="00350498" w:rsidRPr="00521832" w14:paraId="72D2FBEF" w14:textId="77777777" w:rsidTr="007F30CA">
        <w:trPr>
          <w:cantSplit/>
        </w:trPr>
        <w:tc>
          <w:tcPr>
            <w:tcW w:w="1506" w:type="dxa"/>
          </w:tcPr>
          <w:p w14:paraId="65220D98" w14:textId="77777777" w:rsidR="00350498" w:rsidRPr="00521832" w:rsidRDefault="00350498" w:rsidP="007F30CA">
            <w:pPr>
              <w:pStyle w:val="TableHeading"/>
              <w:keepNext w:val="0"/>
              <w:rPr>
                <w:rStyle w:val="Strong"/>
                <w:b/>
                <w:sz w:val="22"/>
              </w:rPr>
            </w:pPr>
            <w:r w:rsidRPr="00521832">
              <w:rPr>
                <w:rStyle w:val="Strong"/>
              </w:rPr>
              <w:lastRenderedPageBreak/>
              <w:t>Trend</w:t>
            </w:r>
          </w:p>
        </w:tc>
        <w:tc>
          <w:tcPr>
            <w:tcW w:w="3309" w:type="dxa"/>
            <w:gridSpan w:val="3"/>
            <w:shd w:val="clear" w:color="auto" w:fill="auto"/>
          </w:tcPr>
          <w:p w14:paraId="66707D7F" w14:textId="77777777" w:rsidR="00350498" w:rsidRPr="00505539" w:rsidRDefault="00350498" w:rsidP="007F30CA">
            <w:pPr>
              <w:pStyle w:val="TableText"/>
              <w:rPr>
                <w:highlight w:val="yellow"/>
              </w:rPr>
            </w:pPr>
            <w:r>
              <w:t>Contracting in most locations except Water Park Creek</w:t>
            </w:r>
          </w:p>
        </w:tc>
        <w:tc>
          <w:tcPr>
            <w:tcW w:w="4245" w:type="dxa"/>
            <w:shd w:val="clear" w:color="auto" w:fill="auto"/>
          </w:tcPr>
          <w:p w14:paraId="048B65F4" w14:textId="77777777" w:rsidR="00350498" w:rsidRPr="00521832" w:rsidRDefault="00350498" w:rsidP="007F30CA">
            <w:pPr>
              <w:pStyle w:val="TableText"/>
            </w:pPr>
            <w:r w:rsidRPr="00521832">
              <w:t>See Criterion 1.</w:t>
            </w:r>
          </w:p>
        </w:tc>
      </w:tr>
      <w:tr w:rsidR="00350498" w:rsidRPr="00521832" w14:paraId="2121AFAB" w14:textId="77777777" w:rsidTr="007F30CA">
        <w:trPr>
          <w:cantSplit/>
        </w:trPr>
        <w:tc>
          <w:tcPr>
            <w:tcW w:w="1506" w:type="dxa"/>
          </w:tcPr>
          <w:p w14:paraId="2317E5CE" w14:textId="77777777" w:rsidR="00350498" w:rsidRPr="00521832" w:rsidRDefault="00350498" w:rsidP="007F30CA">
            <w:pPr>
              <w:pStyle w:val="TableHeading"/>
              <w:keepNext w:val="0"/>
              <w:rPr>
                <w:rStyle w:val="Strong"/>
                <w:b/>
                <w:sz w:val="22"/>
              </w:rPr>
            </w:pPr>
            <w:r w:rsidRPr="00521832">
              <w:rPr>
                <w:rStyle w:val="Strong"/>
              </w:rPr>
              <w:t>Number of subpopulations</w:t>
            </w:r>
          </w:p>
          <w:p w14:paraId="66D7CB8D" w14:textId="77777777" w:rsidR="00350498" w:rsidRPr="00521832" w:rsidRDefault="00350498" w:rsidP="007F30CA">
            <w:pPr>
              <w:pStyle w:val="TableText"/>
              <w:rPr>
                <w:rStyle w:val="Strong"/>
                <w:b w:val="0"/>
                <w:bCs w:val="0"/>
              </w:rPr>
            </w:pPr>
          </w:p>
        </w:tc>
        <w:tc>
          <w:tcPr>
            <w:tcW w:w="1183" w:type="dxa"/>
            <w:shd w:val="clear" w:color="auto" w:fill="auto"/>
          </w:tcPr>
          <w:p w14:paraId="7FA8D781" w14:textId="77777777" w:rsidR="00350498" w:rsidRPr="007E41AA" w:rsidRDefault="00350498" w:rsidP="007F30CA">
            <w:pPr>
              <w:pStyle w:val="TableText"/>
            </w:pPr>
            <w:r w:rsidRPr="007E41AA">
              <w:t>5</w:t>
            </w:r>
          </w:p>
        </w:tc>
        <w:tc>
          <w:tcPr>
            <w:tcW w:w="1134" w:type="dxa"/>
            <w:shd w:val="clear" w:color="auto" w:fill="auto"/>
          </w:tcPr>
          <w:p w14:paraId="0B6076AA" w14:textId="77777777" w:rsidR="00350498" w:rsidRPr="007E41AA" w:rsidRDefault="00350498" w:rsidP="007F30CA">
            <w:pPr>
              <w:pStyle w:val="TableText"/>
            </w:pPr>
            <w:r w:rsidRPr="007E41AA">
              <w:t>4</w:t>
            </w:r>
          </w:p>
        </w:tc>
        <w:tc>
          <w:tcPr>
            <w:tcW w:w="992" w:type="dxa"/>
            <w:shd w:val="clear" w:color="auto" w:fill="auto"/>
          </w:tcPr>
          <w:p w14:paraId="0EB5028C" w14:textId="77777777" w:rsidR="00350498" w:rsidRPr="007E41AA" w:rsidRDefault="00350498" w:rsidP="007F30CA">
            <w:pPr>
              <w:pStyle w:val="TableText"/>
            </w:pPr>
            <w:r>
              <w:t>7</w:t>
            </w:r>
          </w:p>
        </w:tc>
        <w:tc>
          <w:tcPr>
            <w:tcW w:w="4245" w:type="dxa"/>
            <w:shd w:val="clear" w:color="auto" w:fill="auto"/>
          </w:tcPr>
          <w:p w14:paraId="512F5D78" w14:textId="77777777" w:rsidR="00350498" w:rsidRPr="007E41AA" w:rsidRDefault="00350498" w:rsidP="007F30CA">
            <w:pPr>
              <w:pStyle w:val="TableText"/>
            </w:pPr>
            <w:r>
              <w:t>Minimum/maximum plausible value assumptions as per EOO above. Subpopulations are restricted habitat areas within discrete river catchments, between which dispersal is unlikely.</w:t>
            </w:r>
          </w:p>
        </w:tc>
      </w:tr>
      <w:tr w:rsidR="00350498" w:rsidRPr="00521832" w14:paraId="1566CF31" w14:textId="77777777" w:rsidTr="007F30CA">
        <w:trPr>
          <w:cantSplit/>
        </w:trPr>
        <w:tc>
          <w:tcPr>
            <w:tcW w:w="1506" w:type="dxa"/>
          </w:tcPr>
          <w:p w14:paraId="245CFC41" w14:textId="77777777" w:rsidR="00350498" w:rsidRPr="00521832" w:rsidRDefault="00350498" w:rsidP="007F30CA">
            <w:pPr>
              <w:pStyle w:val="TableHeading"/>
              <w:keepNext w:val="0"/>
              <w:rPr>
                <w:rStyle w:val="Strong"/>
                <w:b/>
                <w:bCs w:val="0"/>
              </w:rPr>
            </w:pPr>
            <w:r w:rsidRPr="00521832">
              <w:rPr>
                <w:rStyle w:val="Strong"/>
              </w:rPr>
              <w:t>Trend</w:t>
            </w:r>
          </w:p>
        </w:tc>
        <w:tc>
          <w:tcPr>
            <w:tcW w:w="3309" w:type="dxa"/>
            <w:gridSpan w:val="3"/>
            <w:shd w:val="clear" w:color="auto" w:fill="auto"/>
          </w:tcPr>
          <w:p w14:paraId="1E4607E2" w14:textId="77777777" w:rsidR="00350498" w:rsidRPr="007E41AA" w:rsidRDefault="00350498" w:rsidP="007F30CA">
            <w:pPr>
              <w:pStyle w:val="TableText"/>
            </w:pPr>
            <w:r w:rsidRPr="007E41AA">
              <w:t>Stable or contracting</w:t>
            </w:r>
          </w:p>
        </w:tc>
        <w:tc>
          <w:tcPr>
            <w:tcW w:w="4245" w:type="dxa"/>
            <w:shd w:val="clear" w:color="auto" w:fill="auto"/>
          </w:tcPr>
          <w:p w14:paraId="7FA91A67" w14:textId="77777777" w:rsidR="00350498" w:rsidRPr="007E41AA" w:rsidRDefault="00350498" w:rsidP="007F30CA">
            <w:pPr>
              <w:pStyle w:val="TableText"/>
            </w:pPr>
            <w:r w:rsidRPr="007E41AA">
              <w:t>As per EOO trend above.</w:t>
            </w:r>
          </w:p>
        </w:tc>
      </w:tr>
      <w:tr w:rsidR="00350498" w:rsidRPr="00521832" w14:paraId="4E7233B7" w14:textId="77777777" w:rsidTr="007F30CA">
        <w:trPr>
          <w:cantSplit/>
        </w:trPr>
        <w:tc>
          <w:tcPr>
            <w:tcW w:w="1506" w:type="dxa"/>
          </w:tcPr>
          <w:p w14:paraId="24274253" w14:textId="77777777" w:rsidR="00350498" w:rsidRPr="00521832" w:rsidRDefault="00350498" w:rsidP="007F30CA">
            <w:pPr>
              <w:pStyle w:val="TableHeading"/>
              <w:keepNext w:val="0"/>
              <w:rPr>
                <w:rStyle w:val="Strong"/>
                <w:b/>
                <w:bCs w:val="0"/>
              </w:rPr>
            </w:pPr>
            <w:r w:rsidRPr="00D20C80">
              <w:rPr>
                <w:rStyle w:val="Strong"/>
              </w:rPr>
              <w:t>Basis of assessment of subpopulation number</w:t>
            </w:r>
          </w:p>
        </w:tc>
        <w:tc>
          <w:tcPr>
            <w:tcW w:w="7554" w:type="dxa"/>
            <w:gridSpan w:val="4"/>
            <w:shd w:val="clear" w:color="auto" w:fill="auto"/>
          </w:tcPr>
          <w:p w14:paraId="1128347C" w14:textId="77777777" w:rsidR="00350498" w:rsidRDefault="00350498" w:rsidP="007F30CA">
            <w:pPr>
              <w:pStyle w:val="TableText"/>
            </w:pPr>
            <w:r>
              <w:t>This species is fully freshwater adapted and is killed by high salinity, and so is very unlikely to venture outside its local coastal catchment. Therefore, each distinct river basin can represent a separate subpopulation given the low likelihood of geneflow between them. This is how they are treated here (basins as defined in Geoscience Australia 1997; see Table 1).</w:t>
            </w:r>
          </w:p>
        </w:tc>
      </w:tr>
      <w:tr w:rsidR="00350498" w:rsidRPr="00521832" w14:paraId="63F1C6C1" w14:textId="77777777" w:rsidTr="007F30CA">
        <w:trPr>
          <w:cantSplit/>
        </w:trPr>
        <w:tc>
          <w:tcPr>
            <w:tcW w:w="1506" w:type="dxa"/>
          </w:tcPr>
          <w:p w14:paraId="0E36D5F1" w14:textId="77777777" w:rsidR="00350498" w:rsidRPr="00521832" w:rsidRDefault="00350498" w:rsidP="007F30CA">
            <w:pPr>
              <w:pStyle w:val="TableHeading"/>
              <w:keepNext w:val="0"/>
              <w:rPr>
                <w:rStyle w:val="Strong"/>
                <w:b/>
                <w:sz w:val="22"/>
              </w:rPr>
            </w:pPr>
            <w:r w:rsidRPr="00521832">
              <w:rPr>
                <w:rStyle w:val="Strong"/>
              </w:rPr>
              <w:t>No. locations</w:t>
            </w:r>
          </w:p>
          <w:p w14:paraId="68BA2596" w14:textId="77777777" w:rsidR="00350498" w:rsidRPr="00521832" w:rsidRDefault="00350498" w:rsidP="007F30CA">
            <w:pPr>
              <w:pStyle w:val="TableText"/>
              <w:rPr>
                <w:rStyle w:val="Strong"/>
                <w:b w:val="0"/>
                <w:bCs w:val="0"/>
              </w:rPr>
            </w:pPr>
          </w:p>
        </w:tc>
        <w:tc>
          <w:tcPr>
            <w:tcW w:w="1183" w:type="dxa"/>
            <w:shd w:val="clear" w:color="auto" w:fill="auto"/>
          </w:tcPr>
          <w:p w14:paraId="4840DDAF" w14:textId="77777777" w:rsidR="00350498" w:rsidRPr="00364741" w:rsidRDefault="00350498" w:rsidP="007F30CA">
            <w:pPr>
              <w:pStyle w:val="TableText"/>
            </w:pPr>
            <w:r w:rsidRPr="00364741">
              <w:t>5</w:t>
            </w:r>
          </w:p>
        </w:tc>
        <w:tc>
          <w:tcPr>
            <w:tcW w:w="1134" w:type="dxa"/>
            <w:shd w:val="clear" w:color="auto" w:fill="auto"/>
          </w:tcPr>
          <w:p w14:paraId="7B855584" w14:textId="77777777" w:rsidR="00350498" w:rsidRPr="00364741" w:rsidRDefault="00350498" w:rsidP="007F30CA">
            <w:pPr>
              <w:pStyle w:val="TableText"/>
            </w:pPr>
            <w:r w:rsidRPr="00364741">
              <w:t>4</w:t>
            </w:r>
          </w:p>
        </w:tc>
        <w:tc>
          <w:tcPr>
            <w:tcW w:w="992" w:type="dxa"/>
            <w:shd w:val="clear" w:color="auto" w:fill="auto"/>
          </w:tcPr>
          <w:p w14:paraId="452EAC14" w14:textId="77777777" w:rsidR="00350498" w:rsidRPr="00364741" w:rsidRDefault="00350498" w:rsidP="007F30CA">
            <w:pPr>
              <w:pStyle w:val="TableText"/>
            </w:pPr>
            <w:r w:rsidRPr="00364741">
              <w:t>6</w:t>
            </w:r>
          </w:p>
        </w:tc>
        <w:tc>
          <w:tcPr>
            <w:tcW w:w="4245" w:type="dxa"/>
            <w:shd w:val="clear" w:color="auto" w:fill="auto"/>
          </w:tcPr>
          <w:p w14:paraId="2A8C5050" w14:textId="77777777" w:rsidR="00350498" w:rsidRPr="00364741" w:rsidRDefault="00350498" w:rsidP="007F30CA">
            <w:pPr>
              <w:pStyle w:val="TableText"/>
            </w:pPr>
            <w:r>
              <w:t>Minimum/maximum plausible value assumptions as per EOO above. Locations based on small discrete area within a catchment that will likely experience the same threatening process at the same level.</w:t>
            </w:r>
          </w:p>
        </w:tc>
      </w:tr>
      <w:tr w:rsidR="00350498" w:rsidRPr="00521832" w14:paraId="698FD8FC" w14:textId="77777777" w:rsidTr="007F30CA">
        <w:trPr>
          <w:cantSplit/>
        </w:trPr>
        <w:tc>
          <w:tcPr>
            <w:tcW w:w="1506" w:type="dxa"/>
          </w:tcPr>
          <w:p w14:paraId="4D62D512" w14:textId="77777777" w:rsidR="00350498" w:rsidRPr="00521832" w:rsidRDefault="00350498" w:rsidP="007F30CA">
            <w:pPr>
              <w:pStyle w:val="TableHeading"/>
              <w:keepNext w:val="0"/>
              <w:rPr>
                <w:rStyle w:val="Strong"/>
                <w:b/>
                <w:bCs w:val="0"/>
              </w:rPr>
            </w:pPr>
            <w:r w:rsidRPr="00521832">
              <w:rPr>
                <w:rStyle w:val="Strong"/>
              </w:rPr>
              <w:t>Trend</w:t>
            </w:r>
          </w:p>
        </w:tc>
        <w:tc>
          <w:tcPr>
            <w:tcW w:w="3309" w:type="dxa"/>
            <w:gridSpan w:val="3"/>
            <w:shd w:val="clear" w:color="auto" w:fill="auto"/>
          </w:tcPr>
          <w:p w14:paraId="6394F026" w14:textId="77777777" w:rsidR="00350498" w:rsidRPr="00364741" w:rsidRDefault="00350498" w:rsidP="007F30CA">
            <w:pPr>
              <w:pStyle w:val="TableText"/>
            </w:pPr>
            <w:r w:rsidRPr="00364741">
              <w:t>Stable or contracting</w:t>
            </w:r>
          </w:p>
        </w:tc>
        <w:tc>
          <w:tcPr>
            <w:tcW w:w="4245" w:type="dxa"/>
            <w:shd w:val="clear" w:color="auto" w:fill="auto"/>
          </w:tcPr>
          <w:p w14:paraId="63CDCF20" w14:textId="77777777" w:rsidR="00350498" w:rsidRPr="00364741" w:rsidRDefault="00350498" w:rsidP="007F30CA">
            <w:pPr>
              <w:pStyle w:val="TableText"/>
            </w:pPr>
            <w:r w:rsidRPr="00364741">
              <w:t>As per EOO trend above.</w:t>
            </w:r>
          </w:p>
        </w:tc>
      </w:tr>
      <w:tr w:rsidR="00350498" w:rsidRPr="00521832" w14:paraId="5C449F58" w14:textId="77777777" w:rsidTr="007F30CA">
        <w:trPr>
          <w:cantSplit/>
        </w:trPr>
        <w:tc>
          <w:tcPr>
            <w:tcW w:w="1506" w:type="dxa"/>
          </w:tcPr>
          <w:p w14:paraId="4E843DFF" w14:textId="77777777" w:rsidR="00350498" w:rsidRPr="00521832" w:rsidRDefault="00350498" w:rsidP="007F30CA">
            <w:pPr>
              <w:pStyle w:val="TableHeading"/>
              <w:keepNext w:val="0"/>
              <w:rPr>
                <w:rStyle w:val="Strong"/>
                <w:b/>
                <w:bCs w:val="0"/>
              </w:rPr>
            </w:pPr>
            <w:bookmarkStart w:id="11" w:name="_Hlk51878889"/>
            <w:r w:rsidRPr="00D20C80">
              <w:rPr>
                <w:rStyle w:val="Strong"/>
              </w:rPr>
              <w:t>Basis of assessment of location number</w:t>
            </w:r>
            <w:bookmarkEnd w:id="11"/>
          </w:p>
        </w:tc>
        <w:tc>
          <w:tcPr>
            <w:tcW w:w="7554" w:type="dxa"/>
            <w:gridSpan w:val="4"/>
            <w:shd w:val="clear" w:color="auto" w:fill="auto"/>
          </w:tcPr>
          <w:p w14:paraId="424B428B" w14:textId="77777777" w:rsidR="00350498" w:rsidRPr="005B47FA" w:rsidRDefault="00350498" w:rsidP="007F30CA">
            <w:pPr>
              <w:pStyle w:val="TableText"/>
              <w:rPr>
                <w:highlight w:val="yellow"/>
              </w:rPr>
            </w:pPr>
            <w:r w:rsidRPr="00107694">
              <w:t>The river basins (Table 1) are geographically isolated from each other (~140 – 600 km) and have distinct local threats (see Criterion 1) and so most serve as locations for</w:t>
            </w:r>
            <w:r>
              <w:t xml:space="preserve"> this assessment. </w:t>
            </w:r>
            <w:r w:rsidRPr="00107694">
              <w:t>Tuross and Moruya are treated as a single location because</w:t>
            </w:r>
            <w:r>
              <w:t xml:space="preserve"> they are adjacent and have </w:t>
            </w:r>
            <w:r w:rsidRPr="00107694">
              <w:t xml:space="preserve">a commonality of threats (bushfire, sedimentation). </w:t>
            </w:r>
          </w:p>
        </w:tc>
      </w:tr>
      <w:tr w:rsidR="00350498" w:rsidRPr="00521832" w14:paraId="3E7762A1" w14:textId="77777777" w:rsidTr="007F30CA">
        <w:trPr>
          <w:cantSplit/>
        </w:trPr>
        <w:tc>
          <w:tcPr>
            <w:tcW w:w="1506" w:type="dxa"/>
          </w:tcPr>
          <w:p w14:paraId="4FA1CC6F" w14:textId="77777777" w:rsidR="00350498" w:rsidRPr="000003F9" w:rsidRDefault="00350498" w:rsidP="007F30CA">
            <w:pPr>
              <w:pStyle w:val="TableHeading"/>
              <w:keepNext w:val="0"/>
              <w:rPr>
                <w:rStyle w:val="Strong"/>
                <w:b/>
                <w:bCs w:val="0"/>
              </w:rPr>
            </w:pPr>
            <w:r w:rsidRPr="000003F9">
              <w:rPr>
                <w:rStyle w:val="Strong"/>
              </w:rPr>
              <w:t>Fragmentation</w:t>
            </w:r>
          </w:p>
          <w:p w14:paraId="0D2C9385" w14:textId="77777777" w:rsidR="00350498" w:rsidRPr="000003F9" w:rsidRDefault="00350498" w:rsidP="007F30CA">
            <w:pPr>
              <w:pStyle w:val="TableText"/>
              <w:rPr>
                <w:rStyle w:val="Strong"/>
                <w:b w:val="0"/>
                <w:bCs w:val="0"/>
              </w:rPr>
            </w:pPr>
          </w:p>
        </w:tc>
        <w:tc>
          <w:tcPr>
            <w:tcW w:w="7554" w:type="dxa"/>
            <w:gridSpan w:val="4"/>
            <w:shd w:val="clear" w:color="auto" w:fill="auto"/>
          </w:tcPr>
          <w:p w14:paraId="02241CF4" w14:textId="77777777" w:rsidR="00350498" w:rsidRPr="000003F9" w:rsidRDefault="00350498" w:rsidP="007F30CA">
            <w:pPr>
              <w:pStyle w:val="TableText"/>
            </w:pPr>
            <w:r w:rsidRPr="00BD2033">
              <w:t xml:space="preserve">The </w:t>
            </w:r>
            <w:r>
              <w:t>non-parasitic lamprey</w:t>
            </w:r>
            <w:r w:rsidRPr="00BD2033">
              <w:t xml:space="preserve"> has a widespread distribution, having been recorded in a small number of isolated but widespread coastal catchments, that are naturally fragmented between catchments, with little expectation of natural geneflow between them. However, given the lack of long-term monitoring in all but a few catchments across its distribution range, it is unclear how vulnerable individual subpopulations are to extirpation, although there is some evidence of past local extinctions (Gilligan 2019b) (see Criteria 1 and 2 below). In particular, it is unknown whether the population is severely fragmented, requiring &gt; 50% of the AOO to be in patches that are too small to support a viable population (the IUCN Standards and Petitions Committee 2019).</w:t>
            </w:r>
            <w:r>
              <w:t xml:space="preserve"> The two extant locations/subpopulations that are most likely to be nonviable (Richmond, Macleay) make up only 22 % of the AOO. </w:t>
            </w:r>
          </w:p>
        </w:tc>
      </w:tr>
      <w:tr w:rsidR="00350498" w:rsidRPr="00521832" w14:paraId="260C7735" w14:textId="77777777" w:rsidTr="007F30CA">
        <w:trPr>
          <w:cantSplit/>
        </w:trPr>
        <w:tc>
          <w:tcPr>
            <w:tcW w:w="1506" w:type="dxa"/>
          </w:tcPr>
          <w:p w14:paraId="050F97DB" w14:textId="77777777" w:rsidR="00350498" w:rsidRPr="00521832" w:rsidRDefault="00350498" w:rsidP="007F30CA">
            <w:pPr>
              <w:pStyle w:val="TableHeading"/>
              <w:keepNext w:val="0"/>
              <w:rPr>
                <w:rStyle w:val="Strong"/>
                <w:b/>
                <w:sz w:val="22"/>
              </w:rPr>
            </w:pPr>
            <w:r w:rsidRPr="00521832">
              <w:rPr>
                <w:rStyle w:val="Strong"/>
              </w:rPr>
              <w:t>Fluctuations</w:t>
            </w:r>
          </w:p>
          <w:p w14:paraId="42415D1D" w14:textId="77777777" w:rsidR="00350498" w:rsidRPr="00521832" w:rsidRDefault="00350498" w:rsidP="007F30CA">
            <w:pPr>
              <w:pStyle w:val="TableText"/>
              <w:rPr>
                <w:rStyle w:val="Strong"/>
                <w:b w:val="0"/>
                <w:bCs w:val="0"/>
              </w:rPr>
            </w:pPr>
          </w:p>
        </w:tc>
        <w:tc>
          <w:tcPr>
            <w:tcW w:w="7554" w:type="dxa"/>
            <w:gridSpan w:val="4"/>
            <w:shd w:val="clear" w:color="auto" w:fill="auto"/>
          </w:tcPr>
          <w:p w14:paraId="609DEFFC" w14:textId="77777777" w:rsidR="00350498" w:rsidRPr="00521832" w:rsidRDefault="00350498" w:rsidP="007F30CA">
            <w:pPr>
              <w:pStyle w:val="TableText"/>
            </w:pPr>
            <w:r w:rsidRPr="00521832">
              <w:t xml:space="preserve">Not known to be subject to extreme fluctuations in EOO, AOO, number of subpopulations, </w:t>
            </w:r>
            <w:proofErr w:type="gramStart"/>
            <w:r w:rsidRPr="00521832">
              <w:t>locations</w:t>
            </w:r>
            <w:proofErr w:type="gramEnd"/>
            <w:r w:rsidRPr="00521832">
              <w:t xml:space="preserve"> or mature individuals</w:t>
            </w:r>
            <w:bookmarkStart w:id="12" w:name="_Hlk52438645"/>
            <w:r w:rsidRPr="00521832">
              <w:t>. No parameter has been shown to have changed by an order of magnitude by the 2019-20 bushfire</w:t>
            </w:r>
            <w:bookmarkEnd w:id="12"/>
            <w:r w:rsidRPr="00521832">
              <w:t>s.</w:t>
            </w:r>
          </w:p>
        </w:tc>
      </w:tr>
    </w:tbl>
    <w:p w14:paraId="4745EBDE" w14:textId="77777777" w:rsidR="00350498" w:rsidRPr="00521832" w:rsidRDefault="00350498" w:rsidP="00350498">
      <w:pPr>
        <w:pStyle w:val="Caption"/>
        <w:rPr>
          <w:lang w:eastAsia="ja-JP"/>
        </w:rPr>
      </w:pPr>
    </w:p>
    <w:p w14:paraId="607685A7" w14:textId="77777777" w:rsidR="00350498" w:rsidRPr="00521832" w:rsidRDefault="00350498" w:rsidP="00350498">
      <w:pPr>
        <w:pStyle w:val="Caption"/>
        <w:rPr>
          <w:lang w:eastAsia="ja-JP"/>
        </w:rPr>
      </w:pPr>
      <w:r w:rsidRPr="00521832">
        <w:rPr>
          <w:lang w:eastAsia="ja-JP"/>
        </w:rPr>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350498" w:rsidRPr="00521832" w14:paraId="12C0731B" w14:textId="77777777" w:rsidTr="007F30CA">
        <w:trPr>
          <w:cantSplit/>
          <w:trHeight w:val="606"/>
        </w:trPr>
        <w:tc>
          <w:tcPr>
            <w:tcW w:w="9975" w:type="dxa"/>
            <w:gridSpan w:val="6"/>
            <w:shd w:val="clear" w:color="auto" w:fill="595959" w:themeFill="text1" w:themeFillTint="A6"/>
            <w:vAlign w:val="center"/>
          </w:tcPr>
          <w:p w14:paraId="3DF247FC" w14:textId="77777777" w:rsidR="00350498" w:rsidRPr="00521832" w:rsidRDefault="00350498" w:rsidP="007F30CA">
            <w:pPr>
              <w:pStyle w:val="TableHeading"/>
              <w:rPr>
                <w:b w:val="0"/>
                <w:bCs/>
              </w:rPr>
            </w:pPr>
            <w:r w:rsidRPr="00521832">
              <w:rPr>
                <w:b w:val="0"/>
                <w:bCs/>
              </w:rPr>
              <w:t>Reduction in total numbers (measured over the longer of 10 years or 3 generations) based on any of A1 to A4</w:t>
            </w:r>
          </w:p>
        </w:tc>
      </w:tr>
      <w:tr w:rsidR="00350498" w:rsidRPr="00521832" w14:paraId="746F4FC6" w14:textId="77777777" w:rsidTr="007F30CA">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0C7D24" w14:textId="77777777" w:rsidR="00350498" w:rsidRPr="00521832" w:rsidRDefault="00350498" w:rsidP="007F30CA">
            <w:pPr>
              <w:keepNext/>
              <w:rPr>
                <w:rFonts w:ascii="Arial" w:hAnsi="Arial" w:cs="Arial"/>
                <w:sz w:val="18"/>
                <w:szCs w:val="18"/>
              </w:rPr>
            </w:pPr>
            <w:r w:rsidRPr="00521832">
              <w:rPr>
                <w:rFonts w:ascii="Arial" w:hAnsi="Arial" w:cs="Arial"/>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629BFF9" w14:textId="77777777" w:rsidR="00350498" w:rsidRPr="00521832" w:rsidRDefault="00350498" w:rsidP="007F30CA">
            <w:pPr>
              <w:pStyle w:val="TableText"/>
              <w:keepNext/>
              <w:rPr>
                <w:rStyle w:val="Strong"/>
              </w:rPr>
            </w:pPr>
            <w:r w:rsidRPr="00521832">
              <w:rPr>
                <w:rStyle w:val="Strong"/>
              </w:rPr>
              <w:t>Critically Endangered</w:t>
            </w:r>
          </w:p>
          <w:p w14:paraId="0AB66A88" w14:textId="77777777" w:rsidR="00350498" w:rsidRPr="00521832" w:rsidRDefault="00350498" w:rsidP="007F30CA">
            <w:pPr>
              <w:pStyle w:val="TableText"/>
              <w:keepNext/>
              <w:rPr>
                <w:rStyle w:val="Strong"/>
              </w:rPr>
            </w:pPr>
            <w:r w:rsidRPr="0052183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321AA4B" w14:textId="77777777" w:rsidR="00350498" w:rsidRPr="00521832" w:rsidRDefault="00350498" w:rsidP="007F30CA">
            <w:pPr>
              <w:pStyle w:val="TableText"/>
              <w:keepNext/>
              <w:rPr>
                <w:rStyle w:val="Strong"/>
              </w:rPr>
            </w:pPr>
            <w:r w:rsidRPr="00521832">
              <w:rPr>
                <w:rStyle w:val="Strong"/>
              </w:rPr>
              <w:t>Endangered</w:t>
            </w:r>
          </w:p>
          <w:p w14:paraId="0D8EAC48" w14:textId="77777777" w:rsidR="00350498" w:rsidRPr="00521832" w:rsidRDefault="00350498" w:rsidP="007F30CA">
            <w:pPr>
              <w:pStyle w:val="TableText"/>
              <w:keepNext/>
              <w:rPr>
                <w:rStyle w:val="Strong"/>
              </w:rPr>
            </w:pPr>
            <w:r w:rsidRPr="0052183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5740000" w14:textId="77777777" w:rsidR="00350498" w:rsidRPr="00521832" w:rsidRDefault="00350498" w:rsidP="007F30CA">
            <w:pPr>
              <w:pStyle w:val="TableText"/>
              <w:keepNext/>
              <w:rPr>
                <w:rStyle w:val="Strong"/>
              </w:rPr>
            </w:pPr>
            <w:r w:rsidRPr="00521832">
              <w:rPr>
                <w:rStyle w:val="Strong"/>
              </w:rPr>
              <w:t>Vulnerable</w:t>
            </w:r>
          </w:p>
          <w:p w14:paraId="3E30E288" w14:textId="77777777" w:rsidR="00350498" w:rsidRPr="00521832" w:rsidRDefault="00350498" w:rsidP="007F30CA">
            <w:pPr>
              <w:pStyle w:val="TableText"/>
              <w:keepNext/>
              <w:rPr>
                <w:rStyle w:val="Strong"/>
              </w:rPr>
            </w:pPr>
            <w:r w:rsidRPr="00521832">
              <w:rPr>
                <w:rStyle w:val="Strong"/>
              </w:rPr>
              <w:t>Substantial reduction</w:t>
            </w:r>
          </w:p>
        </w:tc>
      </w:tr>
      <w:tr w:rsidR="00350498" w:rsidRPr="00521832" w14:paraId="2743CA41" w14:textId="77777777" w:rsidTr="007F30CA">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6D544CFF" w14:textId="77777777" w:rsidR="00350498" w:rsidRPr="00521832" w:rsidRDefault="00350498" w:rsidP="007F30CA">
            <w:pPr>
              <w:pStyle w:val="TableText"/>
              <w:keepNext/>
              <w:rPr>
                <w:rStyle w:val="Strong"/>
              </w:rPr>
            </w:pPr>
            <w:r w:rsidRPr="0052183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561ACC65" w14:textId="77777777" w:rsidR="00350498" w:rsidRPr="00521832" w:rsidRDefault="00350498" w:rsidP="007F30CA">
            <w:pPr>
              <w:pStyle w:val="TableText"/>
              <w:keepNext/>
            </w:pPr>
            <w:r w:rsidRPr="00521832">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5D201EF9" w14:textId="77777777" w:rsidR="00350498" w:rsidRPr="00521832" w:rsidRDefault="00350498" w:rsidP="007F30CA">
            <w:pPr>
              <w:pStyle w:val="TableText"/>
              <w:keepNext/>
            </w:pPr>
            <w:r w:rsidRPr="00521832">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4511FF5" w14:textId="77777777" w:rsidR="00350498" w:rsidRPr="00521832" w:rsidRDefault="00350498" w:rsidP="007F30CA">
            <w:pPr>
              <w:pStyle w:val="TableText"/>
              <w:keepNext/>
            </w:pPr>
            <w:r w:rsidRPr="00521832">
              <w:t>≥ 50%</w:t>
            </w:r>
          </w:p>
        </w:tc>
      </w:tr>
      <w:tr w:rsidR="00350498" w:rsidRPr="00521832" w14:paraId="16AEA9D8" w14:textId="77777777" w:rsidTr="007F30CA">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6EB2E7B1" w14:textId="77777777" w:rsidR="00350498" w:rsidRPr="00521832" w:rsidRDefault="00350498" w:rsidP="007F30CA">
            <w:pPr>
              <w:pStyle w:val="TableText"/>
              <w:keepNext/>
              <w:rPr>
                <w:rStyle w:val="Strong"/>
              </w:rPr>
            </w:pPr>
            <w:r w:rsidRPr="0052183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606F6776" w14:textId="77777777" w:rsidR="00350498" w:rsidRPr="00521832" w:rsidRDefault="00350498" w:rsidP="007F30CA">
            <w:pPr>
              <w:pStyle w:val="TableText"/>
              <w:keepNext/>
            </w:pPr>
            <w:r w:rsidRPr="00521832">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CE104F1" w14:textId="77777777" w:rsidR="00350498" w:rsidRPr="00521832" w:rsidRDefault="00350498" w:rsidP="007F30CA">
            <w:pPr>
              <w:pStyle w:val="TableText"/>
              <w:keepNext/>
            </w:pPr>
            <w:r w:rsidRPr="00521832">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F875AAE" w14:textId="77777777" w:rsidR="00350498" w:rsidRPr="00521832" w:rsidRDefault="00350498" w:rsidP="007F30CA">
            <w:pPr>
              <w:pStyle w:val="TableText"/>
              <w:keepNext/>
            </w:pPr>
            <w:r w:rsidRPr="00521832">
              <w:t>≥ 30%</w:t>
            </w:r>
          </w:p>
        </w:tc>
      </w:tr>
      <w:tr w:rsidR="00350498" w:rsidRPr="00521832" w14:paraId="42871ECF" w14:textId="77777777" w:rsidTr="007F30CA">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45B674C6" w14:textId="77777777" w:rsidR="00350498" w:rsidRPr="00521832" w:rsidRDefault="00350498" w:rsidP="007F30CA">
            <w:pPr>
              <w:pStyle w:val="TableText"/>
              <w:keepNext/>
              <w:spacing w:after="200" w:line="276" w:lineRule="auto"/>
              <w:ind w:left="493" w:hanging="493"/>
            </w:pPr>
            <w:r w:rsidRPr="00521832">
              <w:rPr>
                <w:rStyle w:val="Strong"/>
              </w:rPr>
              <w:t>A1</w:t>
            </w:r>
            <w:r w:rsidRPr="00521832">
              <w:tab/>
              <w:t>Population reduction observed, estimated, inferred or suspected in the past and the causes of the reduction are clearly rev</w:t>
            </w:r>
            <w:r>
              <w:t>er</w:t>
            </w:r>
            <w:r w:rsidRPr="00521832">
              <w:t>sible AND understood AND ceased.</w:t>
            </w:r>
          </w:p>
          <w:p w14:paraId="03AA9757" w14:textId="77777777" w:rsidR="00350498" w:rsidRPr="00521832" w:rsidRDefault="00350498" w:rsidP="007F30CA">
            <w:pPr>
              <w:pStyle w:val="TableText"/>
              <w:keepNext/>
              <w:spacing w:after="200" w:line="276" w:lineRule="auto"/>
              <w:ind w:left="493" w:hanging="493"/>
            </w:pPr>
            <w:r w:rsidRPr="00521832">
              <w:rPr>
                <w:rStyle w:val="Strong"/>
              </w:rPr>
              <w:t>A2</w:t>
            </w:r>
            <w:r w:rsidRPr="00521832">
              <w:tab/>
              <w:t>Population reduction observed, estimated, inferred or suspected in the past where the causes of the reduction may not have ceased OR may not be understood OR may not be reversible.</w:t>
            </w:r>
          </w:p>
          <w:p w14:paraId="427C9C0D" w14:textId="77777777" w:rsidR="00350498" w:rsidRPr="00521832" w:rsidRDefault="00350498" w:rsidP="007F30CA">
            <w:pPr>
              <w:pStyle w:val="TableText"/>
              <w:keepNext/>
              <w:spacing w:after="200" w:line="276" w:lineRule="auto"/>
              <w:ind w:left="493" w:hanging="493"/>
            </w:pPr>
            <w:r w:rsidRPr="00521832">
              <w:rPr>
                <w:rStyle w:val="Strong"/>
              </w:rPr>
              <w:t>A3</w:t>
            </w:r>
            <w:r w:rsidRPr="00521832">
              <w:tab/>
              <w:t>Population reduction, projected or suspected to be met in the future (up to a maximum of 100 years) [(</w:t>
            </w:r>
            <w:r w:rsidRPr="00521832">
              <w:rPr>
                <w:i/>
              </w:rPr>
              <w:t>a) cannot be used for A3</w:t>
            </w:r>
            <w:r w:rsidRPr="00521832">
              <w:t>]</w:t>
            </w:r>
          </w:p>
          <w:p w14:paraId="417B8872" w14:textId="77777777" w:rsidR="00350498" w:rsidRPr="00521832" w:rsidRDefault="00350498" w:rsidP="007F30CA">
            <w:pPr>
              <w:pStyle w:val="TableText"/>
              <w:keepNext/>
              <w:spacing w:after="200" w:line="276" w:lineRule="auto"/>
              <w:ind w:left="493" w:hanging="493"/>
            </w:pPr>
            <w:r w:rsidRPr="00521832">
              <w:rPr>
                <w:rStyle w:val="Strong"/>
              </w:rPr>
              <w:t>A4</w:t>
            </w:r>
            <w:r w:rsidRPr="00521832">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3B2E6291" w14:textId="77777777" w:rsidR="00350498" w:rsidRPr="00521832" w:rsidRDefault="00350498" w:rsidP="007F30CA">
            <w:pPr>
              <w:pStyle w:val="TableText"/>
              <w:spacing w:before="1800"/>
              <w:ind w:left="165"/>
            </w:pPr>
            <w:r w:rsidRPr="00521832">
              <w:rPr>
                <w:rFonts w:ascii="Arial" w:hAnsi="Arial" w:cs="Arial"/>
                <w:noProof/>
                <w:szCs w:val="18"/>
              </w:rPr>
              <mc:AlternateContent>
                <mc:Choice Requires="wps">
                  <w:drawing>
                    <wp:anchor distT="0" distB="0" distL="114300" distR="114300" simplePos="0" relativeHeight="251659264" behindDoc="0" locked="0" layoutInCell="1" allowOverlap="1" wp14:anchorId="46606B9C" wp14:editId="7C0D1323">
                      <wp:simplePos x="0" y="0"/>
                      <wp:positionH relativeFrom="column">
                        <wp:posOffset>-207010</wp:posOffset>
                      </wp:positionH>
                      <wp:positionV relativeFrom="paragraph">
                        <wp:posOffset>19050</wp:posOffset>
                      </wp:positionV>
                      <wp:extent cx="295275" cy="244792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286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" adj="868"/>
                  </w:pict>
                </mc:Fallback>
              </mc:AlternateContent>
            </w:r>
            <w:r w:rsidRPr="00521832">
              <w:t>Based on any of the following</w:t>
            </w:r>
          </w:p>
        </w:tc>
        <w:tc>
          <w:tcPr>
            <w:tcW w:w="2664" w:type="dxa"/>
            <w:gridSpan w:val="2"/>
            <w:tcBorders>
              <w:top w:val="nil"/>
              <w:left w:val="nil"/>
            </w:tcBorders>
          </w:tcPr>
          <w:p w14:paraId="7D8836C1" w14:textId="77777777" w:rsidR="00350498" w:rsidRPr="00521832" w:rsidRDefault="00350498" w:rsidP="007F30CA">
            <w:pPr>
              <w:pStyle w:val="TableText"/>
              <w:ind w:left="312" w:hanging="312"/>
            </w:pPr>
            <w:r w:rsidRPr="00521832">
              <w:t>(a)</w:t>
            </w:r>
            <w:r w:rsidRPr="00521832">
              <w:tab/>
              <w:t>direct observation [except A3]</w:t>
            </w:r>
          </w:p>
          <w:p w14:paraId="6DA98166" w14:textId="77777777" w:rsidR="00350498" w:rsidRPr="00521832" w:rsidRDefault="00350498" w:rsidP="007F30CA">
            <w:pPr>
              <w:pStyle w:val="TableText"/>
              <w:ind w:left="312" w:hanging="312"/>
            </w:pPr>
            <w:r w:rsidRPr="00521832">
              <w:t>(b)</w:t>
            </w:r>
            <w:r w:rsidRPr="00521832">
              <w:tab/>
              <w:t>an index of abundance appropriate to the taxon</w:t>
            </w:r>
          </w:p>
          <w:p w14:paraId="1AD6067D" w14:textId="77777777" w:rsidR="00350498" w:rsidRPr="00521832" w:rsidRDefault="00350498" w:rsidP="007F30CA">
            <w:pPr>
              <w:pStyle w:val="TableText"/>
              <w:ind w:left="312" w:hanging="312"/>
            </w:pPr>
            <w:r w:rsidRPr="00521832">
              <w:t>(c)</w:t>
            </w:r>
            <w:r w:rsidRPr="00521832">
              <w:tab/>
              <w:t>a decline in area of occupancy, extent of occurrence and/or quality of habitat</w:t>
            </w:r>
          </w:p>
          <w:p w14:paraId="1FC3BA8F" w14:textId="77777777" w:rsidR="00350498" w:rsidRPr="00521832" w:rsidRDefault="00350498" w:rsidP="007F30CA">
            <w:pPr>
              <w:pStyle w:val="TableText"/>
              <w:ind w:left="312" w:hanging="312"/>
            </w:pPr>
            <w:r w:rsidRPr="00521832">
              <w:t>(d)</w:t>
            </w:r>
            <w:r w:rsidRPr="00521832">
              <w:tab/>
              <w:t>actual or potential levels of exploitation</w:t>
            </w:r>
          </w:p>
          <w:p w14:paraId="32D8CEED" w14:textId="77777777" w:rsidR="00350498" w:rsidRPr="00521832" w:rsidRDefault="00350498" w:rsidP="007F30CA">
            <w:pPr>
              <w:pStyle w:val="TableText"/>
              <w:ind w:left="312" w:hanging="312"/>
            </w:pPr>
            <w:r w:rsidRPr="00521832">
              <w:t>(e)</w:t>
            </w:r>
            <w:r w:rsidRPr="00521832">
              <w:tab/>
              <w:t>the effects of introduced taxa, hybridization, pathogens, pollutants, competitors or parasites</w:t>
            </w:r>
          </w:p>
        </w:tc>
      </w:tr>
    </w:tbl>
    <w:p w14:paraId="54B5B454" w14:textId="77777777" w:rsidR="00350498" w:rsidRPr="000A4EE2" w:rsidRDefault="00350498" w:rsidP="00350498">
      <w:pPr>
        <w:pStyle w:val="Heading3"/>
        <w:rPr>
          <w:lang w:eastAsia="ja-JP"/>
        </w:rPr>
      </w:pPr>
      <w:r w:rsidRPr="6A012BED">
        <w:rPr>
          <w:lang w:eastAsia="ja-JP"/>
        </w:rPr>
        <w:t>Criterion 1 evidence</w:t>
      </w:r>
    </w:p>
    <w:p w14:paraId="59D3DF25" w14:textId="77777777" w:rsidR="00350498" w:rsidRDefault="00350498" w:rsidP="00350498">
      <w:pPr>
        <w:rPr>
          <w:bCs/>
        </w:rPr>
      </w:pPr>
      <w:r>
        <w:rPr>
          <w:rStyle w:val="Strong"/>
        </w:rPr>
        <w:t>Insufficient data to determine eligibility</w:t>
      </w:r>
    </w:p>
    <w:p w14:paraId="3024661C" w14:textId="77777777" w:rsidR="00350498" w:rsidRDefault="00350498" w:rsidP="00350498">
      <w:pPr>
        <w:rPr>
          <w:lang w:eastAsia="ja-JP"/>
        </w:rPr>
      </w:pPr>
      <w:r w:rsidRPr="00652A0E">
        <w:rPr>
          <w:lang w:eastAsia="ja-JP"/>
        </w:rPr>
        <w:t xml:space="preserve">The </w:t>
      </w:r>
      <w:r>
        <w:rPr>
          <w:lang w:eastAsia="ja-JP"/>
        </w:rPr>
        <w:t>non-parasitic lamprey</w:t>
      </w:r>
      <w:r w:rsidRPr="00652A0E">
        <w:rPr>
          <w:lang w:eastAsia="ja-JP"/>
        </w:rPr>
        <w:t xml:space="preserve"> presents a number of potentially difficult issues when trying to establish an accurate population size through time. Firstly, the species has not been the subject of any systematic attempt to quantify its population size across its entire distribution </w:t>
      </w:r>
      <w:r>
        <w:rPr>
          <w:lang w:eastAsia="ja-JP"/>
        </w:rPr>
        <w:t>(see D</w:t>
      </w:r>
      <w:r w:rsidRPr="00652A0E">
        <w:rPr>
          <w:lang w:eastAsia="ja-JP"/>
        </w:rPr>
        <w:t xml:space="preserve">istribution section above). Secondly, the </w:t>
      </w:r>
      <w:r>
        <w:rPr>
          <w:lang w:eastAsia="ja-JP"/>
        </w:rPr>
        <w:t>non-parasitic lamprey</w:t>
      </w:r>
      <w:r w:rsidRPr="00652A0E">
        <w:rPr>
          <w:lang w:eastAsia="ja-JP"/>
        </w:rPr>
        <w:t xml:space="preserve"> has a cryptic, nocturnal behaviour, and spends its extended larval stage buried in sediment, leading to potential non</w:t>
      </w:r>
      <w:r>
        <w:rPr>
          <w:lang w:eastAsia="ja-JP"/>
        </w:rPr>
        <w:noBreakHyphen/>
      </w:r>
      <w:r w:rsidRPr="00652A0E">
        <w:rPr>
          <w:lang w:eastAsia="ja-JP"/>
        </w:rPr>
        <w:t>detection biases (Miller et al. 2021). Thirdly, even when</w:t>
      </w:r>
      <w:r>
        <w:rPr>
          <w:lang w:eastAsia="ja-JP"/>
        </w:rPr>
        <w:t xml:space="preserve"> reported, there are species identification challenges, since the larvae of the non-parasitic lamprey and the short-headed lamprey are indistinguishable. However, this is only relevant for locations where short-headed lamprey are definitively present, which is at the southernmost location (East Gippsland).</w:t>
      </w:r>
    </w:p>
    <w:p w14:paraId="7F6E0793" w14:textId="77777777" w:rsidR="00350498" w:rsidRPr="009571FD" w:rsidRDefault="00350498" w:rsidP="00350498">
      <w:pPr>
        <w:pStyle w:val="Heading4"/>
        <w:rPr>
          <w:lang w:eastAsia="ja-JP"/>
        </w:rPr>
      </w:pPr>
      <w:r>
        <w:rPr>
          <w:lang w:eastAsia="ja-JP"/>
        </w:rPr>
        <w:t>General lamprey</w:t>
      </w:r>
      <w:r w:rsidRPr="009571FD">
        <w:rPr>
          <w:lang w:eastAsia="ja-JP"/>
        </w:rPr>
        <w:t xml:space="preserve"> declines</w:t>
      </w:r>
    </w:p>
    <w:p w14:paraId="3B259694" w14:textId="77777777" w:rsidR="00350498" w:rsidRDefault="00350498" w:rsidP="00350498">
      <w:pPr>
        <w:rPr>
          <w:lang w:eastAsia="ja-JP"/>
        </w:rPr>
      </w:pPr>
      <w:bookmarkStart w:id="13" w:name="_Hlk72477738"/>
      <w:r w:rsidRPr="6A012BED">
        <w:rPr>
          <w:lang w:eastAsia="ja-JP"/>
        </w:rPr>
        <w:t>There have been reported declines in both the short-headed lamprey and the pouched lamprey in the last 20 years (</w:t>
      </w:r>
      <w:proofErr w:type="spellStart"/>
      <w:r w:rsidRPr="6A012BED">
        <w:rPr>
          <w:lang w:eastAsia="ja-JP"/>
        </w:rPr>
        <w:t>Lintermans</w:t>
      </w:r>
      <w:proofErr w:type="spellEnd"/>
      <w:r w:rsidRPr="6A012BED">
        <w:rPr>
          <w:lang w:eastAsia="ja-JP"/>
        </w:rPr>
        <w:t xml:space="preserve"> 2009; Miller et al. 2021; T. </w:t>
      </w:r>
      <w:proofErr w:type="spellStart"/>
      <w:r w:rsidRPr="6A012BED">
        <w:rPr>
          <w:lang w:eastAsia="ja-JP"/>
        </w:rPr>
        <w:t>Raadik</w:t>
      </w:r>
      <w:proofErr w:type="spellEnd"/>
      <w:r w:rsidRPr="6A012BED">
        <w:rPr>
          <w:lang w:eastAsia="ja-JP"/>
        </w:rPr>
        <w:t xml:space="preserve"> 2021 pers comm 15 Feb). The larvae of these species are ecologically and biologically similar to the non-parasitic lamprey, and thus have similar vulnerabilities. As they are sympatric across parts of their ranges, declines in the short-headed lamprey and the pouched lamprey</w:t>
      </w:r>
      <w:r>
        <w:rPr>
          <w:lang w:eastAsia="ja-JP"/>
        </w:rPr>
        <w:t xml:space="preserve">, </w:t>
      </w:r>
      <w:r w:rsidRPr="6A012BED">
        <w:rPr>
          <w:lang w:eastAsia="ja-JP"/>
        </w:rPr>
        <w:t>caused by habitat degradation and modification</w:t>
      </w:r>
      <w:r>
        <w:rPr>
          <w:lang w:eastAsia="ja-JP"/>
        </w:rPr>
        <w:t xml:space="preserve"> due to </w:t>
      </w:r>
      <w:r>
        <w:t xml:space="preserve">land management practices (mining, agriculture, urbanisation), </w:t>
      </w:r>
      <w:r w:rsidRPr="6A012BED">
        <w:rPr>
          <w:lang w:eastAsia="ja-JP"/>
        </w:rPr>
        <w:t>are likely to be similarly reflected in the non-parasitic lamprey (Docker 2009). Also, due to the difficulty in differentiating between larvae of these species, where they are sympatric, an observed decline in the short-headed lamprey may also mask a decline in unidentified non-parasitic lamprey subpopulations.</w:t>
      </w:r>
    </w:p>
    <w:p w14:paraId="2C0E6F21" w14:textId="77777777" w:rsidR="00350498" w:rsidRDefault="00350498" w:rsidP="00350498">
      <w:pPr>
        <w:rPr>
          <w:lang w:eastAsia="ja-JP"/>
        </w:rPr>
      </w:pPr>
      <w:r w:rsidDel="001E64D4">
        <w:rPr>
          <w:lang w:eastAsia="ja-JP"/>
        </w:rPr>
        <w:lastRenderedPageBreak/>
        <w:t xml:space="preserve">A decline in </w:t>
      </w:r>
      <w:r>
        <w:rPr>
          <w:lang w:eastAsia="ja-JP"/>
        </w:rPr>
        <w:t>the short-headed lamprey</w:t>
      </w:r>
      <w:r w:rsidDel="001E64D4">
        <w:rPr>
          <w:lang w:eastAsia="ja-JP"/>
        </w:rPr>
        <w:t xml:space="preserve"> could have negative impacts for the </w:t>
      </w:r>
      <w:r>
        <w:t>non-parasitic lamprey</w:t>
      </w:r>
      <w:r w:rsidDel="001E64D4">
        <w:t xml:space="preserve"> (Docker 2009)</w:t>
      </w:r>
      <w:r>
        <w:t xml:space="preserve"> due to the possibility of geneflow between the sister species. This could be a </w:t>
      </w:r>
      <w:r w:rsidDel="001E64D4">
        <w:rPr>
          <w:lang w:eastAsia="ja-JP"/>
        </w:rPr>
        <w:t xml:space="preserve">potentially important reservoir of genetic diversity and population connectivity for </w:t>
      </w:r>
      <w:r w:rsidDel="001E64D4">
        <w:t xml:space="preserve">the </w:t>
      </w:r>
      <w:r>
        <w:t>non-parasitic lamprey</w:t>
      </w:r>
      <w:r w:rsidDel="001E64D4">
        <w:t xml:space="preserve"> (McCauley et al. 2015)</w:t>
      </w:r>
      <w:r w:rsidDel="001E64D4">
        <w:rPr>
          <w:lang w:eastAsia="ja-JP"/>
        </w:rPr>
        <w:t>.</w:t>
      </w:r>
      <w:r>
        <w:rPr>
          <w:lang w:eastAsia="ja-JP"/>
        </w:rPr>
        <w:t xml:space="preserve"> </w:t>
      </w:r>
    </w:p>
    <w:p w14:paraId="40CA03C7" w14:textId="77777777" w:rsidR="00350498" w:rsidRPr="009571FD" w:rsidRDefault="00350498" w:rsidP="00350498">
      <w:pPr>
        <w:pStyle w:val="Heading4"/>
        <w:rPr>
          <w:lang w:eastAsia="ja-JP"/>
        </w:rPr>
      </w:pPr>
      <w:r>
        <w:rPr>
          <w:lang w:eastAsia="ja-JP"/>
        </w:rPr>
        <w:t>Pre-2019 p</w:t>
      </w:r>
      <w:r w:rsidRPr="009571FD">
        <w:rPr>
          <w:lang w:eastAsia="ja-JP"/>
        </w:rPr>
        <w:t xml:space="preserve">opulation </w:t>
      </w:r>
      <w:r>
        <w:rPr>
          <w:lang w:eastAsia="ja-JP"/>
        </w:rPr>
        <w:t>reductions</w:t>
      </w:r>
    </w:p>
    <w:p w14:paraId="20FFCB60" w14:textId="77777777" w:rsidR="00350498" w:rsidRDefault="00350498" w:rsidP="00350498">
      <w:pPr>
        <w:rPr>
          <w:lang w:eastAsia="ja-JP"/>
        </w:rPr>
      </w:pPr>
      <w:r w:rsidRPr="6A012BED">
        <w:rPr>
          <w:lang w:eastAsia="ja-JP"/>
        </w:rPr>
        <w:t xml:space="preserve">The non-parasitic lamprey has not been recorded in the Tuross or Moruya basins (the type locations) since 1994 (or 1995 if an unverified specimen is included). This is despite a considerable amount of sampling effort. There has been a total of 36 sites sampled on 70 occasions over 50 different days between 1994 and 2012, including targeted lamprey surveys by NSW Department of Primary Industries from 2003 (NSW DPI Fisheries 2021 </w:t>
      </w:r>
      <w:proofErr w:type="spellStart"/>
      <w:r w:rsidRPr="6A012BED">
        <w:rPr>
          <w:lang w:eastAsia="ja-JP"/>
        </w:rPr>
        <w:t>unpub</w:t>
      </w:r>
      <w:proofErr w:type="spellEnd"/>
      <w:r w:rsidRPr="6A012BED">
        <w:rPr>
          <w:lang w:eastAsia="ja-JP"/>
        </w:rPr>
        <w:t xml:space="preserve">). This has included re-visiting all of Ian Potter's (original species describer) sites with him to ensure the correct micro and meso habitats were being sampled (NSW DPI Fisheries 2021 </w:t>
      </w:r>
      <w:proofErr w:type="spellStart"/>
      <w:r w:rsidRPr="6A012BED">
        <w:rPr>
          <w:lang w:eastAsia="ja-JP"/>
        </w:rPr>
        <w:t>unpub</w:t>
      </w:r>
      <w:proofErr w:type="spellEnd"/>
      <w:r w:rsidRPr="6A012BED">
        <w:rPr>
          <w:lang w:eastAsia="ja-JP"/>
        </w:rPr>
        <w:t xml:space="preserve">; </w:t>
      </w:r>
      <w:r>
        <w:t>D. Gilligan 2021 pers comm 25 June, 15 July)</w:t>
      </w:r>
      <w:r w:rsidRPr="6A012BED">
        <w:rPr>
          <w:lang w:eastAsia="ja-JP"/>
        </w:rPr>
        <w:t xml:space="preserve">. The species likely went locally extinct at this location sometime between 1995 and 2003 (Gilligan 2019; D. Gilligan 2020 pers comm 16 Nov.; D. Gilligan 2021 pers comm 15 July). However, this local decline/extinction cannot feature in the current population decline assessment as it pre-dates the three generation window (18 years for non-parasitic lamprey) over which declines can be calculated for this criterion. </w:t>
      </w:r>
    </w:p>
    <w:p w14:paraId="1029F2CD" w14:textId="77777777" w:rsidR="00350498" w:rsidRDefault="00350498" w:rsidP="00350498">
      <w:pPr>
        <w:rPr>
          <w:lang w:eastAsia="ja-JP"/>
        </w:rPr>
      </w:pPr>
      <w:r w:rsidRPr="6A012BED">
        <w:rPr>
          <w:lang w:eastAsia="ja-JP"/>
        </w:rPr>
        <w:t xml:space="preserve">A population decline has also been previously reported for the </w:t>
      </w:r>
      <w:bookmarkEnd w:id="13"/>
      <w:r w:rsidRPr="6A012BED">
        <w:rPr>
          <w:lang w:eastAsia="ja-JP"/>
        </w:rPr>
        <w:t>non-parasitic lamprey in the East Gippsland Basin (</w:t>
      </w:r>
      <w:proofErr w:type="spellStart"/>
      <w:r w:rsidRPr="6A012BED">
        <w:rPr>
          <w:lang w:eastAsia="ja-JP"/>
        </w:rPr>
        <w:t>Wallagaraugh</w:t>
      </w:r>
      <w:proofErr w:type="spellEnd"/>
      <w:r w:rsidRPr="6A012BED">
        <w:rPr>
          <w:lang w:eastAsia="ja-JP"/>
        </w:rPr>
        <w:t xml:space="preserve"> River), with an estimated local 79 percent decline based on catch per unit effort (CPUE) between 2003-11 (Gilligan 2019b). However, this was based on very small numbers and a single river, and the trend was not statistically significant (Gilligan 2019b). Non-parasitic lamprey adults and </w:t>
      </w:r>
      <w:proofErr w:type="spellStart"/>
      <w:r w:rsidRPr="6A012BED">
        <w:rPr>
          <w:i/>
          <w:iCs/>
          <w:lang w:eastAsia="ja-JP"/>
        </w:rPr>
        <w:t>Mordacia</w:t>
      </w:r>
      <w:proofErr w:type="spellEnd"/>
      <w:r w:rsidRPr="6A012BED">
        <w:rPr>
          <w:lang w:eastAsia="ja-JP"/>
        </w:rPr>
        <w:t xml:space="preserve"> larvae have since been identified there (in 2021), confirming population persistence at the location over three generations (NSW DPI Fisheries 2021 </w:t>
      </w:r>
      <w:proofErr w:type="spellStart"/>
      <w:r w:rsidRPr="6A012BED">
        <w:rPr>
          <w:lang w:eastAsia="ja-JP"/>
        </w:rPr>
        <w:t>unpub</w:t>
      </w:r>
      <w:proofErr w:type="spellEnd"/>
      <w:r w:rsidRPr="6A012BED">
        <w:rPr>
          <w:lang w:eastAsia="ja-JP"/>
        </w:rPr>
        <w:t>)</w:t>
      </w:r>
      <w:r>
        <w:rPr>
          <w:lang w:eastAsia="ja-JP"/>
        </w:rPr>
        <w:t>, albeit at low numbers.</w:t>
      </w:r>
    </w:p>
    <w:p w14:paraId="34545C8B" w14:textId="77777777" w:rsidR="00350498" w:rsidRPr="00F66C13" w:rsidRDefault="00350498" w:rsidP="00350498">
      <w:pPr>
        <w:pStyle w:val="Heading4"/>
        <w:rPr>
          <w:lang w:eastAsia="ja-JP"/>
        </w:rPr>
      </w:pPr>
      <w:r w:rsidRPr="00F66C13">
        <w:rPr>
          <w:lang w:eastAsia="ja-JP"/>
        </w:rPr>
        <w:t xml:space="preserve">Impacts </w:t>
      </w:r>
      <w:r>
        <w:rPr>
          <w:lang w:eastAsia="ja-JP"/>
        </w:rPr>
        <w:t xml:space="preserve">of the </w:t>
      </w:r>
      <w:r w:rsidRPr="00F66C13">
        <w:rPr>
          <w:lang w:eastAsia="ja-JP"/>
        </w:rPr>
        <w:t>2019–20 bushfires</w:t>
      </w:r>
    </w:p>
    <w:p w14:paraId="236F1192" w14:textId="77777777" w:rsidR="00350498" w:rsidRDefault="00350498" w:rsidP="00350498">
      <w:r>
        <w:t xml:space="preserve">Further to the </w:t>
      </w:r>
      <w:r w:rsidRPr="00DD77CD">
        <w:t>declines detailed above</w:t>
      </w:r>
      <w:r>
        <w:t>,</w:t>
      </w:r>
      <w:r w:rsidRPr="00DD77CD">
        <w:t xml:space="preserve"> </w:t>
      </w:r>
      <w:r>
        <w:t>the</w:t>
      </w:r>
      <w:r w:rsidRPr="00DD77CD">
        <w:t xml:space="preserve"> population </w:t>
      </w:r>
      <w:r>
        <w:t xml:space="preserve">of the non-parasitic lamprey may have been reduced following </w:t>
      </w:r>
      <w:r w:rsidRPr="00DD77CD">
        <w:t xml:space="preserve">the </w:t>
      </w:r>
      <w:r>
        <w:t>bush</w:t>
      </w:r>
      <w:r w:rsidRPr="00DD77CD">
        <w:t xml:space="preserve">fires of 2019-20, which followed a severe drought (Nolan et al. 2020). The </w:t>
      </w:r>
      <w:r>
        <w:t>bush</w:t>
      </w:r>
      <w:r w:rsidRPr="00DD77CD">
        <w:t>fires burned more than 10 million hectares from South Australia to Queensland (Alexandra &amp; Finlayson 2020). This was the largest fire season since European settlement, bu</w:t>
      </w:r>
      <w:r>
        <w:t xml:space="preserve">rning across varied landscapes </w:t>
      </w:r>
      <w:r w:rsidRPr="00DD77CD">
        <w:t>(Nolan et al. 2020; Ward et al. 2020).</w:t>
      </w:r>
      <w:r>
        <w:t xml:space="preserve"> </w:t>
      </w:r>
      <w:r w:rsidRPr="00DD77CD">
        <w:t xml:space="preserve">These </w:t>
      </w:r>
      <w:r>
        <w:t>bush</w:t>
      </w:r>
      <w:r w:rsidRPr="00DD77CD">
        <w:t xml:space="preserve">fires burned more than 43 different river basins, causing the deaths of at least 27 species of fish (Silva et al. 2020).  Any population decline </w:t>
      </w:r>
      <w:r>
        <w:t xml:space="preserve">in non-parasitic lamprey </w:t>
      </w:r>
      <w:r w:rsidRPr="00DD77CD">
        <w:t>could be direct, through mortality due to fire</w:t>
      </w:r>
      <w:r>
        <w:t xml:space="preserve"> and heated water</w:t>
      </w:r>
      <w:r w:rsidRPr="00DD77CD">
        <w:t xml:space="preserve">, as well as indirect and ongoing, via habitat destruction and degradation, in particular </w:t>
      </w:r>
      <w:r>
        <w:t>due to sediment slugs and poor water quality</w:t>
      </w:r>
      <w:r w:rsidRPr="00DD77CD">
        <w:t xml:space="preserve"> (Wilkinson et al. 2007; </w:t>
      </w:r>
      <w:r w:rsidRPr="00521832">
        <w:t>Johnston 2021</w:t>
      </w:r>
      <w:r>
        <w:t>; Mulvey 2021</w:t>
      </w:r>
      <w:r w:rsidRPr="00DD77CD">
        <w:t>)</w:t>
      </w:r>
      <w:r>
        <w:t xml:space="preserve">. </w:t>
      </w:r>
    </w:p>
    <w:p w14:paraId="7701D60B" w14:textId="77777777" w:rsidR="00350498" w:rsidRDefault="00350498" w:rsidP="00350498">
      <w:r w:rsidRPr="00DD77CD">
        <w:t xml:space="preserve">The response </w:t>
      </w:r>
      <w:r>
        <w:t>of the</w:t>
      </w:r>
      <w:r w:rsidRPr="00DD77CD">
        <w:t xml:space="preserve"> </w:t>
      </w:r>
      <w:r>
        <w:t>non-parasitic lamprey</w:t>
      </w:r>
      <w:r w:rsidRPr="00DD77CD">
        <w:t xml:space="preserve"> to bushfire is not known</w:t>
      </w:r>
      <w:r>
        <w:t xml:space="preserve"> (A. Miller 2021. pers comm 5 May). However, impacts on aquatic systems can be long-lasting (Lyon et al. 2008</w:t>
      </w:r>
      <w:r w:rsidRPr="00DD77CD">
        <w:t xml:space="preserve">; </w:t>
      </w:r>
      <w:r>
        <w:t>Rust et al. 2019),</w:t>
      </w:r>
      <w:r w:rsidRPr="00DD77CD">
        <w:t xml:space="preserve"> </w:t>
      </w:r>
      <w:r>
        <w:t xml:space="preserve">and </w:t>
      </w:r>
      <w:r w:rsidRPr="00DD77CD">
        <w:t xml:space="preserve">many NSW river basins </w:t>
      </w:r>
      <w:r>
        <w:t xml:space="preserve">continued to </w:t>
      </w:r>
      <w:r w:rsidRPr="00DD77CD">
        <w:t>experienc</w:t>
      </w:r>
      <w:r>
        <w:t>e</w:t>
      </w:r>
      <w:r w:rsidRPr="00DD77CD">
        <w:t xml:space="preserve"> increased erosion </w:t>
      </w:r>
      <w:r>
        <w:t>and high sediment loads</w:t>
      </w:r>
      <w:r w:rsidRPr="00DD77CD">
        <w:t xml:space="preserve"> one year after the fires (</w:t>
      </w:r>
      <w:r>
        <w:t xml:space="preserve">Biswas 2021; </w:t>
      </w:r>
      <w:r w:rsidRPr="00DD77CD">
        <w:t>Alluvium Consulting Australia 2021 cited by Biswas 2021).</w:t>
      </w:r>
      <w:r>
        <w:t xml:space="preserve"> After the 2001 bushfires in the Sydney Catchment, </w:t>
      </w:r>
      <w:r w:rsidRPr="00DD77CD">
        <w:t xml:space="preserve">Wilkinson et al. </w:t>
      </w:r>
      <w:r>
        <w:t>(</w:t>
      </w:r>
      <w:r w:rsidRPr="00DD77CD">
        <w:t>2007</w:t>
      </w:r>
      <w:r>
        <w:t>) found that pre</w:t>
      </w:r>
      <w:r>
        <w:noBreakHyphen/>
        <w:t xml:space="preserve">fire sediment conditions returned after four </w:t>
      </w:r>
      <w:r w:rsidRPr="008A461B">
        <w:t xml:space="preserve">years, which is close to the length of time that the </w:t>
      </w:r>
      <w:r>
        <w:t>non-parasitic lamprey</w:t>
      </w:r>
      <w:r w:rsidRPr="008A461B">
        <w:t xml:space="preserve"> spends as larvae. A large local impact due to bushfire, or even a relatively small one on an already reduced</w:t>
      </w:r>
      <w:r>
        <w:t>,</w:t>
      </w:r>
      <w:r w:rsidRPr="008A461B">
        <w:t xml:space="preserve"> </w:t>
      </w:r>
      <w:r>
        <w:t>threatened</w:t>
      </w:r>
      <w:r w:rsidRPr="008A461B">
        <w:t xml:space="preserve"> subpopulation, could lead t</w:t>
      </w:r>
      <w:r w:rsidRPr="00E4645A">
        <w:t xml:space="preserve">o </w:t>
      </w:r>
      <w:r w:rsidRPr="00F7119E">
        <w:t>local extirpations.</w:t>
      </w:r>
      <w:r w:rsidRPr="00D23E49">
        <w:t xml:space="preserve"> There are currently only on</w:t>
      </w:r>
      <w:r>
        <w:t>-</w:t>
      </w:r>
      <w:r w:rsidRPr="00D23E49">
        <w:t xml:space="preserve">ground data on the impacts of the 2019-20 </w:t>
      </w:r>
      <w:r>
        <w:t>bush</w:t>
      </w:r>
      <w:r w:rsidRPr="00D23E49">
        <w:t>fires on this species at a single location (East Gippsland)</w:t>
      </w:r>
      <w:r>
        <w:t>,</w:t>
      </w:r>
      <w:r w:rsidRPr="00D23E49">
        <w:t xml:space="preserve"> which was sampled post-fire in 2021 (catching 4 adults, 16 larvae</w:t>
      </w:r>
      <w:r>
        <w:t xml:space="preserve">; </w:t>
      </w:r>
      <w:r w:rsidRPr="00D23E49">
        <w:rPr>
          <w:lang w:eastAsia="ja-JP"/>
        </w:rPr>
        <w:t xml:space="preserve">NSW DPI Fisheries 2021 </w:t>
      </w:r>
      <w:proofErr w:type="spellStart"/>
      <w:r w:rsidRPr="00D23E49">
        <w:rPr>
          <w:lang w:eastAsia="ja-JP"/>
        </w:rPr>
        <w:t>unpub</w:t>
      </w:r>
      <w:proofErr w:type="spellEnd"/>
      <w:r w:rsidRPr="00D23E49">
        <w:t>).</w:t>
      </w:r>
    </w:p>
    <w:p w14:paraId="1C7D5331" w14:textId="77777777" w:rsidR="00350498" w:rsidRPr="003F2DC4" w:rsidRDefault="00350498" w:rsidP="00350498">
      <w:r w:rsidRPr="003F2DC4">
        <w:lastRenderedPageBreak/>
        <w:t>Broad fire impact analyses were carried out by a team from the National Environmental Science Program (NESP) Threatened Species Recovery (TSR) Hub (</w:t>
      </w:r>
      <w:proofErr w:type="spellStart"/>
      <w:r w:rsidRPr="003F2DC4">
        <w:t>Legge</w:t>
      </w:r>
      <w:proofErr w:type="spellEnd"/>
      <w:r w:rsidRPr="003F2DC4">
        <w:t xml:space="preserve"> et al. 2021), using remote sensing data across the whole distribution of the species. </w:t>
      </w:r>
      <w:r w:rsidRPr="003F2DC4">
        <w:rPr>
          <w:lang w:eastAsia="ja-JP"/>
        </w:rPr>
        <w:t xml:space="preserve">The spatial analyses included a five </w:t>
      </w:r>
      <w:r w:rsidRPr="003F2DC4">
        <w:rPr>
          <w:lang w:eastAsia="ja-JP"/>
        </w:rPr>
        <w:noBreakHyphen/>
        <w:t>kilometre buffer placed around the point locations and clipped to the watercourse layer and included a spatial model that predicted risk of instream sedimentation events.</w:t>
      </w:r>
      <w:r w:rsidRPr="003F2DC4">
        <w:t xml:space="preserve"> It showed that roughly 50 percent of the range of the non-parasitic lamprey was affected by the 2019-20 bushfires (43 percent overlapped with areas of high aquatic impacts, and a further 7 percent overlapped with areas of mild aquatic impacts). These estimates included the Tuross/Moruya basins, where the species is considered extinct, and the Noosa Basin, which hosts a different species. However, the results likely would not be very different if these areas were not included, as the highly fire impacted Tuross/Moruya is effectively cancelled out by the lowly impacted Noosa Basin.</w:t>
      </w:r>
    </w:p>
    <w:p w14:paraId="0EED478F" w14:textId="77777777" w:rsidR="00350498" w:rsidRPr="00500A85" w:rsidRDefault="00350498" w:rsidP="00350498">
      <w:pPr>
        <w:pStyle w:val="Heading4"/>
        <w:rPr>
          <w:lang w:eastAsia="ja-JP"/>
        </w:rPr>
      </w:pPr>
      <w:r w:rsidRPr="00500A85">
        <w:rPr>
          <w:lang w:eastAsia="ja-JP"/>
        </w:rPr>
        <w:t xml:space="preserve">Population </w:t>
      </w:r>
      <w:r>
        <w:rPr>
          <w:lang w:eastAsia="ja-JP"/>
        </w:rPr>
        <w:t>size reduction</w:t>
      </w:r>
      <w:r w:rsidRPr="00500A85">
        <w:rPr>
          <w:lang w:eastAsia="ja-JP"/>
        </w:rPr>
        <w:t xml:space="preserve"> assessment</w:t>
      </w:r>
    </w:p>
    <w:p w14:paraId="3FDEFABD" w14:textId="77777777" w:rsidR="00350498" w:rsidRPr="00D23E49" w:rsidRDefault="00350498" w:rsidP="00350498">
      <w:pPr>
        <w:rPr>
          <w:lang w:eastAsia="ja-JP"/>
        </w:rPr>
      </w:pPr>
      <w:r>
        <w:rPr>
          <w:lang w:eastAsia="ja-JP"/>
        </w:rPr>
        <w:t xml:space="preserve">Any historical and ongoing declines within the population could have been exacerbated by the 2019-20 bushfires, however both the species and fire impacts are patchily distributed. Any decline estimate must be across the entire population, which is composed of isolated locations from central Qld to southern NSW (Table 1, Figure 1). These locations have very different threat profiles and potentially different population size trajectories. For example, at least one of the Qld locations seems to have a stable population and have relatively high population numbers (Gilligan 2019b; </w:t>
      </w:r>
      <w:r w:rsidRPr="00521832">
        <w:t>D. Moffatt 2020 pers comm 17 Nov</w:t>
      </w:r>
      <w:r>
        <w:rPr>
          <w:lang w:eastAsia="ja-JP"/>
        </w:rPr>
        <w:t>). Therefore, river basin-based information is required to provide local context to derive a population-wide estimate. Much of these data are inferred or anecdotal, with many unknowns. Table 5 is a compilation of relevant location</w:t>
      </w:r>
      <w:r>
        <w:rPr>
          <w:lang w:eastAsia="ja-JP"/>
        </w:rPr>
        <w:noBreakHyphen/>
        <w:t xml:space="preserve">specific information (“locally abundant” is particular for this species, meaning that it is more common here compared to some other locations in which it is </w:t>
      </w:r>
      <w:r w:rsidRPr="00D23E49">
        <w:rPr>
          <w:lang w:eastAsia="ja-JP"/>
        </w:rPr>
        <w:t>found).</w:t>
      </w:r>
    </w:p>
    <w:p w14:paraId="6845EA91" w14:textId="77777777" w:rsidR="00350498" w:rsidRDefault="00350498" w:rsidP="00350498">
      <w:r w:rsidRPr="00D23E49">
        <w:rPr>
          <w:lang w:eastAsia="ja-JP"/>
        </w:rPr>
        <w:t>No clear, coherent population-wide picture emerges when all locations are considered in detail (Table 5).</w:t>
      </w:r>
      <w:r>
        <w:rPr>
          <w:lang w:eastAsia="ja-JP"/>
        </w:rPr>
        <w:t xml:space="preserve"> </w:t>
      </w:r>
      <w:r w:rsidRPr="00D23E49">
        <w:rPr>
          <w:lang w:eastAsia="ja-JP"/>
        </w:rPr>
        <w:t xml:space="preserve">There has been a local population estimate at only one extant location (East Gippsland), which showed no significant change over three generations (NSW DPI Fisheries 2021 </w:t>
      </w:r>
      <w:proofErr w:type="spellStart"/>
      <w:r w:rsidRPr="00D23E49">
        <w:rPr>
          <w:lang w:eastAsia="ja-JP"/>
        </w:rPr>
        <w:t>unpub</w:t>
      </w:r>
      <w:proofErr w:type="spellEnd"/>
      <w:r w:rsidRPr="00D23E49">
        <w:rPr>
          <w:lang w:eastAsia="ja-JP"/>
        </w:rPr>
        <w:t>)</w:t>
      </w:r>
      <w:r>
        <w:rPr>
          <w:lang w:eastAsia="ja-JP"/>
        </w:rPr>
        <w:t xml:space="preserve">, but with low numbers of specimens caught. </w:t>
      </w:r>
      <w:r w:rsidRPr="00D23E49">
        <w:rPr>
          <w:lang w:eastAsia="ja-JP"/>
        </w:rPr>
        <w:t xml:space="preserve">The population status at the other locations over three generations is either entirely unknown (Richmond, Macleay), or imperfectly known (Water Park, Maroochy). In terms of the impacts of the 2019-20 bushfires, these </w:t>
      </w:r>
      <w:r>
        <w:rPr>
          <w:lang w:eastAsia="ja-JP"/>
        </w:rPr>
        <w:t xml:space="preserve">were </w:t>
      </w:r>
      <w:r w:rsidRPr="00D23E49">
        <w:rPr>
          <w:lang w:eastAsia="ja-JP"/>
        </w:rPr>
        <w:t xml:space="preserve">likely minimal at the three northern locations (Table 5). There were severe fires at Macleay, where the populations status is entirely unknown, and East Gippsland, </w:t>
      </w:r>
      <w:r>
        <w:rPr>
          <w:lang w:eastAsia="ja-JP"/>
        </w:rPr>
        <w:t xml:space="preserve">where a 2021 survey successfully collected adults and larvae and reported good </w:t>
      </w:r>
      <w:r>
        <w:t>habitat and water quality (</w:t>
      </w:r>
      <w:r w:rsidRPr="00D23E49">
        <w:rPr>
          <w:lang w:eastAsia="ja-JP"/>
        </w:rPr>
        <w:t xml:space="preserve">NSW DPI Fisheries 2021 </w:t>
      </w:r>
      <w:proofErr w:type="spellStart"/>
      <w:r w:rsidRPr="00D23E49">
        <w:rPr>
          <w:lang w:eastAsia="ja-JP"/>
        </w:rPr>
        <w:t>unpub</w:t>
      </w:r>
      <w:proofErr w:type="spellEnd"/>
      <w:r w:rsidRPr="00D23E49">
        <w:rPr>
          <w:lang w:eastAsia="ja-JP"/>
        </w:rPr>
        <w:t>)</w:t>
      </w:r>
      <w:r>
        <w:rPr>
          <w:lang w:eastAsia="ja-JP"/>
        </w:rPr>
        <w:t>.</w:t>
      </w:r>
    </w:p>
    <w:p w14:paraId="5D44A892" w14:textId="77777777" w:rsidR="00350498" w:rsidRPr="003F2DC4" w:rsidRDefault="00350498" w:rsidP="00350498">
      <w:pPr>
        <w:rPr>
          <w:b/>
          <w:bCs/>
        </w:rPr>
      </w:pPr>
      <w:r w:rsidRPr="003F2DC4">
        <w:rPr>
          <w:bCs/>
        </w:rPr>
        <w:t xml:space="preserve">The Committee considers there are </w:t>
      </w:r>
      <w:r w:rsidRPr="003F2DC4">
        <w:rPr>
          <w:b/>
        </w:rPr>
        <w:t>insufficient data</w:t>
      </w:r>
      <w:r w:rsidRPr="003F2DC4">
        <w:rPr>
          <w:bCs/>
        </w:rPr>
        <w:t xml:space="preserve"> to determine if </w:t>
      </w:r>
      <w:r w:rsidRPr="003F2DC4">
        <w:rPr>
          <w:lang w:eastAsia="ja-JP"/>
        </w:rPr>
        <w:t xml:space="preserve">the species </w:t>
      </w:r>
      <w:r w:rsidRPr="003F2DC4">
        <w:rPr>
          <w:rFonts w:cs="Arial"/>
        </w:rPr>
        <w:t>is eligible for listing under this criterion</w:t>
      </w:r>
      <w:r w:rsidRPr="003F2DC4">
        <w:rPr>
          <w:lang w:eastAsia="ja-JP"/>
        </w:rPr>
        <w:t xml:space="preserve">. </w:t>
      </w:r>
      <w:r w:rsidRPr="003F2DC4">
        <w:rPr>
          <w:rFonts w:cs="Arial"/>
        </w:rPr>
        <w:t xml:space="preserve">However, the purpose of this consultation document is to elicit additional information to better understand the species’ status. This conclusion should therefore be considered to be tentative at this stage, as it may be changed as a result of responses to this consultation process. </w:t>
      </w:r>
      <w:r w:rsidRPr="003F2DC4">
        <w:rPr>
          <w:b/>
          <w:bCs/>
        </w:rPr>
        <w:br w:type="page"/>
      </w:r>
    </w:p>
    <w:p w14:paraId="2E03D875" w14:textId="77777777" w:rsidR="00350498" w:rsidRPr="00521832" w:rsidRDefault="00350498" w:rsidP="00350498">
      <w:pPr>
        <w:jc w:val="center"/>
      </w:pPr>
      <w:r w:rsidRPr="00521832">
        <w:rPr>
          <w:b/>
          <w:bCs/>
        </w:rPr>
        <w:lastRenderedPageBreak/>
        <w:t xml:space="preserve">Table </w:t>
      </w:r>
      <w:r>
        <w:rPr>
          <w:b/>
          <w:bCs/>
        </w:rPr>
        <w:t>5</w:t>
      </w:r>
      <w:r w:rsidRPr="00521832">
        <w:t xml:space="preserve">: </w:t>
      </w:r>
      <w:r>
        <w:t>Non-parasitic lamprey</w:t>
      </w:r>
      <w:r w:rsidRPr="00521832">
        <w:t xml:space="preserve"> </w:t>
      </w:r>
      <w:r>
        <w:t>local population status at the river basin scale.</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007"/>
        <w:gridCol w:w="4238"/>
        <w:gridCol w:w="2694"/>
      </w:tblGrid>
      <w:tr w:rsidR="00350498" w:rsidRPr="00521832" w14:paraId="3AC50CB4" w14:textId="77777777" w:rsidTr="007F30CA">
        <w:trPr>
          <w:trHeight w:val="345"/>
          <w:jc w:val="center"/>
        </w:trPr>
        <w:tc>
          <w:tcPr>
            <w:tcW w:w="1129" w:type="dxa"/>
            <w:shd w:val="clear" w:color="auto" w:fill="D9D9D9" w:themeFill="background1" w:themeFillShade="D9"/>
            <w:noWrap/>
            <w:vAlign w:val="bottom"/>
            <w:hideMark/>
          </w:tcPr>
          <w:p w14:paraId="6493DE2A" w14:textId="77777777" w:rsidR="00350498" w:rsidRPr="00521832" w:rsidRDefault="00350498" w:rsidP="007F30CA">
            <w:pPr>
              <w:pStyle w:val="TableText"/>
              <w:jc w:val="center"/>
              <w:rPr>
                <w:b/>
                <w:bCs/>
                <w:lang w:eastAsia="en-AU"/>
              </w:rPr>
            </w:pPr>
            <w:r>
              <w:rPr>
                <w:b/>
                <w:bCs/>
                <w:lang w:eastAsia="en-AU"/>
              </w:rPr>
              <w:t>Location</w:t>
            </w:r>
          </w:p>
        </w:tc>
        <w:tc>
          <w:tcPr>
            <w:tcW w:w="1134" w:type="dxa"/>
            <w:shd w:val="clear" w:color="auto" w:fill="D9D9D9" w:themeFill="background1" w:themeFillShade="D9"/>
            <w:vAlign w:val="bottom"/>
          </w:tcPr>
          <w:p w14:paraId="17BECD0C" w14:textId="77777777" w:rsidR="00350498" w:rsidRPr="005A0959" w:rsidRDefault="00350498" w:rsidP="007F30CA">
            <w:pPr>
              <w:pStyle w:val="TableText"/>
              <w:jc w:val="center"/>
              <w:rPr>
                <w:b/>
                <w:bCs/>
                <w:szCs w:val="18"/>
                <w:lang w:eastAsia="en-AU"/>
              </w:rPr>
            </w:pPr>
            <w:r>
              <w:rPr>
                <w:b/>
                <w:bCs/>
                <w:szCs w:val="18"/>
                <w:lang w:eastAsia="en-AU"/>
              </w:rPr>
              <w:t>Local abundance</w:t>
            </w:r>
          </w:p>
        </w:tc>
        <w:tc>
          <w:tcPr>
            <w:tcW w:w="1007" w:type="dxa"/>
            <w:shd w:val="clear" w:color="auto" w:fill="D9D9D9" w:themeFill="background1" w:themeFillShade="D9"/>
            <w:vAlign w:val="bottom"/>
          </w:tcPr>
          <w:p w14:paraId="0DCD0C65" w14:textId="77777777" w:rsidR="00350498" w:rsidRDefault="00350498" w:rsidP="007F30CA">
            <w:pPr>
              <w:pStyle w:val="TableText"/>
              <w:jc w:val="center"/>
              <w:rPr>
                <w:b/>
                <w:bCs/>
                <w:lang w:eastAsia="en-AU"/>
              </w:rPr>
            </w:pPr>
            <w:r>
              <w:rPr>
                <w:b/>
                <w:bCs/>
                <w:lang w:eastAsia="en-AU"/>
              </w:rPr>
              <w:t>Trend</w:t>
            </w:r>
          </w:p>
        </w:tc>
        <w:tc>
          <w:tcPr>
            <w:tcW w:w="4238" w:type="dxa"/>
            <w:shd w:val="clear" w:color="auto" w:fill="D9D9D9" w:themeFill="background1" w:themeFillShade="D9"/>
            <w:vAlign w:val="bottom"/>
          </w:tcPr>
          <w:p w14:paraId="0E6139AA" w14:textId="77777777" w:rsidR="00350498" w:rsidRDefault="00350498" w:rsidP="007F30CA">
            <w:pPr>
              <w:pStyle w:val="TableText"/>
              <w:jc w:val="center"/>
              <w:rPr>
                <w:b/>
                <w:bCs/>
                <w:lang w:eastAsia="en-AU"/>
              </w:rPr>
            </w:pPr>
            <w:r>
              <w:rPr>
                <w:b/>
                <w:bCs/>
                <w:lang w:eastAsia="en-AU"/>
              </w:rPr>
              <w:t>Potential Impacts of 2019-20 bushfires</w:t>
            </w:r>
          </w:p>
        </w:tc>
        <w:tc>
          <w:tcPr>
            <w:tcW w:w="2694" w:type="dxa"/>
            <w:shd w:val="clear" w:color="auto" w:fill="D9D9D9" w:themeFill="background1" w:themeFillShade="D9"/>
            <w:noWrap/>
            <w:vAlign w:val="bottom"/>
            <w:hideMark/>
          </w:tcPr>
          <w:p w14:paraId="42EDE05C" w14:textId="77777777" w:rsidR="00350498" w:rsidRPr="00521832" w:rsidRDefault="00350498" w:rsidP="007F30CA">
            <w:pPr>
              <w:pStyle w:val="TableText"/>
              <w:jc w:val="center"/>
              <w:rPr>
                <w:b/>
                <w:bCs/>
                <w:lang w:eastAsia="en-AU"/>
              </w:rPr>
            </w:pPr>
            <w:r>
              <w:rPr>
                <w:b/>
                <w:bCs/>
                <w:lang w:eastAsia="en-AU"/>
              </w:rPr>
              <w:t>Other information</w:t>
            </w:r>
          </w:p>
        </w:tc>
      </w:tr>
      <w:tr w:rsidR="00350498" w:rsidRPr="00521832" w14:paraId="0249312F" w14:textId="77777777" w:rsidTr="007F30CA">
        <w:trPr>
          <w:trHeight w:val="345"/>
          <w:jc w:val="center"/>
        </w:trPr>
        <w:tc>
          <w:tcPr>
            <w:tcW w:w="1129" w:type="dxa"/>
            <w:shd w:val="clear" w:color="auto" w:fill="auto"/>
            <w:noWrap/>
            <w:hideMark/>
          </w:tcPr>
          <w:p w14:paraId="348522B8" w14:textId="77777777" w:rsidR="00350498" w:rsidRPr="00521832" w:rsidRDefault="00350498" w:rsidP="007F30CA">
            <w:pPr>
              <w:pStyle w:val="TableText"/>
              <w:rPr>
                <w:lang w:eastAsia="en-AU"/>
              </w:rPr>
            </w:pPr>
            <w:r w:rsidRPr="00521832">
              <w:rPr>
                <w:lang w:eastAsia="en-AU"/>
              </w:rPr>
              <w:t xml:space="preserve">Water Park </w:t>
            </w:r>
          </w:p>
        </w:tc>
        <w:tc>
          <w:tcPr>
            <w:tcW w:w="1134" w:type="dxa"/>
          </w:tcPr>
          <w:p w14:paraId="7291B1B3" w14:textId="77777777" w:rsidR="00350498" w:rsidRPr="00521832" w:rsidRDefault="00350498" w:rsidP="007F30CA">
            <w:pPr>
              <w:pStyle w:val="TableText"/>
              <w:jc w:val="center"/>
              <w:rPr>
                <w:lang w:eastAsia="en-AU"/>
              </w:rPr>
            </w:pPr>
            <w:r>
              <w:rPr>
                <w:lang w:eastAsia="en-AU"/>
              </w:rPr>
              <w:t>high</w:t>
            </w:r>
          </w:p>
        </w:tc>
        <w:tc>
          <w:tcPr>
            <w:tcW w:w="1007" w:type="dxa"/>
          </w:tcPr>
          <w:p w14:paraId="5A5B1D75" w14:textId="77777777" w:rsidR="00350498" w:rsidRDefault="00350498" w:rsidP="007F30CA">
            <w:pPr>
              <w:pStyle w:val="TableText"/>
              <w:jc w:val="center"/>
              <w:rPr>
                <w:lang w:eastAsia="en-AU"/>
              </w:rPr>
            </w:pPr>
            <w:r>
              <w:rPr>
                <w:lang w:eastAsia="en-AU"/>
              </w:rPr>
              <w:t>stable</w:t>
            </w:r>
          </w:p>
        </w:tc>
        <w:tc>
          <w:tcPr>
            <w:tcW w:w="4238" w:type="dxa"/>
          </w:tcPr>
          <w:p w14:paraId="7485EE0A" w14:textId="77777777" w:rsidR="00350498" w:rsidRPr="00283EF2" w:rsidRDefault="00350498" w:rsidP="007F30CA">
            <w:pPr>
              <w:pStyle w:val="TableText"/>
              <w:rPr>
                <w:lang w:eastAsia="en-AU"/>
              </w:rPr>
            </w:pPr>
            <w:r w:rsidRPr="00245ED8">
              <w:rPr>
                <w:b/>
                <w:lang w:eastAsia="en-AU"/>
              </w:rPr>
              <w:t>None – Low:</w:t>
            </w:r>
            <w:r>
              <w:rPr>
                <w:lang w:eastAsia="en-AU"/>
              </w:rPr>
              <w:t xml:space="preserve"> </w:t>
            </w:r>
            <w:r w:rsidRPr="00283EF2">
              <w:rPr>
                <w:lang w:eastAsia="en-AU"/>
              </w:rPr>
              <w:t>Sites not directly impacted but close (2 km). Water Park Basin 14 % burnt area (DAWE 2020), Manifold IBRA Subregion 1 % burnt area (GAIA 2021).</w:t>
            </w:r>
          </w:p>
        </w:tc>
        <w:tc>
          <w:tcPr>
            <w:tcW w:w="2694" w:type="dxa"/>
            <w:shd w:val="clear" w:color="auto" w:fill="auto"/>
            <w:noWrap/>
          </w:tcPr>
          <w:p w14:paraId="5109DBFC" w14:textId="77777777" w:rsidR="00350498" w:rsidRPr="00283EF2" w:rsidRDefault="00350498" w:rsidP="007F30CA">
            <w:pPr>
              <w:pStyle w:val="TableText"/>
              <w:rPr>
                <w:i/>
                <w:iCs/>
                <w:lang w:eastAsia="en-AU"/>
              </w:rPr>
            </w:pPr>
            <w:r w:rsidRPr="6A012BED">
              <w:rPr>
                <w:lang w:eastAsia="en-AU"/>
              </w:rPr>
              <w:t>Sampled at 4 sites over 10 years (2001, 2002, 2011) over 18 km</w:t>
            </w:r>
            <w:r w:rsidRPr="6A012BED">
              <w:rPr>
                <w:vertAlign w:val="superscript"/>
                <w:lang w:eastAsia="ja-JP"/>
              </w:rPr>
              <w:t xml:space="preserve">2 </w:t>
            </w:r>
            <w:r w:rsidRPr="6A012BED">
              <w:rPr>
                <w:lang w:eastAsia="en-AU"/>
              </w:rPr>
              <w:t xml:space="preserve">area (Moore &amp; Marsden 2011; ALA 2020). Sites are in Byfield National Park. </w:t>
            </w:r>
          </w:p>
        </w:tc>
      </w:tr>
      <w:tr w:rsidR="00350498" w:rsidRPr="00521832" w14:paraId="062C060D" w14:textId="77777777" w:rsidTr="007F30CA">
        <w:trPr>
          <w:trHeight w:val="345"/>
          <w:jc w:val="center"/>
        </w:trPr>
        <w:tc>
          <w:tcPr>
            <w:tcW w:w="1129" w:type="dxa"/>
            <w:shd w:val="clear" w:color="auto" w:fill="auto"/>
            <w:noWrap/>
            <w:hideMark/>
          </w:tcPr>
          <w:p w14:paraId="4CF09B5C" w14:textId="77777777" w:rsidR="00350498" w:rsidRPr="00521832" w:rsidRDefault="00350498" w:rsidP="007F30CA">
            <w:pPr>
              <w:pStyle w:val="TableText"/>
              <w:rPr>
                <w:lang w:eastAsia="en-AU"/>
              </w:rPr>
            </w:pPr>
            <w:r w:rsidRPr="00521832">
              <w:rPr>
                <w:lang w:eastAsia="en-AU"/>
              </w:rPr>
              <w:t xml:space="preserve">Maroochy </w:t>
            </w:r>
          </w:p>
        </w:tc>
        <w:tc>
          <w:tcPr>
            <w:tcW w:w="1134" w:type="dxa"/>
          </w:tcPr>
          <w:p w14:paraId="4584F69C" w14:textId="77777777" w:rsidR="00350498" w:rsidRPr="00521832" w:rsidRDefault="00350498" w:rsidP="007F30CA">
            <w:pPr>
              <w:pStyle w:val="TableText"/>
              <w:jc w:val="center"/>
              <w:rPr>
                <w:lang w:eastAsia="en-AU"/>
              </w:rPr>
            </w:pPr>
            <w:r>
              <w:rPr>
                <w:lang w:eastAsia="en-AU"/>
              </w:rPr>
              <w:t>low</w:t>
            </w:r>
          </w:p>
        </w:tc>
        <w:tc>
          <w:tcPr>
            <w:tcW w:w="1007" w:type="dxa"/>
          </w:tcPr>
          <w:p w14:paraId="18F59584" w14:textId="77777777" w:rsidR="00350498" w:rsidRDefault="00350498" w:rsidP="007F30CA">
            <w:pPr>
              <w:pStyle w:val="TableText"/>
              <w:jc w:val="center"/>
              <w:rPr>
                <w:lang w:eastAsia="en-AU"/>
              </w:rPr>
            </w:pPr>
            <w:r>
              <w:rPr>
                <w:lang w:eastAsia="en-AU"/>
              </w:rPr>
              <w:t>stable / declining</w:t>
            </w:r>
          </w:p>
        </w:tc>
        <w:tc>
          <w:tcPr>
            <w:tcW w:w="4238" w:type="dxa"/>
          </w:tcPr>
          <w:p w14:paraId="2075B070" w14:textId="77777777" w:rsidR="00350498" w:rsidRPr="00283EF2" w:rsidRDefault="00350498" w:rsidP="007F30CA">
            <w:pPr>
              <w:pStyle w:val="TableText"/>
              <w:rPr>
                <w:lang w:eastAsia="ja-JP"/>
              </w:rPr>
            </w:pPr>
            <w:r w:rsidRPr="00245ED8">
              <w:rPr>
                <w:b/>
                <w:lang w:eastAsia="en-AU"/>
              </w:rPr>
              <w:t>None</w:t>
            </w:r>
            <w:r>
              <w:rPr>
                <w:b/>
                <w:lang w:eastAsia="en-AU"/>
              </w:rPr>
              <w:t>:</w:t>
            </w:r>
            <w:r w:rsidRPr="00245ED8">
              <w:rPr>
                <w:b/>
                <w:lang w:eastAsia="en-AU"/>
              </w:rPr>
              <w:t xml:space="preserve"> </w:t>
            </w:r>
            <w:r w:rsidRPr="00283EF2">
              <w:rPr>
                <w:lang w:eastAsia="en-AU"/>
              </w:rPr>
              <w:t>No close fires. Maroochy Basin 1 % burnt (DAWE 2020), Sunshine Coast-Gold Coast Lowlands Subregion 2 % burnt (GAIA 2021).</w:t>
            </w:r>
          </w:p>
        </w:tc>
        <w:tc>
          <w:tcPr>
            <w:tcW w:w="2694" w:type="dxa"/>
            <w:shd w:val="clear" w:color="auto" w:fill="auto"/>
            <w:noWrap/>
          </w:tcPr>
          <w:p w14:paraId="5DFE771A" w14:textId="77777777" w:rsidR="00350498" w:rsidRPr="00283EF2" w:rsidRDefault="00350498" w:rsidP="007F30CA">
            <w:pPr>
              <w:pStyle w:val="TableText"/>
              <w:rPr>
                <w:lang w:eastAsia="en-AU"/>
              </w:rPr>
            </w:pPr>
            <w:r w:rsidRPr="00283EF2">
              <w:rPr>
                <w:lang w:eastAsia="ja-JP"/>
              </w:rPr>
              <w:t>Site is impacted by pesticides (</w:t>
            </w:r>
            <w:r w:rsidRPr="00283EF2">
              <w:t>D. Moffatt 2020. pers comm 17 Nov.</w:t>
            </w:r>
            <w:r w:rsidRPr="00283EF2">
              <w:rPr>
                <w:lang w:eastAsia="ja-JP"/>
              </w:rPr>
              <w:t>). The creek is a water quality hotspot due to high nutrient and sediment run-off from agriculture (</w:t>
            </w:r>
            <w:proofErr w:type="spellStart"/>
            <w:r w:rsidRPr="00283EF2">
              <w:rPr>
                <w:lang w:eastAsia="ja-JP"/>
              </w:rPr>
              <w:t>Pumicestone</w:t>
            </w:r>
            <w:proofErr w:type="spellEnd"/>
            <w:r w:rsidRPr="00283EF2">
              <w:rPr>
                <w:lang w:eastAsia="ja-JP"/>
              </w:rPr>
              <w:t xml:space="preserve"> Passage Technical Working Group 2011).</w:t>
            </w:r>
          </w:p>
        </w:tc>
      </w:tr>
      <w:tr w:rsidR="00350498" w:rsidRPr="00521832" w14:paraId="1F670B84" w14:textId="77777777" w:rsidTr="007F30CA">
        <w:trPr>
          <w:trHeight w:val="345"/>
          <w:jc w:val="center"/>
        </w:trPr>
        <w:tc>
          <w:tcPr>
            <w:tcW w:w="1129" w:type="dxa"/>
            <w:shd w:val="clear" w:color="auto" w:fill="auto"/>
            <w:noWrap/>
            <w:hideMark/>
          </w:tcPr>
          <w:p w14:paraId="61F0DFE3" w14:textId="77777777" w:rsidR="00350498" w:rsidRPr="00521832" w:rsidRDefault="00350498" w:rsidP="007F30CA">
            <w:pPr>
              <w:pStyle w:val="TableText"/>
              <w:rPr>
                <w:lang w:eastAsia="en-AU"/>
              </w:rPr>
            </w:pPr>
            <w:r w:rsidRPr="00521832">
              <w:rPr>
                <w:lang w:eastAsia="en-AU"/>
              </w:rPr>
              <w:t xml:space="preserve">Richmond </w:t>
            </w:r>
          </w:p>
        </w:tc>
        <w:tc>
          <w:tcPr>
            <w:tcW w:w="1134" w:type="dxa"/>
          </w:tcPr>
          <w:p w14:paraId="70C9E606" w14:textId="77777777" w:rsidR="00350498" w:rsidRPr="00521832" w:rsidRDefault="00350498" w:rsidP="007F30CA">
            <w:pPr>
              <w:pStyle w:val="TableText"/>
              <w:jc w:val="center"/>
              <w:rPr>
                <w:lang w:eastAsia="en-AU"/>
              </w:rPr>
            </w:pPr>
            <w:r>
              <w:rPr>
                <w:lang w:eastAsia="en-AU"/>
              </w:rPr>
              <w:t>very low</w:t>
            </w:r>
          </w:p>
        </w:tc>
        <w:tc>
          <w:tcPr>
            <w:tcW w:w="1007" w:type="dxa"/>
          </w:tcPr>
          <w:p w14:paraId="0C8A56DD" w14:textId="77777777" w:rsidR="00350498" w:rsidRPr="00521832" w:rsidRDefault="00350498" w:rsidP="007F30CA">
            <w:pPr>
              <w:pStyle w:val="TableText"/>
              <w:jc w:val="center"/>
              <w:rPr>
                <w:lang w:eastAsia="en-AU"/>
              </w:rPr>
            </w:pPr>
            <w:r>
              <w:rPr>
                <w:lang w:eastAsia="en-AU"/>
              </w:rPr>
              <w:t>stable/ declining</w:t>
            </w:r>
          </w:p>
        </w:tc>
        <w:tc>
          <w:tcPr>
            <w:tcW w:w="4238" w:type="dxa"/>
          </w:tcPr>
          <w:p w14:paraId="3233184E" w14:textId="77777777" w:rsidR="00350498" w:rsidRPr="00283EF2" w:rsidRDefault="00350498" w:rsidP="007F30CA">
            <w:pPr>
              <w:pStyle w:val="TableText"/>
              <w:rPr>
                <w:lang w:eastAsia="en-AU"/>
              </w:rPr>
            </w:pPr>
            <w:r>
              <w:rPr>
                <w:b/>
                <w:lang w:eastAsia="en-AU"/>
              </w:rPr>
              <w:t>Low – Moderate:</w:t>
            </w:r>
            <w:r w:rsidRPr="00245ED8">
              <w:rPr>
                <w:b/>
                <w:lang w:eastAsia="en-AU"/>
              </w:rPr>
              <w:t xml:space="preserve"> </w:t>
            </w:r>
            <w:r w:rsidRPr="00283EF2">
              <w:rPr>
                <w:lang w:eastAsia="en-AU"/>
              </w:rPr>
              <w:t>Site 7 km from fire. Richmond Basin 22 % burnt including upstream of site (DAWE 2020), Clarence Lowlands Subregion 26 % burnt (48 % of which High-Very High Severity; GAIA 2021). Erosion high 1 year after fire (</w:t>
            </w:r>
            <w:r w:rsidRPr="00283EF2">
              <w:t>Alluvium Consulting Australia 2021 cited by Biswas 2021).</w:t>
            </w:r>
          </w:p>
        </w:tc>
        <w:tc>
          <w:tcPr>
            <w:tcW w:w="2694" w:type="dxa"/>
            <w:shd w:val="clear" w:color="auto" w:fill="auto"/>
            <w:noWrap/>
          </w:tcPr>
          <w:p w14:paraId="6D382EC4" w14:textId="77777777" w:rsidR="00350498" w:rsidRPr="00283EF2" w:rsidRDefault="00350498" w:rsidP="007F30CA">
            <w:pPr>
              <w:pStyle w:val="TableText"/>
              <w:rPr>
                <w:lang w:eastAsia="en-AU"/>
              </w:rPr>
            </w:pPr>
            <w:r w:rsidRPr="6A012BED">
              <w:rPr>
                <w:lang w:eastAsia="en-AU"/>
              </w:rPr>
              <w:t>Single larval specimen collected in 1966 (</w:t>
            </w:r>
            <w:r>
              <w:t>Australian Museum Ichthyology Collection; ALA 2020).</w:t>
            </w:r>
          </w:p>
        </w:tc>
      </w:tr>
      <w:tr w:rsidR="00350498" w:rsidRPr="00521832" w14:paraId="4F03CDFF" w14:textId="77777777" w:rsidTr="007F30CA">
        <w:trPr>
          <w:trHeight w:val="345"/>
          <w:jc w:val="center"/>
        </w:trPr>
        <w:tc>
          <w:tcPr>
            <w:tcW w:w="1129" w:type="dxa"/>
            <w:shd w:val="clear" w:color="auto" w:fill="auto"/>
            <w:noWrap/>
            <w:hideMark/>
          </w:tcPr>
          <w:p w14:paraId="4F319999" w14:textId="77777777" w:rsidR="00350498" w:rsidRPr="00521832" w:rsidRDefault="00350498" w:rsidP="007F30CA">
            <w:pPr>
              <w:pStyle w:val="TableText"/>
              <w:rPr>
                <w:lang w:eastAsia="en-AU"/>
              </w:rPr>
            </w:pPr>
            <w:r w:rsidRPr="00521832">
              <w:rPr>
                <w:lang w:eastAsia="en-AU"/>
              </w:rPr>
              <w:t xml:space="preserve">Macleay </w:t>
            </w:r>
          </w:p>
        </w:tc>
        <w:tc>
          <w:tcPr>
            <w:tcW w:w="1134" w:type="dxa"/>
          </w:tcPr>
          <w:p w14:paraId="3CDE69D5" w14:textId="77777777" w:rsidR="00350498" w:rsidRPr="00521832" w:rsidRDefault="00350498" w:rsidP="007F30CA">
            <w:pPr>
              <w:pStyle w:val="TableText"/>
              <w:jc w:val="center"/>
              <w:rPr>
                <w:lang w:eastAsia="en-AU"/>
              </w:rPr>
            </w:pPr>
            <w:r>
              <w:rPr>
                <w:lang w:eastAsia="en-AU"/>
              </w:rPr>
              <w:t>very low</w:t>
            </w:r>
          </w:p>
        </w:tc>
        <w:tc>
          <w:tcPr>
            <w:tcW w:w="1007" w:type="dxa"/>
          </w:tcPr>
          <w:p w14:paraId="3B8EF5C2" w14:textId="77777777" w:rsidR="00350498" w:rsidRDefault="00350498" w:rsidP="007F30CA">
            <w:pPr>
              <w:pStyle w:val="TableText"/>
              <w:jc w:val="center"/>
              <w:rPr>
                <w:lang w:eastAsia="en-AU"/>
              </w:rPr>
            </w:pPr>
            <w:r>
              <w:rPr>
                <w:lang w:eastAsia="en-AU"/>
              </w:rPr>
              <w:t>stable / declining</w:t>
            </w:r>
          </w:p>
        </w:tc>
        <w:tc>
          <w:tcPr>
            <w:tcW w:w="4238" w:type="dxa"/>
          </w:tcPr>
          <w:p w14:paraId="7676E419" w14:textId="77777777" w:rsidR="00350498" w:rsidRPr="00283EF2" w:rsidRDefault="00350498" w:rsidP="007F30CA">
            <w:pPr>
              <w:pStyle w:val="TableText"/>
              <w:rPr>
                <w:lang w:eastAsia="en-AU"/>
              </w:rPr>
            </w:pPr>
            <w:r>
              <w:rPr>
                <w:b/>
                <w:lang w:eastAsia="en-AU"/>
              </w:rPr>
              <w:t>Very High:</w:t>
            </w:r>
            <w:r w:rsidRPr="00245ED8">
              <w:rPr>
                <w:b/>
                <w:lang w:eastAsia="en-AU"/>
              </w:rPr>
              <w:t xml:space="preserve"> </w:t>
            </w:r>
            <w:r w:rsidRPr="00283EF2">
              <w:rPr>
                <w:lang w:eastAsia="en-AU"/>
              </w:rPr>
              <w:t>Site potentially directly impacted. Macleay Basin 41 % burnt (DAWE 2020) including the entire mid-catchment zone upstream from the site. Subregion Macleay Hastings 34 % burnt (48 % of which High-Very High; GAIA 2021). Macleay had highest recorded number of aquatic species killed, and downstream impacts 54 km from fire zone (Silva et al. 2020), with hundreds of thousands of fish reported killed by post-fire runoff (Guardian Australia 2020). Suspended sediment increase</w:t>
            </w:r>
            <w:r>
              <w:rPr>
                <w:lang w:eastAsia="en-AU"/>
              </w:rPr>
              <w:t>s</w:t>
            </w:r>
            <w:r w:rsidRPr="00283EF2">
              <w:rPr>
                <w:lang w:eastAsia="en-AU"/>
              </w:rPr>
              <w:t xml:space="preserve"> of 2 orders of magnitude, with very low levels of dissolved oxygen (Johnston 2021). Erosion high 1 year after fire (</w:t>
            </w:r>
            <w:r w:rsidRPr="00283EF2">
              <w:t>Alluvium Consulting Australia 2021 cited by Biswas 2021).</w:t>
            </w:r>
          </w:p>
        </w:tc>
        <w:tc>
          <w:tcPr>
            <w:tcW w:w="2694" w:type="dxa"/>
            <w:shd w:val="clear" w:color="auto" w:fill="auto"/>
            <w:noWrap/>
          </w:tcPr>
          <w:p w14:paraId="4A197E01" w14:textId="77777777" w:rsidR="00350498" w:rsidRPr="00283EF2" w:rsidRDefault="00350498" w:rsidP="007F30CA">
            <w:pPr>
              <w:pStyle w:val="TableText"/>
              <w:rPr>
                <w:lang w:eastAsia="en-AU"/>
              </w:rPr>
            </w:pPr>
            <w:r w:rsidRPr="00283EF2">
              <w:rPr>
                <w:lang w:eastAsia="en-AU"/>
              </w:rPr>
              <w:t xml:space="preserve">Discovered at 1 site in 2015 so little known (Butler et al. 2016; Gilligan 2019b). The basin has been extensively cleared for agriculture with issues of sedimentation and water quality (WMA Water 2009). </w:t>
            </w:r>
          </w:p>
        </w:tc>
      </w:tr>
      <w:tr w:rsidR="00350498" w:rsidRPr="00521832" w14:paraId="5DB09342" w14:textId="77777777" w:rsidTr="007F30CA">
        <w:trPr>
          <w:trHeight w:val="345"/>
          <w:jc w:val="center"/>
        </w:trPr>
        <w:tc>
          <w:tcPr>
            <w:tcW w:w="1129" w:type="dxa"/>
            <w:shd w:val="clear" w:color="auto" w:fill="auto"/>
            <w:noWrap/>
            <w:hideMark/>
          </w:tcPr>
          <w:p w14:paraId="60027D1C" w14:textId="77777777" w:rsidR="00350498" w:rsidRPr="00521832" w:rsidRDefault="00350498" w:rsidP="007F30CA">
            <w:pPr>
              <w:pStyle w:val="TableText"/>
              <w:rPr>
                <w:lang w:eastAsia="en-AU"/>
              </w:rPr>
            </w:pPr>
            <w:r w:rsidRPr="00521832">
              <w:rPr>
                <w:lang w:eastAsia="en-AU"/>
              </w:rPr>
              <w:t>Moruya</w:t>
            </w:r>
            <w:r>
              <w:rPr>
                <w:lang w:eastAsia="en-AU"/>
              </w:rPr>
              <w:t>/ Tuross</w:t>
            </w:r>
          </w:p>
        </w:tc>
        <w:tc>
          <w:tcPr>
            <w:tcW w:w="1134" w:type="dxa"/>
          </w:tcPr>
          <w:p w14:paraId="5A869454" w14:textId="77777777" w:rsidR="00350498" w:rsidRPr="00C31AC0" w:rsidRDefault="00350498" w:rsidP="007F30CA">
            <w:pPr>
              <w:pStyle w:val="TableText"/>
              <w:jc w:val="center"/>
              <w:rPr>
                <w:b/>
                <w:lang w:eastAsia="en-AU"/>
              </w:rPr>
            </w:pPr>
            <w:r w:rsidRPr="00C31AC0">
              <w:rPr>
                <w:b/>
                <w:lang w:eastAsia="ja-JP"/>
              </w:rPr>
              <w:t>extinct</w:t>
            </w:r>
          </w:p>
        </w:tc>
        <w:tc>
          <w:tcPr>
            <w:tcW w:w="1007" w:type="dxa"/>
          </w:tcPr>
          <w:p w14:paraId="77F54FB3" w14:textId="77777777" w:rsidR="00350498" w:rsidRPr="00C31AC0" w:rsidRDefault="00350498" w:rsidP="007F30CA">
            <w:pPr>
              <w:pStyle w:val="TableText"/>
              <w:jc w:val="center"/>
              <w:rPr>
                <w:b/>
                <w:lang w:eastAsia="ja-JP"/>
              </w:rPr>
            </w:pPr>
            <w:r w:rsidRPr="00C31AC0">
              <w:rPr>
                <w:b/>
                <w:lang w:eastAsia="ja-JP"/>
              </w:rPr>
              <w:t>extinct</w:t>
            </w:r>
          </w:p>
        </w:tc>
        <w:tc>
          <w:tcPr>
            <w:tcW w:w="4238" w:type="dxa"/>
          </w:tcPr>
          <w:p w14:paraId="18FF8987" w14:textId="77777777" w:rsidR="00350498" w:rsidRPr="00283EF2" w:rsidRDefault="00350498" w:rsidP="007F30CA">
            <w:pPr>
              <w:pStyle w:val="TableText"/>
              <w:rPr>
                <w:lang w:eastAsia="en-AU"/>
              </w:rPr>
            </w:pPr>
            <w:r>
              <w:rPr>
                <w:b/>
                <w:lang w:eastAsia="en-AU"/>
              </w:rPr>
              <w:t>Very High:</w:t>
            </w:r>
            <w:r w:rsidRPr="00245ED8">
              <w:rPr>
                <w:b/>
                <w:lang w:eastAsia="en-AU"/>
              </w:rPr>
              <w:t xml:space="preserve"> </w:t>
            </w:r>
            <w:r w:rsidRPr="00283EF2">
              <w:rPr>
                <w:lang w:eastAsia="en-AU"/>
              </w:rPr>
              <w:t xml:space="preserve">Sites potentially directly impacted. Moruya Basin 73 % burnt, Tuross 80 % burnt, including almost all upstream areas above sites in both basins (DAWE 2020). Subregion </w:t>
            </w:r>
            <w:r w:rsidRPr="00283EF2">
              <w:rPr>
                <w:lang w:eastAsia="ja-JP"/>
              </w:rPr>
              <w:t xml:space="preserve">South East Coastal Ranges 48 % </w:t>
            </w:r>
            <w:r w:rsidRPr="00283EF2">
              <w:rPr>
                <w:lang w:eastAsia="en-AU"/>
              </w:rPr>
              <w:t xml:space="preserve">burnt (63 % High-Very High), Subregion </w:t>
            </w:r>
            <w:r w:rsidRPr="00283EF2">
              <w:rPr>
                <w:lang w:eastAsia="ja-JP"/>
              </w:rPr>
              <w:t xml:space="preserve">Bateman 54 % </w:t>
            </w:r>
            <w:r w:rsidRPr="00283EF2">
              <w:rPr>
                <w:lang w:eastAsia="en-AU"/>
              </w:rPr>
              <w:t>burnt (42 % High-Very High Severity) (GAIA 2021). 5 separate fish kill sites reported in Moruya/Tuross (Silva et al. 2020). Possible post-fire environmental impacts in freshwater sections of Moruya Basin are topic of ongoing research (S. Bracewell 2021 pers comm 21 April).</w:t>
            </w:r>
          </w:p>
        </w:tc>
        <w:tc>
          <w:tcPr>
            <w:tcW w:w="2694" w:type="dxa"/>
            <w:shd w:val="clear" w:color="auto" w:fill="auto"/>
            <w:noWrap/>
          </w:tcPr>
          <w:p w14:paraId="1E4BD17E" w14:textId="77777777" w:rsidR="00350498" w:rsidRPr="00283EF2" w:rsidRDefault="00350498" w:rsidP="007F30CA">
            <w:pPr>
              <w:pStyle w:val="TableText"/>
              <w:rPr>
                <w:lang w:eastAsia="en-AU"/>
              </w:rPr>
            </w:pPr>
            <w:r w:rsidRPr="005A0959">
              <w:rPr>
                <w:lang w:eastAsia="en-AU"/>
              </w:rPr>
              <w:t xml:space="preserve">No specimens found since 1994/1995 </w:t>
            </w:r>
            <w:r w:rsidRPr="00283EF2">
              <w:rPr>
                <w:lang w:eastAsia="en-AU"/>
              </w:rPr>
              <w:t>(Gilligan 2019b</w:t>
            </w:r>
            <w:r>
              <w:rPr>
                <w:lang w:eastAsia="en-AU"/>
              </w:rPr>
              <w:t xml:space="preserve">; NSW DPI 2021 </w:t>
            </w:r>
            <w:proofErr w:type="spellStart"/>
            <w:r>
              <w:rPr>
                <w:lang w:eastAsia="en-AU"/>
              </w:rPr>
              <w:t>unpub</w:t>
            </w:r>
            <w:proofErr w:type="spellEnd"/>
            <w:r w:rsidRPr="00283EF2">
              <w:rPr>
                <w:lang w:eastAsia="en-AU"/>
              </w:rPr>
              <w:t xml:space="preserve">). High levels sedimentation and erosion in Moruya Basin (AMOG Consulting 2003). </w:t>
            </w:r>
          </w:p>
        </w:tc>
      </w:tr>
      <w:tr w:rsidR="00350498" w:rsidRPr="00521832" w14:paraId="78D08D72" w14:textId="77777777" w:rsidTr="007F30CA">
        <w:trPr>
          <w:trHeight w:val="345"/>
          <w:jc w:val="center"/>
        </w:trPr>
        <w:tc>
          <w:tcPr>
            <w:tcW w:w="1129" w:type="dxa"/>
            <w:shd w:val="clear" w:color="auto" w:fill="auto"/>
            <w:noWrap/>
            <w:hideMark/>
          </w:tcPr>
          <w:p w14:paraId="5A0E2590" w14:textId="77777777" w:rsidR="00350498" w:rsidRPr="00521832" w:rsidRDefault="00350498" w:rsidP="007F30CA">
            <w:pPr>
              <w:pStyle w:val="TableText"/>
              <w:rPr>
                <w:lang w:eastAsia="en-AU"/>
              </w:rPr>
            </w:pPr>
            <w:r w:rsidRPr="00521832">
              <w:rPr>
                <w:lang w:eastAsia="en-AU"/>
              </w:rPr>
              <w:t>East Gippsland</w:t>
            </w:r>
          </w:p>
        </w:tc>
        <w:tc>
          <w:tcPr>
            <w:tcW w:w="1134" w:type="dxa"/>
          </w:tcPr>
          <w:p w14:paraId="6BC3F64D" w14:textId="77777777" w:rsidR="00350498" w:rsidRPr="00521832" w:rsidRDefault="00350498" w:rsidP="007F30CA">
            <w:pPr>
              <w:pStyle w:val="TableText"/>
              <w:jc w:val="center"/>
              <w:rPr>
                <w:lang w:eastAsia="en-AU"/>
              </w:rPr>
            </w:pPr>
            <w:r>
              <w:rPr>
                <w:lang w:eastAsia="en-AU"/>
              </w:rPr>
              <w:t xml:space="preserve">low </w:t>
            </w:r>
          </w:p>
        </w:tc>
        <w:tc>
          <w:tcPr>
            <w:tcW w:w="1007" w:type="dxa"/>
          </w:tcPr>
          <w:p w14:paraId="57CCE4E1" w14:textId="77777777" w:rsidR="00350498" w:rsidRDefault="00350498" w:rsidP="007F30CA">
            <w:pPr>
              <w:pStyle w:val="TableText"/>
              <w:jc w:val="center"/>
              <w:rPr>
                <w:lang w:eastAsia="ja-JP"/>
              </w:rPr>
            </w:pPr>
            <w:r>
              <w:rPr>
                <w:lang w:eastAsia="en-AU"/>
              </w:rPr>
              <w:t>stable</w:t>
            </w:r>
          </w:p>
        </w:tc>
        <w:tc>
          <w:tcPr>
            <w:tcW w:w="4238" w:type="dxa"/>
          </w:tcPr>
          <w:p w14:paraId="6A755DC8" w14:textId="77777777" w:rsidR="00350498" w:rsidRPr="00283EF2" w:rsidRDefault="00350498" w:rsidP="007F30CA">
            <w:pPr>
              <w:pStyle w:val="TableText"/>
              <w:rPr>
                <w:lang w:eastAsia="ja-JP"/>
              </w:rPr>
            </w:pPr>
            <w:r>
              <w:rPr>
                <w:b/>
                <w:lang w:eastAsia="en-AU"/>
              </w:rPr>
              <w:t>Very High:</w:t>
            </w:r>
            <w:r w:rsidRPr="00245ED8">
              <w:rPr>
                <w:b/>
                <w:lang w:eastAsia="en-AU"/>
              </w:rPr>
              <w:t xml:space="preserve"> </w:t>
            </w:r>
            <w:r w:rsidRPr="00283EF2">
              <w:rPr>
                <w:lang w:eastAsia="en-AU"/>
              </w:rPr>
              <w:t xml:space="preserve">Sites potentially directly impacted. East Gippsland Basin 96 % burnt, including virtually all upstream areas above sites (DAWE 2020). Subregion </w:t>
            </w:r>
            <w:r w:rsidRPr="00283EF2">
              <w:rPr>
                <w:lang w:eastAsia="ja-JP"/>
              </w:rPr>
              <w:t xml:space="preserve">South East Coastal Ranges 48 % </w:t>
            </w:r>
            <w:r w:rsidRPr="00283EF2">
              <w:rPr>
                <w:lang w:eastAsia="en-AU"/>
              </w:rPr>
              <w:t xml:space="preserve">burnt (63 % High-Very High), Subregion </w:t>
            </w:r>
            <w:r w:rsidRPr="00283EF2">
              <w:rPr>
                <w:lang w:eastAsia="ja-JP"/>
              </w:rPr>
              <w:t xml:space="preserve">East Gippsland Lowlands 79 % burnt (51 % </w:t>
            </w:r>
            <w:r w:rsidRPr="00283EF2">
              <w:rPr>
                <w:lang w:eastAsia="en-AU"/>
              </w:rPr>
              <w:t>High-Very High</w:t>
            </w:r>
            <w:r w:rsidRPr="00283EF2">
              <w:rPr>
                <w:lang w:eastAsia="ja-JP"/>
              </w:rPr>
              <w:t xml:space="preserve">) </w:t>
            </w:r>
            <w:r w:rsidRPr="00283EF2">
              <w:rPr>
                <w:lang w:eastAsia="en-AU"/>
              </w:rPr>
              <w:t>(GAIA 2021). 1 reported fish kill site in East Gippsland Basin (Silva et al. 2020). Erosion high 1 year after fire (</w:t>
            </w:r>
            <w:r w:rsidRPr="00283EF2">
              <w:t xml:space="preserve">Alluvium Consulting 2021 cited by Biswas 2021). </w:t>
            </w:r>
            <w:r>
              <w:t xml:space="preserve">Good habitat &amp; water quality reported 2021 </w:t>
            </w:r>
            <w:r>
              <w:rPr>
                <w:lang w:eastAsia="ja-JP"/>
              </w:rPr>
              <w:t xml:space="preserve">(NSW DPI Fisheries 2021 </w:t>
            </w:r>
            <w:proofErr w:type="spellStart"/>
            <w:r>
              <w:rPr>
                <w:lang w:eastAsia="ja-JP"/>
              </w:rPr>
              <w:t>unpub</w:t>
            </w:r>
            <w:proofErr w:type="spellEnd"/>
            <w:r>
              <w:rPr>
                <w:lang w:eastAsia="ja-JP"/>
              </w:rPr>
              <w:t>).</w:t>
            </w:r>
          </w:p>
        </w:tc>
        <w:tc>
          <w:tcPr>
            <w:tcW w:w="2694" w:type="dxa"/>
            <w:shd w:val="clear" w:color="auto" w:fill="auto"/>
            <w:noWrap/>
          </w:tcPr>
          <w:p w14:paraId="339BBDE3" w14:textId="77777777" w:rsidR="00350498" w:rsidRPr="00283EF2" w:rsidRDefault="00350498" w:rsidP="007F30CA">
            <w:pPr>
              <w:pStyle w:val="TableText"/>
              <w:rPr>
                <w:lang w:eastAsia="ja-JP"/>
              </w:rPr>
            </w:pPr>
            <w:r>
              <w:rPr>
                <w:lang w:eastAsia="ja-JP"/>
              </w:rPr>
              <w:t xml:space="preserve">Reported </w:t>
            </w:r>
            <w:r w:rsidRPr="00283EF2">
              <w:rPr>
                <w:lang w:eastAsia="ja-JP"/>
              </w:rPr>
              <w:t>79</w:t>
            </w:r>
            <w:r>
              <w:rPr>
                <w:lang w:eastAsia="ja-JP"/>
              </w:rPr>
              <w:t xml:space="preserve"> </w:t>
            </w:r>
            <w:r w:rsidRPr="00283EF2">
              <w:rPr>
                <w:lang w:eastAsia="ja-JP"/>
              </w:rPr>
              <w:t>% decline based on CPUE between</w:t>
            </w:r>
            <w:r>
              <w:rPr>
                <w:lang w:eastAsia="ja-JP"/>
              </w:rPr>
              <w:t xml:space="preserve"> 2003 and 2011 (Gilligan 2019b), but not significant, and trend reverses when successful sampling in 2021 is included (NSW DPI Fisheries 2021 </w:t>
            </w:r>
            <w:proofErr w:type="spellStart"/>
            <w:r>
              <w:rPr>
                <w:lang w:eastAsia="ja-JP"/>
              </w:rPr>
              <w:t>unpub</w:t>
            </w:r>
            <w:proofErr w:type="spellEnd"/>
            <w:r>
              <w:rPr>
                <w:lang w:eastAsia="ja-JP"/>
              </w:rPr>
              <w:t xml:space="preserve">). </w:t>
            </w:r>
          </w:p>
        </w:tc>
      </w:tr>
    </w:tbl>
    <w:p w14:paraId="73CF4266" w14:textId="77777777" w:rsidR="00350498" w:rsidRDefault="00350498" w:rsidP="00350498">
      <w:pPr>
        <w:rPr>
          <w:rFonts w:asciiTheme="majorHAnsi" w:hAnsiTheme="majorHAnsi" w:cs="Arial"/>
        </w:rPr>
      </w:pPr>
    </w:p>
    <w:p w14:paraId="71334A26" w14:textId="77777777" w:rsidR="00350498" w:rsidRPr="00521832" w:rsidRDefault="00350498" w:rsidP="00350498">
      <w:pPr>
        <w:pStyle w:val="Caption"/>
        <w:rPr>
          <w:lang w:eastAsia="ja-JP"/>
        </w:rPr>
      </w:pPr>
      <w:r w:rsidRPr="00521832">
        <w:rPr>
          <w:lang w:eastAsia="ja-JP"/>
        </w:rPr>
        <w:lastRenderedPageBreak/>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54"/>
        <w:gridCol w:w="1948"/>
        <w:gridCol w:w="1850"/>
        <w:gridCol w:w="1898"/>
      </w:tblGrid>
      <w:tr w:rsidR="00350498" w:rsidRPr="00521832" w14:paraId="294B0395" w14:textId="77777777" w:rsidTr="007F30CA">
        <w:trPr>
          <w:trHeight w:val="350"/>
        </w:trPr>
        <w:tc>
          <w:tcPr>
            <w:tcW w:w="10738" w:type="dxa"/>
            <w:gridSpan w:val="4"/>
            <w:tcBorders>
              <w:bottom w:val="nil"/>
            </w:tcBorders>
            <w:shd w:val="clear" w:color="auto" w:fill="595959" w:themeFill="text1" w:themeFillTint="A6"/>
            <w:vAlign w:val="center"/>
          </w:tcPr>
          <w:p w14:paraId="57B080D3" w14:textId="77777777" w:rsidR="00350498" w:rsidRPr="00521832" w:rsidRDefault="00350498" w:rsidP="007F30CA">
            <w:pPr>
              <w:keepNext/>
              <w:tabs>
                <w:tab w:val="left" w:pos="284"/>
              </w:tabs>
              <w:ind w:left="1452" w:hanging="1452"/>
              <w:rPr>
                <w:rFonts w:ascii="Arial" w:hAnsi="Arial" w:cs="Arial"/>
                <w:b/>
              </w:rPr>
            </w:pPr>
          </w:p>
        </w:tc>
      </w:tr>
      <w:tr w:rsidR="00350498" w:rsidRPr="00521832" w14:paraId="3FEB0987" w14:textId="77777777" w:rsidTr="007F30CA">
        <w:tc>
          <w:tcPr>
            <w:tcW w:w="4111" w:type="dxa"/>
            <w:tcBorders>
              <w:top w:val="nil"/>
              <w:bottom w:val="nil"/>
              <w:right w:val="nil"/>
            </w:tcBorders>
          </w:tcPr>
          <w:p w14:paraId="3DD5384E" w14:textId="77777777" w:rsidR="00350498" w:rsidRPr="00521832" w:rsidRDefault="00350498" w:rsidP="007F30CA">
            <w:pPr>
              <w:pStyle w:val="TableText"/>
              <w:keepNext/>
            </w:pPr>
            <w:r w:rsidRPr="00521832">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37DDE59F" w14:textId="77777777" w:rsidR="00350498" w:rsidRPr="00521832" w:rsidRDefault="00350498" w:rsidP="007F30CA">
            <w:pPr>
              <w:pStyle w:val="TableText"/>
              <w:keepNext/>
              <w:rPr>
                <w:rStyle w:val="Strong"/>
              </w:rPr>
            </w:pPr>
            <w:r w:rsidRPr="00521832">
              <w:rPr>
                <w:rStyle w:val="Strong"/>
              </w:rPr>
              <w:t>Critically Endangered</w:t>
            </w:r>
          </w:p>
          <w:p w14:paraId="56BEE412" w14:textId="77777777" w:rsidR="00350498" w:rsidRPr="00521832" w:rsidRDefault="00350498" w:rsidP="007F30CA">
            <w:pPr>
              <w:pStyle w:val="TableText"/>
              <w:keepNext/>
              <w:rPr>
                <w:b/>
              </w:rPr>
            </w:pPr>
            <w:r w:rsidRPr="00521832">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7440622C" w14:textId="77777777" w:rsidR="00350498" w:rsidRPr="00521832" w:rsidRDefault="00350498" w:rsidP="007F30CA">
            <w:pPr>
              <w:pStyle w:val="TableText"/>
              <w:keepNext/>
              <w:rPr>
                <w:b/>
              </w:rPr>
            </w:pPr>
            <w:r w:rsidRPr="00521832">
              <w:rPr>
                <w:b/>
              </w:rPr>
              <w:t>Endangered</w:t>
            </w:r>
          </w:p>
          <w:p w14:paraId="650337CE" w14:textId="77777777" w:rsidR="00350498" w:rsidRPr="00521832" w:rsidRDefault="00350498" w:rsidP="007F30CA">
            <w:pPr>
              <w:pStyle w:val="TableText"/>
              <w:keepNext/>
              <w:rPr>
                <w:b/>
              </w:rPr>
            </w:pPr>
            <w:r w:rsidRPr="00521832">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4780C38F" w14:textId="77777777" w:rsidR="00350498" w:rsidRPr="00521832" w:rsidRDefault="00350498" w:rsidP="007F30CA">
            <w:pPr>
              <w:pStyle w:val="TableText"/>
              <w:keepNext/>
              <w:rPr>
                <w:b/>
              </w:rPr>
            </w:pPr>
            <w:r w:rsidRPr="00521832">
              <w:rPr>
                <w:b/>
              </w:rPr>
              <w:t>Vulnerable</w:t>
            </w:r>
          </w:p>
          <w:p w14:paraId="31DB2A1B" w14:textId="77777777" w:rsidR="00350498" w:rsidRPr="00521832" w:rsidRDefault="00350498" w:rsidP="007F30CA">
            <w:pPr>
              <w:pStyle w:val="TableText"/>
              <w:keepNext/>
              <w:rPr>
                <w:b/>
              </w:rPr>
            </w:pPr>
            <w:r w:rsidRPr="00521832">
              <w:rPr>
                <w:b/>
              </w:rPr>
              <w:t>Limited</w:t>
            </w:r>
          </w:p>
        </w:tc>
      </w:tr>
      <w:tr w:rsidR="00350498" w:rsidRPr="00521832" w14:paraId="236C814C" w14:textId="77777777" w:rsidTr="007F30CA">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36D950F7" w14:textId="77777777" w:rsidR="00350498" w:rsidRPr="00521832" w:rsidRDefault="00350498" w:rsidP="007F30CA">
            <w:pPr>
              <w:pStyle w:val="TableText"/>
              <w:keepNext/>
              <w:ind w:left="492" w:hanging="492"/>
            </w:pPr>
            <w:r w:rsidRPr="00521832">
              <w:rPr>
                <w:rStyle w:val="Strong"/>
              </w:rPr>
              <w:t>B1.</w:t>
            </w:r>
            <w:r w:rsidRPr="00521832">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A03F42A" w14:textId="77777777" w:rsidR="00350498" w:rsidRPr="00521832" w:rsidRDefault="00350498" w:rsidP="007F30CA">
            <w:pPr>
              <w:pStyle w:val="TableText"/>
              <w:keepNext/>
              <w:rPr>
                <w:b/>
              </w:rPr>
            </w:pPr>
            <w:r w:rsidRPr="00521832">
              <w:rPr>
                <w:b/>
              </w:rPr>
              <w:t>&lt; 100 km</w:t>
            </w:r>
            <w:r w:rsidRPr="00521832">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4BAC055" w14:textId="77777777" w:rsidR="00350498" w:rsidRPr="00521832" w:rsidRDefault="00350498" w:rsidP="007F30CA">
            <w:pPr>
              <w:pStyle w:val="TableText"/>
              <w:keepNext/>
            </w:pPr>
            <w:r w:rsidRPr="00521832">
              <w:rPr>
                <w:b/>
              </w:rPr>
              <w:t>&lt; 5,000 km</w:t>
            </w:r>
            <w:r w:rsidRPr="00521832">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5B7144E2" w14:textId="77777777" w:rsidR="00350498" w:rsidRPr="00521832" w:rsidRDefault="00350498" w:rsidP="007F30CA">
            <w:pPr>
              <w:pStyle w:val="TableText"/>
              <w:keepNext/>
            </w:pPr>
            <w:r w:rsidRPr="00521832">
              <w:rPr>
                <w:b/>
              </w:rPr>
              <w:t>&lt; 20,000 km</w:t>
            </w:r>
            <w:r w:rsidRPr="00521832">
              <w:rPr>
                <w:b/>
                <w:vertAlign w:val="superscript"/>
              </w:rPr>
              <w:t>2</w:t>
            </w:r>
          </w:p>
        </w:tc>
      </w:tr>
      <w:tr w:rsidR="00350498" w:rsidRPr="00521832" w14:paraId="70A75B73" w14:textId="77777777" w:rsidTr="007F30CA">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4A9095E" w14:textId="77777777" w:rsidR="00350498" w:rsidRPr="00521832" w:rsidRDefault="00350498" w:rsidP="007F30CA">
            <w:pPr>
              <w:pStyle w:val="TableText"/>
              <w:keepNext/>
              <w:ind w:left="492" w:hanging="492"/>
            </w:pPr>
            <w:r w:rsidRPr="00521832">
              <w:rPr>
                <w:rStyle w:val="Strong"/>
              </w:rPr>
              <w:t>B2.</w:t>
            </w:r>
            <w:r w:rsidRPr="00521832">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3D91CF0" w14:textId="77777777" w:rsidR="00350498" w:rsidRPr="00521832" w:rsidRDefault="00350498" w:rsidP="007F30CA">
            <w:pPr>
              <w:pStyle w:val="TableText"/>
              <w:keepNext/>
              <w:rPr>
                <w:b/>
              </w:rPr>
            </w:pPr>
            <w:r w:rsidRPr="00521832">
              <w:rPr>
                <w:b/>
              </w:rPr>
              <w:t>&lt; 10 km</w:t>
            </w:r>
            <w:r w:rsidRPr="00521832">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B37E919" w14:textId="77777777" w:rsidR="00350498" w:rsidRPr="00521832" w:rsidRDefault="00350498" w:rsidP="007F30CA">
            <w:pPr>
              <w:pStyle w:val="TableText"/>
              <w:keepNext/>
            </w:pPr>
            <w:r w:rsidRPr="00521832">
              <w:rPr>
                <w:b/>
              </w:rPr>
              <w:t>&lt; 500 km</w:t>
            </w:r>
            <w:r w:rsidRPr="00521832">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1AF6299E" w14:textId="77777777" w:rsidR="00350498" w:rsidRPr="00521832" w:rsidRDefault="00350498" w:rsidP="007F30CA">
            <w:pPr>
              <w:pStyle w:val="TableText"/>
              <w:keepNext/>
            </w:pPr>
            <w:r w:rsidRPr="00521832">
              <w:rPr>
                <w:b/>
              </w:rPr>
              <w:t>&lt; 2,000 km</w:t>
            </w:r>
            <w:r w:rsidRPr="00521832">
              <w:rPr>
                <w:b/>
                <w:vertAlign w:val="superscript"/>
              </w:rPr>
              <w:t>2</w:t>
            </w:r>
          </w:p>
        </w:tc>
      </w:tr>
      <w:tr w:rsidR="00350498" w:rsidRPr="00521832" w14:paraId="5917EA69" w14:textId="77777777" w:rsidTr="007F30CA">
        <w:tc>
          <w:tcPr>
            <w:tcW w:w="10738" w:type="dxa"/>
            <w:gridSpan w:val="4"/>
            <w:tcBorders>
              <w:top w:val="nil"/>
              <w:bottom w:val="nil"/>
            </w:tcBorders>
          </w:tcPr>
          <w:p w14:paraId="5F6C4ECD" w14:textId="77777777" w:rsidR="00350498" w:rsidRPr="00521832" w:rsidRDefault="00350498" w:rsidP="007F30CA">
            <w:pPr>
              <w:pStyle w:val="TableText"/>
              <w:keepNext/>
              <w:rPr>
                <w:rStyle w:val="Strong"/>
              </w:rPr>
            </w:pPr>
            <w:r w:rsidRPr="00521832">
              <w:rPr>
                <w:rStyle w:val="Strong"/>
              </w:rPr>
              <w:t>AND at least 2 of the following 3 conditions:</w:t>
            </w:r>
          </w:p>
        </w:tc>
      </w:tr>
      <w:tr w:rsidR="00350498" w:rsidRPr="00521832" w14:paraId="08A81874" w14:textId="77777777" w:rsidTr="007F30CA">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0588931E" w14:textId="77777777" w:rsidR="00350498" w:rsidRPr="00521832" w:rsidRDefault="00350498" w:rsidP="007F30CA">
            <w:pPr>
              <w:pStyle w:val="TableText"/>
              <w:keepNext/>
              <w:ind w:left="492" w:hanging="492"/>
            </w:pPr>
            <w:r w:rsidRPr="00521832">
              <w:t>(a)</w:t>
            </w:r>
            <w:r w:rsidRPr="00521832">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38098A0" w14:textId="77777777" w:rsidR="00350498" w:rsidRPr="00521832" w:rsidRDefault="00350498" w:rsidP="007F30CA">
            <w:pPr>
              <w:pStyle w:val="TableText"/>
              <w:keepNext/>
              <w:rPr>
                <w:b/>
              </w:rPr>
            </w:pPr>
            <w:r w:rsidRPr="00521832">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76C0AD7" w14:textId="77777777" w:rsidR="00350498" w:rsidRPr="00521832" w:rsidRDefault="00350498" w:rsidP="007F30CA">
            <w:pPr>
              <w:pStyle w:val="TableText"/>
              <w:keepNext/>
              <w:rPr>
                <w:b/>
              </w:rPr>
            </w:pPr>
            <w:r w:rsidRPr="00521832">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66E8B657" w14:textId="77777777" w:rsidR="00350498" w:rsidRPr="00521832" w:rsidRDefault="00350498" w:rsidP="007F30CA">
            <w:pPr>
              <w:pStyle w:val="TableText"/>
              <w:keepNext/>
              <w:rPr>
                <w:b/>
              </w:rPr>
            </w:pPr>
            <w:r w:rsidRPr="00521832">
              <w:rPr>
                <w:b/>
              </w:rPr>
              <w:t>≤ 10</w:t>
            </w:r>
          </w:p>
        </w:tc>
      </w:tr>
      <w:tr w:rsidR="00350498" w:rsidRPr="00521832" w14:paraId="374DD5D1" w14:textId="77777777" w:rsidTr="007F30CA">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33BEBC62" w14:textId="77777777" w:rsidR="00350498" w:rsidRPr="00521832" w:rsidRDefault="00350498" w:rsidP="007F30CA">
            <w:pPr>
              <w:pStyle w:val="TableText"/>
              <w:keepNext/>
              <w:ind w:left="492" w:hanging="492"/>
            </w:pPr>
            <w:r w:rsidRPr="00521832">
              <w:t>(b)</w:t>
            </w:r>
            <w:r w:rsidRPr="00521832">
              <w:tab/>
              <w:t>Continuing decline observed, estimated, inferred or projected in any of: (</w:t>
            </w:r>
            <w:proofErr w:type="spellStart"/>
            <w:r w:rsidRPr="00521832">
              <w:t>i</w:t>
            </w:r>
            <w:proofErr w:type="spellEnd"/>
            <w:r w:rsidRPr="00521832">
              <w:t>) extent of occurrence; (ii) area of occupancy; (iii) area, extent and/or quality of habitat; (iv) number of locations or subpopulations; (v) number of mature individuals</w:t>
            </w:r>
          </w:p>
        </w:tc>
      </w:tr>
      <w:tr w:rsidR="00350498" w:rsidRPr="00521832" w14:paraId="5434A10D" w14:textId="77777777" w:rsidTr="007F30CA">
        <w:tc>
          <w:tcPr>
            <w:tcW w:w="10738" w:type="dxa"/>
            <w:gridSpan w:val="4"/>
            <w:tcBorders>
              <w:top w:val="single" w:sz="4" w:space="0" w:color="FFFFFF" w:themeColor="background1"/>
            </w:tcBorders>
            <w:shd w:val="clear" w:color="auto" w:fill="BFBFBF" w:themeFill="background1" w:themeFillShade="BF"/>
          </w:tcPr>
          <w:p w14:paraId="40108114" w14:textId="77777777" w:rsidR="00350498" w:rsidRPr="00521832" w:rsidRDefault="00350498" w:rsidP="007F30CA">
            <w:pPr>
              <w:pStyle w:val="TableText"/>
              <w:ind w:left="492" w:hanging="492"/>
            </w:pPr>
            <w:r w:rsidRPr="00521832">
              <w:t>(c)</w:t>
            </w:r>
            <w:r w:rsidRPr="00521832">
              <w:tab/>
              <w:t>Extreme fluctuations in any of: (</w:t>
            </w:r>
            <w:proofErr w:type="spellStart"/>
            <w:r w:rsidRPr="00521832">
              <w:t>i</w:t>
            </w:r>
            <w:proofErr w:type="spellEnd"/>
            <w:r w:rsidRPr="00521832">
              <w:t>) extent of occurrence; (ii) area of occupancy; (iii) number of locations or subpopulations; (iv) number of mature individuals</w:t>
            </w:r>
          </w:p>
        </w:tc>
      </w:tr>
    </w:tbl>
    <w:p w14:paraId="02133FD3" w14:textId="77777777" w:rsidR="00350498" w:rsidRPr="00521832" w:rsidRDefault="00350498" w:rsidP="00350498">
      <w:pPr>
        <w:pStyle w:val="Heading3"/>
        <w:spacing w:before="240"/>
        <w:ind w:left="964" w:hanging="964"/>
        <w:rPr>
          <w:lang w:eastAsia="ja-JP"/>
        </w:rPr>
      </w:pPr>
      <w:r w:rsidRPr="00521832">
        <w:rPr>
          <w:lang w:eastAsia="ja-JP"/>
        </w:rPr>
        <w:t>Criterion 2 evidence</w:t>
      </w:r>
    </w:p>
    <w:p w14:paraId="37843BCC" w14:textId="77777777" w:rsidR="00350498" w:rsidRPr="00B34235" w:rsidRDefault="00350498" w:rsidP="00350498">
      <w:pPr>
        <w:rPr>
          <w:lang w:eastAsia="ja-JP"/>
        </w:rPr>
      </w:pPr>
      <w:r w:rsidRPr="00B34235">
        <w:rPr>
          <w:rStyle w:val="Strong"/>
        </w:rPr>
        <w:t>Eligible under Criterion 2</w:t>
      </w:r>
      <w:r w:rsidRPr="00B34235">
        <w:rPr>
          <w:lang w:eastAsia="ja-JP"/>
        </w:rPr>
        <w:t xml:space="preserve"> </w:t>
      </w:r>
      <w:r w:rsidRPr="00B34235">
        <w:rPr>
          <w:b/>
          <w:bCs/>
          <w:lang w:eastAsia="ja-JP"/>
        </w:rPr>
        <w:t>B2ab(iii)</w:t>
      </w:r>
      <w:r w:rsidRPr="00B34235">
        <w:rPr>
          <w:lang w:eastAsia="ja-JP"/>
        </w:rPr>
        <w:t xml:space="preserve"> </w:t>
      </w:r>
      <w:r w:rsidRPr="00B34235">
        <w:rPr>
          <w:rStyle w:val="Strong"/>
        </w:rPr>
        <w:t>for listing as</w:t>
      </w:r>
      <w:r w:rsidRPr="00B34235">
        <w:rPr>
          <w:lang w:eastAsia="ja-JP"/>
        </w:rPr>
        <w:t xml:space="preserve"> </w:t>
      </w:r>
      <w:sdt>
        <w:sdtPr>
          <w:rPr>
            <w:b/>
            <w:bCs/>
          </w:rPr>
          <w:id w:val="1779288282"/>
          <w:placeholder>
            <w:docPart w:val="E76F24B8DA584E8A90775357FF189B5A"/>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Pr>
              <w:b/>
              <w:bCs/>
            </w:rPr>
            <w:t>Endangered</w:t>
          </w:r>
        </w:sdtContent>
      </w:sdt>
    </w:p>
    <w:p w14:paraId="66F6D927" w14:textId="77777777" w:rsidR="00350498" w:rsidRPr="00521832" w:rsidRDefault="00350498" w:rsidP="00350498">
      <w:pPr>
        <w:pStyle w:val="Heading4"/>
        <w:rPr>
          <w:lang w:eastAsia="ja-JP"/>
        </w:rPr>
      </w:pPr>
      <w:r>
        <w:rPr>
          <w:lang w:eastAsia="ja-JP"/>
        </w:rPr>
        <w:t>E</w:t>
      </w:r>
      <w:r w:rsidRPr="00CC5636">
        <w:rPr>
          <w:lang w:eastAsia="ja-JP"/>
        </w:rPr>
        <w:t>xtent of occurrence</w:t>
      </w:r>
    </w:p>
    <w:p w14:paraId="26F5880F" w14:textId="77777777" w:rsidR="00350498" w:rsidRDefault="00350498" w:rsidP="00350498">
      <w:pPr>
        <w:rPr>
          <w:lang w:eastAsia="ja-JP"/>
        </w:rPr>
      </w:pPr>
      <w:r w:rsidRPr="00CC5636">
        <w:rPr>
          <w:lang w:eastAsia="ja-JP"/>
        </w:rPr>
        <w:t xml:space="preserve">The EOO for </w:t>
      </w:r>
      <w:r>
        <w:rPr>
          <w:lang w:eastAsia="ja-JP"/>
        </w:rPr>
        <w:t>the non-parasitic lamprey</w:t>
      </w:r>
      <w:r w:rsidRPr="00CC5636">
        <w:rPr>
          <w:lang w:eastAsia="ja-JP"/>
        </w:rPr>
        <w:t xml:space="preserve"> has been calculated as a range between </w:t>
      </w:r>
      <w:r>
        <w:rPr>
          <w:lang w:eastAsia="ja-JP"/>
        </w:rPr>
        <w:t xml:space="preserve">245,900 </w:t>
      </w:r>
      <w:r w:rsidRPr="00CC5636">
        <w:rPr>
          <w:lang w:eastAsia="ja-JP"/>
        </w:rPr>
        <w:t>km</w:t>
      </w:r>
      <w:r w:rsidRPr="00CC5636">
        <w:rPr>
          <w:vertAlign w:val="superscript"/>
          <w:lang w:eastAsia="ja-JP"/>
        </w:rPr>
        <w:t xml:space="preserve">2 </w:t>
      </w:r>
      <w:r w:rsidRPr="00CC5636">
        <w:rPr>
          <w:lang w:eastAsia="ja-JP"/>
        </w:rPr>
        <w:t xml:space="preserve">and </w:t>
      </w:r>
      <w:r>
        <w:rPr>
          <w:lang w:eastAsia="ja-JP"/>
        </w:rPr>
        <w:t xml:space="preserve">266,200 </w:t>
      </w:r>
      <w:r w:rsidRPr="00CC5636">
        <w:rPr>
          <w:lang w:eastAsia="ja-JP"/>
        </w:rPr>
        <w:t>km</w:t>
      </w:r>
      <w:r w:rsidRPr="00CC5636">
        <w:rPr>
          <w:vertAlign w:val="superscript"/>
          <w:lang w:eastAsia="ja-JP"/>
        </w:rPr>
        <w:t>2</w:t>
      </w:r>
      <w:r w:rsidRPr="00CC5636">
        <w:rPr>
          <w:lang w:eastAsia="ja-JP"/>
        </w:rPr>
        <w:t xml:space="preserve"> (see Table </w:t>
      </w:r>
      <w:r>
        <w:rPr>
          <w:lang w:eastAsia="ja-JP"/>
        </w:rPr>
        <w:t>4). The widely distributed nature of the species means that the EOO is well above the threshold value for a listing (</w:t>
      </w:r>
      <w:r w:rsidRPr="00CC5636">
        <w:rPr>
          <w:lang w:eastAsia="ja-JP"/>
        </w:rPr>
        <w:t>20</w:t>
      </w:r>
      <w:r>
        <w:rPr>
          <w:lang w:eastAsia="ja-JP"/>
        </w:rPr>
        <w:t>,</w:t>
      </w:r>
      <w:r w:rsidRPr="00CC5636">
        <w:rPr>
          <w:lang w:eastAsia="ja-JP"/>
        </w:rPr>
        <w:t>000 km</w:t>
      </w:r>
      <w:r w:rsidRPr="00CC5636">
        <w:rPr>
          <w:vertAlign w:val="superscript"/>
          <w:lang w:eastAsia="ja-JP"/>
        </w:rPr>
        <w:t>2</w:t>
      </w:r>
      <w:r>
        <w:rPr>
          <w:lang w:eastAsia="ja-JP"/>
        </w:rPr>
        <w:t xml:space="preserve"> f</w:t>
      </w:r>
      <w:r w:rsidRPr="00CC5636">
        <w:rPr>
          <w:lang w:eastAsia="ja-JP"/>
        </w:rPr>
        <w:t>or Vulnerable)</w:t>
      </w:r>
      <w:r>
        <w:rPr>
          <w:lang w:eastAsia="ja-JP"/>
        </w:rPr>
        <w:t>;</w:t>
      </w:r>
      <w:r w:rsidRPr="00CC5636">
        <w:rPr>
          <w:lang w:eastAsia="ja-JP"/>
        </w:rPr>
        <w:t xml:space="preserve"> therefore</w:t>
      </w:r>
      <w:r>
        <w:rPr>
          <w:lang w:eastAsia="ja-JP"/>
        </w:rPr>
        <w:t>,</w:t>
      </w:r>
      <w:r w:rsidRPr="00CC5636">
        <w:rPr>
          <w:lang w:eastAsia="ja-JP"/>
        </w:rPr>
        <w:t xml:space="preserve"> </w:t>
      </w:r>
      <w:r>
        <w:rPr>
          <w:lang w:eastAsia="ja-JP"/>
        </w:rPr>
        <w:t>the non-parasitic lamprey</w:t>
      </w:r>
      <w:r w:rsidRPr="00CC5636">
        <w:rPr>
          <w:lang w:eastAsia="ja-JP"/>
        </w:rPr>
        <w:t xml:space="preserve"> is not eligible for listing under sub-criterion B1.</w:t>
      </w:r>
    </w:p>
    <w:p w14:paraId="34716797" w14:textId="77777777" w:rsidR="00350498" w:rsidRDefault="00350498" w:rsidP="00350498">
      <w:pPr>
        <w:pStyle w:val="Heading4"/>
        <w:rPr>
          <w:lang w:eastAsia="ja-JP"/>
        </w:rPr>
      </w:pPr>
      <w:r>
        <w:rPr>
          <w:lang w:eastAsia="ja-JP"/>
        </w:rPr>
        <w:t>A</w:t>
      </w:r>
      <w:r w:rsidRPr="00CC5636">
        <w:rPr>
          <w:lang w:eastAsia="ja-JP"/>
        </w:rPr>
        <w:t>rea of occupancy</w:t>
      </w:r>
    </w:p>
    <w:p w14:paraId="7D9FD1E9" w14:textId="77777777" w:rsidR="00350498" w:rsidRDefault="00350498" w:rsidP="00350498">
      <w:pPr>
        <w:rPr>
          <w:lang w:eastAsia="ja-JP"/>
        </w:rPr>
      </w:pPr>
      <w:r w:rsidRPr="00CC5636">
        <w:rPr>
          <w:lang w:eastAsia="ja-JP"/>
        </w:rPr>
        <w:t xml:space="preserve">The </w:t>
      </w:r>
      <w:r>
        <w:rPr>
          <w:lang w:eastAsia="ja-JP"/>
        </w:rPr>
        <w:t>A</w:t>
      </w:r>
      <w:r w:rsidRPr="00CC5636">
        <w:rPr>
          <w:lang w:eastAsia="ja-JP"/>
        </w:rPr>
        <w:t xml:space="preserve">OO for </w:t>
      </w:r>
      <w:r>
        <w:rPr>
          <w:lang w:eastAsia="ja-JP"/>
        </w:rPr>
        <w:t>the non-parasitic lamprey</w:t>
      </w:r>
      <w:r w:rsidRPr="00CC5636">
        <w:rPr>
          <w:lang w:eastAsia="ja-JP"/>
        </w:rPr>
        <w:t xml:space="preserve"> has been calculated as </w:t>
      </w:r>
      <w:r>
        <w:rPr>
          <w:lang w:eastAsia="ja-JP"/>
        </w:rPr>
        <w:t xml:space="preserve">36 </w:t>
      </w:r>
      <w:r w:rsidRPr="00CC5636">
        <w:rPr>
          <w:lang w:eastAsia="ja-JP"/>
        </w:rPr>
        <w:t>km</w:t>
      </w:r>
      <w:r w:rsidRPr="00CC5636">
        <w:rPr>
          <w:vertAlign w:val="superscript"/>
          <w:lang w:eastAsia="ja-JP"/>
        </w:rPr>
        <w:t xml:space="preserve">2 </w:t>
      </w:r>
      <w:r w:rsidRPr="00CC5636">
        <w:rPr>
          <w:lang w:eastAsia="ja-JP"/>
        </w:rPr>
        <w:t xml:space="preserve">(see Table </w:t>
      </w:r>
      <w:r>
        <w:rPr>
          <w:lang w:eastAsia="ja-JP"/>
        </w:rPr>
        <w:t xml:space="preserve">4). </w:t>
      </w:r>
      <w:r w:rsidRPr="00ED378E">
        <w:rPr>
          <w:lang w:eastAsia="ja-JP"/>
        </w:rPr>
        <w:t>However, it is unlikely this represents all existing sites due to the likely misidentification of larvae with those of the near</w:t>
      </w:r>
      <w:r>
        <w:rPr>
          <w:lang w:eastAsia="ja-JP"/>
        </w:rPr>
        <w:t>ly</w:t>
      </w:r>
      <w:r w:rsidRPr="00ED378E">
        <w:rPr>
          <w:lang w:eastAsia="ja-JP"/>
        </w:rPr>
        <w:t xml:space="preserve"> identical </w:t>
      </w:r>
      <w:r>
        <w:rPr>
          <w:lang w:eastAsia="ja-JP"/>
        </w:rPr>
        <w:t>short-headed lamprey</w:t>
      </w:r>
      <w:r w:rsidRPr="00ED378E">
        <w:rPr>
          <w:lang w:eastAsia="ja-JP"/>
        </w:rPr>
        <w:t xml:space="preserve"> and the cryptic nature of both larvae and adults. Difficulty in detecting the species is compounded by the uncertainty surrounding habitat preferences and the use of inappropriate survey methods, as well as a limited survey effort to date. Gilligan (2019b) assumed a maximum value of 200 km</w:t>
      </w:r>
      <w:r w:rsidRPr="00FD4414">
        <w:rPr>
          <w:vertAlign w:val="superscript"/>
          <w:lang w:eastAsia="ja-JP"/>
        </w:rPr>
        <w:t>2</w:t>
      </w:r>
      <w:r w:rsidRPr="00ED378E">
        <w:rPr>
          <w:lang w:eastAsia="ja-JP"/>
        </w:rPr>
        <w:t xml:space="preserve"> for this species, although this did not incorporate any possible site extinctions caused by the 2019–20 bushfires. Both </w:t>
      </w:r>
      <w:r>
        <w:rPr>
          <w:lang w:eastAsia="ja-JP"/>
        </w:rPr>
        <w:t xml:space="preserve">of </w:t>
      </w:r>
      <w:r w:rsidRPr="00ED378E">
        <w:rPr>
          <w:lang w:eastAsia="ja-JP"/>
        </w:rPr>
        <w:t>these values meet the threshold for listing as Endangered under sub criterion B2.</w:t>
      </w:r>
    </w:p>
    <w:p w14:paraId="7744D17A" w14:textId="77777777" w:rsidR="00350498" w:rsidRDefault="00350498" w:rsidP="00350498">
      <w:pPr>
        <w:pStyle w:val="Heading4"/>
        <w:rPr>
          <w:lang w:eastAsia="ja-JP"/>
        </w:rPr>
      </w:pPr>
      <w:r>
        <w:rPr>
          <w:lang w:eastAsia="ja-JP"/>
        </w:rPr>
        <w:t>Locations</w:t>
      </w:r>
    </w:p>
    <w:p w14:paraId="26251CA6" w14:textId="77777777" w:rsidR="00350498" w:rsidRDefault="00350498" w:rsidP="00350498">
      <w:pPr>
        <w:rPr>
          <w:lang w:eastAsia="ja-JP"/>
        </w:rPr>
      </w:pPr>
      <w:r w:rsidRPr="00CC5636">
        <w:rPr>
          <w:lang w:eastAsia="ja-JP"/>
        </w:rPr>
        <w:t>The</w:t>
      </w:r>
      <w:r>
        <w:rPr>
          <w:lang w:eastAsia="ja-JP"/>
        </w:rPr>
        <w:t xml:space="preserve">re are five locations for the non-parasitic lamprey, based on geographical isolation and </w:t>
      </w:r>
      <w:r w:rsidRPr="001A73EE">
        <w:rPr>
          <w:lang w:eastAsia="ja-JP"/>
        </w:rPr>
        <w:t>distinct local threats (</w:t>
      </w:r>
      <w:r>
        <w:rPr>
          <w:lang w:eastAsia="ja-JP"/>
        </w:rPr>
        <w:t xml:space="preserve">Table 5). </w:t>
      </w:r>
    </w:p>
    <w:p w14:paraId="78C8D25C" w14:textId="77777777" w:rsidR="00350498" w:rsidRDefault="00350498" w:rsidP="00350498">
      <w:pPr>
        <w:pStyle w:val="Heading4"/>
        <w:rPr>
          <w:lang w:eastAsia="ja-JP"/>
        </w:rPr>
      </w:pPr>
      <w:r>
        <w:rPr>
          <w:lang w:eastAsia="ja-JP"/>
        </w:rPr>
        <w:t>Continuing decline</w:t>
      </w:r>
    </w:p>
    <w:p w14:paraId="4B3B0D41" w14:textId="77777777" w:rsidR="00350498" w:rsidRDefault="00350498" w:rsidP="00350498">
      <w:pPr>
        <w:rPr>
          <w:lang w:eastAsia="ja-JP"/>
        </w:rPr>
      </w:pPr>
      <w:r>
        <w:rPr>
          <w:lang w:eastAsia="ja-JP"/>
        </w:rPr>
        <w:t>Data for this species are limited, however there is likely an inferred and projected continuing decline in the</w:t>
      </w:r>
      <w:r w:rsidRPr="00BC7F60">
        <w:rPr>
          <w:lang w:eastAsia="ja-JP"/>
        </w:rPr>
        <w:t xml:space="preserve"> area, extent and/or quality of habitat</w:t>
      </w:r>
      <w:r>
        <w:rPr>
          <w:lang w:eastAsia="ja-JP"/>
        </w:rPr>
        <w:t xml:space="preserve"> at all locations except Water Park Creek, largely due to h</w:t>
      </w:r>
      <w:r w:rsidRPr="00694EA1">
        <w:rPr>
          <w:lang w:eastAsia="ja-JP"/>
        </w:rPr>
        <w:t>abitat degradation/loss</w:t>
      </w:r>
      <w:r>
        <w:rPr>
          <w:lang w:eastAsia="ja-JP"/>
        </w:rPr>
        <w:t xml:space="preserve"> (</w:t>
      </w:r>
      <w:r>
        <w:t xml:space="preserve">sedimentation, water quality). Also, </w:t>
      </w:r>
      <w:r>
        <w:rPr>
          <w:lang w:eastAsia="ja-JP"/>
        </w:rPr>
        <w:t>there are possible continuing declines in the area of occupancy</w:t>
      </w:r>
      <w:r w:rsidRPr="00BC7F60">
        <w:rPr>
          <w:lang w:eastAsia="ja-JP"/>
        </w:rPr>
        <w:t xml:space="preserve"> </w:t>
      </w:r>
      <w:r>
        <w:rPr>
          <w:lang w:eastAsia="ja-JP"/>
        </w:rPr>
        <w:t xml:space="preserve">and </w:t>
      </w:r>
      <w:r w:rsidRPr="00BC7F60">
        <w:rPr>
          <w:lang w:eastAsia="ja-JP"/>
        </w:rPr>
        <w:t>number of mature individuals</w:t>
      </w:r>
      <w:r>
        <w:rPr>
          <w:lang w:eastAsia="ja-JP"/>
        </w:rPr>
        <w:t xml:space="preserve">. </w:t>
      </w:r>
    </w:p>
    <w:p w14:paraId="33785DF1" w14:textId="77777777" w:rsidR="00350498" w:rsidRPr="003F2DC4" w:rsidRDefault="00350498" w:rsidP="00350498">
      <w:pPr>
        <w:rPr>
          <w:rFonts w:cs="Arial"/>
        </w:rPr>
      </w:pPr>
      <w:r w:rsidRPr="003F2DC4">
        <w:rPr>
          <w:lang w:eastAsia="ja-JP"/>
        </w:rPr>
        <w:lastRenderedPageBreak/>
        <w:t>The Committee considers that while the non-parasitic lamprey does not qualify for listing under sub-criterion B1 (EOO), it does appear to qualify under B2 given an AOO &lt; 500 km</w:t>
      </w:r>
      <w:r w:rsidRPr="003F2DC4">
        <w:rPr>
          <w:vertAlign w:val="superscript"/>
          <w:lang w:eastAsia="ja-JP"/>
        </w:rPr>
        <w:t>2</w:t>
      </w:r>
      <w:r w:rsidRPr="003F2DC4">
        <w:rPr>
          <w:lang w:eastAsia="ja-JP"/>
        </w:rPr>
        <w:t xml:space="preserve">, five locations, and a continuing decline. This suggests that the non-parasitic lamprey meets the criteria for listing as </w:t>
      </w:r>
      <w:r w:rsidRPr="003F2DC4">
        <w:rPr>
          <w:b/>
          <w:bCs/>
          <w:lang w:eastAsia="ja-JP"/>
        </w:rPr>
        <w:t>Endangered (B2ab(iii))</w:t>
      </w:r>
      <w:r w:rsidRPr="003F2DC4">
        <w:rPr>
          <w:lang w:eastAsia="ja-JP"/>
        </w:rPr>
        <w:t>.</w:t>
      </w:r>
      <w:r w:rsidRPr="003F2DC4">
        <w:t xml:space="preserve"> </w:t>
      </w:r>
      <w:r w:rsidRPr="003F2DC4">
        <w:rPr>
          <w:rFonts w:cs="Arial"/>
        </w:rPr>
        <w:t xml:space="preserve">However, the purpose of this consultation document is to elicit additional information to better understand the species’ status. This conclusion should therefore be considered to be tentative at this stage, as it may be changed as a result of responses to this consultation process. </w:t>
      </w:r>
    </w:p>
    <w:p w14:paraId="2BB8AC89" w14:textId="77777777" w:rsidR="00350498" w:rsidRPr="00521832" w:rsidRDefault="00350498" w:rsidP="00350498">
      <w:pPr>
        <w:pStyle w:val="Caption"/>
        <w:rPr>
          <w:lang w:eastAsia="ja-JP"/>
        </w:rPr>
      </w:pPr>
      <w:r w:rsidRPr="00521832">
        <w:rPr>
          <w:lang w:eastAsia="ja-JP"/>
        </w:rPr>
        <w:t>Criterion 3 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58"/>
        <w:gridCol w:w="1921"/>
        <w:gridCol w:w="1825"/>
        <w:gridCol w:w="1893"/>
      </w:tblGrid>
      <w:tr w:rsidR="00350498" w:rsidRPr="00521832" w14:paraId="67A5D25D" w14:textId="77777777" w:rsidTr="007F30CA">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6BFD045" w14:textId="77777777" w:rsidR="00350498" w:rsidRPr="00521832" w:rsidRDefault="00350498" w:rsidP="007F30CA">
            <w:pPr>
              <w:keepNext/>
              <w:tabs>
                <w:tab w:val="left" w:pos="284"/>
              </w:tabs>
              <w:rPr>
                <w:rFonts w:ascii="Arial" w:hAnsi="Arial" w:cs="Arial"/>
                <w:b/>
              </w:rPr>
            </w:pPr>
          </w:p>
        </w:tc>
      </w:tr>
      <w:tr w:rsidR="00350498" w:rsidRPr="00521832" w14:paraId="4D47BCF7" w14:textId="77777777" w:rsidTr="007F30CA">
        <w:tc>
          <w:tcPr>
            <w:tcW w:w="3395" w:type="dxa"/>
            <w:gridSpan w:val="2"/>
            <w:tcBorders>
              <w:top w:val="nil"/>
              <w:left w:val="single" w:sz="4" w:space="0" w:color="auto"/>
              <w:bottom w:val="nil"/>
              <w:right w:val="nil"/>
            </w:tcBorders>
          </w:tcPr>
          <w:p w14:paraId="5F8417D2" w14:textId="77777777" w:rsidR="00350498" w:rsidRPr="00521832" w:rsidRDefault="00350498" w:rsidP="007F30CA">
            <w:pPr>
              <w:pStyle w:val="TableText"/>
              <w:keepNext/>
            </w:pPr>
            <w:r w:rsidRPr="00521832">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6992AB8D" w14:textId="77777777" w:rsidR="00350498" w:rsidRPr="00521832" w:rsidRDefault="00350498" w:rsidP="007F30CA">
            <w:pPr>
              <w:pStyle w:val="TableText"/>
              <w:keepNext/>
              <w:rPr>
                <w:b/>
              </w:rPr>
            </w:pPr>
            <w:r w:rsidRPr="00521832">
              <w:rPr>
                <w:b/>
              </w:rPr>
              <w:t>Critically Endangered</w:t>
            </w:r>
          </w:p>
          <w:p w14:paraId="3ACC3F60" w14:textId="77777777" w:rsidR="00350498" w:rsidRPr="00521832" w:rsidRDefault="00350498" w:rsidP="007F30CA">
            <w:pPr>
              <w:pStyle w:val="TableText"/>
              <w:keepNext/>
              <w:rPr>
                <w:b/>
              </w:rPr>
            </w:pPr>
            <w:r w:rsidRPr="00521832">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8A82914" w14:textId="77777777" w:rsidR="00350498" w:rsidRPr="00521832" w:rsidRDefault="00350498" w:rsidP="007F30CA">
            <w:pPr>
              <w:pStyle w:val="TableText"/>
              <w:keepNext/>
              <w:rPr>
                <w:b/>
              </w:rPr>
            </w:pPr>
            <w:r w:rsidRPr="00521832">
              <w:rPr>
                <w:b/>
              </w:rPr>
              <w:t>Endangered</w:t>
            </w:r>
          </w:p>
          <w:p w14:paraId="763CD0FC" w14:textId="77777777" w:rsidR="00350498" w:rsidRPr="00521832" w:rsidRDefault="00350498" w:rsidP="007F30CA">
            <w:pPr>
              <w:pStyle w:val="TableText"/>
              <w:keepNext/>
              <w:rPr>
                <w:b/>
              </w:rPr>
            </w:pPr>
            <w:r w:rsidRPr="00521832">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162A42E5" w14:textId="77777777" w:rsidR="00350498" w:rsidRPr="00521832" w:rsidRDefault="00350498" w:rsidP="007F30CA">
            <w:pPr>
              <w:pStyle w:val="TableText"/>
              <w:keepNext/>
              <w:rPr>
                <w:b/>
              </w:rPr>
            </w:pPr>
            <w:r w:rsidRPr="00521832">
              <w:rPr>
                <w:b/>
              </w:rPr>
              <w:t>Vulnerable</w:t>
            </w:r>
          </w:p>
          <w:p w14:paraId="6E54FBAB" w14:textId="77777777" w:rsidR="00350498" w:rsidRPr="00521832" w:rsidRDefault="00350498" w:rsidP="007F30CA">
            <w:pPr>
              <w:pStyle w:val="TableText"/>
              <w:keepNext/>
              <w:rPr>
                <w:b/>
              </w:rPr>
            </w:pPr>
            <w:r w:rsidRPr="00521832">
              <w:rPr>
                <w:b/>
              </w:rPr>
              <w:t>Limited</w:t>
            </w:r>
          </w:p>
        </w:tc>
      </w:tr>
      <w:tr w:rsidR="00350498" w:rsidRPr="00521832" w14:paraId="65E57F81" w14:textId="77777777" w:rsidTr="007F30CA">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42934A8" w14:textId="77777777" w:rsidR="00350498" w:rsidRPr="00521832" w:rsidRDefault="00350498" w:rsidP="007F30CA">
            <w:pPr>
              <w:pStyle w:val="TableText"/>
              <w:keepNext/>
            </w:pPr>
            <w:r w:rsidRPr="00521832">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4BD60492" w14:textId="77777777" w:rsidR="00350498" w:rsidRPr="00521832" w:rsidRDefault="00350498" w:rsidP="007F30CA">
            <w:pPr>
              <w:pStyle w:val="TableText"/>
              <w:keepNext/>
              <w:rPr>
                <w:b/>
              </w:rPr>
            </w:pPr>
            <w:r w:rsidRPr="00521832">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C7A3253" w14:textId="77777777" w:rsidR="00350498" w:rsidRPr="00521832" w:rsidRDefault="00350498" w:rsidP="007F30CA">
            <w:pPr>
              <w:pStyle w:val="TableText"/>
              <w:keepNext/>
            </w:pPr>
            <w:r w:rsidRPr="00521832">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6E97977" w14:textId="77777777" w:rsidR="00350498" w:rsidRPr="00521832" w:rsidRDefault="00350498" w:rsidP="007F30CA">
            <w:pPr>
              <w:pStyle w:val="TableText"/>
              <w:keepNext/>
            </w:pPr>
            <w:r w:rsidRPr="00521832">
              <w:rPr>
                <w:b/>
              </w:rPr>
              <w:t xml:space="preserve">&lt; 10,000 </w:t>
            </w:r>
          </w:p>
        </w:tc>
      </w:tr>
      <w:tr w:rsidR="00350498" w:rsidRPr="00521832" w14:paraId="6ABE8753" w14:textId="77777777" w:rsidTr="007F30CA">
        <w:tc>
          <w:tcPr>
            <w:tcW w:w="3395" w:type="dxa"/>
            <w:gridSpan w:val="2"/>
            <w:tcBorders>
              <w:top w:val="nil"/>
              <w:left w:val="single" w:sz="4" w:space="0" w:color="auto"/>
              <w:bottom w:val="single" w:sz="4" w:space="0" w:color="FFFFFF" w:themeColor="background1"/>
              <w:right w:val="nil"/>
            </w:tcBorders>
            <w:shd w:val="clear" w:color="auto" w:fill="auto"/>
          </w:tcPr>
          <w:p w14:paraId="30595753" w14:textId="77777777" w:rsidR="00350498" w:rsidRPr="00521832" w:rsidRDefault="00350498" w:rsidP="007F30CA">
            <w:pPr>
              <w:pStyle w:val="TableText"/>
              <w:keepNext/>
            </w:pPr>
            <w:r w:rsidRPr="00521832">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6E77CE5C" w14:textId="77777777" w:rsidR="00350498" w:rsidRPr="00521832" w:rsidRDefault="00350498" w:rsidP="007F30CA">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5349D01" w14:textId="77777777" w:rsidR="00350498" w:rsidRPr="00521832" w:rsidRDefault="00350498" w:rsidP="007F30CA">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4E77F353" w14:textId="77777777" w:rsidR="00350498" w:rsidRPr="00521832" w:rsidRDefault="00350498" w:rsidP="007F30CA">
            <w:pPr>
              <w:pStyle w:val="TableText"/>
              <w:keepNext/>
              <w:rPr>
                <w:b/>
              </w:rPr>
            </w:pPr>
          </w:p>
        </w:tc>
      </w:tr>
      <w:tr w:rsidR="00350498" w:rsidRPr="00521832" w14:paraId="61AE8822" w14:textId="77777777" w:rsidTr="007F30CA">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A5A62A1" w14:textId="77777777" w:rsidR="00350498" w:rsidRPr="00521832" w:rsidRDefault="00350498" w:rsidP="007F30CA">
            <w:pPr>
              <w:pStyle w:val="TableText"/>
              <w:keepNext/>
              <w:ind w:left="334" w:hanging="334"/>
            </w:pPr>
            <w:r w:rsidRPr="00521832">
              <w:rPr>
                <w:rStyle w:val="Strong"/>
              </w:rPr>
              <w:t>C1.</w:t>
            </w:r>
            <w:r w:rsidRPr="00521832">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8868E68" w14:textId="77777777" w:rsidR="00350498" w:rsidRPr="00521832" w:rsidRDefault="00350498" w:rsidP="007F30CA">
            <w:pPr>
              <w:pStyle w:val="TableText"/>
              <w:keepNext/>
              <w:rPr>
                <w:b/>
              </w:rPr>
            </w:pPr>
            <w:r w:rsidRPr="00521832">
              <w:rPr>
                <w:b/>
              </w:rPr>
              <w:t>Very high rate</w:t>
            </w:r>
          </w:p>
          <w:p w14:paraId="0D121668" w14:textId="77777777" w:rsidR="00350498" w:rsidRPr="00521832" w:rsidRDefault="00350498" w:rsidP="007F30CA">
            <w:pPr>
              <w:pStyle w:val="TableText"/>
              <w:keepNext/>
              <w:rPr>
                <w:b/>
              </w:rPr>
            </w:pPr>
            <w:r w:rsidRPr="00521832">
              <w:rPr>
                <w:b/>
              </w:rPr>
              <w:t>25% in 3 years or 1 generation</w:t>
            </w:r>
          </w:p>
          <w:p w14:paraId="09F25978" w14:textId="77777777" w:rsidR="00350498" w:rsidRPr="00521832" w:rsidRDefault="00350498" w:rsidP="007F30CA">
            <w:pPr>
              <w:pStyle w:val="TableText"/>
              <w:keepNext/>
              <w:rPr>
                <w:b/>
              </w:rPr>
            </w:pPr>
            <w:r w:rsidRPr="00521832">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15F0139" w14:textId="77777777" w:rsidR="00350498" w:rsidRPr="00521832" w:rsidRDefault="00350498" w:rsidP="007F30CA">
            <w:pPr>
              <w:pStyle w:val="TableText"/>
              <w:keepNext/>
              <w:rPr>
                <w:b/>
              </w:rPr>
            </w:pPr>
            <w:r w:rsidRPr="00521832">
              <w:rPr>
                <w:b/>
              </w:rPr>
              <w:t>High rate</w:t>
            </w:r>
          </w:p>
          <w:p w14:paraId="24BEBD21" w14:textId="77777777" w:rsidR="00350498" w:rsidRPr="00521832" w:rsidRDefault="00350498" w:rsidP="007F30CA">
            <w:pPr>
              <w:pStyle w:val="TableText"/>
              <w:keepNext/>
              <w:rPr>
                <w:b/>
              </w:rPr>
            </w:pPr>
            <w:r w:rsidRPr="00521832">
              <w:rPr>
                <w:b/>
              </w:rPr>
              <w:t>20% in 5 years or 2 generation</w:t>
            </w:r>
          </w:p>
          <w:p w14:paraId="446A5129" w14:textId="77777777" w:rsidR="00350498" w:rsidRPr="00521832" w:rsidRDefault="00350498" w:rsidP="007F30CA">
            <w:pPr>
              <w:pStyle w:val="TableText"/>
              <w:keepNext/>
              <w:rPr>
                <w:b/>
              </w:rPr>
            </w:pPr>
            <w:r w:rsidRPr="00521832">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3DB8783F" w14:textId="77777777" w:rsidR="00350498" w:rsidRPr="00521832" w:rsidRDefault="00350498" w:rsidP="007F30CA">
            <w:pPr>
              <w:pStyle w:val="TableText"/>
              <w:keepNext/>
              <w:rPr>
                <w:b/>
              </w:rPr>
            </w:pPr>
            <w:r w:rsidRPr="00521832">
              <w:rPr>
                <w:b/>
              </w:rPr>
              <w:t>Substantial rate</w:t>
            </w:r>
          </w:p>
          <w:p w14:paraId="68E9E75E" w14:textId="77777777" w:rsidR="00350498" w:rsidRPr="00521832" w:rsidRDefault="00350498" w:rsidP="007F30CA">
            <w:pPr>
              <w:pStyle w:val="TableText"/>
              <w:keepNext/>
              <w:rPr>
                <w:b/>
              </w:rPr>
            </w:pPr>
            <w:r w:rsidRPr="00521832">
              <w:rPr>
                <w:b/>
              </w:rPr>
              <w:t>10% in 10 years or 3 generations</w:t>
            </w:r>
          </w:p>
          <w:p w14:paraId="705E0339" w14:textId="77777777" w:rsidR="00350498" w:rsidRPr="00521832" w:rsidRDefault="00350498" w:rsidP="007F30CA">
            <w:pPr>
              <w:pStyle w:val="TableText"/>
              <w:keepNext/>
              <w:rPr>
                <w:b/>
              </w:rPr>
            </w:pPr>
            <w:r w:rsidRPr="00521832">
              <w:rPr>
                <w:b/>
              </w:rPr>
              <w:t>(whichever is longer)</w:t>
            </w:r>
          </w:p>
        </w:tc>
      </w:tr>
      <w:tr w:rsidR="00350498" w:rsidRPr="00521832" w14:paraId="5A10B90C" w14:textId="77777777" w:rsidTr="007F30CA">
        <w:tc>
          <w:tcPr>
            <w:tcW w:w="3395" w:type="dxa"/>
            <w:gridSpan w:val="2"/>
            <w:tcBorders>
              <w:top w:val="nil"/>
              <w:left w:val="single" w:sz="4" w:space="0" w:color="auto"/>
              <w:bottom w:val="nil"/>
              <w:right w:val="nil"/>
            </w:tcBorders>
            <w:shd w:val="clear" w:color="auto" w:fill="BFBFBF" w:themeFill="background1" w:themeFillShade="BF"/>
          </w:tcPr>
          <w:p w14:paraId="7FA965E0" w14:textId="77777777" w:rsidR="00350498" w:rsidRPr="00521832" w:rsidRDefault="00350498" w:rsidP="007F30CA">
            <w:pPr>
              <w:pStyle w:val="TableText"/>
              <w:keepNext/>
              <w:ind w:left="336" w:hanging="336"/>
            </w:pPr>
            <w:r w:rsidRPr="00521832">
              <w:rPr>
                <w:rStyle w:val="Strong"/>
              </w:rPr>
              <w:t>C2.</w:t>
            </w:r>
            <w:r w:rsidRPr="00521832">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20B6474D" w14:textId="77777777" w:rsidR="00350498" w:rsidRPr="00521832" w:rsidRDefault="00350498" w:rsidP="007F30CA">
            <w:pPr>
              <w:pStyle w:val="TableText"/>
              <w:keepNext/>
            </w:pPr>
          </w:p>
        </w:tc>
        <w:tc>
          <w:tcPr>
            <w:tcW w:w="1833" w:type="dxa"/>
            <w:tcBorders>
              <w:top w:val="nil"/>
              <w:left w:val="nil"/>
              <w:bottom w:val="nil"/>
              <w:right w:val="nil"/>
            </w:tcBorders>
          </w:tcPr>
          <w:p w14:paraId="0BDA1171" w14:textId="77777777" w:rsidR="00350498" w:rsidRPr="00521832" w:rsidRDefault="00350498" w:rsidP="007F30CA">
            <w:pPr>
              <w:pStyle w:val="TableText"/>
              <w:keepNext/>
            </w:pPr>
          </w:p>
        </w:tc>
        <w:tc>
          <w:tcPr>
            <w:tcW w:w="1902" w:type="dxa"/>
            <w:tcBorders>
              <w:top w:val="nil"/>
              <w:left w:val="nil"/>
              <w:bottom w:val="nil"/>
              <w:right w:val="single" w:sz="4" w:space="0" w:color="auto"/>
            </w:tcBorders>
          </w:tcPr>
          <w:p w14:paraId="47DBE5EE" w14:textId="77777777" w:rsidR="00350498" w:rsidRPr="00521832" w:rsidRDefault="00350498" w:rsidP="007F30CA">
            <w:pPr>
              <w:pStyle w:val="TableText"/>
              <w:keepNext/>
            </w:pPr>
          </w:p>
        </w:tc>
      </w:tr>
      <w:tr w:rsidR="00350498" w:rsidRPr="00521832" w14:paraId="21D1D47D" w14:textId="77777777" w:rsidTr="007F30CA">
        <w:tc>
          <w:tcPr>
            <w:tcW w:w="419" w:type="dxa"/>
            <w:vMerge w:val="restart"/>
            <w:tcBorders>
              <w:top w:val="nil"/>
              <w:left w:val="single" w:sz="4" w:space="0" w:color="auto"/>
              <w:right w:val="nil"/>
            </w:tcBorders>
            <w:shd w:val="clear" w:color="auto" w:fill="D9D9D9" w:themeFill="background1" w:themeFillShade="D9"/>
            <w:vAlign w:val="center"/>
          </w:tcPr>
          <w:p w14:paraId="4E97D62D" w14:textId="77777777" w:rsidR="00350498" w:rsidRPr="00521832" w:rsidRDefault="00350498" w:rsidP="007F30CA">
            <w:pPr>
              <w:pStyle w:val="TableText"/>
              <w:keepNext/>
            </w:pPr>
            <w:r w:rsidRPr="00521832">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32006DDD" w14:textId="77777777" w:rsidR="00350498" w:rsidRPr="00521832" w:rsidRDefault="00350498" w:rsidP="007F30CA">
            <w:pPr>
              <w:pStyle w:val="TableText"/>
              <w:keepNext/>
              <w:ind w:left="340" w:hanging="340"/>
            </w:pPr>
            <w:r w:rsidRPr="00521832">
              <w:t>(</w:t>
            </w:r>
            <w:proofErr w:type="spellStart"/>
            <w:r w:rsidRPr="00521832">
              <w:t>i</w:t>
            </w:r>
            <w:proofErr w:type="spellEnd"/>
            <w:r w:rsidRPr="00521832">
              <w:t>)</w:t>
            </w:r>
            <w:r w:rsidRPr="00521832">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583983E" w14:textId="77777777" w:rsidR="00350498" w:rsidRPr="00521832" w:rsidRDefault="00350498" w:rsidP="007F30CA">
            <w:pPr>
              <w:pStyle w:val="TableText"/>
              <w:keepNext/>
              <w:rPr>
                <w:b/>
              </w:rPr>
            </w:pPr>
            <w:r w:rsidRPr="00521832">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4745E03" w14:textId="77777777" w:rsidR="00350498" w:rsidRPr="00521832" w:rsidRDefault="00350498" w:rsidP="007F30CA">
            <w:pPr>
              <w:pStyle w:val="TableText"/>
              <w:keepNext/>
              <w:rPr>
                <w:b/>
              </w:rPr>
            </w:pPr>
            <w:r w:rsidRPr="00521832">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6F476A9C" w14:textId="77777777" w:rsidR="00350498" w:rsidRPr="00521832" w:rsidRDefault="00350498" w:rsidP="007F30CA">
            <w:pPr>
              <w:pStyle w:val="TableText"/>
              <w:keepNext/>
              <w:rPr>
                <w:b/>
              </w:rPr>
            </w:pPr>
            <w:r w:rsidRPr="00521832">
              <w:rPr>
                <w:b/>
              </w:rPr>
              <w:t>≤ 1,000</w:t>
            </w:r>
          </w:p>
        </w:tc>
      </w:tr>
      <w:tr w:rsidR="00350498" w:rsidRPr="00521832" w14:paraId="58DE555F" w14:textId="77777777" w:rsidTr="007F30CA">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09D195F5" w14:textId="77777777" w:rsidR="00350498" w:rsidRPr="00521832" w:rsidRDefault="00350498" w:rsidP="007F30CA">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72839D" w14:textId="77777777" w:rsidR="00350498" w:rsidRPr="00521832" w:rsidRDefault="00350498" w:rsidP="007F30CA">
            <w:pPr>
              <w:pStyle w:val="TableText"/>
              <w:keepNext/>
              <w:ind w:left="340" w:hanging="340"/>
            </w:pPr>
            <w:r w:rsidRPr="00521832">
              <w:t xml:space="preserve">(ii) </w:t>
            </w:r>
            <w:r w:rsidRPr="00521832">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C2FECEF" w14:textId="77777777" w:rsidR="00350498" w:rsidRPr="00521832" w:rsidRDefault="00350498" w:rsidP="007F30CA">
            <w:pPr>
              <w:pStyle w:val="TableText"/>
              <w:keepNext/>
              <w:rPr>
                <w:b/>
              </w:rPr>
            </w:pPr>
            <w:r w:rsidRPr="00521832">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5A170EF" w14:textId="77777777" w:rsidR="00350498" w:rsidRPr="00521832" w:rsidRDefault="00350498" w:rsidP="007F30CA">
            <w:pPr>
              <w:pStyle w:val="TableText"/>
              <w:keepNext/>
              <w:rPr>
                <w:b/>
              </w:rPr>
            </w:pPr>
            <w:r w:rsidRPr="00521832">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1D7627B7" w14:textId="77777777" w:rsidR="00350498" w:rsidRPr="00521832" w:rsidRDefault="00350498" w:rsidP="007F30CA">
            <w:pPr>
              <w:pStyle w:val="TableText"/>
              <w:keepNext/>
              <w:rPr>
                <w:b/>
              </w:rPr>
            </w:pPr>
            <w:r w:rsidRPr="00521832">
              <w:rPr>
                <w:b/>
              </w:rPr>
              <w:t>100%</w:t>
            </w:r>
          </w:p>
        </w:tc>
      </w:tr>
      <w:tr w:rsidR="00350498" w:rsidRPr="00521832" w14:paraId="593F99D1" w14:textId="77777777" w:rsidTr="007F30CA">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647DF8B3" w14:textId="77777777" w:rsidR="00350498" w:rsidRPr="00521832" w:rsidRDefault="00350498" w:rsidP="007F30CA">
            <w:pPr>
              <w:pStyle w:val="TableText"/>
              <w:keepNext/>
              <w:ind w:left="334" w:hanging="334"/>
            </w:pPr>
            <w:r w:rsidRPr="00521832">
              <w:t>(b)</w:t>
            </w:r>
            <w:r w:rsidRPr="00521832">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4FBAC70A" w14:textId="77777777" w:rsidR="00350498" w:rsidRPr="00521832" w:rsidRDefault="00350498" w:rsidP="007F30CA">
            <w:pPr>
              <w:pStyle w:val="TableText"/>
              <w:keepNext/>
            </w:pPr>
          </w:p>
        </w:tc>
        <w:tc>
          <w:tcPr>
            <w:tcW w:w="1833" w:type="dxa"/>
            <w:tcBorders>
              <w:top w:val="single" w:sz="4" w:space="0" w:color="FFFFFF" w:themeColor="background1"/>
              <w:left w:val="nil"/>
              <w:right w:val="nil"/>
            </w:tcBorders>
            <w:shd w:val="clear" w:color="auto" w:fill="auto"/>
          </w:tcPr>
          <w:p w14:paraId="4B72A692" w14:textId="77777777" w:rsidR="00350498" w:rsidRPr="00521832" w:rsidRDefault="00350498" w:rsidP="007F30CA">
            <w:pPr>
              <w:pStyle w:val="TableText"/>
              <w:keepNext/>
            </w:pPr>
          </w:p>
        </w:tc>
        <w:tc>
          <w:tcPr>
            <w:tcW w:w="1902" w:type="dxa"/>
            <w:tcBorders>
              <w:top w:val="single" w:sz="4" w:space="0" w:color="FFFFFF" w:themeColor="background1"/>
              <w:left w:val="nil"/>
              <w:right w:val="single" w:sz="4" w:space="0" w:color="auto"/>
            </w:tcBorders>
            <w:shd w:val="clear" w:color="auto" w:fill="auto"/>
          </w:tcPr>
          <w:p w14:paraId="086D0403" w14:textId="77777777" w:rsidR="00350498" w:rsidRPr="00521832" w:rsidRDefault="00350498" w:rsidP="007F30CA">
            <w:pPr>
              <w:pStyle w:val="TableText"/>
              <w:keepNext/>
            </w:pPr>
          </w:p>
        </w:tc>
      </w:tr>
    </w:tbl>
    <w:p w14:paraId="77FCBFA3" w14:textId="77777777" w:rsidR="00350498" w:rsidRPr="00521832" w:rsidRDefault="00350498" w:rsidP="00350498">
      <w:pPr>
        <w:pStyle w:val="Heading3"/>
        <w:spacing w:before="240"/>
        <w:ind w:left="964" w:hanging="964"/>
      </w:pPr>
      <w:r w:rsidRPr="00521832">
        <w:t>Criterion 3 evidence</w:t>
      </w:r>
    </w:p>
    <w:p w14:paraId="3650D2D1" w14:textId="77777777" w:rsidR="00350498" w:rsidRPr="00521832" w:rsidRDefault="00350498" w:rsidP="00350498">
      <w:pPr>
        <w:rPr>
          <w:rStyle w:val="Strong"/>
        </w:rPr>
      </w:pPr>
      <w:r w:rsidRPr="00521832">
        <w:rPr>
          <w:rStyle w:val="Strong"/>
        </w:rPr>
        <w:t xml:space="preserve">Insufficient data to determine eligibility </w:t>
      </w:r>
    </w:p>
    <w:p w14:paraId="55B4667A" w14:textId="77777777" w:rsidR="00350498" w:rsidRPr="003F2DC4" w:rsidRDefault="00350498" w:rsidP="00350498">
      <w:pPr>
        <w:rPr>
          <w:bCs/>
        </w:rPr>
      </w:pPr>
      <w:r w:rsidRPr="003F2DC4">
        <w:rPr>
          <w:bCs/>
        </w:rPr>
        <w:t>There is no estimate for the number of non-parasitic lamprey adults, as adults are very rarely encountered (</w:t>
      </w:r>
      <w:r w:rsidRPr="003F2DC4">
        <w:t>Miller et al. 2021</w:t>
      </w:r>
      <w:r w:rsidRPr="003F2DC4">
        <w:rPr>
          <w:bCs/>
        </w:rPr>
        <w:t>). However, the population is likely declining at most locations except Water Park Creek (see Criterion 1).</w:t>
      </w:r>
    </w:p>
    <w:p w14:paraId="04CC4C43" w14:textId="77777777" w:rsidR="00350498" w:rsidRPr="003F2DC4" w:rsidRDefault="00350498" w:rsidP="00350498">
      <w:r w:rsidRPr="003F2DC4">
        <w:rPr>
          <w:bCs/>
        </w:rPr>
        <w:t xml:space="preserve">The Committee considers the data presented above appear to demonstrate that there are </w:t>
      </w:r>
      <w:r w:rsidRPr="003F2DC4">
        <w:rPr>
          <w:b/>
        </w:rPr>
        <w:t>insufficient data</w:t>
      </w:r>
      <w:r w:rsidRPr="003F2DC4">
        <w:rPr>
          <w:bCs/>
        </w:rPr>
        <w:t xml:space="preserve"> to demonstrate if the species is eligible for listing under this criterion. However, the purpose of this conservation advice is to elicit additional information to better understand the species’</w:t>
      </w:r>
      <w:r w:rsidRPr="003F2DC4">
        <w:rPr>
          <w:rFonts w:eastAsia="Times New Roman" w:cs="Arial"/>
        </w:rPr>
        <w:t xml:space="preserve"> status. This conclusion should therefore be considered to be tentative at this stage, as it may be changed as a result of responses to this consultation process.</w:t>
      </w:r>
    </w:p>
    <w:p w14:paraId="2C965612" w14:textId="77777777" w:rsidR="00350498" w:rsidRPr="00521832" w:rsidRDefault="00350498" w:rsidP="00350498">
      <w:pPr>
        <w:pStyle w:val="Caption"/>
      </w:pPr>
      <w:r w:rsidRPr="00521832">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350498" w:rsidRPr="00521832" w14:paraId="665EB070" w14:textId="77777777" w:rsidTr="007F30CA">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1E70BF11" w14:textId="77777777" w:rsidR="00350498" w:rsidRPr="00521832" w:rsidRDefault="00350498" w:rsidP="007F30CA">
            <w:pPr>
              <w:pStyle w:val="TableText"/>
              <w:keepNext/>
            </w:pPr>
          </w:p>
        </w:tc>
      </w:tr>
      <w:tr w:rsidR="00350498" w:rsidRPr="00521832" w14:paraId="70A02240" w14:textId="77777777" w:rsidTr="007F30CA">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59A39A8B" w14:textId="77777777" w:rsidR="00350498" w:rsidRPr="00521832" w:rsidRDefault="00350498" w:rsidP="007F30CA">
            <w:pPr>
              <w:pStyle w:val="TableText"/>
              <w:keepNext/>
              <w:rPr>
                <w:szCs w:val="18"/>
              </w:rPr>
            </w:pPr>
            <w:r w:rsidRPr="00521832">
              <w:rPr>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746CA8E0" w14:textId="77777777" w:rsidR="00350498" w:rsidRPr="00521832" w:rsidRDefault="00350498" w:rsidP="007F30CA">
            <w:pPr>
              <w:pStyle w:val="TableText"/>
              <w:keepNext/>
              <w:rPr>
                <w:rStyle w:val="Strong"/>
              </w:rPr>
            </w:pPr>
            <w:r w:rsidRPr="00521832">
              <w:rPr>
                <w:rStyle w:val="Strong"/>
              </w:rPr>
              <w:t>Critically Endangered</w:t>
            </w:r>
          </w:p>
          <w:p w14:paraId="0797862D" w14:textId="77777777" w:rsidR="00350498" w:rsidRPr="00521832" w:rsidRDefault="00350498" w:rsidP="007F30CA">
            <w:pPr>
              <w:pStyle w:val="TableText"/>
              <w:keepNext/>
              <w:rPr>
                <w:rStyle w:val="Strong"/>
              </w:rPr>
            </w:pPr>
            <w:r w:rsidRPr="00521832">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B0315EE" w14:textId="77777777" w:rsidR="00350498" w:rsidRPr="00521832" w:rsidRDefault="00350498" w:rsidP="007F30CA">
            <w:pPr>
              <w:pStyle w:val="TableText"/>
              <w:keepNext/>
              <w:rPr>
                <w:rStyle w:val="Strong"/>
              </w:rPr>
            </w:pPr>
            <w:r w:rsidRPr="00521832">
              <w:rPr>
                <w:rStyle w:val="Strong"/>
              </w:rPr>
              <w:t>Endangered</w:t>
            </w:r>
          </w:p>
          <w:p w14:paraId="206D4466" w14:textId="77777777" w:rsidR="00350498" w:rsidRPr="00521832" w:rsidRDefault="00350498" w:rsidP="007F30CA">
            <w:pPr>
              <w:pStyle w:val="TableText"/>
              <w:keepNext/>
              <w:rPr>
                <w:rStyle w:val="Strong"/>
              </w:rPr>
            </w:pPr>
            <w:r w:rsidRPr="00521832">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1AE5B6FA" w14:textId="77777777" w:rsidR="00350498" w:rsidRPr="00521832" w:rsidRDefault="00350498" w:rsidP="007F30CA">
            <w:pPr>
              <w:pStyle w:val="TableText"/>
              <w:keepNext/>
              <w:rPr>
                <w:rStyle w:val="Strong"/>
              </w:rPr>
            </w:pPr>
            <w:r w:rsidRPr="00521832">
              <w:rPr>
                <w:rStyle w:val="Strong"/>
              </w:rPr>
              <w:t>Vulnerable</w:t>
            </w:r>
          </w:p>
          <w:p w14:paraId="79A957F4" w14:textId="77777777" w:rsidR="00350498" w:rsidRPr="00521832" w:rsidRDefault="00350498" w:rsidP="007F30CA">
            <w:pPr>
              <w:pStyle w:val="TableText"/>
              <w:keepNext/>
              <w:rPr>
                <w:rStyle w:val="Strong"/>
              </w:rPr>
            </w:pPr>
            <w:r w:rsidRPr="00521832">
              <w:rPr>
                <w:rStyle w:val="Strong"/>
              </w:rPr>
              <w:t>Low</w:t>
            </w:r>
          </w:p>
        </w:tc>
      </w:tr>
      <w:tr w:rsidR="00350498" w:rsidRPr="00521832" w14:paraId="3D72DF85" w14:textId="77777777" w:rsidTr="007F30CA">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4A4EDFC5" w14:textId="77777777" w:rsidR="00350498" w:rsidRPr="00521832" w:rsidRDefault="00350498" w:rsidP="007F30CA">
            <w:pPr>
              <w:pStyle w:val="TableText"/>
              <w:keepNext/>
              <w:rPr>
                <w:szCs w:val="18"/>
              </w:rPr>
            </w:pPr>
            <w:r w:rsidRPr="00521832">
              <w:rPr>
                <w:rStyle w:val="Strong"/>
              </w:rPr>
              <w:t xml:space="preserve">D. </w:t>
            </w:r>
            <w:r w:rsidRPr="00521832">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EEB5F68" w14:textId="77777777" w:rsidR="00350498" w:rsidRPr="00521832" w:rsidRDefault="00350498" w:rsidP="007F30CA">
            <w:pPr>
              <w:pStyle w:val="TableText"/>
              <w:keepNext/>
              <w:rPr>
                <w:szCs w:val="18"/>
              </w:rPr>
            </w:pPr>
            <w:r w:rsidRPr="00521832">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36B806A1" w14:textId="77777777" w:rsidR="00350498" w:rsidRPr="00521832" w:rsidRDefault="00350498" w:rsidP="007F30CA">
            <w:pPr>
              <w:pStyle w:val="TableText"/>
              <w:keepNext/>
              <w:rPr>
                <w:rFonts w:ascii="Times New Roman" w:hAnsi="Times New Roman" w:cs="Times New Roman"/>
                <w:szCs w:val="18"/>
              </w:rPr>
            </w:pPr>
            <w:r w:rsidRPr="00521832">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4CE30CE7" w14:textId="77777777" w:rsidR="00350498" w:rsidRPr="00521832" w:rsidRDefault="00350498" w:rsidP="007F30CA">
            <w:pPr>
              <w:pStyle w:val="TableText"/>
              <w:keepNext/>
              <w:rPr>
                <w:rFonts w:ascii="Times New Roman" w:hAnsi="Times New Roman" w:cs="Times New Roman"/>
                <w:szCs w:val="18"/>
              </w:rPr>
            </w:pPr>
            <w:r w:rsidRPr="00521832">
              <w:rPr>
                <w:szCs w:val="18"/>
              </w:rPr>
              <w:t>&lt; 1,000</w:t>
            </w:r>
          </w:p>
        </w:tc>
      </w:tr>
      <w:tr w:rsidR="00350498" w:rsidRPr="00521832" w14:paraId="1633CED9" w14:textId="77777777" w:rsidTr="007F30CA">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7AF5D6D7" w14:textId="77777777" w:rsidR="00350498" w:rsidRPr="00521832" w:rsidRDefault="00350498" w:rsidP="007F30CA">
            <w:pPr>
              <w:pStyle w:val="TableText"/>
              <w:keepNext/>
              <w:rPr>
                <w:szCs w:val="18"/>
              </w:rPr>
            </w:pPr>
            <w:r w:rsidRPr="00521832">
              <w:rPr>
                <w:rStyle w:val="Strong"/>
              </w:rPr>
              <w:t>D2.</w:t>
            </w:r>
            <w:r w:rsidRPr="00521832">
              <w:rPr>
                <w:szCs w:val="18"/>
                <w:vertAlign w:val="superscript"/>
              </w:rPr>
              <w:t>1</w:t>
            </w:r>
            <w:r w:rsidRPr="00521832">
              <w:rPr>
                <w:szCs w:val="18"/>
              </w:rPr>
              <w:t xml:space="preserve"> </w:t>
            </w:r>
            <w:r w:rsidRPr="00521832">
              <w:rPr>
                <w:i/>
                <w:szCs w:val="18"/>
              </w:rPr>
              <w:t>Only applies to the Vulnerable category</w:t>
            </w:r>
          </w:p>
          <w:p w14:paraId="443FFB07" w14:textId="77777777" w:rsidR="00350498" w:rsidRPr="00521832" w:rsidRDefault="00350498" w:rsidP="007F30CA">
            <w:pPr>
              <w:pStyle w:val="TableText"/>
              <w:keepNext/>
              <w:rPr>
                <w:szCs w:val="18"/>
              </w:rPr>
            </w:pPr>
            <w:r w:rsidRPr="00521832">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58E1E5F" w14:textId="77777777" w:rsidR="00350498" w:rsidRPr="00521832" w:rsidRDefault="00350498" w:rsidP="007F30CA">
            <w:pPr>
              <w:pStyle w:val="TableText"/>
              <w:keepNext/>
              <w:rPr>
                <w:szCs w:val="18"/>
              </w:rPr>
            </w:pPr>
            <w:r w:rsidRPr="00521832">
              <w:rPr>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83012C2" w14:textId="77777777" w:rsidR="00350498" w:rsidRPr="00521832" w:rsidRDefault="00350498" w:rsidP="007F30CA">
            <w:pPr>
              <w:pStyle w:val="TableText"/>
              <w:keepNext/>
              <w:rPr>
                <w:szCs w:val="18"/>
              </w:rPr>
            </w:pPr>
            <w:r w:rsidRPr="00521832">
              <w:rPr>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074C53B4" w14:textId="77777777" w:rsidR="00350498" w:rsidRPr="00521832" w:rsidRDefault="00350498" w:rsidP="007F30CA">
            <w:pPr>
              <w:pStyle w:val="TableText"/>
              <w:keepNext/>
              <w:rPr>
                <w:szCs w:val="18"/>
              </w:rPr>
            </w:pPr>
            <w:r w:rsidRPr="00521832">
              <w:rPr>
                <w:szCs w:val="18"/>
              </w:rPr>
              <w:t>D2. Typically: area of occupancy &lt; 20 km</w:t>
            </w:r>
            <w:r w:rsidRPr="00521832">
              <w:rPr>
                <w:szCs w:val="18"/>
                <w:vertAlign w:val="superscript"/>
              </w:rPr>
              <w:t>2</w:t>
            </w:r>
            <w:r w:rsidRPr="00521832">
              <w:rPr>
                <w:szCs w:val="18"/>
              </w:rPr>
              <w:t xml:space="preserve"> or number of locations ≤ 5</w:t>
            </w:r>
          </w:p>
        </w:tc>
      </w:tr>
    </w:tbl>
    <w:p w14:paraId="5C9325FC" w14:textId="77777777" w:rsidR="00350498" w:rsidRPr="00521832" w:rsidRDefault="00350498" w:rsidP="00350498">
      <w:pPr>
        <w:pStyle w:val="FigureTableNoteSource"/>
      </w:pPr>
      <w:r w:rsidRPr="00521832">
        <w:rPr>
          <w:vertAlign w:val="superscript"/>
        </w:rPr>
        <w:t>1</w:t>
      </w:r>
      <w:r w:rsidRPr="00521832">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3" w:history="1">
        <w:r w:rsidRPr="00521832">
          <w:rPr>
            <w:rStyle w:val="Hyperlink"/>
            <w:i/>
            <w:iCs/>
            <w:color w:val="auto"/>
          </w:rPr>
          <w:t>common assessment method</w:t>
        </w:r>
      </w:hyperlink>
      <w:r w:rsidRPr="00521832">
        <w:t>.</w:t>
      </w:r>
    </w:p>
    <w:p w14:paraId="14251582" w14:textId="77777777" w:rsidR="00350498" w:rsidRPr="00521832" w:rsidRDefault="00350498" w:rsidP="00350498">
      <w:pPr>
        <w:pStyle w:val="Heading3"/>
        <w:ind w:left="964" w:hanging="964"/>
      </w:pPr>
      <w:r w:rsidRPr="00521832">
        <w:t>Criterion 4 evidence</w:t>
      </w:r>
    </w:p>
    <w:p w14:paraId="6DB6D159" w14:textId="77777777" w:rsidR="00350498" w:rsidRPr="00521832" w:rsidRDefault="00350498" w:rsidP="00350498">
      <w:pPr>
        <w:rPr>
          <w:rStyle w:val="Strong"/>
        </w:rPr>
      </w:pPr>
      <w:r w:rsidRPr="00521832">
        <w:rPr>
          <w:rStyle w:val="Strong"/>
        </w:rPr>
        <w:t xml:space="preserve">Insufficient data to determine eligibility </w:t>
      </w:r>
    </w:p>
    <w:p w14:paraId="198A3B38" w14:textId="77777777" w:rsidR="00350498" w:rsidRPr="003F2DC4" w:rsidRDefault="00350498" w:rsidP="00350498">
      <w:pPr>
        <w:rPr>
          <w:bCs/>
        </w:rPr>
      </w:pPr>
      <w:r w:rsidRPr="003F2DC4">
        <w:rPr>
          <w:bCs/>
        </w:rPr>
        <w:t>There is no estimate for the number of non-parasitic lamprey adults, as adults are very rarely encountered (</w:t>
      </w:r>
      <w:r w:rsidRPr="003F2DC4">
        <w:t>Miller et al. 2021</w:t>
      </w:r>
      <w:r w:rsidRPr="003F2DC4">
        <w:rPr>
          <w:bCs/>
        </w:rPr>
        <w:t>).</w:t>
      </w:r>
    </w:p>
    <w:p w14:paraId="670E9ECB" w14:textId="77777777" w:rsidR="00350498" w:rsidRPr="003F2DC4" w:rsidRDefault="00350498" w:rsidP="00350498">
      <w:pPr>
        <w:rPr>
          <w:rFonts w:cstheme="minorHAnsi"/>
        </w:rPr>
      </w:pPr>
      <w:r w:rsidRPr="003F2DC4">
        <w:rPr>
          <w:rFonts w:cstheme="minorHAnsi"/>
        </w:rPr>
        <w:t xml:space="preserve">The Committee considers the data presented above appear to demonstrate that there are </w:t>
      </w:r>
      <w:r w:rsidRPr="003F2DC4">
        <w:rPr>
          <w:rFonts w:cstheme="minorHAnsi"/>
          <w:b/>
          <w:bCs/>
        </w:rPr>
        <w:t>insufficient data</w:t>
      </w:r>
      <w:r w:rsidRPr="003F2DC4">
        <w:rPr>
          <w:rFonts w:cstheme="minorHAnsi"/>
        </w:rPr>
        <w:t xml:space="preserve"> to demonstrate if the species is eligible for listing under this criterion. However, the purpose of this conservation advice is to elicit additional information to better understand the species’ status. This conclusion should therefore be considered to be tentative at this stage, as it may be changed as a result of responses to this consultation process.</w:t>
      </w:r>
    </w:p>
    <w:p w14:paraId="36EECE94" w14:textId="77777777" w:rsidR="00350498" w:rsidRPr="00521832" w:rsidRDefault="00350498" w:rsidP="00350498">
      <w:pPr>
        <w:pStyle w:val="Caption"/>
      </w:pPr>
      <w:r w:rsidRPr="00521832">
        <w:t>Criterion 5 Quantitative analysis</w:t>
      </w:r>
    </w:p>
    <w:tbl>
      <w:tblPr>
        <w:tblStyle w:val="TableGrid"/>
        <w:tblW w:w="0" w:type="auto"/>
        <w:tblCellMar>
          <w:top w:w="57" w:type="dxa"/>
          <w:left w:w="85" w:type="dxa"/>
          <w:bottom w:w="57" w:type="dxa"/>
        </w:tblCellMar>
        <w:tblLook w:val="04A0" w:firstRow="1" w:lastRow="0" w:firstColumn="1" w:lastColumn="0" w:noHBand="0" w:noVBand="1"/>
      </w:tblPr>
      <w:tblGrid>
        <w:gridCol w:w="3252"/>
        <w:gridCol w:w="1974"/>
        <w:gridCol w:w="1872"/>
        <w:gridCol w:w="1918"/>
      </w:tblGrid>
      <w:tr w:rsidR="00350498" w:rsidRPr="00521832" w14:paraId="49442E96" w14:textId="77777777" w:rsidTr="007F30CA">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0277CEC6" w14:textId="77777777" w:rsidR="00350498" w:rsidRPr="00521832" w:rsidRDefault="00350498" w:rsidP="007F30CA">
            <w:pPr>
              <w:keepNext/>
              <w:tabs>
                <w:tab w:val="left" w:pos="284"/>
              </w:tabs>
              <w:rPr>
                <w:rFonts w:ascii="Arial" w:hAnsi="Arial" w:cs="Arial"/>
                <w:b/>
              </w:rPr>
            </w:pPr>
          </w:p>
        </w:tc>
      </w:tr>
      <w:tr w:rsidR="00350498" w:rsidRPr="00521832" w14:paraId="2904DAA6" w14:textId="77777777" w:rsidTr="007F30CA">
        <w:trPr>
          <w:trHeight w:val="439"/>
        </w:trPr>
        <w:tc>
          <w:tcPr>
            <w:tcW w:w="4042" w:type="dxa"/>
            <w:tcBorders>
              <w:top w:val="nil"/>
              <w:left w:val="single" w:sz="4" w:space="0" w:color="auto"/>
              <w:bottom w:val="nil"/>
              <w:right w:val="nil"/>
            </w:tcBorders>
          </w:tcPr>
          <w:p w14:paraId="57BC1439" w14:textId="77777777" w:rsidR="00350498" w:rsidRPr="00521832" w:rsidRDefault="00350498" w:rsidP="007F30CA">
            <w:pPr>
              <w:pStyle w:val="TableText"/>
              <w:keepNext/>
            </w:pPr>
            <w:r w:rsidRPr="00521832">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560B67B" w14:textId="77777777" w:rsidR="00350498" w:rsidRPr="00521832" w:rsidRDefault="00350498" w:rsidP="007F30CA">
            <w:pPr>
              <w:pStyle w:val="TableText"/>
              <w:keepNext/>
              <w:rPr>
                <w:rStyle w:val="Strong"/>
              </w:rPr>
            </w:pPr>
            <w:r w:rsidRPr="00521832">
              <w:rPr>
                <w:rStyle w:val="Strong"/>
              </w:rPr>
              <w:t>Critically Endangered</w:t>
            </w:r>
          </w:p>
          <w:p w14:paraId="4A457C7A" w14:textId="77777777" w:rsidR="00350498" w:rsidRPr="00521832" w:rsidRDefault="00350498" w:rsidP="007F30CA">
            <w:pPr>
              <w:pStyle w:val="TableText"/>
              <w:keepNext/>
              <w:rPr>
                <w:b/>
              </w:rPr>
            </w:pPr>
            <w:r w:rsidRPr="00521832">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6C52E75" w14:textId="77777777" w:rsidR="00350498" w:rsidRPr="00521832" w:rsidRDefault="00350498" w:rsidP="007F30CA">
            <w:pPr>
              <w:pStyle w:val="TableText"/>
              <w:keepNext/>
              <w:rPr>
                <w:rStyle w:val="Strong"/>
              </w:rPr>
            </w:pPr>
            <w:r w:rsidRPr="00521832">
              <w:rPr>
                <w:rStyle w:val="Strong"/>
              </w:rPr>
              <w:t>Endangered</w:t>
            </w:r>
          </w:p>
          <w:p w14:paraId="35942C0D" w14:textId="77777777" w:rsidR="00350498" w:rsidRPr="00521832" w:rsidRDefault="00350498" w:rsidP="007F30CA">
            <w:pPr>
              <w:pStyle w:val="TableText"/>
              <w:keepNext/>
              <w:rPr>
                <w:rStyle w:val="Strong"/>
              </w:rPr>
            </w:pPr>
            <w:r w:rsidRPr="00521832">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06AB7A2" w14:textId="77777777" w:rsidR="00350498" w:rsidRPr="00521832" w:rsidRDefault="00350498" w:rsidP="007F30CA">
            <w:pPr>
              <w:pStyle w:val="TableText"/>
              <w:keepNext/>
              <w:rPr>
                <w:rStyle w:val="Strong"/>
              </w:rPr>
            </w:pPr>
            <w:r w:rsidRPr="00521832">
              <w:rPr>
                <w:rStyle w:val="Strong"/>
              </w:rPr>
              <w:t>Vulnerable</w:t>
            </w:r>
          </w:p>
          <w:p w14:paraId="69136B36" w14:textId="77777777" w:rsidR="00350498" w:rsidRPr="00521832" w:rsidRDefault="00350498" w:rsidP="007F30CA">
            <w:pPr>
              <w:pStyle w:val="TableText"/>
              <w:keepNext/>
              <w:rPr>
                <w:rStyle w:val="Strong"/>
              </w:rPr>
            </w:pPr>
            <w:r w:rsidRPr="00521832">
              <w:rPr>
                <w:rStyle w:val="Strong"/>
              </w:rPr>
              <w:t>Medium-term future</w:t>
            </w:r>
          </w:p>
        </w:tc>
      </w:tr>
      <w:tr w:rsidR="00350498" w:rsidRPr="00521832" w14:paraId="3AC068AC" w14:textId="77777777" w:rsidTr="007F30CA">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3A44D897" w14:textId="77777777" w:rsidR="00350498" w:rsidRPr="00521832" w:rsidRDefault="00350498" w:rsidP="007F30CA">
            <w:pPr>
              <w:pStyle w:val="TableText"/>
              <w:rPr>
                <w:rStyle w:val="Strong"/>
              </w:rPr>
            </w:pPr>
            <w:r w:rsidRPr="00521832">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7E35DADD" w14:textId="77777777" w:rsidR="00350498" w:rsidRPr="00521832" w:rsidRDefault="00350498" w:rsidP="007F30CA">
            <w:pPr>
              <w:pStyle w:val="TableText"/>
              <w:rPr>
                <w:rStyle w:val="Strong"/>
                <w:b w:val="0"/>
                <w:bCs w:val="0"/>
              </w:rPr>
            </w:pPr>
            <w:r w:rsidRPr="00521832">
              <w:rPr>
                <w:rStyle w:val="Strong"/>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31A5175" w14:textId="77777777" w:rsidR="00350498" w:rsidRPr="00521832" w:rsidRDefault="00350498" w:rsidP="007F30CA">
            <w:pPr>
              <w:pStyle w:val="TableText"/>
              <w:rPr>
                <w:rStyle w:val="Strong"/>
                <w:b w:val="0"/>
                <w:bCs w:val="0"/>
              </w:rPr>
            </w:pPr>
            <w:r w:rsidRPr="00521832">
              <w:rPr>
                <w:rStyle w:val="Strong"/>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53B3FB66" w14:textId="77777777" w:rsidR="00350498" w:rsidRPr="00521832" w:rsidRDefault="00350498" w:rsidP="007F30CA">
            <w:pPr>
              <w:pStyle w:val="TableText"/>
              <w:rPr>
                <w:rStyle w:val="Strong"/>
                <w:b w:val="0"/>
                <w:bCs w:val="0"/>
              </w:rPr>
            </w:pPr>
            <w:r w:rsidRPr="00521832">
              <w:rPr>
                <w:rStyle w:val="Strong"/>
              </w:rPr>
              <w:t xml:space="preserve">≥ 10% in 100 years </w:t>
            </w:r>
          </w:p>
        </w:tc>
      </w:tr>
    </w:tbl>
    <w:p w14:paraId="027C688D" w14:textId="77777777" w:rsidR="00350498" w:rsidRPr="00521832" w:rsidRDefault="00350498" w:rsidP="00350498">
      <w:pPr>
        <w:pStyle w:val="Heading3"/>
        <w:spacing w:before="240"/>
        <w:ind w:left="964" w:hanging="964"/>
      </w:pPr>
      <w:r w:rsidRPr="00521832">
        <w:t>Criterion 5 evidence</w:t>
      </w:r>
    </w:p>
    <w:p w14:paraId="79C3A96F" w14:textId="77777777" w:rsidR="00350498" w:rsidRPr="00521832" w:rsidRDefault="00350498" w:rsidP="00350498">
      <w:pPr>
        <w:rPr>
          <w:bCs/>
        </w:rPr>
      </w:pPr>
      <w:r w:rsidRPr="00521832">
        <w:rPr>
          <w:rStyle w:val="Strong"/>
        </w:rPr>
        <w:t>Insufficient data to determine eligibility</w:t>
      </w:r>
    </w:p>
    <w:p w14:paraId="6247FAB7" w14:textId="77777777" w:rsidR="00350498" w:rsidRPr="00521832" w:rsidRDefault="00350498" w:rsidP="00350498">
      <w:pPr>
        <w:spacing w:after="240"/>
        <w:rPr>
          <w:bCs/>
        </w:rPr>
      </w:pPr>
      <w:r w:rsidRPr="00521832">
        <w:rPr>
          <w:bCs/>
        </w:rPr>
        <w:t xml:space="preserve">Population viability analysis has not been undertaken. Therefore, there is insufficient information to determine the eligibility of the species for listing in any category under this criterion. However, the purpose of this conservation advice is to elicit additional information to better understand the </w:t>
      </w:r>
      <w:r w:rsidRPr="00521832">
        <w:rPr>
          <w:bCs/>
        </w:rPr>
        <w:lastRenderedPageBreak/>
        <w:t>species’ status. This conclusion should therefore be considered tentative at this stage, as it may be changed as a result of responses to this consultation process.</w:t>
      </w:r>
    </w:p>
    <w:p w14:paraId="7E6A24E7" w14:textId="77777777" w:rsidR="00350498" w:rsidRPr="00521832" w:rsidRDefault="00350498" w:rsidP="00350498">
      <w:pPr>
        <w:pStyle w:val="Heading3"/>
        <w:ind w:left="964" w:hanging="964"/>
      </w:pPr>
      <w:r w:rsidRPr="00521832">
        <w:t>Adequacy of survey</w:t>
      </w:r>
    </w:p>
    <w:p w14:paraId="4916BDBC" w14:textId="77777777" w:rsidR="00350498" w:rsidRDefault="00350498" w:rsidP="00350498">
      <w:pPr>
        <w:rPr>
          <w:bCs/>
        </w:rPr>
      </w:pPr>
      <w:r w:rsidRPr="00521832">
        <w:rPr>
          <w:bCs/>
        </w:rPr>
        <w:t>The survey effort has been considered adequate and there is sufficient scientific evidence to support the assessment.</w:t>
      </w:r>
    </w:p>
    <w:p w14:paraId="0879AD0B" w14:textId="77777777" w:rsidR="00350498" w:rsidRPr="00521832" w:rsidRDefault="00350498" w:rsidP="00350498">
      <w:pPr>
        <w:pStyle w:val="Normalsmall"/>
        <w:pageBreakBefore/>
      </w:pPr>
      <w:r w:rsidRPr="00521832">
        <w:lastRenderedPageBreak/>
        <w:t>© Commonwealth of Australia 202</w:t>
      </w:r>
      <w:r>
        <w:t>0</w:t>
      </w:r>
      <w:r w:rsidRPr="00521832">
        <w:t xml:space="preserve"> </w:t>
      </w:r>
      <w:r w:rsidRPr="00521832">
        <w:rPr>
          <w:noProof/>
          <w:lang w:eastAsia="en-AU"/>
        </w:rPr>
        <w:drawing>
          <wp:inline distT="0" distB="0" distL="0" distR="0" wp14:anchorId="1CA43342" wp14:editId="624F2319">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5166" cy="218731"/>
                    </a:xfrm>
                    <a:prstGeom prst="rect">
                      <a:avLst/>
                    </a:prstGeom>
                  </pic:spPr>
                </pic:pic>
              </a:graphicData>
            </a:graphic>
          </wp:inline>
        </w:drawing>
      </w:r>
    </w:p>
    <w:p w14:paraId="3EF02702" w14:textId="77777777" w:rsidR="00350498" w:rsidRPr="00521832" w:rsidRDefault="00350498" w:rsidP="00350498">
      <w:pPr>
        <w:pStyle w:val="Normalsmall"/>
        <w:rPr>
          <w:rStyle w:val="Strong"/>
        </w:rPr>
      </w:pPr>
      <w:r w:rsidRPr="00521832">
        <w:rPr>
          <w:rStyle w:val="Strong"/>
        </w:rPr>
        <w:t>Ownership of intellectual property rights</w:t>
      </w:r>
    </w:p>
    <w:p w14:paraId="1E15516B" w14:textId="77777777" w:rsidR="00350498" w:rsidRPr="00521832" w:rsidRDefault="00350498" w:rsidP="00350498">
      <w:pPr>
        <w:pStyle w:val="Normalsmall"/>
      </w:pPr>
      <w:r w:rsidRPr="00521832">
        <w:t>Unless otherwise noted, copyright (and any other intellectual property rights) in this publication is owned by the Commonwealth of Australia (referred to as the Commonwealth).</w:t>
      </w:r>
    </w:p>
    <w:p w14:paraId="32E1399B" w14:textId="77777777" w:rsidR="00350498" w:rsidRPr="00521832" w:rsidRDefault="00350498" w:rsidP="00350498">
      <w:pPr>
        <w:pStyle w:val="Normalsmall"/>
        <w:rPr>
          <w:rStyle w:val="Strong"/>
        </w:rPr>
      </w:pPr>
      <w:r w:rsidRPr="00521832">
        <w:rPr>
          <w:rStyle w:val="Strong"/>
        </w:rPr>
        <w:t>Creative Commons licence</w:t>
      </w:r>
    </w:p>
    <w:p w14:paraId="056BD0F2" w14:textId="77777777" w:rsidR="00350498" w:rsidRPr="00521832" w:rsidRDefault="00350498" w:rsidP="00350498">
      <w:pPr>
        <w:pStyle w:val="Normalsmall"/>
      </w:pPr>
      <w:r w:rsidRPr="00521832">
        <w:t xml:space="preserve">All material in this publication is licensed under a </w:t>
      </w:r>
      <w:hyperlink r:id="rId35" w:history="1">
        <w:r w:rsidRPr="00521832">
          <w:rPr>
            <w:rStyle w:val="Hyperlink"/>
            <w:color w:val="auto"/>
          </w:rPr>
          <w:t>Creative Commons Attribution 4.0 International Licence</w:t>
        </w:r>
      </w:hyperlink>
      <w:r w:rsidRPr="00521832">
        <w:t xml:space="preserve"> except content supplied by third parties, logos and the Commonwealth Coat of Arms.</w:t>
      </w:r>
    </w:p>
    <w:p w14:paraId="143B7B08" w14:textId="77777777" w:rsidR="00350498" w:rsidRPr="00521832" w:rsidRDefault="00350498" w:rsidP="00350498">
      <w:pPr>
        <w:pStyle w:val="Normalsmall"/>
      </w:pPr>
      <w:r w:rsidRPr="00521832">
        <w:t xml:space="preserve">Inquiries about the licence and any use of this document should be emailed to </w:t>
      </w:r>
      <w:hyperlink r:id="rId36" w:history="1">
        <w:r w:rsidRPr="00521832">
          <w:rPr>
            <w:rStyle w:val="Hyperlink"/>
            <w:color w:val="auto"/>
          </w:rPr>
          <w:t>copyright@awe.gov.au</w:t>
        </w:r>
      </w:hyperlink>
      <w:r w:rsidRPr="00521832">
        <w:t>.</w:t>
      </w:r>
    </w:p>
    <w:p w14:paraId="48EB8E57" w14:textId="77777777" w:rsidR="00350498" w:rsidRPr="00521832" w:rsidRDefault="00350498" w:rsidP="00350498">
      <w:pPr>
        <w:pStyle w:val="Normalsmall"/>
        <w:rPr>
          <w:rStyle w:val="Strong"/>
        </w:rPr>
      </w:pPr>
      <w:r w:rsidRPr="00521832">
        <w:rPr>
          <w:rStyle w:val="Strong"/>
        </w:rPr>
        <w:t>Cataloguing data</w:t>
      </w:r>
    </w:p>
    <w:p w14:paraId="0FC06E6F" w14:textId="77777777" w:rsidR="00350498" w:rsidRPr="00521832" w:rsidRDefault="00350498" w:rsidP="00350498">
      <w:pPr>
        <w:pStyle w:val="Normalsmall"/>
      </w:pPr>
      <w:r w:rsidRPr="00521832">
        <w:t xml:space="preserve">This publication (and any material sourced from it) should be attributed as: Department of Agriculture, Water and the Environment 2021, </w:t>
      </w:r>
      <w:r w:rsidRPr="00C777D0">
        <w:rPr>
          <w:iCs/>
        </w:rPr>
        <w:t>Conservation advice for</w:t>
      </w:r>
      <w:r w:rsidRPr="00521832">
        <w:rPr>
          <w:i/>
        </w:rPr>
        <w:t xml:space="preserve"> </w:t>
      </w:r>
      <w:bookmarkStart w:id="14" w:name="_Hlk68083329"/>
      <w:proofErr w:type="spellStart"/>
      <w:r w:rsidRPr="00C777D0">
        <w:rPr>
          <w:i/>
        </w:rPr>
        <w:t>Mordacia</w:t>
      </w:r>
      <w:proofErr w:type="spellEnd"/>
      <w:r w:rsidRPr="00C777D0">
        <w:rPr>
          <w:i/>
        </w:rPr>
        <w:t xml:space="preserve"> praecox</w:t>
      </w:r>
      <w:r w:rsidRPr="00521832">
        <w:rPr>
          <w:iCs/>
        </w:rPr>
        <w:t xml:space="preserve"> </w:t>
      </w:r>
      <w:r w:rsidRPr="00C777D0">
        <w:rPr>
          <w:iCs/>
        </w:rPr>
        <w:t>(</w:t>
      </w:r>
      <w:r>
        <w:rPr>
          <w:iCs/>
        </w:rPr>
        <w:t>non-parasitic lamprey</w:t>
      </w:r>
      <w:r w:rsidRPr="00C777D0">
        <w:rPr>
          <w:iCs/>
        </w:rPr>
        <w:t>)</w:t>
      </w:r>
      <w:bookmarkEnd w:id="14"/>
      <w:r w:rsidRPr="00C777D0">
        <w:rPr>
          <w:iCs/>
        </w:rPr>
        <w:t>, Canberra</w:t>
      </w:r>
      <w:r w:rsidRPr="00521832">
        <w:t xml:space="preserve">. </w:t>
      </w:r>
      <w:r w:rsidRPr="00521832">
        <w:rPr>
          <w:noProof/>
          <w:lang w:eastAsia="en-AU"/>
        </w:rPr>
        <w:drawing>
          <wp:inline distT="0" distB="0" distL="0" distR="0" wp14:anchorId="110251CC" wp14:editId="2108BF2D">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5166" cy="218731"/>
                    </a:xfrm>
                    <a:prstGeom prst="rect">
                      <a:avLst/>
                    </a:prstGeom>
                  </pic:spPr>
                </pic:pic>
              </a:graphicData>
            </a:graphic>
          </wp:inline>
        </w:drawing>
      </w:r>
    </w:p>
    <w:p w14:paraId="64594F18" w14:textId="77777777" w:rsidR="00350498" w:rsidRPr="00521832" w:rsidRDefault="00350498" w:rsidP="00350498">
      <w:pPr>
        <w:pStyle w:val="Normalsmall"/>
      </w:pPr>
      <w:r w:rsidRPr="00521832">
        <w:t xml:space="preserve">This publication is available at the </w:t>
      </w:r>
      <w:hyperlink r:id="rId37" w:history="1">
        <w:r w:rsidRPr="00521832">
          <w:rPr>
            <w:rStyle w:val="Hyperlink"/>
            <w:color w:val="auto"/>
          </w:rPr>
          <w:t xml:space="preserve">SPRAT profile for </w:t>
        </w:r>
        <w:proofErr w:type="spellStart"/>
        <w:r w:rsidRPr="00521832">
          <w:rPr>
            <w:rStyle w:val="Hyperlink"/>
            <w:i/>
            <w:color w:val="auto"/>
          </w:rPr>
          <w:t>Mordacia</w:t>
        </w:r>
        <w:proofErr w:type="spellEnd"/>
        <w:r w:rsidRPr="00521832">
          <w:rPr>
            <w:rStyle w:val="Hyperlink"/>
            <w:i/>
            <w:color w:val="auto"/>
          </w:rPr>
          <w:t xml:space="preserve"> praecox </w:t>
        </w:r>
        <w:r w:rsidRPr="00521832">
          <w:rPr>
            <w:rStyle w:val="Hyperlink"/>
            <w:iCs/>
            <w:color w:val="auto"/>
          </w:rPr>
          <w:t>(</w:t>
        </w:r>
        <w:r>
          <w:rPr>
            <w:rStyle w:val="Hyperlink"/>
            <w:iCs/>
            <w:color w:val="auto"/>
          </w:rPr>
          <w:t>non-parasitic lamprey</w:t>
        </w:r>
        <w:r w:rsidRPr="00521832">
          <w:rPr>
            <w:rStyle w:val="Hyperlink"/>
            <w:iCs/>
            <w:color w:val="auto"/>
          </w:rPr>
          <w:t>)</w:t>
        </w:r>
        <w:r w:rsidRPr="00521832">
          <w:rPr>
            <w:rStyle w:val="Hyperlink"/>
            <w:i/>
            <w:color w:val="auto"/>
          </w:rPr>
          <w:t>.</w:t>
        </w:r>
      </w:hyperlink>
    </w:p>
    <w:p w14:paraId="513C4374" w14:textId="77777777" w:rsidR="00350498" w:rsidRPr="00521832" w:rsidRDefault="00350498" w:rsidP="00350498">
      <w:pPr>
        <w:pStyle w:val="Normalsmall"/>
        <w:spacing w:after="0"/>
      </w:pPr>
      <w:r w:rsidRPr="00521832">
        <w:t>Department of Agriculture, Water and the Environment</w:t>
      </w:r>
    </w:p>
    <w:p w14:paraId="0FF49D06" w14:textId="77777777" w:rsidR="00350498" w:rsidRPr="00521832" w:rsidRDefault="00350498" w:rsidP="00350498">
      <w:pPr>
        <w:pStyle w:val="Normalsmall"/>
        <w:spacing w:after="0"/>
      </w:pPr>
      <w:r w:rsidRPr="00521832">
        <w:t>GPO Box 858, Canberra ACT 2601</w:t>
      </w:r>
    </w:p>
    <w:p w14:paraId="3638A787" w14:textId="77777777" w:rsidR="00350498" w:rsidRPr="00521832" w:rsidRDefault="00350498" w:rsidP="00350498">
      <w:pPr>
        <w:pStyle w:val="Normalsmall"/>
        <w:spacing w:after="0"/>
      </w:pPr>
      <w:r w:rsidRPr="00521832">
        <w:t>Telephone 1800 900 090</w:t>
      </w:r>
    </w:p>
    <w:p w14:paraId="367FB04C" w14:textId="77777777" w:rsidR="00350498" w:rsidRPr="00521832" w:rsidRDefault="00350498" w:rsidP="00350498">
      <w:pPr>
        <w:pStyle w:val="Normalsmall"/>
      </w:pPr>
      <w:r w:rsidRPr="00521832">
        <w:t xml:space="preserve">Web </w:t>
      </w:r>
      <w:hyperlink r:id="rId38" w:history="1">
        <w:r w:rsidRPr="00521832">
          <w:rPr>
            <w:rStyle w:val="Hyperlink"/>
            <w:color w:val="auto"/>
          </w:rPr>
          <w:t>awe.gov.au</w:t>
        </w:r>
      </w:hyperlink>
    </w:p>
    <w:p w14:paraId="5B9B2DAC" w14:textId="77777777" w:rsidR="00350498" w:rsidRPr="00521832" w:rsidRDefault="00350498" w:rsidP="00350498">
      <w:pPr>
        <w:pStyle w:val="Normalsmall"/>
      </w:pPr>
      <w:r w:rsidRPr="00521832">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B34060F" w14:textId="77777777" w:rsidR="00350498" w:rsidRPr="00521832" w:rsidRDefault="00350498" w:rsidP="00350498">
      <w:pPr>
        <w:pStyle w:val="Normalsmall"/>
        <w:rPr>
          <w:rStyle w:val="Strong"/>
        </w:rPr>
      </w:pPr>
      <w:r w:rsidRPr="00521832">
        <w:rPr>
          <w:rStyle w:val="Strong"/>
        </w:rPr>
        <w:t>Acknowledgements</w:t>
      </w:r>
    </w:p>
    <w:p w14:paraId="45D960D7" w14:textId="77777777" w:rsidR="00350498" w:rsidRPr="00521832" w:rsidRDefault="00350498" w:rsidP="00350498">
      <w:pPr>
        <w:pStyle w:val="Normalsmall"/>
        <w:rPr>
          <w:rStyle w:val="Strong"/>
          <w:b w:val="0"/>
          <w:bCs w:val="0"/>
        </w:rPr>
      </w:pPr>
      <w:r w:rsidRPr="00521832">
        <w:rPr>
          <w:rStyle w:val="Strong"/>
        </w:rPr>
        <w:t>This assessment was only possible because various researchers kindly share their unpublished data (see text for details).</w:t>
      </w:r>
    </w:p>
    <w:p w14:paraId="2329D1E6" w14:textId="163A79EF" w:rsidR="00561F26" w:rsidRPr="009F058A" w:rsidRDefault="00622A19" w:rsidP="00350498">
      <w:pPr>
        <w:pStyle w:val="ListNumber"/>
        <w:numPr>
          <w:ilvl w:val="0"/>
          <w:numId w:val="0"/>
        </w:numPr>
        <w:ind w:left="36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ADDIN </w:instrText>
      </w:r>
      <w:r>
        <w:rPr>
          <w:rFonts w:ascii="Arial" w:hAnsi="Arial" w:cs="Arial"/>
          <w:sz w:val="22"/>
          <w:szCs w:val="22"/>
        </w:rPr>
        <w:fldChar w:fldCharType="end"/>
      </w:r>
    </w:p>
    <w:sectPr w:rsidR="00561F26" w:rsidRPr="009F058A" w:rsidSect="00767D72">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06A2" w14:textId="77777777" w:rsidR="00297ED8" w:rsidRDefault="00297ED8" w:rsidP="00FE6C07">
      <w:pPr>
        <w:spacing w:after="0" w:line="240" w:lineRule="auto"/>
      </w:pPr>
      <w:r>
        <w:separator/>
      </w:r>
    </w:p>
  </w:endnote>
  <w:endnote w:type="continuationSeparator" w:id="0">
    <w:p w14:paraId="188000DB" w14:textId="77777777" w:rsidR="00297ED8" w:rsidRDefault="00297ED8" w:rsidP="00FE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FE7E" w14:textId="68E00BE0" w:rsidR="0088176B" w:rsidRDefault="0088176B" w:rsidP="00BE53C9">
    <w:pPr>
      <w:pStyle w:val="Footer"/>
      <w:jc w:val="center"/>
    </w:pPr>
    <w:r>
      <w:t>Department of Agriculture, Water and the Environment</w:t>
    </w:r>
  </w:p>
  <w:p w14:paraId="2971695E" w14:textId="0B31CBB0" w:rsidR="0088176B" w:rsidRDefault="00C54332" w:rsidP="00BE53C9">
    <w:pPr>
      <w:pStyle w:val="Footer"/>
      <w:jc w:val="center"/>
    </w:pPr>
    <w:sdt>
      <w:sdtPr>
        <w:id w:val="982586143"/>
        <w:docPartObj>
          <w:docPartGallery w:val="Page Numbers (Bottom of Page)"/>
          <w:docPartUnique/>
        </w:docPartObj>
      </w:sdtPr>
      <w:sdtEndPr>
        <w:rPr>
          <w:noProof/>
        </w:rPr>
      </w:sdtEndPr>
      <w:sdtContent>
        <w:r w:rsidR="0088176B">
          <w:fldChar w:fldCharType="begin"/>
        </w:r>
        <w:r w:rsidR="0088176B">
          <w:instrText xml:space="preserve"> PAGE   \* MERGEFORMAT </w:instrText>
        </w:r>
        <w:r w:rsidR="0088176B">
          <w:fldChar w:fldCharType="separate"/>
        </w:r>
        <w:r w:rsidR="003C79F3">
          <w:rPr>
            <w:noProof/>
          </w:rPr>
          <w:t>5</w:t>
        </w:r>
        <w:r w:rsidR="0088176B">
          <w:rPr>
            <w:noProof/>
          </w:rPr>
          <w:fldChar w:fldCharType="end"/>
        </w:r>
      </w:sdtContent>
    </w:sdt>
  </w:p>
  <w:p w14:paraId="3F23CB3D" w14:textId="77777777" w:rsidR="0088176B" w:rsidRDefault="0088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72D9" w14:textId="77777777" w:rsidR="0088176B" w:rsidRDefault="0088176B" w:rsidP="003A2215">
    <w:pPr>
      <w:pStyle w:val="Footer"/>
      <w:jc w:val="center"/>
    </w:pPr>
    <w:r>
      <w:t>Threatened Species Scientific Committee</w:t>
    </w:r>
  </w:p>
  <w:p w14:paraId="520C98CB" w14:textId="77777777" w:rsidR="0088176B" w:rsidRDefault="0088176B" w:rsidP="003A2215">
    <w:pPr>
      <w:pStyle w:val="Footer"/>
      <w:jc w:val="center"/>
    </w:pPr>
    <w:r>
      <w:fldChar w:fldCharType="begin"/>
    </w:r>
    <w:r>
      <w:instrText xml:space="preserve"> PAGE   \* MERGEFORMAT </w:instrText>
    </w:r>
    <w:r>
      <w:fldChar w:fldCharType="separate"/>
    </w:r>
    <w:r w:rsidR="003C79F3">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C255" w14:textId="77777777" w:rsidR="0088176B" w:rsidRDefault="0088176B" w:rsidP="00350498">
    <w:pPr>
      <w:pStyle w:val="Footer"/>
      <w:jc w:val="center"/>
    </w:pPr>
    <w:r>
      <w:t>Department of Agriculture, Water and the Environment</w:t>
    </w:r>
  </w:p>
  <w:p w14:paraId="10370B07" w14:textId="77777777" w:rsidR="0088176B" w:rsidRDefault="0088176B" w:rsidP="00350498">
    <w:pPr>
      <w:pStyle w:val="Footer"/>
      <w:jc w:val="center"/>
    </w:pPr>
    <w:r>
      <w:fldChar w:fldCharType="begin"/>
    </w:r>
    <w:r>
      <w:instrText xml:space="preserve"> PAGE   \* MERGEFORMAT </w:instrText>
    </w:r>
    <w:r>
      <w:fldChar w:fldCharType="separate"/>
    </w:r>
    <w:r w:rsidR="003C79F3">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7983" w14:textId="77777777" w:rsidR="00297ED8" w:rsidRDefault="00297ED8" w:rsidP="00FE6C07">
      <w:pPr>
        <w:spacing w:after="0" w:line="240" w:lineRule="auto"/>
      </w:pPr>
      <w:r>
        <w:separator/>
      </w:r>
    </w:p>
  </w:footnote>
  <w:footnote w:type="continuationSeparator" w:id="0">
    <w:p w14:paraId="46BC5DDA" w14:textId="77777777" w:rsidR="00297ED8" w:rsidRDefault="00297ED8" w:rsidP="00FE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1B92" w14:textId="4B970F47" w:rsidR="0088176B" w:rsidRDefault="0088176B" w:rsidP="00350498">
    <w:pPr>
      <w:pStyle w:val="Header"/>
      <w:jc w:val="center"/>
    </w:pPr>
    <w:proofErr w:type="spellStart"/>
    <w:r>
      <w:rPr>
        <w:rStyle w:val="Emphasis"/>
      </w:rPr>
      <w:t>Mordacia</w:t>
    </w:r>
    <w:proofErr w:type="spellEnd"/>
    <w:r>
      <w:rPr>
        <w:rStyle w:val="Emphasis"/>
      </w:rPr>
      <w:t xml:space="preserve"> praecox</w:t>
    </w:r>
    <w:r w:rsidRPr="007A0A3D">
      <w:t xml:space="preserve"> </w:t>
    </w:r>
    <w:r>
      <w:t>(non-parasitic lamprey) Conservation Advice</w:t>
    </w:r>
  </w:p>
  <w:p w14:paraId="4AC4E885" w14:textId="360DD452" w:rsidR="0088176B" w:rsidRDefault="0088176B">
    <w:pPr>
      <w:pStyle w:val="Header"/>
    </w:pPr>
  </w:p>
  <w:p w14:paraId="28CA901A" w14:textId="5B5AB274" w:rsidR="0088176B" w:rsidRDefault="0088176B" w:rsidP="008340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80B" w14:textId="6A20639F" w:rsidR="0088176B" w:rsidRDefault="0088176B" w:rsidP="00767D72">
    <w:pPr>
      <w:pStyle w:val="Header"/>
    </w:pPr>
    <w:r>
      <w:rPr>
        <w:noProof/>
        <w:lang w:eastAsia="en-AU"/>
      </w:rPr>
      <w:drawing>
        <wp:inline distT="0" distB="0" distL="0" distR="0" wp14:anchorId="779ACCC2" wp14:editId="08AE344D">
          <wp:extent cx="2417064" cy="72542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E06F" w14:textId="77777777" w:rsidR="0088176B" w:rsidRDefault="0088176B">
    <w:pPr>
      <w:pStyle w:val="Header"/>
    </w:pPr>
  </w:p>
  <w:p w14:paraId="3BA10047" w14:textId="77777777" w:rsidR="0088176B" w:rsidRDefault="008817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CB27" w14:textId="77777777" w:rsidR="0088176B" w:rsidRDefault="0088176B" w:rsidP="003A2215">
    <w:pPr>
      <w:pStyle w:val="Header"/>
      <w:jc w:val="center"/>
    </w:pPr>
    <w:proofErr w:type="spellStart"/>
    <w:r>
      <w:rPr>
        <w:rStyle w:val="Emphasis"/>
      </w:rPr>
      <w:t>Mordacia</w:t>
    </w:r>
    <w:proofErr w:type="spellEnd"/>
    <w:r>
      <w:rPr>
        <w:rStyle w:val="Emphasis"/>
      </w:rPr>
      <w:t xml:space="preserve"> praecox</w:t>
    </w:r>
    <w:r w:rsidRPr="007A0A3D">
      <w:t xml:space="preserve"> </w:t>
    </w:r>
    <w:r>
      <w:t>(non-parasitic lamprey) Conservation Advice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C7CA" w14:textId="77777777" w:rsidR="0088176B" w:rsidRDefault="0088176B" w:rsidP="007F30CA">
    <w:pPr>
      <w:pStyle w:val="Header"/>
      <w:tabs>
        <w:tab w:val="left" w:pos="7992"/>
      </w:tabs>
    </w:pPr>
    <w:r>
      <w:rPr>
        <w:noProof/>
        <w:lang w:eastAsia="en-AU"/>
      </w:rPr>
      <w:drawing>
        <wp:inline distT="0" distB="0" distL="0" distR="0" wp14:anchorId="0CC915A8" wp14:editId="19507FC9">
          <wp:extent cx="2417064" cy="72542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10A68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2C5BE6"/>
    <w:lvl w:ilvl="0">
      <w:start w:val="1"/>
      <w:numFmt w:val="bullet"/>
      <w:pStyle w:val="ListBullet"/>
      <w:lvlText w:val=""/>
      <w:lvlJc w:val="left"/>
      <w:pPr>
        <w:tabs>
          <w:tab w:val="num" w:pos="786"/>
        </w:tabs>
        <w:ind w:left="786" w:hanging="360"/>
      </w:pPr>
      <w:rPr>
        <w:rFonts w:ascii="Symbol" w:hAnsi="Symbol" w:hint="default"/>
      </w:rPr>
    </w:lvl>
  </w:abstractNum>
  <w:abstractNum w:abstractNumId="2" w15:restartNumberingAfterBreak="0">
    <w:nsid w:val="00D64EA9"/>
    <w:multiLevelType w:val="singleLevel"/>
    <w:tmpl w:val="1AAEE58A"/>
    <w:lvl w:ilvl="0">
      <w:start w:val="1"/>
      <w:numFmt w:val="bullet"/>
      <w:lvlText w:val=""/>
      <w:lvlJc w:val="left"/>
      <w:pPr>
        <w:ind w:left="720" w:hanging="360"/>
      </w:pPr>
      <w:rPr>
        <w:rFonts w:ascii="Symbol" w:hAnsi="Symbol" w:hint="default"/>
        <w:color w:val="auto"/>
      </w:rPr>
    </w:lvl>
  </w:abstractNum>
  <w:abstractNum w:abstractNumId="3" w15:restartNumberingAfterBreak="0">
    <w:nsid w:val="02646818"/>
    <w:multiLevelType w:val="hybridMultilevel"/>
    <w:tmpl w:val="044C3858"/>
    <w:lvl w:ilvl="0" w:tplc="F87A1076">
      <w:start w:val="2019"/>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65B12"/>
    <w:multiLevelType w:val="hybridMultilevel"/>
    <w:tmpl w:val="3AD2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6709D"/>
    <w:multiLevelType w:val="hybridMultilevel"/>
    <w:tmpl w:val="97F66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6207663"/>
    <w:multiLevelType w:val="hybridMultilevel"/>
    <w:tmpl w:val="57420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199B754B"/>
    <w:multiLevelType w:val="hybridMultilevel"/>
    <w:tmpl w:val="1916E386"/>
    <w:lvl w:ilvl="0" w:tplc="CFF0E1D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E54FB"/>
    <w:multiLevelType w:val="hybridMultilevel"/>
    <w:tmpl w:val="882A543E"/>
    <w:lvl w:ilvl="0" w:tplc="22D47C56">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F32E39"/>
    <w:multiLevelType w:val="hybridMultilevel"/>
    <w:tmpl w:val="FD5E8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D62703"/>
    <w:multiLevelType w:val="hybridMultilevel"/>
    <w:tmpl w:val="ABF4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5938E9"/>
    <w:multiLevelType w:val="hybridMultilevel"/>
    <w:tmpl w:val="E1F62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73143F"/>
    <w:multiLevelType w:val="hybridMultilevel"/>
    <w:tmpl w:val="BEEA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2B7084"/>
    <w:multiLevelType w:val="hybridMultilevel"/>
    <w:tmpl w:val="86B66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A8E6360"/>
    <w:multiLevelType w:val="hybridMultilevel"/>
    <w:tmpl w:val="3F1A520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0" w15:restartNumberingAfterBreak="0">
    <w:nsid w:val="4AEB6AE0"/>
    <w:multiLevelType w:val="hybridMultilevel"/>
    <w:tmpl w:val="E56E4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8C95F3B"/>
    <w:multiLevelType w:val="hybridMultilevel"/>
    <w:tmpl w:val="4BBC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23887CA2"/>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5CB71BEB"/>
    <w:multiLevelType w:val="hybridMultilevel"/>
    <w:tmpl w:val="8B84F0A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BFD0502"/>
    <w:multiLevelType w:val="hybridMultilevel"/>
    <w:tmpl w:val="2DD6B4A2"/>
    <w:lvl w:ilvl="0" w:tplc="B52269C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CD52F3"/>
    <w:multiLevelType w:val="singleLevel"/>
    <w:tmpl w:val="1AAEE58A"/>
    <w:lvl w:ilvl="0">
      <w:start w:val="1"/>
      <w:numFmt w:val="bullet"/>
      <w:lvlText w:val=""/>
      <w:lvlJc w:val="left"/>
      <w:pPr>
        <w:ind w:left="786" w:hanging="360"/>
      </w:pPr>
      <w:rPr>
        <w:rFonts w:ascii="Symbol" w:hAnsi="Symbol" w:hint="default"/>
        <w:color w:val="auto"/>
      </w:rPr>
    </w:lvl>
  </w:abstractNum>
  <w:abstractNum w:abstractNumId="29" w15:restartNumberingAfterBreak="0">
    <w:nsid w:val="6EB561E3"/>
    <w:multiLevelType w:val="hybridMultilevel"/>
    <w:tmpl w:val="8954E60C"/>
    <w:lvl w:ilvl="0" w:tplc="57303160">
      <w:start w:val="2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E1F1F"/>
    <w:multiLevelType w:val="hybridMultilevel"/>
    <w:tmpl w:val="517A0D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174C16"/>
    <w:multiLevelType w:val="hybridMultilevel"/>
    <w:tmpl w:val="60866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9C55DF"/>
    <w:multiLevelType w:val="hybridMultilevel"/>
    <w:tmpl w:val="45426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7A592F"/>
    <w:multiLevelType w:val="singleLevel"/>
    <w:tmpl w:val="0C090003"/>
    <w:lvl w:ilvl="0">
      <w:start w:val="1"/>
      <w:numFmt w:val="bullet"/>
      <w:lvlText w:val="o"/>
      <w:lvlJc w:val="left"/>
      <w:pPr>
        <w:ind w:left="720" w:hanging="360"/>
      </w:pPr>
      <w:rPr>
        <w:rFonts w:ascii="Courier New" w:hAnsi="Courier New" w:cs="Courier New" w:hint="default"/>
        <w:color w:val="auto"/>
      </w:rPr>
    </w:lvl>
  </w:abstractNum>
  <w:num w:numId="1">
    <w:abstractNumId w:val="1"/>
  </w:num>
  <w:num w:numId="2">
    <w:abstractNumId w:val="0"/>
  </w:num>
  <w:num w:numId="3">
    <w:abstractNumId w:val="18"/>
  </w:num>
  <w:num w:numId="4">
    <w:abstractNumId w:val="8"/>
  </w:num>
  <w:num w:numId="5">
    <w:abstractNumId w:val="24"/>
  </w:num>
  <w:num w:numId="6">
    <w:abstractNumId w:val="25"/>
  </w:num>
  <w:num w:numId="7">
    <w:abstractNumId w:val="12"/>
  </w:num>
  <w:num w:numId="8">
    <w:abstractNumId w:val="22"/>
  </w:num>
  <w:num w:numId="9">
    <w:abstractNumId w:val="11"/>
  </w:num>
  <w:num w:numId="10">
    <w:abstractNumId w:val="21"/>
  </w:num>
  <w:num w:numId="11">
    <w:abstractNumId w:val="6"/>
  </w:num>
  <w:num w:numId="12">
    <w:abstractNumId w:val="3"/>
  </w:num>
  <w:num w:numId="13">
    <w:abstractNumId w:val="32"/>
  </w:num>
  <w:num w:numId="14">
    <w:abstractNumId w:val="30"/>
  </w:num>
  <w:num w:numId="15">
    <w:abstractNumId w:val="13"/>
  </w:num>
  <w:num w:numId="16">
    <w:abstractNumId w:val="9"/>
  </w:num>
  <w:num w:numId="17">
    <w:abstractNumId w:val="33"/>
  </w:num>
  <w:num w:numId="18">
    <w:abstractNumId w:val="28"/>
  </w:num>
  <w:num w:numId="19">
    <w:abstractNumId w:val="2"/>
  </w:num>
  <w:num w:numId="20">
    <w:abstractNumId w:val="20"/>
  </w:num>
  <w:num w:numId="21">
    <w:abstractNumId w:val="26"/>
  </w:num>
  <w:num w:numId="22">
    <w:abstractNumId w:val="29"/>
  </w:num>
  <w:num w:numId="23">
    <w:abstractNumId w:val="5"/>
  </w:num>
  <w:num w:numId="24">
    <w:abstractNumId w:val="4"/>
  </w:num>
  <w:num w:numId="25">
    <w:abstractNumId w:val="19"/>
  </w:num>
  <w:num w:numId="26">
    <w:abstractNumId w:val="10"/>
  </w:num>
  <w:num w:numId="27">
    <w:abstractNumId w:val="27"/>
  </w:num>
  <w:num w:numId="28">
    <w:abstractNumId w:val="17"/>
  </w:num>
  <w:num w:numId="29">
    <w:abstractNumId w:val="7"/>
  </w:num>
  <w:num w:numId="30">
    <w:abstractNumId w:val="15"/>
  </w:num>
  <w:num w:numId="31">
    <w:abstractNumId w:val="31"/>
  </w:num>
  <w:num w:numId="32">
    <w:abstractNumId w:val="23"/>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07"/>
    <w:rsid w:val="00032EF9"/>
    <w:rsid w:val="0004529F"/>
    <w:rsid w:val="000A3BE6"/>
    <w:rsid w:val="00152445"/>
    <w:rsid w:val="00153759"/>
    <w:rsid w:val="001A55FF"/>
    <w:rsid w:val="001C6328"/>
    <w:rsid w:val="00211AA8"/>
    <w:rsid w:val="00211DB5"/>
    <w:rsid w:val="00297ED8"/>
    <w:rsid w:val="002A42FB"/>
    <w:rsid w:val="002E6F53"/>
    <w:rsid w:val="002F056F"/>
    <w:rsid w:val="002F7E8B"/>
    <w:rsid w:val="00350498"/>
    <w:rsid w:val="003A2215"/>
    <w:rsid w:val="003C228C"/>
    <w:rsid w:val="003C4B05"/>
    <w:rsid w:val="003C79F3"/>
    <w:rsid w:val="003F2DC4"/>
    <w:rsid w:val="00463FE8"/>
    <w:rsid w:val="00467BD9"/>
    <w:rsid w:val="00492B79"/>
    <w:rsid w:val="004C4951"/>
    <w:rsid w:val="004E4964"/>
    <w:rsid w:val="00510C5D"/>
    <w:rsid w:val="00526330"/>
    <w:rsid w:val="00561F26"/>
    <w:rsid w:val="00595150"/>
    <w:rsid w:val="005C73F0"/>
    <w:rsid w:val="005D6F88"/>
    <w:rsid w:val="006175D7"/>
    <w:rsid w:val="00622A19"/>
    <w:rsid w:val="006543B5"/>
    <w:rsid w:val="00664DB1"/>
    <w:rsid w:val="00666C48"/>
    <w:rsid w:val="00694B88"/>
    <w:rsid w:val="006A60B7"/>
    <w:rsid w:val="006C66F9"/>
    <w:rsid w:val="006F34F0"/>
    <w:rsid w:val="007542E6"/>
    <w:rsid w:val="00767D72"/>
    <w:rsid w:val="007F30CA"/>
    <w:rsid w:val="00834051"/>
    <w:rsid w:val="0088176B"/>
    <w:rsid w:val="00887193"/>
    <w:rsid w:val="00902C4D"/>
    <w:rsid w:val="00914397"/>
    <w:rsid w:val="00925989"/>
    <w:rsid w:val="00964F68"/>
    <w:rsid w:val="00974AD8"/>
    <w:rsid w:val="009F058A"/>
    <w:rsid w:val="00AE4A4D"/>
    <w:rsid w:val="00B20AEB"/>
    <w:rsid w:val="00B362E5"/>
    <w:rsid w:val="00B541D5"/>
    <w:rsid w:val="00B9331A"/>
    <w:rsid w:val="00B94F1C"/>
    <w:rsid w:val="00BA44E7"/>
    <w:rsid w:val="00BB74D6"/>
    <w:rsid w:val="00BC75A0"/>
    <w:rsid w:val="00BE53C9"/>
    <w:rsid w:val="00C26CBC"/>
    <w:rsid w:val="00C37A4B"/>
    <w:rsid w:val="00C54332"/>
    <w:rsid w:val="00C61A02"/>
    <w:rsid w:val="00C650D4"/>
    <w:rsid w:val="00C75F37"/>
    <w:rsid w:val="00CA19D8"/>
    <w:rsid w:val="00CB7B65"/>
    <w:rsid w:val="00CD1AD7"/>
    <w:rsid w:val="00D07404"/>
    <w:rsid w:val="00D16E8D"/>
    <w:rsid w:val="00D7405B"/>
    <w:rsid w:val="00D9091E"/>
    <w:rsid w:val="00DA21D6"/>
    <w:rsid w:val="00DF2B3D"/>
    <w:rsid w:val="00E06CE4"/>
    <w:rsid w:val="00E10FA9"/>
    <w:rsid w:val="00E11BEE"/>
    <w:rsid w:val="00E46724"/>
    <w:rsid w:val="00E73DAC"/>
    <w:rsid w:val="00ED2751"/>
    <w:rsid w:val="00F0262C"/>
    <w:rsid w:val="00F02CBE"/>
    <w:rsid w:val="00F27EDF"/>
    <w:rsid w:val="00F5471A"/>
    <w:rsid w:val="00F81DAD"/>
    <w:rsid w:val="00FC6296"/>
    <w:rsid w:val="00FE6C07"/>
    <w:rsid w:val="6E365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7DCC3"/>
  <w15:chartTrackingRefBased/>
  <w15:docId w15:val="{FCDE0384-9F4A-4DDE-9FA8-526D7725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50498"/>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350498"/>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350498"/>
    <w:pPr>
      <w:keepNext/>
      <w:keepLines/>
      <w:spacing w:after="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350498"/>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350498"/>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07"/>
    <w:rPr>
      <w:rFonts w:ascii="Segoe UI" w:hAnsi="Segoe UI" w:cs="Segoe UI"/>
      <w:sz w:val="18"/>
      <w:szCs w:val="18"/>
    </w:rPr>
  </w:style>
  <w:style w:type="character" w:styleId="CommentReference">
    <w:name w:val="annotation reference"/>
    <w:basedOn w:val="DefaultParagraphFont"/>
    <w:uiPriority w:val="99"/>
    <w:semiHidden/>
    <w:rsid w:val="00FE6C07"/>
    <w:rPr>
      <w:sz w:val="16"/>
      <w:szCs w:val="16"/>
    </w:rPr>
  </w:style>
  <w:style w:type="paragraph" w:styleId="CommentText">
    <w:name w:val="annotation text"/>
    <w:basedOn w:val="Normal"/>
    <w:link w:val="CommentTextChar"/>
    <w:uiPriority w:val="99"/>
    <w:rsid w:val="00FE6C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6C07"/>
    <w:rPr>
      <w:rFonts w:ascii="Times New Roman" w:eastAsia="Times New Roman" w:hAnsi="Times New Roman" w:cs="Times New Roman"/>
      <w:sz w:val="20"/>
      <w:szCs w:val="20"/>
    </w:rPr>
  </w:style>
  <w:style w:type="table" w:styleId="TableGrid">
    <w:name w:val="Table Grid"/>
    <w:basedOn w:val="TableNormal"/>
    <w:rsid w:val="00FE6C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07"/>
  </w:style>
  <w:style w:type="paragraph" w:styleId="Footer">
    <w:name w:val="footer"/>
    <w:basedOn w:val="Normal"/>
    <w:link w:val="FooterChar"/>
    <w:uiPriority w:val="27"/>
    <w:unhideWhenUsed/>
    <w:rsid w:val="00FE6C07"/>
    <w:pPr>
      <w:tabs>
        <w:tab w:val="center" w:pos="4513"/>
        <w:tab w:val="right" w:pos="9026"/>
      </w:tabs>
      <w:spacing w:after="0" w:line="240" w:lineRule="auto"/>
    </w:pPr>
  </w:style>
  <w:style w:type="character" w:customStyle="1" w:styleId="FooterChar">
    <w:name w:val="Footer Char"/>
    <w:basedOn w:val="DefaultParagraphFont"/>
    <w:link w:val="Footer"/>
    <w:uiPriority w:val="27"/>
    <w:rsid w:val="00FE6C07"/>
  </w:style>
  <w:style w:type="paragraph" w:styleId="CommentSubject">
    <w:name w:val="annotation subject"/>
    <w:basedOn w:val="CommentText"/>
    <w:next w:val="CommentText"/>
    <w:link w:val="CommentSubjectChar"/>
    <w:uiPriority w:val="99"/>
    <w:semiHidden/>
    <w:unhideWhenUsed/>
    <w:rsid w:val="00D074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7404"/>
    <w:rPr>
      <w:rFonts w:ascii="Times New Roman" w:eastAsia="Times New Roman" w:hAnsi="Times New Roman" w:cs="Times New Roman"/>
      <w:b/>
      <w:bCs/>
      <w:sz w:val="20"/>
      <w:szCs w:val="20"/>
    </w:rPr>
  </w:style>
  <w:style w:type="paragraph" w:styleId="ListBullet">
    <w:name w:val="List Bullet"/>
    <w:basedOn w:val="Normal"/>
    <w:uiPriority w:val="99"/>
    <w:qFormat/>
    <w:rsid w:val="00622A19"/>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622A19"/>
    <w:pPr>
      <w:spacing w:after="0" w:line="240" w:lineRule="auto"/>
      <w:ind w:left="720"/>
      <w:contextualSpacing/>
    </w:pPr>
    <w:rPr>
      <w:rFonts w:ascii="Times New Roman" w:eastAsia="Times New Roman" w:hAnsi="Times New Roman" w:cs="Times New Roman"/>
      <w:sz w:val="24"/>
      <w:szCs w:val="24"/>
    </w:rPr>
  </w:style>
  <w:style w:type="paragraph" w:styleId="ListNumber">
    <w:name w:val="List Number"/>
    <w:basedOn w:val="Normal"/>
    <w:uiPriority w:val="9"/>
    <w:qFormat/>
    <w:rsid w:val="00622A19"/>
    <w:pPr>
      <w:numPr>
        <w:numId w:val="2"/>
      </w:numPr>
      <w:spacing w:after="0" w:line="240" w:lineRule="auto"/>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E06CE4"/>
    <w:rPr>
      <w:color w:val="0563C1" w:themeColor="hyperlink"/>
      <w:u w:val="single"/>
    </w:rPr>
  </w:style>
  <w:style w:type="character" w:customStyle="1" w:styleId="UnresolvedMention1">
    <w:name w:val="Unresolved Mention1"/>
    <w:basedOn w:val="DefaultParagraphFont"/>
    <w:uiPriority w:val="99"/>
    <w:semiHidden/>
    <w:unhideWhenUsed/>
    <w:rsid w:val="00E06CE4"/>
    <w:rPr>
      <w:color w:val="605E5C"/>
      <w:shd w:val="clear" w:color="auto" w:fill="E1DFDD"/>
    </w:rPr>
  </w:style>
  <w:style w:type="character" w:customStyle="1" w:styleId="Heading1Char">
    <w:name w:val="Heading 1 Char"/>
    <w:basedOn w:val="DefaultParagraphFont"/>
    <w:link w:val="Heading1"/>
    <w:uiPriority w:val="1"/>
    <w:rsid w:val="00350498"/>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350498"/>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350498"/>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350498"/>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350498"/>
    <w:rPr>
      <w:rFonts w:ascii="Calibri" w:hAnsi="Calibri"/>
      <w:b/>
    </w:rPr>
  </w:style>
  <w:style w:type="paragraph" w:customStyle="1" w:styleId="Footeraddress">
    <w:name w:val="Footer address"/>
    <w:basedOn w:val="Footer"/>
    <w:semiHidden/>
    <w:qFormat/>
    <w:rsid w:val="00350498"/>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350498"/>
    <w:pPr>
      <w:spacing w:after="200" w:line="276" w:lineRule="auto"/>
      <w:ind w:left="709" w:right="567"/>
    </w:pPr>
    <w:rPr>
      <w:rFonts w:ascii="Cambria" w:hAnsi="Cambria"/>
      <w:iCs/>
      <w:color w:val="000000"/>
    </w:rPr>
  </w:style>
  <w:style w:type="character" w:customStyle="1" w:styleId="QuoteChar">
    <w:name w:val="Quote Char"/>
    <w:basedOn w:val="DefaultParagraphFont"/>
    <w:link w:val="Quote"/>
    <w:uiPriority w:val="18"/>
    <w:rsid w:val="00350498"/>
    <w:rPr>
      <w:rFonts w:ascii="Cambria" w:hAnsi="Cambria"/>
      <w:iCs/>
      <w:color w:val="000000"/>
    </w:rPr>
  </w:style>
  <w:style w:type="paragraph" w:customStyle="1" w:styleId="BoxText">
    <w:name w:val="Box Text"/>
    <w:basedOn w:val="Normal"/>
    <w:uiPriority w:val="19"/>
    <w:qFormat/>
    <w:rsid w:val="00350498"/>
    <w:pPr>
      <w:pBdr>
        <w:top w:val="single" w:sz="4" w:space="10" w:color="auto"/>
        <w:left w:val="single" w:sz="4" w:space="10" w:color="auto"/>
        <w:bottom w:val="single" w:sz="4" w:space="10" w:color="auto"/>
        <w:right w:val="single" w:sz="4" w:space="10" w:color="auto"/>
      </w:pBdr>
      <w:spacing w:before="120" w:after="120" w:line="276" w:lineRule="auto"/>
    </w:pPr>
    <w:rPr>
      <w:rFonts w:ascii="Cambria" w:hAnsi="Cambria"/>
      <w:sz w:val="20"/>
    </w:rPr>
  </w:style>
  <w:style w:type="paragraph" w:styleId="Caption">
    <w:name w:val="caption"/>
    <w:basedOn w:val="Normal"/>
    <w:next w:val="Normal"/>
    <w:uiPriority w:val="12"/>
    <w:qFormat/>
    <w:rsid w:val="00350498"/>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50498"/>
    <w:pPr>
      <w:spacing w:before="120" w:after="200" w:line="264" w:lineRule="auto"/>
      <w:contextualSpacing/>
    </w:pPr>
    <w:rPr>
      <w:rFonts w:ascii="Calibri" w:hAnsi="Calibri"/>
      <w:sz w:val="18"/>
    </w:rPr>
  </w:style>
  <w:style w:type="paragraph" w:styleId="Subtitle">
    <w:name w:val="Subtitle"/>
    <w:basedOn w:val="Heading1"/>
    <w:next w:val="Normal"/>
    <w:link w:val="SubtitleChar"/>
    <w:uiPriority w:val="23"/>
    <w:qFormat/>
    <w:rsid w:val="00350498"/>
    <w:pPr>
      <w:spacing w:before="120"/>
    </w:pPr>
    <w:rPr>
      <w:b w:val="0"/>
      <w:sz w:val="44"/>
      <w:szCs w:val="56"/>
    </w:rPr>
  </w:style>
  <w:style w:type="character" w:customStyle="1" w:styleId="SubtitleChar">
    <w:name w:val="Subtitle Char"/>
    <w:basedOn w:val="DefaultParagraphFont"/>
    <w:link w:val="Subtitle"/>
    <w:uiPriority w:val="23"/>
    <w:rsid w:val="00350498"/>
    <w:rPr>
      <w:rFonts w:ascii="Calibri" w:hAnsi="Calibri"/>
      <w:bCs/>
      <w:color w:val="000000"/>
      <w:spacing w:val="5"/>
      <w:kern w:val="28"/>
      <w:sz w:val="44"/>
      <w:szCs w:val="56"/>
    </w:rPr>
  </w:style>
  <w:style w:type="paragraph" w:styleId="TOCHeading">
    <w:name w:val="TOC Heading"/>
    <w:next w:val="Normal"/>
    <w:uiPriority w:val="39"/>
    <w:qFormat/>
    <w:rsid w:val="00350498"/>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350498"/>
    <w:pPr>
      <w:tabs>
        <w:tab w:val="left" w:pos="426"/>
        <w:tab w:val="right" w:leader="dot" w:pos="9072"/>
      </w:tabs>
      <w:spacing w:before="120" w:after="120" w:line="240" w:lineRule="auto"/>
    </w:pPr>
    <w:rPr>
      <w:rFonts w:ascii="Cambria" w:hAnsi="Cambria"/>
      <w:b/>
      <w:noProof/>
    </w:rPr>
  </w:style>
  <w:style w:type="paragraph" w:styleId="TOC2">
    <w:name w:val="toc 2"/>
    <w:basedOn w:val="Normal"/>
    <w:next w:val="Normal"/>
    <w:uiPriority w:val="39"/>
    <w:unhideWhenUsed/>
    <w:qFormat/>
    <w:rsid w:val="00350498"/>
    <w:pPr>
      <w:tabs>
        <w:tab w:val="right" w:leader="dot" w:pos="9060"/>
      </w:tabs>
      <w:spacing w:before="120" w:after="120" w:line="240" w:lineRule="auto"/>
      <w:ind w:firstLine="425"/>
    </w:pPr>
    <w:rPr>
      <w:rFonts w:ascii="Cambria" w:hAnsi="Cambria"/>
      <w:noProof/>
    </w:rPr>
  </w:style>
  <w:style w:type="paragraph" w:styleId="TOC3">
    <w:name w:val="toc 3"/>
    <w:basedOn w:val="Normal"/>
    <w:next w:val="Normal"/>
    <w:uiPriority w:val="39"/>
    <w:unhideWhenUsed/>
    <w:qFormat/>
    <w:rsid w:val="00350498"/>
    <w:pPr>
      <w:tabs>
        <w:tab w:val="right" w:leader="dot" w:pos="9072"/>
      </w:tabs>
      <w:spacing w:before="120" w:after="120" w:line="240" w:lineRule="auto"/>
      <w:ind w:firstLine="851"/>
    </w:pPr>
    <w:rPr>
      <w:rFonts w:ascii="Cambria" w:hAnsi="Cambria"/>
      <w:noProof/>
    </w:rPr>
  </w:style>
  <w:style w:type="paragraph" w:styleId="TableofFigures">
    <w:name w:val="table of figures"/>
    <w:basedOn w:val="Normal"/>
    <w:next w:val="Normal"/>
    <w:uiPriority w:val="99"/>
    <w:rsid w:val="00350498"/>
    <w:pPr>
      <w:spacing w:before="120" w:after="120" w:line="240" w:lineRule="auto"/>
    </w:pPr>
    <w:rPr>
      <w:rFonts w:ascii="Cambria" w:hAnsi="Cambria"/>
    </w:rPr>
  </w:style>
  <w:style w:type="paragraph" w:styleId="ListBullet2">
    <w:name w:val="List Bullet 2"/>
    <w:basedOn w:val="Normal"/>
    <w:uiPriority w:val="8"/>
    <w:qFormat/>
    <w:rsid w:val="00350498"/>
    <w:pPr>
      <w:spacing w:before="120" w:after="120" w:line="276" w:lineRule="auto"/>
      <w:ind w:left="851" w:hanging="426"/>
      <w:contextualSpacing/>
    </w:pPr>
    <w:rPr>
      <w:rFonts w:ascii="Cambria" w:hAnsi="Cambria"/>
    </w:rPr>
  </w:style>
  <w:style w:type="paragraph" w:styleId="ListNumber2">
    <w:name w:val="List Number 2"/>
    <w:uiPriority w:val="10"/>
    <w:qFormat/>
    <w:rsid w:val="00350498"/>
    <w:pPr>
      <w:tabs>
        <w:tab w:val="left" w:pos="567"/>
      </w:tabs>
      <w:spacing w:before="120" w:after="120" w:line="264" w:lineRule="auto"/>
      <w:ind w:left="851" w:hanging="426"/>
    </w:pPr>
    <w:rPr>
      <w:rFonts w:ascii="Cambria" w:eastAsia="Times New Roman" w:hAnsi="Cambria" w:cs="Times New Roman"/>
      <w:szCs w:val="24"/>
    </w:rPr>
  </w:style>
  <w:style w:type="paragraph" w:styleId="ListNumber3">
    <w:name w:val="List Number 3"/>
    <w:uiPriority w:val="11"/>
    <w:qFormat/>
    <w:rsid w:val="00350498"/>
    <w:pPr>
      <w:spacing w:before="120" w:after="120" w:line="264" w:lineRule="auto"/>
      <w:ind w:left="1191" w:hanging="340"/>
    </w:pPr>
    <w:rPr>
      <w:rFonts w:ascii="Cambria" w:eastAsia="Times New Roman" w:hAnsi="Cambria" w:cs="Times New Roman"/>
      <w:szCs w:val="24"/>
    </w:rPr>
  </w:style>
  <w:style w:type="table" w:customStyle="1" w:styleId="LightShading1">
    <w:name w:val="Light Shading1"/>
    <w:basedOn w:val="TableNormal"/>
    <w:uiPriority w:val="60"/>
    <w:rsid w:val="00350498"/>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50498"/>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50498"/>
    <w:pPr>
      <w:spacing w:before="60" w:after="60" w:line="240" w:lineRule="auto"/>
    </w:pPr>
    <w:rPr>
      <w:rFonts w:ascii="Cambria" w:hAnsi="Cambria"/>
      <w:sz w:val="18"/>
    </w:rPr>
  </w:style>
  <w:style w:type="table" w:styleId="TableGrid1">
    <w:name w:val="Table Grid 1"/>
    <w:basedOn w:val="TableNormal"/>
    <w:uiPriority w:val="99"/>
    <w:semiHidden/>
    <w:unhideWhenUsed/>
    <w:rsid w:val="00350498"/>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50498"/>
    <w:pPr>
      <w:keepNext/>
    </w:pPr>
    <w:rPr>
      <w:b/>
    </w:rPr>
  </w:style>
  <w:style w:type="character" w:styleId="PlaceholderText">
    <w:name w:val="Placeholder Text"/>
    <w:basedOn w:val="DefaultParagraphFont"/>
    <w:uiPriority w:val="99"/>
    <w:semiHidden/>
    <w:rsid w:val="00350498"/>
    <w:rPr>
      <w:color w:val="808080"/>
    </w:rPr>
  </w:style>
  <w:style w:type="paragraph" w:customStyle="1" w:styleId="Author">
    <w:name w:val="Author"/>
    <w:basedOn w:val="Normal"/>
    <w:next w:val="Normal"/>
    <w:uiPriority w:val="24"/>
    <w:qFormat/>
    <w:rsid w:val="00350498"/>
    <w:pPr>
      <w:spacing w:after="60" w:line="276" w:lineRule="auto"/>
    </w:pPr>
    <w:rPr>
      <w:rFonts w:ascii="Cambria" w:hAnsi="Cambria"/>
      <w:b/>
      <w:sz w:val="24"/>
      <w:szCs w:val="28"/>
    </w:rPr>
  </w:style>
  <w:style w:type="paragraph" w:customStyle="1" w:styleId="AuthorOrganisationAffiliation">
    <w:name w:val="Author Organisation/Affiliation"/>
    <w:basedOn w:val="Normal"/>
    <w:next w:val="Normal"/>
    <w:uiPriority w:val="25"/>
    <w:qFormat/>
    <w:rsid w:val="00350498"/>
    <w:pPr>
      <w:spacing w:after="200" w:line="276" w:lineRule="auto"/>
    </w:pPr>
    <w:rPr>
      <w:rFonts w:ascii="Cambria" w:hAnsi="Cambria"/>
    </w:rPr>
  </w:style>
  <w:style w:type="character" w:styleId="Strong">
    <w:name w:val="Strong"/>
    <w:basedOn w:val="DefaultParagraphFont"/>
    <w:uiPriority w:val="99"/>
    <w:qFormat/>
    <w:rsid w:val="00350498"/>
    <w:rPr>
      <w:b/>
      <w:bCs/>
    </w:rPr>
  </w:style>
  <w:style w:type="paragraph" w:customStyle="1" w:styleId="Glossary">
    <w:name w:val="Glossary"/>
    <w:basedOn w:val="Normal"/>
    <w:link w:val="GlossaryChar"/>
    <w:uiPriority w:val="28"/>
    <w:semiHidden/>
    <w:locked/>
    <w:rsid w:val="00350498"/>
    <w:pPr>
      <w:spacing w:before="120" w:after="120" w:line="276" w:lineRule="auto"/>
      <w:ind w:left="2126" w:hanging="2126"/>
    </w:pPr>
    <w:rPr>
      <w:rFonts w:ascii="Cambria" w:eastAsia="Calibri" w:hAnsi="Cambria"/>
      <w:color w:val="000000"/>
    </w:rPr>
  </w:style>
  <w:style w:type="character" w:customStyle="1" w:styleId="GlossaryChar">
    <w:name w:val="Glossary Char"/>
    <w:basedOn w:val="DefaultParagraphFont"/>
    <w:link w:val="Glossary"/>
    <w:uiPriority w:val="28"/>
    <w:semiHidden/>
    <w:rsid w:val="00350498"/>
    <w:rPr>
      <w:rFonts w:ascii="Cambria" w:eastAsia="Calibri" w:hAnsi="Cambria"/>
      <w:color w:val="000000"/>
    </w:rPr>
  </w:style>
  <w:style w:type="character" w:styleId="Emphasis">
    <w:name w:val="Emphasis"/>
    <w:basedOn w:val="DefaultParagraphFont"/>
    <w:uiPriority w:val="20"/>
    <w:qFormat/>
    <w:rsid w:val="00350498"/>
    <w:rPr>
      <w:i/>
      <w:iCs/>
    </w:rPr>
  </w:style>
  <w:style w:type="paragraph" w:styleId="TOAHeading">
    <w:name w:val="toa heading"/>
    <w:basedOn w:val="Heading1"/>
    <w:next w:val="Normal"/>
    <w:uiPriority w:val="99"/>
    <w:semiHidden/>
    <w:unhideWhenUsed/>
    <w:rsid w:val="00350498"/>
    <w:pPr>
      <w:spacing w:before="120"/>
    </w:pPr>
    <w:rPr>
      <w:bCs w:val="0"/>
      <w:sz w:val="24"/>
    </w:rPr>
  </w:style>
  <w:style w:type="paragraph" w:styleId="NormalWeb">
    <w:name w:val="Normal (Web)"/>
    <w:basedOn w:val="Normal"/>
    <w:uiPriority w:val="99"/>
    <w:semiHidden/>
    <w:unhideWhenUsed/>
    <w:rsid w:val="00350498"/>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50498"/>
    <w:pPr>
      <w:numPr>
        <w:numId w:val="3"/>
      </w:numPr>
      <w:ind w:left="357" w:hanging="357"/>
    </w:pPr>
  </w:style>
  <w:style w:type="paragraph" w:customStyle="1" w:styleId="TableBullet1">
    <w:name w:val="Table Bullet 1"/>
    <w:basedOn w:val="TableText"/>
    <w:uiPriority w:val="15"/>
    <w:qFormat/>
    <w:rsid w:val="00350498"/>
    <w:pPr>
      <w:numPr>
        <w:numId w:val="4"/>
      </w:numPr>
      <w:ind w:left="284" w:hanging="284"/>
    </w:pPr>
  </w:style>
  <w:style w:type="paragraph" w:styleId="DocumentMap">
    <w:name w:val="Document Map"/>
    <w:basedOn w:val="Normal"/>
    <w:link w:val="DocumentMapChar"/>
    <w:uiPriority w:val="99"/>
    <w:semiHidden/>
    <w:unhideWhenUsed/>
    <w:rsid w:val="0035049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0498"/>
    <w:rPr>
      <w:rFonts w:ascii="Tahoma" w:hAnsi="Tahoma" w:cs="Tahoma"/>
      <w:sz w:val="16"/>
      <w:szCs w:val="16"/>
    </w:rPr>
  </w:style>
  <w:style w:type="paragraph" w:customStyle="1" w:styleId="BoxHeading">
    <w:name w:val="Box Heading"/>
    <w:basedOn w:val="BoxText"/>
    <w:uiPriority w:val="20"/>
    <w:qFormat/>
    <w:rsid w:val="00350498"/>
    <w:pPr>
      <w:spacing w:line="240" w:lineRule="auto"/>
    </w:pPr>
    <w:rPr>
      <w:b/>
    </w:rPr>
  </w:style>
  <w:style w:type="paragraph" w:customStyle="1" w:styleId="Picture">
    <w:name w:val="Picture"/>
    <w:basedOn w:val="Normal"/>
    <w:uiPriority w:val="17"/>
    <w:qFormat/>
    <w:rsid w:val="00350498"/>
    <w:pPr>
      <w:spacing w:before="120" w:after="120" w:line="240" w:lineRule="auto"/>
    </w:pPr>
    <w:rPr>
      <w:rFonts w:ascii="Cambria" w:hAnsi="Cambria"/>
      <w:noProof/>
      <w:lang w:eastAsia="en-AU"/>
    </w:rPr>
  </w:style>
  <w:style w:type="paragraph" w:customStyle="1" w:styleId="Securityclassification">
    <w:name w:val="Security classification"/>
    <w:basedOn w:val="Header"/>
    <w:next w:val="Header"/>
    <w:uiPriority w:val="26"/>
    <w:qFormat/>
    <w:rsid w:val="00350498"/>
    <w:pPr>
      <w:tabs>
        <w:tab w:val="clear" w:pos="4513"/>
        <w:tab w:val="clear" w:pos="9026"/>
        <w:tab w:val="center" w:pos="4820"/>
      </w:tabs>
      <w:jc w:val="center"/>
    </w:pPr>
    <w:rPr>
      <w:rFonts w:ascii="Calibri" w:hAnsi="Calibri"/>
      <w:b/>
      <w:color w:val="FF0000"/>
      <w:sz w:val="36"/>
      <w:szCs w:val="36"/>
    </w:rPr>
  </w:style>
  <w:style w:type="paragraph" w:customStyle="1" w:styleId="DisseminationLimitingMarker">
    <w:name w:val="Dissemination Limiting Marker"/>
    <w:basedOn w:val="Header"/>
    <w:next w:val="Header"/>
    <w:uiPriority w:val="27"/>
    <w:rsid w:val="00350498"/>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nhideWhenUsed/>
    <w:rsid w:val="00350498"/>
    <w:pPr>
      <w:spacing w:after="60" w:line="264" w:lineRule="auto"/>
    </w:pPr>
    <w:rPr>
      <w:rFonts w:ascii="Cambria" w:hAnsi="Cambria"/>
      <w:sz w:val="20"/>
      <w:szCs w:val="20"/>
    </w:rPr>
  </w:style>
  <w:style w:type="character" w:customStyle="1" w:styleId="FootnoteTextChar">
    <w:name w:val="Footnote Text Char"/>
    <w:basedOn w:val="DefaultParagraphFont"/>
    <w:link w:val="FootnoteText"/>
    <w:rsid w:val="00350498"/>
    <w:rPr>
      <w:rFonts w:ascii="Cambria" w:hAnsi="Cambria"/>
      <w:sz w:val="20"/>
      <w:szCs w:val="20"/>
    </w:rPr>
  </w:style>
  <w:style w:type="character" w:styleId="FootnoteReference">
    <w:name w:val="footnote reference"/>
    <w:basedOn w:val="DefaultParagraphFont"/>
    <w:semiHidden/>
    <w:unhideWhenUsed/>
    <w:rsid w:val="00350498"/>
    <w:rPr>
      <w:vertAlign w:val="superscript"/>
    </w:rPr>
  </w:style>
  <w:style w:type="paragraph" w:styleId="EndnoteText">
    <w:name w:val="endnote text"/>
    <w:basedOn w:val="Normal"/>
    <w:link w:val="EndnoteTextChar"/>
    <w:uiPriority w:val="99"/>
    <w:unhideWhenUsed/>
    <w:rsid w:val="00350498"/>
    <w:pPr>
      <w:spacing w:after="60" w:line="264" w:lineRule="auto"/>
    </w:pPr>
    <w:rPr>
      <w:rFonts w:ascii="Cambria" w:hAnsi="Cambria"/>
      <w:sz w:val="20"/>
      <w:szCs w:val="20"/>
    </w:rPr>
  </w:style>
  <w:style w:type="character" w:customStyle="1" w:styleId="EndnoteTextChar">
    <w:name w:val="Endnote Text Char"/>
    <w:basedOn w:val="DefaultParagraphFont"/>
    <w:link w:val="EndnoteText"/>
    <w:uiPriority w:val="99"/>
    <w:rsid w:val="00350498"/>
    <w:rPr>
      <w:rFonts w:ascii="Cambria" w:hAnsi="Cambria"/>
      <w:sz w:val="20"/>
      <w:szCs w:val="20"/>
    </w:rPr>
  </w:style>
  <w:style w:type="character" w:styleId="EndnoteReference">
    <w:name w:val="endnote reference"/>
    <w:basedOn w:val="DefaultParagraphFont"/>
    <w:uiPriority w:val="99"/>
    <w:semiHidden/>
    <w:unhideWhenUsed/>
    <w:rsid w:val="00350498"/>
    <w:rPr>
      <w:vertAlign w:val="superscript"/>
    </w:rPr>
  </w:style>
  <w:style w:type="character" w:styleId="FollowedHyperlink">
    <w:name w:val="FollowedHyperlink"/>
    <w:basedOn w:val="DefaultParagraphFont"/>
    <w:uiPriority w:val="99"/>
    <w:semiHidden/>
    <w:unhideWhenUsed/>
    <w:rsid w:val="00350498"/>
    <w:rPr>
      <w:color w:val="800080"/>
      <w:u w:val="single"/>
    </w:rPr>
  </w:style>
  <w:style w:type="paragraph" w:customStyle="1" w:styleId="BoxSource">
    <w:name w:val="Box Source"/>
    <w:basedOn w:val="FigureTableNoteSource"/>
    <w:uiPriority w:val="22"/>
    <w:qFormat/>
    <w:rsid w:val="00350498"/>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50498"/>
    <w:pPr>
      <w:numPr>
        <w:numId w:val="5"/>
      </w:numPr>
    </w:pPr>
  </w:style>
  <w:style w:type="paragraph" w:styleId="Title">
    <w:name w:val="Title"/>
    <w:basedOn w:val="Normal"/>
    <w:next w:val="Normal"/>
    <w:link w:val="TitleChar"/>
    <w:uiPriority w:val="10"/>
    <w:qFormat/>
    <w:rsid w:val="00350498"/>
    <w:pPr>
      <w:spacing w:before="360" w:after="0" w:line="240" w:lineRule="auto"/>
      <w:contextualSpacing/>
    </w:pPr>
    <w:rPr>
      <w:rFonts w:ascii="Cambria" w:eastAsiaTheme="majorEastAsia" w:hAnsi="Cambria" w:cstheme="majorBidi"/>
      <w:b/>
      <w:spacing w:val="5"/>
      <w:kern w:val="28"/>
      <w:sz w:val="72"/>
      <w:szCs w:val="52"/>
    </w:rPr>
  </w:style>
  <w:style w:type="character" w:customStyle="1" w:styleId="TitleChar">
    <w:name w:val="Title Char"/>
    <w:basedOn w:val="DefaultParagraphFont"/>
    <w:link w:val="Title"/>
    <w:uiPriority w:val="10"/>
    <w:rsid w:val="00350498"/>
    <w:rPr>
      <w:rFonts w:ascii="Cambria" w:eastAsiaTheme="majorEastAsia" w:hAnsi="Cambria" w:cstheme="majorBidi"/>
      <w:b/>
      <w:spacing w:val="5"/>
      <w:kern w:val="28"/>
      <w:sz w:val="72"/>
      <w:szCs w:val="52"/>
    </w:rPr>
  </w:style>
  <w:style w:type="paragraph" w:customStyle="1" w:styleId="TOCHeading2">
    <w:name w:val="TOC Heading 2"/>
    <w:next w:val="Normal"/>
    <w:qFormat/>
    <w:rsid w:val="00350498"/>
    <w:pPr>
      <w:spacing w:after="0" w:line="240" w:lineRule="auto"/>
    </w:pPr>
    <w:rPr>
      <w:rFonts w:ascii="Calibri Light" w:hAnsi="Calibri Light"/>
      <w:sz w:val="36"/>
    </w:rPr>
  </w:style>
  <w:style w:type="numbering" w:customStyle="1" w:styleId="Numberlist">
    <w:name w:val="Number list"/>
    <w:uiPriority w:val="99"/>
    <w:rsid w:val="00350498"/>
    <w:pPr>
      <w:numPr>
        <w:numId w:val="6"/>
      </w:numPr>
    </w:pPr>
  </w:style>
  <w:style w:type="numbering" w:customStyle="1" w:styleId="Headinglist">
    <w:name w:val="Heading list"/>
    <w:uiPriority w:val="99"/>
    <w:rsid w:val="00350498"/>
    <w:pPr>
      <w:numPr>
        <w:numId w:val="7"/>
      </w:numPr>
    </w:pPr>
  </w:style>
  <w:style w:type="paragraph" w:customStyle="1" w:styleId="Normalsmall">
    <w:name w:val="Normal small"/>
    <w:qFormat/>
    <w:rsid w:val="00350498"/>
    <w:pPr>
      <w:spacing w:after="120" w:line="276" w:lineRule="auto"/>
    </w:pPr>
    <w:rPr>
      <w:rFonts w:ascii="Cambria" w:hAnsi="Cambria"/>
      <w:sz w:val="18"/>
      <w:szCs w:val="18"/>
    </w:rPr>
  </w:style>
  <w:style w:type="paragraph" w:styleId="ListBullet3">
    <w:name w:val="List Bullet 3"/>
    <w:basedOn w:val="Normal"/>
    <w:uiPriority w:val="99"/>
    <w:rsid w:val="00350498"/>
    <w:pPr>
      <w:spacing w:after="120" w:line="276" w:lineRule="auto"/>
      <w:ind w:left="1276" w:hanging="425"/>
      <w:contextualSpacing/>
    </w:pPr>
    <w:rPr>
      <w:rFonts w:ascii="Cambria" w:hAnsi="Cambria"/>
    </w:rPr>
  </w:style>
  <w:style w:type="table" w:customStyle="1" w:styleId="ABARESTableleftrightalign">
    <w:name w:val="ABARES Table (left/right align)"/>
    <w:basedOn w:val="TableNormal"/>
    <w:uiPriority w:val="99"/>
    <w:rsid w:val="00350498"/>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350498"/>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350498"/>
    <w:pPr>
      <w:numPr>
        <w:numId w:val="8"/>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350498"/>
    <w:rPr>
      <w:i/>
      <w:iCs/>
      <w:color w:val="4472C4" w:themeColor="accent1"/>
    </w:rPr>
  </w:style>
  <w:style w:type="paragraph" w:customStyle="1" w:styleId="TableBullet2">
    <w:name w:val="Table Bullet 2"/>
    <w:basedOn w:val="TableBullet1"/>
    <w:qFormat/>
    <w:rsid w:val="00350498"/>
    <w:pPr>
      <w:numPr>
        <w:numId w:val="11"/>
      </w:numPr>
      <w:tabs>
        <w:tab w:val="num" w:pos="284"/>
      </w:tabs>
      <w:ind w:left="568" w:hanging="284"/>
    </w:pPr>
  </w:style>
  <w:style w:type="numbering" w:customStyle="1" w:styleId="TableBulletlist">
    <w:name w:val="Table Bullet list"/>
    <w:uiPriority w:val="99"/>
    <w:rsid w:val="00350498"/>
    <w:pPr>
      <w:numPr>
        <w:numId w:val="10"/>
      </w:numPr>
    </w:pPr>
  </w:style>
  <w:style w:type="paragraph" w:styleId="Date">
    <w:name w:val="Date"/>
    <w:basedOn w:val="Normal"/>
    <w:next w:val="Normal"/>
    <w:link w:val="DateChar"/>
    <w:uiPriority w:val="99"/>
    <w:unhideWhenUsed/>
    <w:rsid w:val="00350498"/>
    <w:pPr>
      <w:spacing w:after="200" w:line="276" w:lineRule="auto"/>
      <w:jc w:val="right"/>
    </w:pPr>
    <w:rPr>
      <w:rFonts w:ascii="Cambria" w:hAnsi="Cambria"/>
    </w:rPr>
  </w:style>
  <w:style w:type="character" w:customStyle="1" w:styleId="DateChar">
    <w:name w:val="Date Char"/>
    <w:basedOn w:val="DefaultParagraphFont"/>
    <w:link w:val="Date"/>
    <w:uiPriority w:val="99"/>
    <w:rsid w:val="00350498"/>
    <w:rPr>
      <w:rFonts w:ascii="Cambria" w:hAnsi="Cambria"/>
    </w:rPr>
  </w:style>
  <w:style w:type="paragraph" w:styleId="Revision">
    <w:name w:val="Revision"/>
    <w:hidden/>
    <w:uiPriority w:val="99"/>
    <w:semiHidden/>
    <w:rsid w:val="00350498"/>
    <w:pPr>
      <w:spacing w:after="0" w:line="240" w:lineRule="auto"/>
    </w:pPr>
    <w:rPr>
      <w:rFonts w:ascii="Cambria" w:hAnsi="Cambria"/>
    </w:rPr>
  </w:style>
  <w:style w:type="character" w:customStyle="1" w:styleId="UnresolvedMention10">
    <w:name w:val="Unresolved Mention1"/>
    <w:basedOn w:val="DefaultParagraphFont"/>
    <w:uiPriority w:val="99"/>
    <w:semiHidden/>
    <w:unhideWhenUsed/>
    <w:rsid w:val="00350498"/>
    <w:rPr>
      <w:color w:val="605E5C"/>
      <w:shd w:val="clear" w:color="auto" w:fill="E1DFDD"/>
    </w:rPr>
  </w:style>
  <w:style w:type="paragraph" w:customStyle="1" w:styleId="Instructiontext">
    <w:name w:val="Instruction text"/>
    <w:basedOn w:val="Normal"/>
    <w:next w:val="Normal"/>
    <w:qFormat/>
    <w:rsid w:val="00350498"/>
    <w:pPr>
      <w:spacing w:after="200" w:line="276" w:lineRule="auto"/>
    </w:pPr>
    <w:rPr>
      <w:rFonts w:ascii="Cambria" w:hAnsi="Cambria"/>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350498"/>
    <w:rPr>
      <w:color w:val="605E5C"/>
      <w:shd w:val="clear" w:color="auto" w:fill="E1DFDD"/>
    </w:rPr>
  </w:style>
  <w:style w:type="paragraph" w:customStyle="1" w:styleId="Tabletextinstruction">
    <w:name w:val="Table text instruction"/>
    <w:basedOn w:val="TableText"/>
    <w:qFormat/>
    <w:rsid w:val="00350498"/>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350498"/>
    <w:rPr>
      <w:color w:val="605E5C"/>
      <w:shd w:val="clear" w:color="auto" w:fill="E1DFDD"/>
    </w:rPr>
  </w:style>
  <w:style w:type="character" w:customStyle="1" w:styleId="UnresolvedMention4">
    <w:name w:val="Unresolved Mention4"/>
    <w:basedOn w:val="DefaultParagraphFont"/>
    <w:uiPriority w:val="99"/>
    <w:semiHidden/>
    <w:unhideWhenUsed/>
    <w:rsid w:val="00350498"/>
    <w:rPr>
      <w:color w:val="605E5C"/>
      <w:shd w:val="clear" w:color="auto" w:fill="E1DFDD"/>
    </w:rPr>
  </w:style>
  <w:style w:type="paragraph" w:customStyle="1" w:styleId="CAheadingintext">
    <w:name w:val="CA heading in text"/>
    <w:basedOn w:val="Normal"/>
    <w:link w:val="CAheadingintextChar"/>
    <w:qFormat/>
    <w:rsid w:val="00350498"/>
    <w:pPr>
      <w:keepNext/>
      <w:tabs>
        <w:tab w:val="left" w:pos="426"/>
      </w:tabs>
      <w:spacing w:before="240" w:after="120" w:line="240" w:lineRule="auto"/>
      <w:ind w:left="425" w:hanging="425"/>
    </w:pPr>
    <w:rPr>
      <w:rFonts w:ascii="Arial" w:eastAsia="Times New Roman" w:hAnsi="Arial" w:cs="Arial"/>
      <w:b/>
    </w:rPr>
  </w:style>
  <w:style w:type="character" w:customStyle="1" w:styleId="CAheadingintextChar">
    <w:name w:val="CA heading in text Char"/>
    <w:basedOn w:val="DefaultParagraphFont"/>
    <w:link w:val="CAheadingintext"/>
    <w:rsid w:val="00350498"/>
    <w:rPr>
      <w:rFonts w:ascii="Arial" w:eastAsia="Times New Roman" w:hAnsi="Arial" w:cs="Arial"/>
      <w:b/>
    </w:rPr>
  </w:style>
  <w:style w:type="paragraph" w:customStyle="1" w:styleId="CAbulletmajor">
    <w:name w:val="CA bullet major"/>
    <w:basedOn w:val="ListBullet"/>
    <w:link w:val="CAbulletmajorChar"/>
    <w:qFormat/>
    <w:rsid w:val="00350498"/>
    <w:pPr>
      <w:numPr>
        <w:numId w:val="0"/>
      </w:numPr>
      <w:spacing w:after="120" w:line="276" w:lineRule="auto"/>
      <w:contextualSpacing w:val="0"/>
    </w:pPr>
    <w:rPr>
      <w:rFonts w:ascii="Arial" w:hAnsi="Arial" w:cs="Arial"/>
      <w:sz w:val="22"/>
      <w:szCs w:val="22"/>
    </w:rPr>
  </w:style>
  <w:style w:type="character" w:customStyle="1" w:styleId="CAbulletmajorChar">
    <w:name w:val="CA bullet major Char"/>
    <w:basedOn w:val="DefaultParagraphFont"/>
    <w:link w:val="CAbulletmajor"/>
    <w:rsid w:val="00350498"/>
    <w:rPr>
      <w:rFonts w:ascii="Arial" w:eastAsia="Times New Roman" w:hAnsi="Arial" w:cs="Arial"/>
    </w:rPr>
  </w:style>
  <w:style w:type="paragraph" w:customStyle="1" w:styleId="CAreference">
    <w:name w:val="CA reference"/>
    <w:basedOn w:val="ListBullet"/>
    <w:link w:val="CAreferenceChar"/>
    <w:qFormat/>
    <w:rsid w:val="00350498"/>
    <w:pPr>
      <w:numPr>
        <w:numId w:val="0"/>
      </w:numPr>
      <w:spacing w:before="120" w:after="40" w:line="360" w:lineRule="auto"/>
      <w:ind w:left="357" w:hanging="357"/>
      <w:contextualSpacing w:val="0"/>
    </w:pPr>
    <w:rPr>
      <w:rFonts w:ascii="Arial" w:hAnsi="Arial" w:cs="Arial"/>
      <w:sz w:val="22"/>
      <w:szCs w:val="22"/>
    </w:rPr>
  </w:style>
  <w:style w:type="character" w:customStyle="1" w:styleId="CAreferenceChar">
    <w:name w:val="CA reference Char"/>
    <w:basedOn w:val="DefaultParagraphFont"/>
    <w:link w:val="CAreference"/>
    <w:rsid w:val="00350498"/>
    <w:rPr>
      <w:rFonts w:ascii="Arial" w:eastAsia="Times New Roman" w:hAnsi="Arial" w:cs="Arial"/>
    </w:rPr>
  </w:style>
  <w:style w:type="character" w:customStyle="1" w:styleId="UnresolvedMention5">
    <w:name w:val="Unresolved Mention5"/>
    <w:basedOn w:val="DefaultParagraphFont"/>
    <w:uiPriority w:val="99"/>
    <w:semiHidden/>
    <w:unhideWhenUsed/>
    <w:rsid w:val="00350498"/>
    <w:rPr>
      <w:color w:val="605E5C"/>
      <w:shd w:val="clear" w:color="auto" w:fill="E1DFDD"/>
    </w:rPr>
  </w:style>
  <w:style w:type="paragraph" w:styleId="BodyTextIndent2">
    <w:name w:val="Body Text Indent 2"/>
    <w:basedOn w:val="Normal"/>
    <w:link w:val="BodyTextIndent2Char"/>
    <w:rsid w:val="00350498"/>
    <w:pPr>
      <w:widowControl w:val="0"/>
      <w:spacing w:after="0" w:line="240" w:lineRule="auto"/>
      <w:ind w:left="720"/>
    </w:pPr>
    <w:rPr>
      <w:rFonts w:ascii="Times New Roman" w:eastAsia="Times New Roman" w:hAnsi="Times New Roman" w:cs="Times New Roman"/>
      <w:bCs/>
      <w:i/>
      <w:iCs/>
      <w:snapToGrid w:val="0"/>
      <w:sz w:val="24"/>
      <w:szCs w:val="20"/>
      <w:lang w:val="en-GB"/>
    </w:rPr>
  </w:style>
  <w:style w:type="character" w:customStyle="1" w:styleId="BodyTextIndent2Char">
    <w:name w:val="Body Text Indent 2 Char"/>
    <w:basedOn w:val="DefaultParagraphFont"/>
    <w:link w:val="BodyTextIndent2"/>
    <w:rsid w:val="00350498"/>
    <w:rPr>
      <w:rFonts w:ascii="Times New Roman" w:eastAsia="Times New Roman" w:hAnsi="Times New Roman" w:cs="Times New Roman"/>
      <w:bCs/>
      <w:i/>
      <w:iCs/>
      <w:snapToGrid w:val="0"/>
      <w:sz w:val="24"/>
      <w:szCs w:val="20"/>
      <w:lang w:val="en-GB"/>
    </w:rPr>
  </w:style>
  <w:style w:type="character" w:customStyle="1" w:styleId="UnresolvedMention6">
    <w:name w:val="Unresolved Mention6"/>
    <w:basedOn w:val="DefaultParagraphFont"/>
    <w:uiPriority w:val="99"/>
    <w:semiHidden/>
    <w:unhideWhenUsed/>
    <w:rsid w:val="00350498"/>
    <w:rPr>
      <w:color w:val="605E5C"/>
      <w:shd w:val="clear" w:color="auto" w:fill="E1DFDD"/>
    </w:rPr>
  </w:style>
  <w:style w:type="character" w:customStyle="1" w:styleId="UnresolvedMention7">
    <w:name w:val="Unresolved Mention7"/>
    <w:basedOn w:val="DefaultParagraphFont"/>
    <w:uiPriority w:val="99"/>
    <w:semiHidden/>
    <w:unhideWhenUsed/>
    <w:rsid w:val="00350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ment.gov.au/system/files/pages/d72dfd1a-f0d8-4699-8d43-5d95bbb02428/files/tssc-guidelines-assessing-species-2018.pdf" TargetMode="External"/><Relationship Id="rId18" Type="http://schemas.openxmlformats.org/officeDocument/2006/relationships/hyperlink" Target="mailto:privacy@awe.gov.au"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environment.gov.au/biodiversity/threatened/index.html" TargetMode="External"/><Relationship Id="rId17" Type="http://schemas.openxmlformats.org/officeDocument/2006/relationships/hyperlink" Target="https://www.awe.gov.au/about/commitment/privacy" TargetMode="External"/><Relationship Id="rId25" Type="http://schemas.openxmlformats.org/officeDocument/2006/relationships/hyperlink" Target="http://www.environment.gov.au/science/erin/databases-maps/snes" TargetMode="External"/><Relationship Id="rId33" Type="http://schemas.openxmlformats.org/officeDocument/2006/relationships/hyperlink" Target="http://www.environment.gov.au/biodiversity/threatened/cam" TargetMode="External"/><Relationship Id="rId38" Type="http://schemas.openxmlformats.org/officeDocument/2006/relationships/hyperlink" Target="http://agriculture.gov.au/" TargetMode="External"/><Relationship Id="rId2" Type="http://schemas.openxmlformats.org/officeDocument/2006/relationships/customXml" Target="../customXml/item2.xml"/><Relationship Id="rId16" Type="http://schemas.openxmlformats.org/officeDocument/2006/relationships/hyperlink" Target="http://www.environment.gov.au/biodiversity/threatened/cam" TargetMode="External"/><Relationship Id="rId20" Type="http://schemas.openxmlformats.org/officeDocument/2006/relationships/footer" Target="footer1.xm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es.consultation@environment.gov.au" TargetMode="External"/><Relationship Id="rId24" Type="http://schemas.openxmlformats.org/officeDocument/2006/relationships/image" Target="media/image3.jpeg"/><Relationship Id="rId32" Type="http://schemas.openxmlformats.org/officeDocument/2006/relationships/hyperlink" Target="https://nc.iucnredlist.org/redlist/content/attachment_files/RedListGuidelines.pdf" TargetMode="External"/><Relationship Id="rId37" Type="http://schemas.openxmlformats.org/officeDocument/2006/relationships/hyperlink" Target="http://www.environment.gov.au/cgi-bin/sprat/public/publicspecies.pl?taxon_id=81530"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nvironment.gov.au/biodiversity/threatened/recovery.html" TargetMode="External"/><Relationship Id="rId23" Type="http://schemas.openxmlformats.org/officeDocument/2006/relationships/hyperlink" Target="http://www.environment.gov.au/cgi-bin/sprat/public/sprat.pl" TargetMode="External"/><Relationship Id="rId28" Type="http://schemas.openxmlformats.org/officeDocument/2006/relationships/footer" Target="footer2.xml"/><Relationship Id="rId36" Type="http://schemas.openxmlformats.org/officeDocument/2006/relationships/hyperlink" Target="mailto:copyright@awe.gov.au"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environment.gov.au/system/files/pages/d72dfd1a-f0d8-4699-8d43-5d95bbb02428/files/tssc-guidelines-assessing-species-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biodiversity/threatened/nominations.html" TargetMode="External"/><Relationship Id="rId22" Type="http://schemas.openxmlformats.org/officeDocument/2006/relationships/image" Target="media/image2.jpeg"/><Relationship Id="rId27" Type="http://schemas.openxmlformats.org/officeDocument/2006/relationships/header" Target="header4.xml"/><Relationship Id="rId30" Type="http://schemas.openxmlformats.org/officeDocument/2006/relationships/footer" Target="footer3.xml"/><Relationship Id="rId35"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E1738EDCE49EF9903FFBEF81DC3CE"/>
        <w:category>
          <w:name w:val="General"/>
          <w:gallery w:val="placeholder"/>
        </w:category>
        <w:types>
          <w:type w:val="bbPlcHdr"/>
        </w:types>
        <w:behaviors>
          <w:behavior w:val="content"/>
        </w:behaviors>
        <w:guid w:val="{A0EA6F59-AE7C-4A12-8AF5-973B29FD1006}"/>
      </w:docPartPr>
      <w:docPartBody>
        <w:p w:rsidR="008D036B" w:rsidRDefault="008D036B" w:rsidP="008D036B">
          <w:pPr>
            <w:pStyle w:val="452E1738EDCE49EF9903FFBEF81DC3CE"/>
          </w:pPr>
          <w:r w:rsidRPr="0045331C">
            <w:rPr>
              <w:rStyle w:val="PlaceholderText"/>
            </w:rPr>
            <w:t>Choose an item.</w:t>
          </w:r>
        </w:p>
      </w:docPartBody>
    </w:docPart>
    <w:docPart>
      <w:docPartPr>
        <w:name w:val="0E67B7019FE446C4A576B46B50C4FEB9"/>
        <w:category>
          <w:name w:val="General"/>
          <w:gallery w:val="placeholder"/>
        </w:category>
        <w:types>
          <w:type w:val="bbPlcHdr"/>
        </w:types>
        <w:behaviors>
          <w:behavior w:val="content"/>
        </w:behaviors>
        <w:guid w:val="{A532DCE7-5C8E-4061-8427-8416A0F793EF}"/>
      </w:docPartPr>
      <w:docPartBody>
        <w:p w:rsidR="008D036B" w:rsidRDefault="008D036B" w:rsidP="008D036B">
          <w:pPr>
            <w:pStyle w:val="0E67B7019FE446C4A576B46B50C4FEB9"/>
          </w:pPr>
          <w:r w:rsidRPr="0045331C">
            <w:rPr>
              <w:rStyle w:val="PlaceholderText"/>
            </w:rPr>
            <w:t>Choose an item.</w:t>
          </w:r>
        </w:p>
      </w:docPartBody>
    </w:docPart>
    <w:docPart>
      <w:docPartPr>
        <w:name w:val="3D250CFFBB894B7FBB1322FC39C8FB0A"/>
        <w:category>
          <w:name w:val="General"/>
          <w:gallery w:val="placeholder"/>
        </w:category>
        <w:types>
          <w:type w:val="bbPlcHdr"/>
        </w:types>
        <w:behaviors>
          <w:behavior w:val="content"/>
        </w:behaviors>
        <w:guid w:val="{F64EDEB8-3DC3-4FCE-B492-CFF4AD524A2F}"/>
      </w:docPartPr>
      <w:docPartBody>
        <w:p w:rsidR="008D036B" w:rsidRDefault="008D036B" w:rsidP="008D036B">
          <w:pPr>
            <w:pStyle w:val="3D250CFFBB894B7FBB1322FC39C8FB0A"/>
          </w:pPr>
          <w:r w:rsidRPr="0045331C">
            <w:rPr>
              <w:rStyle w:val="PlaceholderText"/>
            </w:rPr>
            <w:t>Choose an item.</w:t>
          </w:r>
        </w:p>
      </w:docPartBody>
    </w:docPart>
    <w:docPart>
      <w:docPartPr>
        <w:name w:val="E4F5C7A127E24425A2947DAC686451C1"/>
        <w:category>
          <w:name w:val="General"/>
          <w:gallery w:val="placeholder"/>
        </w:category>
        <w:types>
          <w:type w:val="bbPlcHdr"/>
        </w:types>
        <w:behaviors>
          <w:behavior w:val="content"/>
        </w:behaviors>
        <w:guid w:val="{03D29697-2B39-4C48-B4FB-17C5A1FD72C3}"/>
      </w:docPartPr>
      <w:docPartBody>
        <w:p w:rsidR="008D036B" w:rsidRDefault="008D036B" w:rsidP="008D036B">
          <w:pPr>
            <w:pStyle w:val="E4F5C7A127E24425A2947DAC686451C1"/>
          </w:pPr>
          <w:r w:rsidRPr="0045331C">
            <w:rPr>
              <w:rStyle w:val="PlaceholderText"/>
            </w:rPr>
            <w:t>Choose an item.</w:t>
          </w:r>
        </w:p>
      </w:docPartBody>
    </w:docPart>
    <w:docPart>
      <w:docPartPr>
        <w:name w:val="6532DD9A2CB646C1BF6655BFDF936730"/>
        <w:category>
          <w:name w:val="General"/>
          <w:gallery w:val="placeholder"/>
        </w:category>
        <w:types>
          <w:type w:val="bbPlcHdr"/>
        </w:types>
        <w:behaviors>
          <w:behavior w:val="content"/>
        </w:behaviors>
        <w:guid w:val="{4D61A98E-76CF-4FAA-A209-627ADAE2CF05}"/>
      </w:docPartPr>
      <w:docPartBody>
        <w:p w:rsidR="008D036B" w:rsidRDefault="008D036B" w:rsidP="008D036B">
          <w:pPr>
            <w:pStyle w:val="6532DD9A2CB646C1BF6655BFDF936730"/>
          </w:pPr>
          <w:r w:rsidRPr="0045331C">
            <w:rPr>
              <w:rStyle w:val="PlaceholderText"/>
            </w:rPr>
            <w:t>Choose an item.</w:t>
          </w:r>
        </w:p>
      </w:docPartBody>
    </w:docPart>
    <w:docPart>
      <w:docPartPr>
        <w:name w:val="AC426BA7EEDE41A19922748E23334C5F"/>
        <w:category>
          <w:name w:val="General"/>
          <w:gallery w:val="placeholder"/>
        </w:category>
        <w:types>
          <w:type w:val="bbPlcHdr"/>
        </w:types>
        <w:behaviors>
          <w:behavior w:val="content"/>
        </w:behaviors>
        <w:guid w:val="{F7B76D10-D908-43CA-BBB3-BB7F8905B389}"/>
      </w:docPartPr>
      <w:docPartBody>
        <w:p w:rsidR="008D036B" w:rsidRDefault="008D036B" w:rsidP="008D036B">
          <w:pPr>
            <w:pStyle w:val="AC426BA7EEDE41A19922748E23334C5F"/>
          </w:pPr>
          <w:r w:rsidRPr="0045331C">
            <w:rPr>
              <w:rStyle w:val="PlaceholderText"/>
            </w:rPr>
            <w:t>Choose an item.</w:t>
          </w:r>
        </w:p>
      </w:docPartBody>
    </w:docPart>
    <w:docPart>
      <w:docPartPr>
        <w:name w:val="98F620F8A8CE4022899E2E0D03A83C64"/>
        <w:category>
          <w:name w:val="General"/>
          <w:gallery w:val="placeholder"/>
        </w:category>
        <w:types>
          <w:type w:val="bbPlcHdr"/>
        </w:types>
        <w:behaviors>
          <w:behavior w:val="content"/>
        </w:behaviors>
        <w:guid w:val="{49D2CE43-6EE2-4AB9-8BBC-3C8A800F86F1}"/>
      </w:docPartPr>
      <w:docPartBody>
        <w:p w:rsidR="008D036B" w:rsidRDefault="008D036B" w:rsidP="008D036B">
          <w:pPr>
            <w:pStyle w:val="98F620F8A8CE4022899E2E0D03A83C64"/>
          </w:pPr>
          <w:r w:rsidRPr="0045331C">
            <w:rPr>
              <w:rStyle w:val="PlaceholderText"/>
            </w:rPr>
            <w:t>Choose an item.</w:t>
          </w:r>
        </w:p>
      </w:docPartBody>
    </w:docPart>
    <w:docPart>
      <w:docPartPr>
        <w:name w:val="E76F24B8DA584E8A90775357FF189B5A"/>
        <w:category>
          <w:name w:val="General"/>
          <w:gallery w:val="placeholder"/>
        </w:category>
        <w:types>
          <w:type w:val="bbPlcHdr"/>
        </w:types>
        <w:behaviors>
          <w:behavior w:val="content"/>
        </w:behaviors>
        <w:guid w:val="{7FE02872-57BB-4995-8BD4-A8AB8B586177}"/>
      </w:docPartPr>
      <w:docPartBody>
        <w:p w:rsidR="008D036B" w:rsidRDefault="008D036B" w:rsidP="008D036B">
          <w:pPr>
            <w:pStyle w:val="E76F24B8DA584E8A90775357FF189B5A"/>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6B"/>
    <w:rsid w:val="008D036B"/>
    <w:rsid w:val="00D00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36B"/>
    <w:rPr>
      <w:color w:val="808080"/>
    </w:rPr>
  </w:style>
  <w:style w:type="paragraph" w:customStyle="1" w:styleId="452E1738EDCE49EF9903FFBEF81DC3CE">
    <w:name w:val="452E1738EDCE49EF9903FFBEF81DC3CE"/>
    <w:rsid w:val="008D036B"/>
  </w:style>
  <w:style w:type="paragraph" w:customStyle="1" w:styleId="0E67B7019FE446C4A576B46B50C4FEB9">
    <w:name w:val="0E67B7019FE446C4A576B46B50C4FEB9"/>
    <w:rsid w:val="008D036B"/>
  </w:style>
  <w:style w:type="paragraph" w:customStyle="1" w:styleId="3D250CFFBB894B7FBB1322FC39C8FB0A">
    <w:name w:val="3D250CFFBB894B7FBB1322FC39C8FB0A"/>
    <w:rsid w:val="008D036B"/>
  </w:style>
  <w:style w:type="paragraph" w:customStyle="1" w:styleId="E4F5C7A127E24425A2947DAC686451C1">
    <w:name w:val="E4F5C7A127E24425A2947DAC686451C1"/>
    <w:rsid w:val="008D036B"/>
  </w:style>
  <w:style w:type="paragraph" w:customStyle="1" w:styleId="6532DD9A2CB646C1BF6655BFDF936730">
    <w:name w:val="6532DD9A2CB646C1BF6655BFDF936730"/>
    <w:rsid w:val="008D036B"/>
  </w:style>
  <w:style w:type="paragraph" w:customStyle="1" w:styleId="AC426BA7EEDE41A19922748E23334C5F">
    <w:name w:val="AC426BA7EEDE41A19922748E23334C5F"/>
    <w:rsid w:val="008D036B"/>
  </w:style>
  <w:style w:type="paragraph" w:customStyle="1" w:styleId="98F620F8A8CE4022899E2E0D03A83C64">
    <w:name w:val="98F620F8A8CE4022899E2E0D03A83C64"/>
    <w:rsid w:val="008D036B"/>
  </w:style>
  <w:style w:type="paragraph" w:customStyle="1" w:styleId="E76F24B8DA584E8A90775357FF189B5A">
    <w:name w:val="E76F24B8DA584E8A90775357FF189B5A"/>
    <w:rsid w:val="008D0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D2A14-C692-4436-AAB0-FEBE9B50A8DF}">
  <ds:schemaRefs>
    <ds:schemaRef ds:uri="http://schemas.microsoft.com/office/2006/metadata/properties"/>
    <ds:schemaRef ds:uri="http://schemas.microsoft.com/office/infopath/2007/PartnerControls"/>
    <ds:schemaRef ds:uri="5a7e4a30-0d73-42a5-89d1-2d917289efa4"/>
  </ds:schemaRefs>
</ds:datastoreItem>
</file>

<file path=customXml/itemProps2.xml><?xml version="1.0" encoding="utf-8"?>
<ds:datastoreItem xmlns:ds="http://schemas.openxmlformats.org/officeDocument/2006/customXml" ds:itemID="{6F3F484F-011C-46CF-8E5B-B2F2D46939A5}"/>
</file>

<file path=customXml/itemProps3.xml><?xml version="1.0" encoding="utf-8"?>
<ds:datastoreItem xmlns:ds="http://schemas.openxmlformats.org/officeDocument/2006/customXml" ds:itemID="{316303A5-54BD-4AFE-B9BB-F47DAF8ECE28}">
  <ds:schemaRefs>
    <ds:schemaRef ds:uri="http://schemas.openxmlformats.org/officeDocument/2006/bibliography"/>
  </ds:schemaRefs>
</ds:datastoreItem>
</file>

<file path=customXml/itemProps4.xml><?xml version="1.0" encoding="utf-8"?>
<ds:datastoreItem xmlns:ds="http://schemas.openxmlformats.org/officeDocument/2006/customXml" ds:itemID="{25B6D97F-3033-41DB-A8F8-DF9FC10B6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14056</Words>
  <Characters>80125</Characters>
  <Application>Microsoft Office Word</Application>
  <DocSecurity>4</DocSecurity>
  <Lines>667</Lines>
  <Paragraphs>187</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vt:lpstr>
    </vt:vector>
  </TitlesOfParts>
  <Company/>
  <LinksUpToDate>false</LinksUpToDate>
  <CharactersWithSpaces>93994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Mordacia praecox (non-parasitic lamprey)</dc:title>
  <dc:subject/>
  <dc:creator>Department of Agriculture, Water and the Environment</dc:creator>
  <cp:keywords/>
  <dc:description/>
  <cp:lastModifiedBy>Bec Durack</cp:lastModifiedBy>
  <cp:revision>2</cp:revision>
  <dcterms:created xsi:type="dcterms:W3CDTF">2022-01-06T23:42:00Z</dcterms:created>
  <dcterms:modified xsi:type="dcterms:W3CDTF">2022-01-06T23:42:00Z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{9c72f700-6562-4946-925c-c30e04b4de65}</vt:lpwstr>
  </property>
  <property fmtid="{D5CDD505-2E9C-101B-9397-08002B2CF9AE}" pid="7" name="RecordPoint_ActiveItemWebId">
    <vt:lpwstr>{ce0940a8-fbdd-4d61-aa5f-5fccf7e3a693}</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http://www.zotero.org/styles/harvard-cite-them-right</vt:lpwstr>
  </property>
  <property fmtid="{D5CDD505-2E9C-101B-9397-08002B2CF9AE}" pid="13" name="Mendeley Recent Style Name 2_1">
    <vt:lpwstr>Cite Them Right 10th edition - Harvard</vt:lpwstr>
  </property>
  <property fmtid="{D5CDD505-2E9C-101B-9397-08002B2CF9AE}" pid="14" name="Mendeley Recent Style Id 3_1">
    <vt:lpwstr>http://www.zotero.org/styles/heredity</vt:lpwstr>
  </property>
  <property fmtid="{D5CDD505-2E9C-101B-9397-08002B2CF9AE}" pid="15" name="Mendeley Recent Style Name 3_1">
    <vt:lpwstr>Heredity</vt:lpwstr>
  </property>
  <property fmtid="{D5CDD505-2E9C-101B-9397-08002B2CF9AE}" pid="16" name="Mendeley Recent Style Id 4_1">
    <vt:lpwstr>http://csl.mendeley.com/styles/608002331/TSSC</vt:lpwstr>
  </property>
  <property fmtid="{D5CDD505-2E9C-101B-9397-08002B2CF9AE}" pid="17" name="Mendeley Recent Style Name 4_1">
    <vt:lpwstr>Heredity - Tim Page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http://csl.mendeley.com/styles/608002331/NewTSSC-2</vt:lpwstr>
  </property>
  <property fmtid="{D5CDD505-2E9C-101B-9397-08002B2CF9AE}" pid="25" name="Mendeley Recent Style Name 8_1">
    <vt:lpwstr>NewTSSC - Tim Page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