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85A6" w14:textId="77777777" w:rsidR="006B4EBD" w:rsidRPr="00557F54" w:rsidRDefault="006B4EBD" w:rsidP="00A60E9D">
      <w:pPr>
        <w:spacing w:after="0" w:line="240" w:lineRule="auto"/>
        <w:jc w:val="center"/>
        <w:rPr>
          <w:rFonts w:ascii="Arial" w:hAnsi="Arial" w:cs="Arial"/>
          <w:b/>
          <w:sz w:val="28"/>
          <w:szCs w:val="28"/>
        </w:rPr>
      </w:pPr>
      <w:r w:rsidRPr="00557F54">
        <w:rPr>
          <w:rFonts w:ascii="Arial" w:hAnsi="Arial" w:cs="Arial"/>
          <w:b/>
          <w:sz w:val="28"/>
          <w:szCs w:val="28"/>
        </w:rPr>
        <w:t>Consultation on Species Listing Eligibility and Conservation Actions</w:t>
      </w:r>
    </w:p>
    <w:p w14:paraId="14F4138A" w14:textId="77777777" w:rsidR="006B4EBD" w:rsidRPr="00557F54" w:rsidRDefault="006B4EBD" w:rsidP="00A60E9D">
      <w:pPr>
        <w:spacing w:after="0" w:line="240" w:lineRule="auto"/>
        <w:jc w:val="center"/>
        <w:rPr>
          <w:rFonts w:ascii="Arial" w:hAnsi="Arial" w:cs="Arial"/>
          <w:sz w:val="28"/>
          <w:szCs w:val="28"/>
        </w:rPr>
      </w:pPr>
    </w:p>
    <w:p w14:paraId="729E4DA0" w14:textId="6210BFF5" w:rsidR="006B4EBD" w:rsidRPr="00557F54" w:rsidRDefault="006B4EBD" w:rsidP="00A60E9D">
      <w:pPr>
        <w:widowControl w:val="0"/>
        <w:spacing w:after="0" w:line="240" w:lineRule="auto"/>
        <w:jc w:val="center"/>
        <w:rPr>
          <w:rFonts w:ascii="Arial" w:hAnsi="Arial" w:cs="Arial"/>
          <w:b/>
          <w:bCs/>
          <w:snapToGrid w:val="0"/>
          <w:sz w:val="24"/>
          <w:lang w:val="en-US"/>
        </w:rPr>
      </w:pPr>
      <w:bookmarkStart w:id="0" w:name="_Hlk92722260"/>
      <w:r>
        <w:rPr>
          <w:rFonts w:ascii="Arial" w:hAnsi="Arial" w:cs="Arial"/>
          <w:b/>
          <w:bCs/>
          <w:i/>
          <w:iCs/>
          <w:snapToGrid w:val="0"/>
          <w:sz w:val="24"/>
        </w:rPr>
        <w:t xml:space="preserve">Rhodanthe </w:t>
      </w:r>
      <w:r>
        <w:rPr>
          <w:rFonts w:ascii="Arial" w:hAnsi="Arial" w:cs="Arial"/>
          <w:b/>
          <w:bCs/>
          <w:snapToGrid w:val="0"/>
          <w:sz w:val="24"/>
        </w:rPr>
        <w:t>sp. Point Lookout</w:t>
      </w:r>
      <w:r w:rsidRPr="00557F54">
        <w:rPr>
          <w:rFonts w:ascii="Arial" w:hAnsi="Arial" w:cs="Arial"/>
          <w:b/>
          <w:bCs/>
          <w:i/>
          <w:iCs/>
          <w:snapToGrid w:val="0"/>
          <w:sz w:val="24"/>
        </w:rPr>
        <w:t xml:space="preserve"> </w:t>
      </w:r>
    </w:p>
    <w:bookmarkEnd w:id="0"/>
    <w:p w14:paraId="3E14F1AE" w14:textId="77777777" w:rsidR="006B4EBD" w:rsidRPr="00557F54" w:rsidRDefault="006B4EBD" w:rsidP="00A60E9D">
      <w:pPr>
        <w:spacing w:before="120" w:beforeAutospacing="1" w:after="0" w:line="240" w:lineRule="auto"/>
        <w:rPr>
          <w:rFonts w:ascii="Arial" w:hAnsi="Arial" w:cs="Arial"/>
          <w:lang w:eastAsia="en-AU"/>
        </w:rPr>
      </w:pPr>
      <w:r w:rsidRPr="00557F54">
        <w:rPr>
          <w:rFonts w:ascii="Arial" w:hAnsi="Arial" w:cs="Arial"/>
          <w:lang w:eastAsia="en-AU"/>
        </w:rPr>
        <w:t>You are invited to provide your views and supporting reasons related to:</w:t>
      </w:r>
    </w:p>
    <w:p w14:paraId="4488721C" w14:textId="6107F5D4" w:rsidR="006B4EBD" w:rsidRPr="00557F54" w:rsidRDefault="006B4EBD" w:rsidP="00A60E9D">
      <w:pPr>
        <w:spacing w:after="0" w:line="240" w:lineRule="auto"/>
        <w:rPr>
          <w:rFonts w:ascii="Arial" w:hAnsi="Arial" w:cs="Arial"/>
        </w:rPr>
      </w:pPr>
      <w:r w:rsidRPr="00557F54">
        <w:rPr>
          <w:rFonts w:ascii="Arial" w:hAnsi="Arial" w:cs="Arial"/>
        </w:rPr>
        <w:t>1)</w:t>
      </w:r>
      <w:r w:rsidRPr="00557F54">
        <w:rPr>
          <w:rFonts w:ascii="Arial" w:hAnsi="Arial" w:cs="Arial"/>
        </w:rPr>
        <w:tab/>
        <w:t xml:space="preserve">the eligibility of </w:t>
      </w:r>
      <w:r w:rsidRPr="006B4EBD">
        <w:rPr>
          <w:rFonts w:ascii="Arial" w:hAnsi="Arial" w:cs="Arial"/>
          <w:i/>
          <w:iCs/>
        </w:rPr>
        <w:t xml:space="preserve">Rhodanthe </w:t>
      </w:r>
      <w:r w:rsidRPr="00A60E9D">
        <w:rPr>
          <w:rFonts w:ascii="Arial" w:hAnsi="Arial" w:cs="Arial"/>
        </w:rPr>
        <w:t>sp. Point Lookout</w:t>
      </w:r>
      <w:r w:rsidRPr="00557F54">
        <w:rPr>
          <w:rFonts w:ascii="Arial" w:hAnsi="Arial" w:cs="Arial"/>
          <w:i/>
          <w:iCs/>
        </w:rPr>
        <w:t xml:space="preserve"> </w:t>
      </w:r>
      <w:r w:rsidRPr="00557F54">
        <w:rPr>
          <w:rFonts w:ascii="Arial" w:hAnsi="Arial" w:cs="Arial"/>
        </w:rPr>
        <w:t xml:space="preserve">for inclusion on the EPBC Act threatened species list in the </w:t>
      </w:r>
      <w:r>
        <w:rPr>
          <w:rFonts w:ascii="Arial" w:hAnsi="Arial" w:cs="Arial"/>
        </w:rPr>
        <w:t>Endangered</w:t>
      </w:r>
      <w:r w:rsidRPr="00557F54">
        <w:rPr>
          <w:rFonts w:ascii="Arial" w:hAnsi="Arial" w:cs="Arial"/>
        </w:rPr>
        <w:t xml:space="preserve"> category; and </w:t>
      </w:r>
    </w:p>
    <w:p w14:paraId="418E641A" w14:textId="77777777" w:rsidR="006B4EBD" w:rsidRPr="00557F54" w:rsidRDefault="006B4EBD" w:rsidP="00A60E9D">
      <w:pPr>
        <w:tabs>
          <w:tab w:val="left" w:pos="426"/>
        </w:tabs>
        <w:spacing w:before="120" w:beforeAutospacing="1" w:after="0" w:line="240" w:lineRule="auto"/>
        <w:rPr>
          <w:rFonts w:ascii="Arial" w:hAnsi="Arial" w:cs="Arial"/>
          <w:lang w:eastAsia="en-AU"/>
        </w:rPr>
      </w:pPr>
      <w:r w:rsidRPr="00557F54">
        <w:rPr>
          <w:rFonts w:ascii="Arial" w:hAnsi="Arial" w:cs="Arial"/>
          <w:lang w:eastAsia="en-AU"/>
        </w:rPr>
        <w:t>2)</w:t>
      </w:r>
      <w:r w:rsidRPr="00557F54">
        <w:rPr>
          <w:rFonts w:ascii="Arial" w:hAnsi="Arial" w:cs="Arial"/>
          <w:lang w:eastAsia="en-AU"/>
        </w:rPr>
        <w:tab/>
        <w:t>the necessary conservation actions for the above species.</w:t>
      </w:r>
    </w:p>
    <w:p w14:paraId="0EA321AD" w14:textId="77777777" w:rsidR="006B4EBD" w:rsidRPr="00557F54" w:rsidRDefault="006B4EBD" w:rsidP="00A60E9D">
      <w:pPr>
        <w:spacing w:before="120" w:after="0" w:line="240" w:lineRule="auto"/>
        <w:rPr>
          <w:rFonts w:ascii="Arial" w:hAnsi="Arial" w:cs="Arial"/>
        </w:rPr>
      </w:pPr>
      <w:r w:rsidRPr="00557F54">
        <w:rPr>
          <w:rFonts w:ascii="Arial" w:hAnsi="Arial" w:cs="Arial"/>
        </w:rPr>
        <w:t xml:space="preserve">The purpose of this consultation document is to elicit additional information to better understand the status of the species and help inform on conservation actions and further planning. As such, the below draft assessment should be considered to be </w:t>
      </w:r>
      <w:r w:rsidRPr="00557F54">
        <w:rPr>
          <w:rFonts w:ascii="Arial" w:hAnsi="Arial" w:cs="Arial"/>
          <w:b/>
          <w:bCs/>
        </w:rPr>
        <w:t>tentative</w:t>
      </w:r>
      <w:r w:rsidRPr="00557F54">
        <w:rPr>
          <w:rFonts w:ascii="Arial" w:hAnsi="Arial" w:cs="Arial"/>
        </w:rPr>
        <w:t xml:space="preserve"> as it may change following responses to this consultation process. </w:t>
      </w:r>
    </w:p>
    <w:p w14:paraId="234F905D" w14:textId="77777777" w:rsidR="006B4EBD" w:rsidRPr="00557F54" w:rsidRDefault="006B4EBD" w:rsidP="00A60E9D">
      <w:pPr>
        <w:spacing w:before="120" w:after="0" w:line="240" w:lineRule="auto"/>
        <w:rPr>
          <w:rFonts w:ascii="Arial" w:hAnsi="Arial" w:cs="Arial"/>
        </w:rPr>
      </w:pPr>
      <w:r w:rsidRPr="00557F54">
        <w:rPr>
          <w:rFonts w:ascii="Arial" w:hAnsi="Arial" w:cs="Arial"/>
        </w:rPr>
        <w:t xml:space="preserve">Evidence provided by experts, stakeholders and the general public are welcome. Responses can be provided by any interested person. </w:t>
      </w:r>
    </w:p>
    <w:p w14:paraId="4CA264E0" w14:textId="77777777" w:rsidR="006B4EBD" w:rsidRDefault="006B4EBD" w:rsidP="006B4EBD">
      <w:pPr>
        <w:spacing w:after="0" w:line="240" w:lineRule="auto"/>
        <w:rPr>
          <w:rFonts w:ascii="Arial" w:hAnsi="Arial" w:cs="Arial"/>
        </w:rPr>
      </w:pPr>
    </w:p>
    <w:p w14:paraId="3E620133" w14:textId="5544D4BE" w:rsidR="006B4EBD" w:rsidRPr="00557F54" w:rsidRDefault="006B4EBD" w:rsidP="00A60E9D">
      <w:pPr>
        <w:spacing w:after="0" w:line="240" w:lineRule="auto"/>
        <w:rPr>
          <w:rFonts w:ascii="Arial" w:hAnsi="Arial" w:cs="Arial"/>
        </w:rPr>
      </w:pPr>
      <w:r w:rsidRPr="00557F54">
        <w:rPr>
          <w:rFonts w:ascii="Arial" w:hAnsi="Arial" w:cs="Arial"/>
        </w:rPr>
        <w:t xml:space="preserve">Anyone may nominate a native species, ecological community or threatening process for listing under the </w:t>
      </w:r>
      <w:r w:rsidRPr="00557F54">
        <w:rPr>
          <w:rFonts w:ascii="Arial" w:hAnsi="Arial" w:cs="Arial"/>
          <w:i/>
          <w:iCs/>
        </w:rPr>
        <w:t>Environment Protection and Biodiversity Conservation Act 1999</w:t>
      </w:r>
      <w:r w:rsidRPr="00557F54">
        <w:rPr>
          <w:rFonts w:ascii="Arial"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50D4CAF5" w14:textId="77777777" w:rsidR="006B4EBD" w:rsidRPr="00557F54" w:rsidRDefault="006B4EBD" w:rsidP="00A60E9D">
      <w:pPr>
        <w:spacing w:after="0" w:line="240" w:lineRule="auto"/>
        <w:rPr>
          <w:rFonts w:ascii="Arial" w:hAnsi="Arial" w:cs="Arial"/>
        </w:rPr>
      </w:pPr>
    </w:p>
    <w:p w14:paraId="0E7AF325" w14:textId="69DBC544" w:rsidR="006B4EBD" w:rsidRPr="00557F54" w:rsidRDefault="006B4EBD" w:rsidP="00A60E9D">
      <w:pPr>
        <w:spacing w:after="0" w:line="240" w:lineRule="auto"/>
        <w:rPr>
          <w:rFonts w:ascii="Arial" w:hAnsi="Arial" w:cs="Arial"/>
        </w:rPr>
      </w:pPr>
      <w:r w:rsidRPr="00557F54">
        <w:rPr>
          <w:rFonts w:ascii="Arial" w:hAnsi="Arial" w:cs="Arial"/>
        </w:rPr>
        <w:t xml:space="preserve">Responses are to be provided in writing by email to: </w:t>
      </w:r>
      <w:hyperlink r:id="rId10" w:history="1">
        <w:r w:rsidR="00C874B7" w:rsidRPr="00313B9C">
          <w:rPr>
            <w:rStyle w:val="Hyperlink"/>
            <w:rFonts w:ascii="Arial" w:hAnsi="Arial" w:cs="Arial"/>
          </w:rPr>
          <w:t>species.consultation@awe.gov.au</w:t>
        </w:r>
      </w:hyperlink>
    </w:p>
    <w:p w14:paraId="1DCE99A0" w14:textId="77777777" w:rsidR="006B4EBD" w:rsidRPr="00557F54" w:rsidRDefault="006B4EBD" w:rsidP="00A60E9D">
      <w:pPr>
        <w:spacing w:after="0" w:line="240" w:lineRule="auto"/>
        <w:rPr>
          <w:rFonts w:ascii="Arial" w:hAnsi="Arial" w:cs="Arial"/>
        </w:rPr>
      </w:pPr>
    </w:p>
    <w:p w14:paraId="19E85808" w14:textId="77777777" w:rsidR="006B4EBD" w:rsidRPr="00557F54" w:rsidRDefault="006B4EBD" w:rsidP="00A60E9D">
      <w:pPr>
        <w:spacing w:after="0" w:line="240" w:lineRule="auto"/>
        <w:rPr>
          <w:rFonts w:ascii="Arial" w:hAnsi="Arial" w:cs="Arial"/>
        </w:rPr>
      </w:pPr>
      <w:r w:rsidRPr="00557F54">
        <w:rPr>
          <w:rFonts w:ascii="Arial" w:hAnsi="Arial" w:cs="Arial"/>
        </w:rPr>
        <w:t>Please include species scientific name in Subject field.</w:t>
      </w:r>
    </w:p>
    <w:p w14:paraId="0185FAA2" w14:textId="77777777" w:rsidR="006B4EBD" w:rsidRPr="00557F54" w:rsidRDefault="006B4EBD" w:rsidP="00A60E9D">
      <w:pPr>
        <w:spacing w:after="0" w:line="240" w:lineRule="auto"/>
        <w:rPr>
          <w:rFonts w:ascii="Arial" w:hAnsi="Arial" w:cs="Arial"/>
        </w:rPr>
      </w:pPr>
    </w:p>
    <w:p w14:paraId="0BECD685" w14:textId="77777777" w:rsidR="006B4EBD" w:rsidRPr="00557F54" w:rsidRDefault="006B4EBD" w:rsidP="00A60E9D">
      <w:pPr>
        <w:spacing w:after="0" w:line="240" w:lineRule="auto"/>
        <w:rPr>
          <w:rFonts w:ascii="Arial" w:hAnsi="Arial" w:cs="Arial"/>
        </w:rPr>
      </w:pPr>
      <w:r w:rsidRPr="00557F54">
        <w:rPr>
          <w:rFonts w:ascii="Arial" w:hAnsi="Arial" w:cs="Arial"/>
          <w:color w:val="000000"/>
        </w:rPr>
        <w:t xml:space="preserve">or by mail to: </w:t>
      </w:r>
    </w:p>
    <w:p w14:paraId="17EE729A" w14:textId="77777777" w:rsidR="006B4EBD" w:rsidRPr="00557F54" w:rsidRDefault="006B4EBD" w:rsidP="00A60E9D">
      <w:pPr>
        <w:spacing w:after="0" w:line="240" w:lineRule="auto"/>
        <w:rPr>
          <w:rFonts w:ascii="Arial" w:hAnsi="Arial" w:cs="Arial"/>
          <w:color w:val="000000"/>
        </w:rPr>
      </w:pPr>
    </w:p>
    <w:p w14:paraId="31AF4B76" w14:textId="77777777" w:rsidR="006B4EBD" w:rsidRPr="00557F54" w:rsidRDefault="006B4EBD" w:rsidP="00A60E9D">
      <w:pPr>
        <w:spacing w:after="0" w:line="240" w:lineRule="auto"/>
        <w:ind w:left="426"/>
        <w:rPr>
          <w:rFonts w:ascii="Arial" w:hAnsi="Arial" w:cs="Arial"/>
          <w:color w:val="000000"/>
        </w:rPr>
      </w:pPr>
      <w:r w:rsidRPr="00557F54">
        <w:rPr>
          <w:rFonts w:ascii="Arial" w:hAnsi="Arial" w:cs="Arial"/>
          <w:color w:val="000000"/>
        </w:rPr>
        <w:t>The Director</w:t>
      </w:r>
    </w:p>
    <w:p w14:paraId="2CEEB0F8" w14:textId="77777777" w:rsidR="006B4EBD" w:rsidRPr="00557F54" w:rsidRDefault="006B4EBD" w:rsidP="00A60E9D">
      <w:pPr>
        <w:spacing w:after="0" w:line="240" w:lineRule="auto"/>
        <w:ind w:left="426"/>
        <w:rPr>
          <w:rFonts w:ascii="Arial" w:hAnsi="Arial" w:cs="Arial"/>
        </w:rPr>
      </w:pPr>
      <w:r w:rsidRPr="00557F54">
        <w:rPr>
          <w:rFonts w:ascii="Arial" w:hAnsi="Arial" w:cs="Arial"/>
        </w:rPr>
        <w:t>Bushfire Affected Species Assessments Section</w:t>
      </w:r>
    </w:p>
    <w:p w14:paraId="5C07D3AD" w14:textId="77777777" w:rsidR="006B4EBD" w:rsidRPr="00557F54" w:rsidRDefault="006B4EBD" w:rsidP="00A60E9D">
      <w:pPr>
        <w:spacing w:after="0" w:line="240" w:lineRule="auto"/>
        <w:ind w:left="426"/>
        <w:rPr>
          <w:rFonts w:ascii="Arial" w:hAnsi="Arial" w:cs="Arial"/>
          <w:color w:val="000000"/>
        </w:rPr>
      </w:pPr>
      <w:r w:rsidRPr="00557F54">
        <w:rPr>
          <w:rFonts w:ascii="Arial" w:hAnsi="Arial" w:cs="Arial"/>
        </w:rPr>
        <w:t>Department of Agriculture, Water and the Environment</w:t>
      </w:r>
    </w:p>
    <w:p w14:paraId="3350712C" w14:textId="77777777" w:rsidR="006B4EBD" w:rsidRPr="00557F54" w:rsidRDefault="006B4EBD" w:rsidP="00A60E9D">
      <w:pPr>
        <w:spacing w:after="0" w:line="240" w:lineRule="auto"/>
        <w:ind w:left="426"/>
        <w:rPr>
          <w:rFonts w:ascii="Arial" w:hAnsi="Arial" w:cs="Arial"/>
          <w:color w:val="000000"/>
        </w:rPr>
      </w:pPr>
      <w:r w:rsidRPr="00557F54">
        <w:rPr>
          <w:rFonts w:ascii="Arial" w:hAnsi="Arial" w:cs="Arial"/>
          <w:color w:val="000000"/>
        </w:rPr>
        <w:t>John Gorton Building, King Edward Terrace</w:t>
      </w:r>
    </w:p>
    <w:p w14:paraId="3012748F" w14:textId="77777777" w:rsidR="006B4EBD" w:rsidRPr="00557F54" w:rsidRDefault="006B4EBD" w:rsidP="00A60E9D">
      <w:pPr>
        <w:spacing w:after="0" w:line="240" w:lineRule="auto"/>
        <w:ind w:left="426"/>
        <w:rPr>
          <w:rFonts w:ascii="Arial" w:hAnsi="Arial" w:cs="Arial"/>
          <w:color w:val="000000"/>
        </w:rPr>
      </w:pPr>
      <w:r w:rsidRPr="00557F54">
        <w:rPr>
          <w:rFonts w:ascii="Arial" w:hAnsi="Arial" w:cs="Arial"/>
          <w:color w:val="000000"/>
        </w:rPr>
        <w:t>GPO Box 858</w:t>
      </w:r>
    </w:p>
    <w:p w14:paraId="4F0E680B" w14:textId="31DD9BE3" w:rsidR="006B4EBD" w:rsidRDefault="006B4EBD" w:rsidP="006B4EBD">
      <w:pPr>
        <w:spacing w:after="0" w:line="240" w:lineRule="auto"/>
        <w:ind w:left="426"/>
        <w:rPr>
          <w:rFonts w:ascii="Arial" w:hAnsi="Arial" w:cs="Arial"/>
          <w:color w:val="000000"/>
        </w:rPr>
      </w:pPr>
      <w:r w:rsidRPr="00557F54">
        <w:rPr>
          <w:rFonts w:ascii="Arial" w:hAnsi="Arial" w:cs="Arial"/>
          <w:color w:val="000000"/>
        </w:rPr>
        <w:t>Canberra ACT 2601</w:t>
      </w:r>
    </w:p>
    <w:p w14:paraId="1DB21E65" w14:textId="77777777" w:rsidR="006B4EBD" w:rsidRPr="00557F54" w:rsidRDefault="006B4EBD" w:rsidP="00A60E9D">
      <w:pPr>
        <w:spacing w:after="0" w:line="240" w:lineRule="auto"/>
        <w:ind w:left="426"/>
        <w:rPr>
          <w:rFonts w:ascii="Arial" w:hAnsi="Arial" w:cs="Arial"/>
          <w:color w:val="000000"/>
        </w:rPr>
      </w:pPr>
    </w:p>
    <w:p w14:paraId="5D5059EE" w14:textId="715104B5" w:rsidR="00AB7015" w:rsidRPr="00557F54" w:rsidRDefault="00AB7015" w:rsidP="00AB7015">
      <w:pPr>
        <w:spacing w:after="120"/>
        <w:rPr>
          <w:rFonts w:ascii="Arial" w:hAnsi="Arial" w:cs="Arial"/>
          <w:color w:val="000000"/>
        </w:rPr>
      </w:pPr>
      <w:r w:rsidRPr="00557F54">
        <w:rPr>
          <w:rFonts w:ascii="Arial" w:hAnsi="Arial" w:cs="Arial"/>
          <w:b/>
        </w:rPr>
        <w:t xml:space="preserve">Responses are required to be submitted by </w:t>
      </w:r>
      <w:r w:rsidR="006B4EBD">
        <w:rPr>
          <w:rFonts w:ascii="Arial" w:hAnsi="Arial" w:cs="Arial"/>
          <w:b/>
        </w:rPr>
        <w:t>2 March</w:t>
      </w:r>
      <w:r w:rsidRPr="00557F54">
        <w:rPr>
          <w:rFonts w:ascii="Arial" w:hAnsi="Arial" w:cs="Arial"/>
          <w:b/>
        </w:rPr>
        <w:t xml:space="preserve"> 2022</w:t>
      </w:r>
      <w:r w:rsidRPr="00557F54">
        <w:rPr>
          <w:rFonts w:ascii="Arial" w:hAnsi="Arial" w:cs="Arial"/>
          <w:color w:val="000000"/>
        </w:rPr>
        <w:t>.</w:t>
      </w:r>
    </w:p>
    <w:tbl>
      <w:tblPr>
        <w:tblW w:w="9854" w:type="dxa"/>
        <w:tblLayout w:type="fixed"/>
        <w:tblLook w:val="04A0" w:firstRow="1" w:lastRow="0" w:firstColumn="1" w:lastColumn="0" w:noHBand="0" w:noVBand="1"/>
      </w:tblPr>
      <w:tblGrid>
        <w:gridCol w:w="9039"/>
        <w:gridCol w:w="815"/>
      </w:tblGrid>
      <w:tr w:rsidR="00AB7015" w:rsidRPr="00557F54" w14:paraId="1049E1CD" w14:textId="77777777" w:rsidTr="00A60E9D">
        <w:tc>
          <w:tcPr>
            <w:tcW w:w="9039" w:type="dxa"/>
            <w:tcBorders>
              <w:top w:val="single" w:sz="4" w:space="0" w:color="auto"/>
              <w:left w:val="single" w:sz="4" w:space="0" w:color="auto"/>
              <w:bottom w:val="single" w:sz="4" w:space="0" w:color="auto"/>
              <w:right w:val="single" w:sz="4" w:space="0" w:color="auto"/>
            </w:tcBorders>
            <w:shd w:val="pct15" w:color="auto" w:fill="auto"/>
          </w:tcPr>
          <w:p w14:paraId="740B44B4" w14:textId="77777777" w:rsidR="00AB7015" w:rsidRPr="00557F54" w:rsidRDefault="00AB7015" w:rsidP="00A60E9D">
            <w:pPr>
              <w:spacing w:after="0" w:line="240" w:lineRule="auto"/>
              <w:rPr>
                <w:rFonts w:ascii="Arial" w:hAnsi="Arial" w:cs="Arial"/>
                <w:b/>
              </w:rPr>
            </w:pPr>
            <w:r w:rsidRPr="00557F54">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6F57A460" w14:textId="77777777" w:rsidR="00AB7015" w:rsidRPr="00557F54" w:rsidRDefault="00AB7015" w:rsidP="00A60E9D">
            <w:pPr>
              <w:spacing w:after="0" w:line="240" w:lineRule="auto"/>
              <w:rPr>
                <w:rFonts w:ascii="Arial" w:hAnsi="Arial" w:cs="Arial"/>
                <w:b/>
                <w:bCs/>
              </w:rPr>
            </w:pPr>
            <w:r w:rsidRPr="00557F54">
              <w:rPr>
                <w:rFonts w:ascii="Arial" w:hAnsi="Arial" w:cs="Arial"/>
                <w:b/>
                <w:bCs/>
              </w:rPr>
              <w:t>Page</w:t>
            </w:r>
          </w:p>
        </w:tc>
      </w:tr>
      <w:tr w:rsidR="00AB7015" w:rsidRPr="00557F54" w14:paraId="4BC01F72" w14:textId="77777777" w:rsidTr="00A60E9D">
        <w:tc>
          <w:tcPr>
            <w:tcW w:w="9039" w:type="dxa"/>
            <w:tcBorders>
              <w:top w:val="single" w:sz="4" w:space="0" w:color="auto"/>
              <w:left w:val="single" w:sz="4" w:space="0" w:color="auto"/>
              <w:bottom w:val="single" w:sz="4" w:space="0" w:color="auto"/>
              <w:right w:val="single" w:sz="4" w:space="0" w:color="auto"/>
            </w:tcBorders>
          </w:tcPr>
          <w:p w14:paraId="7D6830BD" w14:textId="77777777" w:rsidR="00AB7015" w:rsidRPr="00557F54" w:rsidRDefault="00AB7015" w:rsidP="00A60E9D">
            <w:pPr>
              <w:spacing w:after="0" w:line="240" w:lineRule="auto"/>
              <w:rPr>
                <w:rFonts w:ascii="Arial" w:hAnsi="Arial" w:cs="Arial"/>
              </w:rPr>
            </w:pPr>
            <w:r w:rsidRPr="00557F5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2122B680" w14:textId="77777777" w:rsidR="00AB7015" w:rsidRPr="00557F54" w:rsidRDefault="00AB7015" w:rsidP="00A60E9D">
            <w:pPr>
              <w:spacing w:after="0" w:line="240" w:lineRule="auto"/>
              <w:jc w:val="center"/>
              <w:rPr>
                <w:rFonts w:ascii="Arial" w:hAnsi="Arial" w:cs="Arial"/>
              </w:rPr>
            </w:pPr>
            <w:r w:rsidRPr="00557F54">
              <w:rPr>
                <w:rFonts w:ascii="Arial" w:hAnsi="Arial" w:cs="Arial"/>
              </w:rPr>
              <w:t>1</w:t>
            </w:r>
          </w:p>
        </w:tc>
      </w:tr>
      <w:tr w:rsidR="00AB7015" w:rsidRPr="00557F54" w14:paraId="6D2A20A4" w14:textId="77777777" w:rsidTr="00A60E9D">
        <w:tc>
          <w:tcPr>
            <w:tcW w:w="9039" w:type="dxa"/>
            <w:tcBorders>
              <w:top w:val="single" w:sz="4" w:space="0" w:color="auto"/>
              <w:left w:val="single" w:sz="4" w:space="0" w:color="auto"/>
              <w:bottom w:val="single" w:sz="4" w:space="0" w:color="auto"/>
              <w:right w:val="single" w:sz="4" w:space="0" w:color="auto"/>
            </w:tcBorders>
          </w:tcPr>
          <w:p w14:paraId="2483352D" w14:textId="77777777" w:rsidR="00AB7015" w:rsidRPr="00557F54" w:rsidRDefault="00AB7015" w:rsidP="00A60E9D">
            <w:pPr>
              <w:spacing w:after="0" w:line="240" w:lineRule="auto"/>
              <w:rPr>
                <w:rFonts w:ascii="Arial" w:hAnsi="Arial" w:cs="Arial"/>
              </w:rPr>
            </w:pPr>
            <w:r w:rsidRPr="00557F5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589BD43E" w14:textId="77777777" w:rsidR="00AB7015" w:rsidRPr="00557F54" w:rsidRDefault="00AB7015" w:rsidP="00A60E9D">
            <w:pPr>
              <w:spacing w:after="0" w:line="240" w:lineRule="auto"/>
              <w:jc w:val="center"/>
              <w:rPr>
                <w:rFonts w:ascii="Arial" w:hAnsi="Arial" w:cs="Arial"/>
              </w:rPr>
            </w:pPr>
            <w:r w:rsidRPr="00557F54">
              <w:rPr>
                <w:rFonts w:ascii="Arial" w:hAnsi="Arial" w:cs="Arial"/>
              </w:rPr>
              <w:t>3</w:t>
            </w:r>
          </w:p>
        </w:tc>
      </w:tr>
      <w:tr w:rsidR="00AB7015" w:rsidRPr="00557F54" w14:paraId="347E4867" w14:textId="77777777" w:rsidTr="00A60E9D">
        <w:tc>
          <w:tcPr>
            <w:tcW w:w="9039" w:type="dxa"/>
            <w:tcBorders>
              <w:top w:val="single" w:sz="4" w:space="0" w:color="auto"/>
              <w:left w:val="single" w:sz="4" w:space="0" w:color="auto"/>
              <w:bottom w:val="single" w:sz="4" w:space="0" w:color="auto"/>
              <w:right w:val="single" w:sz="4" w:space="0" w:color="auto"/>
            </w:tcBorders>
          </w:tcPr>
          <w:p w14:paraId="043336C8" w14:textId="77777777" w:rsidR="00AB7015" w:rsidRPr="00557F54" w:rsidRDefault="00AB7015" w:rsidP="00A60E9D">
            <w:pPr>
              <w:spacing w:after="0" w:line="240" w:lineRule="auto"/>
              <w:rPr>
                <w:rFonts w:ascii="Arial" w:hAnsi="Arial" w:cs="Arial"/>
              </w:rPr>
            </w:pPr>
            <w:r w:rsidRPr="00557F54">
              <w:rPr>
                <w:rFonts w:ascii="Arial"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3BC94C3B" w14:textId="77777777" w:rsidR="00AB7015" w:rsidRPr="00557F54" w:rsidRDefault="00AB7015" w:rsidP="00A60E9D">
            <w:pPr>
              <w:spacing w:after="0" w:line="240" w:lineRule="auto"/>
              <w:jc w:val="center"/>
              <w:rPr>
                <w:rFonts w:ascii="Arial" w:hAnsi="Arial" w:cs="Arial"/>
              </w:rPr>
            </w:pPr>
            <w:r w:rsidRPr="00557F54">
              <w:rPr>
                <w:rFonts w:ascii="Arial" w:hAnsi="Arial" w:cs="Arial"/>
              </w:rPr>
              <w:t>3</w:t>
            </w:r>
          </w:p>
        </w:tc>
      </w:tr>
      <w:tr w:rsidR="00AB7015" w:rsidRPr="00557F54" w14:paraId="2B5510CA" w14:textId="77777777" w:rsidTr="00A60E9D">
        <w:tc>
          <w:tcPr>
            <w:tcW w:w="9039" w:type="dxa"/>
            <w:tcBorders>
              <w:top w:val="single" w:sz="4" w:space="0" w:color="auto"/>
              <w:left w:val="single" w:sz="4" w:space="0" w:color="auto"/>
              <w:bottom w:val="single" w:sz="4" w:space="0" w:color="auto"/>
              <w:right w:val="single" w:sz="4" w:space="0" w:color="auto"/>
            </w:tcBorders>
          </w:tcPr>
          <w:p w14:paraId="6BAC7081" w14:textId="77777777" w:rsidR="00AB7015" w:rsidRPr="00557F54" w:rsidRDefault="00AB7015" w:rsidP="00A60E9D">
            <w:pPr>
              <w:spacing w:after="0" w:line="240" w:lineRule="auto"/>
              <w:rPr>
                <w:rFonts w:ascii="Arial" w:hAnsi="Arial" w:cs="Arial"/>
              </w:rPr>
            </w:pPr>
            <w:r w:rsidRPr="00557F54">
              <w:rPr>
                <w:rFonts w:ascii="Arial" w:hAnsi="Arial" w:cs="Arial"/>
              </w:rPr>
              <w:t xml:space="preserve">Information about </w:t>
            </w:r>
            <w:r w:rsidRPr="00557F54">
              <w:rPr>
                <w:rFonts w:ascii="Arial" w:hAnsi="Arial" w:cs="Arial"/>
                <w:iCs/>
              </w:rPr>
              <w:t xml:space="preserve">the </w:t>
            </w:r>
            <w:r w:rsidRPr="00557F54">
              <w:rPr>
                <w:rFonts w:ascii="Arial"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516503F1" w14:textId="77777777" w:rsidR="00AB7015" w:rsidRPr="00557F54" w:rsidRDefault="00AB7015" w:rsidP="00A60E9D">
            <w:pPr>
              <w:spacing w:after="0" w:line="240" w:lineRule="auto"/>
              <w:jc w:val="center"/>
              <w:rPr>
                <w:rFonts w:ascii="Arial" w:hAnsi="Arial" w:cs="Arial"/>
              </w:rPr>
            </w:pPr>
            <w:r w:rsidRPr="00557F54">
              <w:rPr>
                <w:rFonts w:ascii="Arial" w:hAnsi="Arial" w:cs="Arial"/>
              </w:rPr>
              <w:t>11</w:t>
            </w:r>
          </w:p>
        </w:tc>
      </w:tr>
      <w:tr w:rsidR="00AB7015" w:rsidRPr="00557F54" w14:paraId="180AAA1F" w14:textId="77777777" w:rsidTr="00A60E9D">
        <w:tc>
          <w:tcPr>
            <w:tcW w:w="9039" w:type="dxa"/>
            <w:tcBorders>
              <w:top w:val="single" w:sz="4" w:space="0" w:color="auto"/>
              <w:left w:val="single" w:sz="4" w:space="0" w:color="auto"/>
              <w:bottom w:val="single" w:sz="4" w:space="0" w:color="auto"/>
              <w:right w:val="single" w:sz="4" w:space="0" w:color="auto"/>
            </w:tcBorders>
          </w:tcPr>
          <w:p w14:paraId="7971DFDC" w14:textId="77777777" w:rsidR="00AB7015" w:rsidRPr="00557F54" w:rsidRDefault="00AB7015" w:rsidP="00A60E9D">
            <w:pPr>
              <w:spacing w:after="0" w:line="240" w:lineRule="auto"/>
              <w:rPr>
                <w:rFonts w:ascii="Arial" w:hAnsi="Arial" w:cs="Arial"/>
              </w:rPr>
            </w:pPr>
            <w:r w:rsidRPr="00557F54">
              <w:rPr>
                <w:rFonts w:ascii="Arial"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20A5E9E5" w14:textId="77777777" w:rsidR="00AB7015" w:rsidRPr="00557F54" w:rsidRDefault="00AB7015" w:rsidP="00A60E9D">
            <w:pPr>
              <w:spacing w:after="0" w:line="240" w:lineRule="auto"/>
              <w:jc w:val="center"/>
              <w:rPr>
                <w:rFonts w:ascii="Arial" w:hAnsi="Arial" w:cs="Arial"/>
              </w:rPr>
            </w:pPr>
            <w:r w:rsidRPr="00557F54">
              <w:rPr>
                <w:rFonts w:ascii="Arial" w:hAnsi="Arial" w:cs="Arial"/>
              </w:rPr>
              <w:t>25</w:t>
            </w:r>
          </w:p>
        </w:tc>
      </w:tr>
      <w:tr w:rsidR="00AB7015" w:rsidRPr="00557F54" w14:paraId="12AB053C" w14:textId="77777777" w:rsidTr="00A60E9D">
        <w:tc>
          <w:tcPr>
            <w:tcW w:w="9039" w:type="dxa"/>
            <w:tcBorders>
              <w:top w:val="single" w:sz="4" w:space="0" w:color="auto"/>
              <w:left w:val="single" w:sz="4" w:space="0" w:color="auto"/>
              <w:bottom w:val="single" w:sz="4" w:space="0" w:color="auto"/>
              <w:right w:val="single" w:sz="4" w:space="0" w:color="auto"/>
            </w:tcBorders>
          </w:tcPr>
          <w:p w14:paraId="6C2D1604" w14:textId="77777777" w:rsidR="00AB7015" w:rsidRPr="00557F54" w:rsidRDefault="00AB7015" w:rsidP="00A60E9D">
            <w:pPr>
              <w:spacing w:after="0" w:line="240" w:lineRule="auto"/>
              <w:rPr>
                <w:rFonts w:ascii="Arial" w:hAnsi="Arial" w:cs="Arial"/>
              </w:rPr>
            </w:pPr>
            <w:r w:rsidRPr="00557F54">
              <w:rPr>
                <w:rFonts w:ascii="Arial"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18B27E7B" w14:textId="77777777" w:rsidR="00AB7015" w:rsidRPr="00557F54" w:rsidRDefault="00AB7015" w:rsidP="00A60E9D">
            <w:pPr>
              <w:spacing w:after="0" w:line="240" w:lineRule="auto"/>
              <w:jc w:val="center"/>
              <w:rPr>
                <w:rFonts w:ascii="Arial" w:hAnsi="Arial" w:cs="Arial"/>
              </w:rPr>
            </w:pPr>
            <w:r w:rsidRPr="00557F54">
              <w:rPr>
                <w:rFonts w:ascii="Arial" w:hAnsi="Arial" w:cs="Arial"/>
              </w:rPr>
              <w:t>27</w:t>
            </w:r>
          </w:p>
        </w:tc>
      </w:tr>
      <w:tr w:rsidR="00AB7015" w:rsidRPr="00771DB7" w14:paraId="7E585B12" w14:textId="77777777" w:rsidTr="00A60E9D">
        <w:tc>
          <w:tcPr>
            <w:tcW w:w="9039" w:type="dxa"/>
            <w:tcBorders>
              <w:top w:val="single" w:sz="4" w:space="0" w:color="auto"/>
              <w:left w:val="single" w:sz="4" w:space="0" w:color="auto"/>
              <w:bottom w:val="single" w:sz="4" w:space="0" w:color="auto"/>
              <w:right w:val="single" w:sz="4" w:space="0" w:color="auto"/>
            </w:tcBorders>
          </w:tcPr>
          <w:p w14:paraId="45F48C63" w14:textId="77777777" w:rsidR="00AB7015" w:rsidRPr="00557F54" w:rsidRDefault="00AB7015" w:rsidP="00A60E9D">
            <w:pPr>
              <w:spacing w:after="0" w:line="240" w:lineRule="auto"/>
              <w:rPr>
                <w:rFonts w:ascii="Arial" w:hAnsi="Arial" w:cs="Arial"/>
              </w:rPr>
            </w:pPr>
            <w:r w:rsidRPr="00557F54">
              <w:rPr>
                <w:rFonts w:ascii="Arial"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51BA97A4" w14:textId="77777777" w:rsidR="00AB7015" w:rsidRPr="00557F54" w:rsidRDefault="00AB7015" w:rsidP="00A60E9D">
            <w:pPr>
              <w:spacing w:after="0" w:line="240" w:lineRule="auto"/>
              <w:jc w:val="center"/>
              <w:rPr>
                <w:rFonts w:ascii="Arial" w:hAnsi="Arial" w:cs="Arial"/>
              </w:rPr>
            </w:pPr>
            <w:r w:rsidRPr="00557F54">
              <w:rPr>
                <w:rFonts w:ascii="Arial" w:hAnsi="Arial" w:cs="Arial"/>
              </w:rPr>
              <w:t>31</w:t>
            </w:r>
          </w:p>
        </w:tc>
      </w:tr>
    </w:tbl>
    <w:p w14:paraId="791621AD" w14:textId="77777777" w:rsidR="00AB7015" w:rsidRDefault="00AB7015" w:rsidP="00AB7015">
      <w:pPr>
        <w:rPr>
          <w:rFonts w:ascii="Arial" w:hAnsi="Arial" w:cs="Arial"/>
          <w:b/>
        </w:rPr>
      </w:pPr>
    </w:p>
    <w:p w14:paraId="6116DCB6" w14:textId="04508C19" w:rsidR="00AB7015" w:rsidRDefault="00AB7015" w:rsidP="00AB7015">
      <w:pPr>
        <w:rPr>
          <w:rFonts w:ascii="Arial" w:hAnsi="Arial" w:cs="Arial"/>
          <w:b/>
        </w:rPr>
      </w:pPr>
    </w:p>
    <w:p w14:paraId="211B5D79" w14:textId="77777777" w:rsidR="006B4EBD" w:rsidRDefault="006B4EBD" w:rsidP="00AB7015">
      <w:pPr>
        <w:rPr>
          <w:rFonts w:ascii="Arial" w:hAnsi="Arial" w:cs="Arial"/>
          <w:b/>
        </w:rPr>
      </w:pPr>
    </w:p>
    <w:p w14:paraId="451E1D7D" w14:textId="77777777" w:rsidR="00AB7015" w:rsidRPr="00FE6C07" w:rsidRDefault="00AB7015" w:rsidP="00AB7015">
      <w:pPr>
        <w:rPr>
          <w:rFonts w:ascii="Arial" w:hAnsi="Arial" w:cs="Arial"/>
          <w:b/>
        </w:rPr>
      </w:pPr>
      <w:bookmarkStart w:id="1" w:name="Background"/>
      <w:r w:rsidRPr="00FE6C07">
        <w:rPr>
          <w:rFonts w:ascii="Arial" w:hAnsi="Arial" w:cs="Arial"/>
          <w:b/>
        </w:rPr>
        <w:t>General background information about listing threatened species</w:t>
      </w:r>
    </w:p>
    <w:bookmarkEnd w:id="1"/>
    <w:p w14:paraId="2F5E296A" w14:textId="77777777" w:rsidR="00AB7015" w:rsidRPr="00FE6C07" w:rsidRDefault="00AB7015" w:rsidP="00AB7015">
      <w:pPr>
        <w:rPr>
          <w:rFonts w:ascii="Arial" w:hAnsi="Arial" w:cs="Arial"/>
        </w:rPr>
      </w:pPr>
      <w:r w:rsidRPr="00FE6C07">
        <w:rPr>
          <w:rFonts w:ascii="Arial"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4A679BA7" w14:textId="77777777" w:rsidR="00AB7015" w:rsidRPr="00FE6C07" w:rsidRDefault="006E2873" w:rsidP="00AB7015">
      <w:pPr>
        <w:rPr>
          <w:rFonts w:ascii="Arial" w:hAnsi="Arial" w:cs="Arial"/>
        </w:rPr>
      </w:pPr>
      <w:hyperlink r:id="rId11" w:history="1">
        <w:r w:rsidR="00AB7015">
          <w:rPr>
            <w:rStyle w:val="Hyperlink"/>
            <w:rFonts w:ascii="Arial" w:hAnsi="Arial" w:cs="Arial"/>
          </w:rPr>
          <w:t>https://www.awe.gov.au/environment/biodiversity/threatened</w:t>
        </w:r>
      </w:hyperlink>
      <w:r w:rsidR="00AB7015" w:rsidRPr="00FE6C07">
        <w:rPr>
          <w:rFonts w:ascii="Arial" w:hAnsi="Arial" w:cs="Arial"/>
        </w:rPr>
        <w:t>.</w:t>
      </w:r>
    </w:p>
    <w:p w14:paraId="03CB2ED6" w14:textId="77777777" w:rsidR="00AB7015" w:rsidRPr="00FE6C07" w:rsidRDefault="00AB7015" w:rsidP="00AB7015">
      <w:pPr>
        <w:rPr>
          <w:rFonts w:ascii="Times New Roman" w:hAnsi="Times New Roman"/>
          <w:color w:val="1F497D"/>
        </w:rPr>
      </w:pPr>
      <w:r w:rsidRPr="00FE6C07">
        <w:rPr>
          <w:rFonts w:ascii="Arial" w:hAnsi="Arial" w:cs="Arial"/>
        </w:rPr>
        <w:t xml:space="preserve">Public nominations to list threatened species under the EPBC Act are received annually by the department. In order to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24D08110" w14:textId="77777777" w:rsidR="00AB7015" w:rsidRPr="00FE6C07" w:rsidRDefault="006E2873" w:rsidP="00AB7015">
      <w:pPr>
        <w:rPr>
          <w:rFonts w:ascii="Times New Roman" w:hAnsi="Times New Roman"/>
          <w:color w:val="1F497D"/>
        </w:rPr>
      </w:pPr>
      <w:hyperlink r:id="rId12" w:history="1">
        <w:r w:rsidR="00AB7015">
          <w:rPr>
            <w:rStyle w:val="Hyperlink"/>
            <w:rFonts w:ascii="Arial" w:hAnsi="Arial" w:cs="Arial"/>
          </w:rPr>
          <w:t>http://www.awe.gov.au/system/files/pages/d72dfd1a-f0d8-4699-8d43-5d95bbb02428/files/tssc-guidelines-assessing-species-2021.pdf</w:t>
        </w:r>
      </w:hyperlink>
      <w:r w:rsidR="00AB7015" w:rsidRPr="00FE6C07">
        <w:rPr>
          <w:rFonts w:ascii="Times New Roman" w:hAnsi="Times New Roman"/>
          <w:color w:val="1F497D"/>
        </w:rPr>
        <w:t>.</w:t>
      </w:r>
    </w:p>
    <w:p w14:paraId="48B9E750" w14:textId="77777777" w:rsidR="00AB7015" w:rsidRPr="00FE6C07" w:rsidRDefault="00AB7015" w:rsidP="00AB7015">
      <w:pPr>
        <w:rPr>
          <w:rFonts w:ascii="Arial" w:hAnsi="Arial" w:cs="Arial"/>
        </w:rPr>
      </w:pPr>
      <w:r w:rsidRPr="00FE6C07">
        <w:rPr>
          <w:rFonts w:ascii="Arial"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3" w:history="1">
        <w:r>
          <w:rPr>
            <w:rStyle w:val="Hyperlink"/>
            <w:rFonts w:ascii="Arial" w:hAnsi="Arial" w:cs="Arial"/>
          </w:rPr>
          <w:t>https://www.awe.gov.au/environment/biodiversity/threatened/nominations</w:t>
        </w:r>
      </w:hyperlink>
      <w:r w:rsidRPr="00FE6C07">
        <w:rPr>
          <w:rFonts w:ascii="Arial" w:hAnsi="Arial" w:cs="Arial"/>
        </w:rPr>
        <w:t>.</w:t>
      </w:r>
    </w:p>
    <w:p w14:paraId="1EEBD396" w14:textId="77777777" w:rsidR="00AB7015" w:rsidRPr="00FE6C07" w:rsidRDefault="00AB7015" w:rsidP="00AB7015">
      <w:pPr>
        <w:rPr>
          <w:rFonts w:ascii="Arial" w:hAnsi="Arial" w:cs="Arial"/>
        </w:rPr>
      </w:pPr>
      <w:r w:rsidRPr="00FE6C07">
        <w:rPr>
          <w:rFonts w:ascii="Arial" w:hAnsi="Arial" w:cs="Arial"/>
        </w:rPr>
        <w:t xml:space="preserve">To promote the recovery of listed threatened species and ecological communities, conservation </w:t>
      </w:r>
      <w:proofErr w:type="gramStart"/>
      <w:r w:rsidRPr="00FE6C07">
        <w:rPr>
          <w:rFonts w:ascii="Arial" w:hAnsi="Arial" w:cs="Arial"/>
        </w:rPr>
        <w:t>advices</w:t>
      </w:r>
      <w:proofErr w:type="gramEnd"/>
      <w:r w:rsidRPr="00FE6C07">
        <w:rPr>
          <w:rFonts w:ascii="Arial" w:hAnsi="Arial" w:cs="Arial"/>
        </w:rPr>
        <w:t xml:space="preserve"> and where required, recovery plans are made or adopted in accordance with Part 13 of the EPBC Act. Conservation </w:t>
      </w:r>
      <w:proofErr w:type="gramStart"/>
      <w:r w:rsidRPr="00FE6C07">
        <w:rPr>
          <w:rFonts w:ascii="Arial" w:hAnsi="Arial" w:cs="Arial"/>
        </w:rPr>
        <w:t>advices</w:t>
      </w:r>
      <w:proofErr w:type="gramEnd"/>
      <w:r w:rsidRPr="00FE6C07">
        <w:rPr>
          <w:rFonts w:ascii="Arial"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4" w:history="1">
        <w:r>
          <w:rPr>
            <w:rStyle w:val="Hyperlink"/>
            <w:rFonts w:ascii="Arial" w:hAnsi="Arial" w:cs="Arial"/>
          </w:rPr>
          <w:t>https://www.awe.gov.au/environment/biodiversity/threatened/recovery-plans</w:t>
        </w:r>
      </w:hyperlink>
      <w:r w:rsidRPr="00FE6C07">
        <w:rPr>
          <w:rFonts w:ascii="Arial" w:hAnsi="Arial" w:cs="Arial"/>
        </w:rPr>
        <w:t>.</w:t>
      </w:r>
    </w:p>
    <w:p w14:paraId="0259F472" w14:textId="77777777" w:rsidR="00AB7015" w:rsidRPr="00FE6C07" w:rsidRDefault="00AB7015" w:rsidP="00AB7015">
      <w:pPr>
        <w:rPr>
          <w:rFonts w:ascii="Arial" w:hAnsi="Arial" w:cs="Arial"/>
          <w:b/>
        </w:rPr>
      </w:pPr>
      <w:r w:rsidRPr="00FE6C07">
        <w:rPr>
          <w:rFonts w:ascii="Arial" w:hAnsi="Arial" w:cs="Arial"/>
          <w:b/>
        </w:rPr>
        <w:t>Privacy notice</w:t>
      </w:r>
    </w:p>
    <w:p w14:paraId="50036CF7" w14:textId="77777777" w:rsidR="00AB7015" w:rsidRPr="00FE6C07" w:rsidRDefault="00AB7015" w:rsidP="00AB7015">
      <w:pPr>
        <w:rPr>
          <w:rFonts w:ascii="Arial" w:hAnsi="Arial" w:cs="Arial"/>
        </w:rPr>
      </w:pPr>
      <w:r w:rsidRPr="00FE6C07">
        <w:rPr>
          <w:rFonts w:ascii="Arial" w:hAnsi="Arial" w:cs="Arial"/>
        </w:rPr>
        <w:t>The Department will collect, use, store and disclose the personal information you provide in a manner consistent with the Department’s obligations under the Privacy Act 1988 (Cth) and the Department’s Privacy Policy.</w:t>
      </w:r>
    </w:p>
    <w:p w14:paraId="2E781860" w14:textId="77777777" w:rsidR="00AB7015" w:rsidRPr="00FE6C07" w:rsidRDefault="00AB7015" w:rsidP="00AB7015">
      <w:pPr>
        <w:rPr>
          <w:rFonts w:ascii="Arial" w:hAnsi="Arial" w:cs="Arial"/>
        </w:rPr>
      </w:pPr>
      <w:r w:rsidRPr="00FE6C07">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04BE0C8" w14:textId="77777777" w:rsidR="00AB7015" w:rsidRPr="00FE6C07" w:rsidRDefault="00AB7015" w:rsidP="00AB7015">
      <w:pPr>
        <w:rPr>
          <w:rFonts w:ascii="Arial" w:hAnsi="Arial" w:cs="Arial"/>
        </w:rPr>
      </w:pPr>
      <w:r w:rsidRPr="00FE6C07">
        <w:rPr>
          <w:rFonts w:ascii="Arial" w:hAnsi="Arial" w:cs="Arial"/>
        </w:rPr>
        <w:lastRenderedPageBreak/>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hAnsi="Arial" w:cs="Arial"/>
        </w:rPr>
        <w:t>making a decision</w:t>
      </w:r>
      <w:proofErr w:type="gramEnd"/>
      <w:r w:rsidRPr="00FE6C07">
        <w:rPr>
          <w:rFonts w:ascii="Arial" w:hAnsi="Arial" w:cs="Arial"/>
        </w:rPr>
        <w:t xml:space="preserve"> on the status of a potentially threatened species. This is also known as the </w:t>
      </w:r>
      <w:hyperlink r:id="rId15" w:history="1">
        <w:r>
          <w:rPr>
            <w:rFonts w:ascii="Arial" w:hAnsi="Arial" w:cs="Arial"/>
            <w:color w:val="0000FF"/>
            <w:u w:val="single"/>
          </w:rPr>
          <w:t>‘Common Assessment Method’ (CAM)</w:t>
        </w:r>
      </w:hyperlink>
      <w:r w:rsidRPr="00FE6C07">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1861A53E" w14:textId="11585869" w:rsidR="00AB7015" w:rsidRPr="00A60E9D" w:rsidRDefault="00AB7015" w:rsidP="00AB7015">
      <w:pPr>
        <w:rPr>
          <w:rFonts w:ascii="Arial" w:hAnsi="Arial" w:cs="Arial"/>
        </w:rPr>
      </w:pPr>
      <w:r w:rsidRPr="00FE6C07">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6" w:history="1">
        <w:r>
          <w:rPr>
            <w:rFonts w:ascii="Arial" w:hAnsi="Arial" w:cs="Arial"/>
            <w:color w:val="0000FF"/>
            <w:u w:val="single"/>
          </w:rPr>
          <w:t>https://www.awe.gov.au/about/commitment/privacy</w:t>
        </w:r>
      </w:hyperlink>
      <w:r w:rsidRPr="00FE6C07">
        <w:rPr>
          <w:rFonts w:ascii="Arial" w:hAnsi="Arial" w:cs="Arial"/>
        </w:rPr>
        <w:t xml:space="preserve"> .</w:t>
      </w:r>
      <w:bookmarkStart w:id="2" w:name="Consultation"/>
    </w:p>
    <w:p w14:paraId="750CF0F2" w14:textId="77777777" w:rsidR="00AB7015" w:rsidRPr="00FE6C07" w:rsidRDefault="00AB7015" w:rsidP="00AB7015">
      <w:pPr>
        <w:rPr>
          <w:rFonts w:ascii="Arial" w:hAnsi="Arial" w:cs="Arial"/>
          <w:b/>
        </w:rPr>
      </w:pPr>
      <w:r w:rsidRPr="00FE6C07">
        <w:rPr>
          <w:rFonts w:ascii="Arial" w:hAnsi="Arial" w:cs="Arial"/>
          <w:b/>
        </w:rPr>
        <w:t>Information about this consultation process</w:t>
      </w:r>
    </w:p>
    <w:bookmarkEnd w:id="2"/>
    <w:p w14:paraId="0C846150" w14:textId="77777777" w:rsidR="00AB7015" w:rsidRPr="00FE6C07" w:rsidRDefault="00AB7015" w:rsidP="00AB7015">
      <w:pPr>
        <w:rPr>
          <w:rFonts w:ascii="Arial" w:hAnsi="Arial" w:cs="Arial"/>
        </w:rPr>
      </w:pPr>
      <w:r w:rsidRPr="00FE6C07">
        <w:rPr>
          <w:rFonts w:ascii="Arial"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D95F508" w14:textId="77777777" w:rsidR="00AB7015" w:rsidRPr="00FE6C07" w:rsidRDefault="00AB7015" w:rsidP="00AB7015">
      <w:pPr>
        <w:rPr>
          <w:rFonts w:ascii="Arial" w:hAnsi="Arial" w:cs="Arial"/>
        </w:rPr>
      </w:pPr>
      <w:r w:rsidRPr="00FE6C07">
        <w:rPr>
          <w:rFonts w:ascii="Arial"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CE60BE0" w14:textId="3AC10EAB" w:rsidR="00AB7015" w:rsidRDefault="00AB7015" w:rsidP="00AB7015">
      <w:pPr>
        <w:rPr>
          <w:rFonts w:ascii="Arial" w:hAnsi="Arial" w:cs="Arial"/>
        </w:rPr>
      </w:pPr>
      <w:r w:rsidRPr="00FE6C07">
        <w:rPr>
          <w:rFonts w:ascii="Arial" w:hAnsi="Arial" w:cs="Arial"/>
        </w:rPr>
        <w:t>Information provided through consultation may be subject to freedom of information legislation and court processes. It is also important to note that under the EPBC Act,</w:t>
      </w:r>
      <w:r w:rsidRPr="00FE6C07">
        <w:rPr>
          <w:rFonts w:ascii="Arial" w:hAnsi="Arial" w:cs="Arial"/>
          <w:i/>
        </w:rPr>
        <w:t xml:space="preserve"> </w:t>
      </w:r>
      <w:r w:rsidRPr="00FE6C07">
        <w:rPr>
          <w:rFonts w:ascii="Arial" w:hAnsi="Arial" w:cs="Arial"/>
        </w:rPr>
        <w:t>the deliberations and recommendations of the Committee are confidential until the Minister has made a final decision on the nomination, unless otherwise determined by the Minister.</w:t>
      </w:r>
    </w:p>
    <w:p w14:paraId="4AC64E1F" w14:textId="77777777" w:rsidR="00AB7015" w:rsidRPr="009F43F9" w:rsidRDefault="00AB7015" w:rsidP="00AB7015">
      <w:pPr>
        <w:pStyle w:val="TSSC"/>
        <w:numPr>
          <w:ilvl w:val="0"/>
          <w:numId w:val="0"/>
        </w:numPr>
        <w:tabs>
          <w:tab w:val="clear" w:pos="567"/>
          <w:tab w:val="left" w:pos="720"/>
        </w:tabs>
        <w:ind w:left="1560" w:hanging="1560"/>
        <w:rPr>
          <w:rFonts w:ascii="Arial" w:hAnsi="Arial" w:cs="Arial"/>
          <w:b/>
          <w:szCs w:val="24"/>
          <w:u w:val="single"/>
        </w:rPr>
      </w:pPr>
      <w:r w:rsidRPr="00D83BA2">
        <w:rPr>
          <w:rFonts w:ascii="Arial" w:hAnsi="Arial" w:cs="Arial"/>
          <w:b/>
          <w:szCs w:val="24"/>
          <w:u w:val="single"/>
        </w:rPr>
        <w:t>CONSULTATION QUESTIONS FOR Rhodanthe sp. Point Lookout (Common Name)</w:t>
      </w:r>
    </w:p>
    <w:p w14:paraId="34AFE62F" w14:textId="77777777" w:rsidR="00AB7015" w:rsidRPr="009F43F9" w:rsidRDefault="00AB7015" w:rsidP="00AB7015">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5B1E7AA1"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3B535F5C" w14:textId="77777777" w:rsidR="00AB7015" w:rsidRDefault="00AB7015" w:rsidP="00AB7015">
      <w:pPr>
        <w:pStyle w:val="ListParagraph"/>
        <w:autoSpaceDE w:val="0"/>
        <w:autoSpaceDN w:val="0"/>
        <w:adjustRightInd w:val="0"/>
        <w:ind w:left="360"/>
        <w:rPr>
          <w:rFonts w:ascii="Arial" w:hAnsi="Arial" w:cs="Arial"/>
        </w:rPr>
      </w:pPr>
    </w:p>
    <w:p w14:paraId="087E2358"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6A1E8F0E" w14:textId="77777777" w:rsidR="00AB7015" w:rsidRDefault="00AB7015" w:rsidP="00AB7015">
      <w:pPr>
        <w:pStyle w:val="ListParagraph"/>
        <w:autoSpaceDE w:val="0"/>
        <w:autoSpaceDN w:val="0"/>
        <w:adjustRightInd w:val="0"/>
        <w:ind w:left="360"/>
        <w:rPr>
          <w:rFonts w:ascii="Arial" w:hAnsi="Arial" w:cs="Arial"/>
        </w:rPr>
      </w:pPr>
    </w:p>
    <w:p w14:paraId="3162ECBF"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Have you been involved in previous state, territory or national assessments of this species/subspecies? If so, in what capacity?</w:t>
      </w:r>
    </w:p>
    <w:p w14:paraId="3B211B00" w14:textId="77777777" w:rsidR="00AB7015" w:rsidRDefault="00AB7015" w:rsidP="00AB7015">
      <w:pPr>
        <w:autoSpaceDE w:val="0"/>
        <w:autoSpaceDN w:val="0"/>
        <w:adjustRightInd w:val="0"/>
        <w:rPr>
          <w:rFonts w:ascii="Arial" w:hAnsi="Arial" w:cs="Arial"/>
        </w:rPr>
      </w:pPr>
    </w:p>
    <w:p w14:paraId="0015B103"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5B3463AE"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03E0EEC5"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6734B389" w14:textId="77777777" w:rsidR="00AB7015" w:rsidRDefault="00AB7015" w:rsidP="00AB7015">
      <w:pPr>
        <w:autoSpaceDE w:val="0"/>
        <w:autoSpaceDN w:val="0"/>
        <w:adjustRightInd w:val="0"/>
        <w:rPr>
          <w:rFonts w:ascii="Arial" w:hAnsi="Arial" w:cs="Arial"/>
        </w:rPr>
      </w:pPr>
    </w:p>
    <w:p w14:paraId="6BD882E8" w14:textId="77777777" w:rsidR="00AB7015" w:rsidRDefault="00AB7015" w:rsidP="00AB7015">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12E90B0F" w14:textId="77777777" w:rsidR="00AB7015" w:rsidRDefault="00AB7015" w:rsidP="00AB7015">
      <w:pPr>
        <w:autoSpaceDE w:val="0"/>
        <w:autoSpaceDN w:val="0"/>
        <w:adjustRightInd w:val="0"/>
        <w:rPr>
          <w:rFonts w:ascii="Arial" w:hAnsi="Arial" w:cs="Arial"/>
          <w:b/>
          <w:bCs/>
        </w:rPr>
      </w:pPr>
      <w:r>
        <w:rPr>
          <w:rFonts w:ascii="Arial" w:hAnsi="Arial" w:cs="Arial"/>
          <w:b/>
          <w:bCs/>
        </w:rPr>
        <w:t>Biological information</w:t>
      </w:r>
    </w:p>
    <w:p w14:paraId="44690E56" w14:textId="2224F1EF"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0815B1BC" w14:textId="77777777" w:rsidR="00A60E9D" w:rsidRDefault="00A60E9D" w:rsidP="00A60E9D">
      <w:pPr>
        <w:pStyle w:val="ListParagraph"/>
        <w:autoSpaceDE w:val="0"/>
        <w:autoSpaceDN w:val="0"/>
        <w:adjustRightInd w:val="0"/>
        <w:spacing w:after="0" w:line="240" w:lineRule="auto"/>
        <w:ind w:left="360"/>
        <w:rPr>
          <w:rFonts w:ascii="Arial" w:hAnsi="Arial" w:cs="Arial"/>
        </w:rPr>
      </w:pPr>
    </w:p>
    <w:p w14:paraId="144CBC7E" w14:textId="501671B9" w:rsidR="00A60E9D" w:rsidRPr="001C52A8" w:rsidRDefault="00A60E9D" w:rsidP="00A60E9D">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 xml:space="preserve">Can you provide any additional information on pollination ecology or dispersal mechanisms for the species? </w:t>
      </w:r>
    </w:p>
    <w:p w14:paraId="0D57D3AF" w14:textId="77777777" w:rsidR="00AB7015" w:rsidRDefault="00AB7015" w:rsidP="00AB7015">
      <w:pPr>
        <w:pStyle w:val="ListParagraph"/>
        <w:autoSpaceDE w:val="0"/>
        <w:autoSpaceDN w:val="0"/>
        <w:adjustRightInd w:val="0"/>
        <w:ind w:left="360"/>
        <w:rPr>
          <w:rFonts w:ascii="Arial" w:hAnsi="Arial" w:cs="Arial"/>
        </w:rPr>
      </w:pPr>
    </w:p>
    <w:p w14:paraId="7D609D43"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7E7E187C" w14:textId="77777777" w:rsidR="00AB7015" w:rsidRDefault="00AB7015" w:rsidP="00AB7015">
      <w:pPr>
        <w:autoSpaceDE w:val="0"/>
        <w:autoSpaceDN w:val="0"/>
        <w:adjustRightInd w:val="0"/>
        <w:rPr>
          <w:rFonts w:ascii="Arial" w:hAnsi="Arial" w:cs="Arial"/>
        </w:rPr>
      </w:pPr>
    </w:p>
    <w:p w14:paraId="467E44B5" w14:textId="77777777" w:rsidR="00AB7015" w:rsidRDefault="00AB7015" w:rsidP="00AB7015">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356F2C76" w14:textId="77777777" w:rsidR="00AB7015" w:rsidRDefault="00AB7015" w:rsidP="00AB7015">
      <w:pPr>
        <w:autoSpaceDE w:val="0"/>
        <w:autoSpaceDN w:val="0"/>
        <w:adjustRightInd w:val="0"/>
        <w:rPr>
          <w:rFonts w:ascii="Arial,Bold" w:hAnsi="Arial,Bold" w:cs="Arial,Bold"/>
          <w:b/>
          <w:bCs/>
        </w:rPr>
      </w:pPr>
      <w:r>
        <w:rPr>
          <w:rFonts w:ascii="Arial,Bold" w:hAnsi="Arial,Bold" w:cs="Arial,Bold"/>
          <w:b/>
          <w:bCs/>
        </w:rPr>
        <w:t>Population size</w:t>
      </w:r>
    </w:p>
    <w:p w14:paraId="56328816"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6B9B8549" w14:textId="77777777" w:rsidR="00AB7015" w:rsidRDefault="00AB7015" w:rsidP="00AB7015">
      <w:pPr>
        <w:pStyle w:val="ListParagraph"/>
        <w:autoSpaceDE w:val="0"/>
        <w:autoSpaceDN w:val="0"/>
        <w:adjustRightInd w:val="0"/>
        <w:ind w:left="360"/>
        <w:rPr>
          <w:rFonts w:ascii="Arial" w:hAnsi="Arial" w:cs="Arial"/>
        </w:rPr>
      </w:pPr>
    </w:p>
    <w:p w14:paraId="485544CB"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0A3D0295" w14:textId="77777777" w:rsidR="00AB7015" w:rsidRDefault="00AB7015" w:rsidP="00AB7015">
      <w:pPr>
        <w:pStyle w:val="ListParagraph"/>
        <w:autoSpaceDE w:val="0"/>
        <w:autoSpaceDN w:val="0"/>
        <w:adjustRightInd w:val="0"/>
        <w:ind w:left="360"/>
        <w:rPr>
          <w:rFonts w:ascii="Arial" w:hAnsi="Arial" w:cs="Arial"/>
        </w:rPr>
      </w:pPr>
    </w:p>
    <w:p w14:paraId="6198B1A5"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39E3E487" w14:textId="77777777" w:rsidR="00AB7015" w:rsidRDefault="00AB7015" w:rsidP="00AB7015">
      <w:pPr>
        <w:pStyle w:val="ListParagraph"/>
        <w:autoSpaceDE w:val="0"/>
        <w:autoSpaceDN w:val="0"/>
        <w:adjustRightInd w:val="0"/>
        <w:ind w:left="360"/>
        <w:rPr>
          <w:rFonts w:ascii="Arial" w:hAnsi="Arial" w:cs="Arial"/>
        </w:rPr>
      </w:pPr>
    </w:p>
    <w:p w14:paraId="76C2E3DC"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48FC89B8"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B3C3A4D" w14:textId="77777777" w:rsidR="00AB7015" w:rsidRPr="00E953DB" w:rsidRDefault="00AB7015" w:rsidP="00AB7015">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w:t>
      </w:r>
      <w:r>
        <w:rPr>
          <w:rFonts w:ascii="Arial" w:hAnsi="Arial" w:cs="Arial"/>
          <w:sz w:val="44"/>
          <w:szCs w:val="44"/>
        </w:rPr>
        <w:t xml:space="preserve"> □ </w:t>
      </w:r>
      <w:r>
        <w:rPr>
          <w:rFonts w:ascii="Arial" w:hAnsi="Arial" w:cs="Arial"/>
        </w:rPr>
        <w:t xml:space="preserve">&gt;1000 </w:t>
      </w:r>
      <w:r>
        <w:rPr>
          <w:rFonts w:ascii="Arial" w:hAnsi="Arial" w:cs="Arial"/>
          <w:sz w:val="44"/>
          <w:szCs w:val="44"/>
        </w:rPr>
        <w:t>□</w:t>
      </w:r>
      <w:r>
        <w:rPr>
          <w:rFonts w:ascii="Arial" w:hAnsi="Arial" w:cs="Arial"/>
        </w:rPr>
        <w:t xml:space="preserve"> &gt;10 000 </w:t>
      </w:r>
    </w:p>
    <w:p w14:paraId="7095695F" w14:textId="77777777" w:rsidR="00AB7015" w:rsidRDefault="00AB7015" w:rsidP="00AB7015">
      <w:pPr>
        <w:pStyle w:val="ListParagraph"/>
        <w:autoSpaceDE w:val="0"/>
        <w:autoSpaceDN w:val="0"/>
        <w:adjustRightInd w:val="0"/>
        <w:ind w:left="360"/>
        <w:rPr>
          <w:rFonts w:ascii="Arial" w:hAnsi="Arial" w:cs="Arial"/>
        </w:rPr>
      </w:pPr>
    </w:p>
    <w:p w14:paraId="2EF853B4"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07AFF357"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4170702"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2748643"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4B4F6419"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lastRenderedPageBreak/>
        <w:t xml:space="preserve">□ </w:t>
      </w:r>
      <w:r>
        <w:rPr>
          <w:rFonts w:ascii="Arial" w:hAnsi="Arial" w:cs="Arial"/>
        </w:rPr>
        <w:t>95–100% - high level of certainty, information indicates quantity within this range</w:t>
      </w:r>
    </w:p>
    <w:p w14:paraId="3FBFEFEC"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4163FD3D" w14:textId="77777777" w:rsidR="00AB7015" w:rsidRDefault="00AB7015" w:rsidP="00AB7015">
      <w:pPr>
        <w:autoSpaceDE w:val="0"/>
        <w:autoSpaceDN w:val="0"/>
        <w:adjustRightInd w:val="0"/>
        <w:rPr>
          <w:rFonts w:ascii="Arial" w:hAnsi="Arial" w:cs="Arial"/>
        </w:rPr>
      </w:pPr>
    </w:p>
    <w:p w14:paraId="33F6D218" w14:textId="77777777" w:rsidR="00AB7015" w:rsidRDefault="00AB7015" w:rsidP="00AB7015">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157D8462"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0B4C5608" w14:textId="77777777" w:rsidR="00AB7015" w:rsidRDefault="00AB7015" w:rsidP="00AB7015">
      <w:pPr>
        <w:pStyle w:val="ListParagraph"/>
        <w:autoSpaceDE w:val="0"/>
        <w:autoSpaceDN w:val="0"/>
        <w:adjustRightInd w:val="0"/>
        <w:ind w:left="360"/>
        <w:rPr>
          <w:rFonts w:ascii="Arial" w:hAnsi="Arial" w:cs="Arial"/>
        </w:rPr>
      </w:pPr>
    </w:p>
    <w:p w14:paraId="0A8D2DC0" w14:textId="77777777" w:rsidR="00AB7015" w:rsidRDefault="00AB7015" w:rsidP="00AB7015">
      <w:pPr>
        <w:autoSpaceDE w:val="0"/>
        <w:autoSpaceDN w:val="0"/>
        <w:adjustRightInd w:val="0"/>
        <w:rPr>
          <w:rFonts w:ascii="Arial" w:hAnsi="Arial" w:cs="Arial"/>
        </w:rPr>
      </w:pPr>
      <w:r>
        <w:rPr>
          <w:rFonts w:ascii="Arial,Bold" w:hAnsi="Arial,Bold" w:cs="Arial,Bold"/>
          <w:b/>
          <w:bCs/>
        </w:rPr>
        <w:t>Evidence of total population size change</w:t>
      </w:r>
    </w:p>
    <w:p w14:paraId="3A022C27" w14:textId="77777777" w:rsidR="00AB7015" w:rsidRDefault="00AB7015" w:rsidP="00AB7015">
      <w:pPr>
        <w:pStyle w:val="ListParagraph"/>
        <w:numPr>
          <w:ilvl w:val="0"/>
          <w:numId w:val="36"/>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2000s </w:t>
      </w:r>
      <w:r>
        <w:rPr>
          <w:rFonts w:ascii="Arial,Italic" w:hAnsi="Arial,Italic" w:cs="Arial,Italic"/>
          <w:i/>
          <w:iCs/>
        </w:rPr>
        <w:t xml:space="preserve">(at or soon after the start of the most </w:t>
      </w:r>
      <w:r w:rsidRPr="00D83BA2">
        <w:rPr>
          <w:rFonts w:ascii="Arial,Italic" w:hAnsi="Arial,Italic" w:cs="Arial,Italic"/>
          <w:i/>
          <w:iCs/>
        </w:rPr>
        <w:t>recent three generation period)</w:t>
      </w:r>
      <w:r w:rsidRPr="00D83BA2">
        <w:rPr>
          <w:rFonts w:ascii="Arial" w:hAnsi="Arial" w:cs="Arial"/>
        </w:rPr>
        <w:t>? Please</w:t>
      </w:r>
      <w:r>
        <w:rPr>
          <w:rFonts w:ascii="Arial" w:hAnsi="Arial" w:cs="Arial"/>
        </w:rPr>
        <w:t xml:space="preserve"> provide justification for your response.</w:t>
      </w:r>
    </w:p>
    <w:p w14:paraId="0064AADD" w14:textId="77777777" w:rsidR="00AB7015" w:rsidRDefault="00AB7015" w:rsidP="00AB7015">
      <w:pPr>
        <w:pStyle w:val="ListParagraph"/>
        <w:autoSpaceDE w:val="0"/>
        <w:autoSpaceDN w:val="0"/>
        <w:adjustRightInd w:val="0"/>
        <w:ind w:left="360"/>
        <w:rPr>
          <w:rFonts w:ascii="Arial,Italic" w:hAnsi="Arial,Italic" w:cs="Arial,Italic"/>
          <w:i/>
          <w:iCs/>
        </w:rPr>
      </w:pPr>
    </w:p>
    <w:p w14:paraId="30FB99D5"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If, because of uncertainty, you are unable to provide a single number, you may wish to provide an estimated range. If so, please choose one of the ranges suggested in the table below of possible species/subspecies numbers, and also choose the level of confidence you have in this estimate.</w:t>
      </w:r>
    </w:p>
    <w:p w14:paraId="3F49470A" w14:textId="77777777" w:rsidR="00AB7015" w:rsidRDefault="00AB7015" w:rsidP="00AB7015">
      <w:pPr>
        <w:pStyle w:val="ListParagraph"/>
        <w:autoSpaceDE w:val="0"/>
        <w:autoSpaceDN w:val="0"/>
        <w:adjustRightInd w:val="0"/>
        <w:ind w:left="360"/>
        <w:rPr>
          <w:rFonts w:ascii="Arial" w:hAnsi="Arial" w:cs="Arial"/>
        </w:rPr>
      </w:pPr>
    </w:p>
    <w:p w14:paraId="79371782"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518DBE00"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Pr>
          <w:rFonts w:ascii="Arial" w:hAnsi="Arial" w:cs="Arial"/>
        </w:rPr>
        <w:t xml:space="preserve"> &gt;10 000</w:t>
      </w:r>
    </w:p>
    <w:p w14:paraId="45BEF5DE" w14:textId="77777777" w:rsidR="00AB7015" w:rsidRDefault="00AB7015" w:rsidP="00AB7015">
      <w:pPr>
        <w:pStyle w:val="ListParagraph"/>
        <w:autoSpaceDE w:val="0"/>
        <w:autoSpaceDN w:val="0"/>
        <w:adjustRightInd w:val="0"/>
        <w:ind w:left="360"/>
        <w:rPr>
          <w:rFonts w:ascii="Arial" w:hAnsi="Arial" w:cs="Arial"/>
        </w:rPr>
      </w:pPr>
    </w:p>
    <w:p w14:paraId="49EB26C1"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5D3AA389"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2DA0AE6A"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84FE4B7"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7C05E98A"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09DD41A8"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D64BB13" w14:textId="77777777" w:rsidR="00AB7015" w:rsidRDefault="00AB7015" w:rsidP="00A60E9D">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20 years</w:t>
      </w:r>
      <w:r>
        <w:rPr>
          <w:rFonts w:ascii="Arial" w:hAnsi="Arial" w:cs="Arial"/>
          <w:color w:val="FF0000"/>
        </w:rPr>
        <w:t xml:space="preserve"> </w:t>
      </w:r>
      <w:r w:rsidRPr="00D83BA2">
        <w:rPr>
          <w:rFonts w:ascii="Arial" w:hAnsi="Arial" w:cs="Arial"/>
        </w:rPr>
        <w:t>(</w:t>
      </w:r>
      <w:proofErr w:type="gramStart"/>
      <w:r w:rsidRPr="00D83BA2">
        <w:rPr>
          <w:rFonts w:ascii="Arial" w:hAnsi="Arial" w:cs="Arial"/>
        </w:rPr>
        <w:t>i.e.</w:t>
      </w:r>
      <w:proofErr w:type="gramEnd"/>
      <w:r w:rsidRPr="00D83BA2">
        <w:rPr>
          <w:rFonts w:ascii="Arial" w:hAnsi="Arial" w:cs="Arial"/>
        </w:rPr>
        <w:t xml:space="preserve"> three generations)? Please</w:t>
      </w:r>
      <w:r>
        <w:rPr>
          <w:rFonts w:ascii="Arial" w:hAnsi="Arial" w:cs="Arial"/>
        </w:rPr>
        <w:t xml:space="preserve"> provide justification for your response.</w:t>
      </w:r>
    </w:p>
    <w:p w14:paraId="3F49F37B" w14:textId="77777777" w:rsidR="00A60E9D" w:rsidRDefault="00A60E9D" w:rsidP="00A60E9D">
      <w:pPr>
        <w:autoSpaceDE w:val="0"/>
        <w:autoSpaceDN w:val="0"/>
        <w:adjustRightInd w:val="0"/>
        <w:spacing w:line="240" w:lineRule="auto"/>
        <w:ind w:left="360"/>
        <w:rPr>
          <w:rFonts w:ascii="Arial" w:hAnsi="Arial" w:cs="Arial"/>
        </w:rPr>
      </w:pPr>
    </w:p>
    <w:p w14:paraId="4752B707" w14:textId="2B56E2DD" w:rsidR="00AB7015" w:rsidRDefault="00AB7015" w:rsidP="00A60E9D">
      <w:pPr>
        <w:autoSpaceDE w:val="0"/>
        <w:autoSpaceDN w:val="0"/>
        <w:adjustRightInd w:val="0"/>
        <w:spacing w:line="240" w:lineRule="auto"/>
        <w:ind w:left="360"/>
        <w:rPr>
          <w:rFonts w:ascii="Arial" w:hAnsi="Arial" w:cs="Arial"/>
        </w:rPr>
      </w:pPr>
      <w:r>
        <w:rPr>
          <w:rFonts w:ascii="Arial" w:hAnsi="Arial" w:cs="Arial"/>
        </w:rPr>
        <w:t>If, because of uncertainty, you are unable to provide an estimate of decline, you may wish to provide an estimated range. If so, please choose one of the ranges suggested in the table below of ranges of decline, and also choose the level of confidence you have in this estimated range.</w:t>
      </w:r>
    </w:p>
    <w:p w14:paraId="1B192A1A" w14:textId="77777777" w:rsidR="00AB7015" w:rsidRDefault="00AB7015" w:rsidP="00AB7015">
      <w:pPr>
        <w:autoSpaceDE w:val="0"/>
        <w:autoSpaceDN w:val="0"/>
        <w:adjustRightInd w:val="0"/>
        <w:ind w:left="360"/>
        <w:rPr>
          <w:rFonts w:ascii="Arial" w:hAnsi="Arial" w:cs="Arial"/>
        </w:rPr>
      </w:pPr>
      <w:r>
        <w:rPr>
          <w:rFonts w:ascii="Arial" w:hAnsi="Arial" w:cs="Arial"/>
        </w:rPr>
        <w:t>Decline estimated to be in the range of:</w:t>
      </w:r>
    </w:p>
    <w:p w14:paraId="2F70E3C4"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18DE9226" w14:textId="77777777" w:rsidR="00AB7015" w:rsidRDefault="00AB7015" w:rsidP="00AB7015">
      <w:pPr>
        <w:autoSpaceDE w:val="0"/>
        <w:autoSpaceDN w:val="0"/>
        <w:adjustRightInd w:val="0"/>
        <w:ind w:left="360"/>
        <w:rPr>
          <w:rFonts w:ascii="Arial" w:hAnsi="Arial" w:cs="Arial"/>
        </w:rPr>
      </w:pPr>
    </w:p>
    <w:p w14:paraId="2D997B45" w14:textId="77777777" w:rsidR="00AB7015" w:rsidRDefault="00AB7015" w:rsidP="00AB7015">
      <w:pPr>
        <w:autoSpaceDE w:val="0"/>
        <w:autoSpaceDN w:val="0"/>
        <w:adjustRightInd w:val="0"/>
        <w:ind w:left="360"/>
        <w:rPr>
          <w:rFonts w:ascii="Arial" w:hAnsi="Arial" w:cs="Arial"/>
        </w:rPr>
      </w:pPr>
      <w:r>
        <w:rPr>
          <w:rFonts w:ascii="Arial" w:hAnsi="Arial" w:cs="Arial"/>
        </w:rPr>
        <w:t>Level of your confidence in this estimated decline:</w:t>
      </w:r>
    </w:p>
    <w:p w14:paraId="741ADA22"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52F42E9"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126C886"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07E79B65"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5B411595"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6AE5CF31" w14:textId="77777777" w:rsidR="00AB7015" w:rsidRDefault="00AB7015" w:rsidP="00AB7015">
      <w:pPr>
        <w:autoSpaceDE w:val="0"/>
        <w:autoSpaceDN w:val="0"/>
        <w:adjustRightInd w:val="0"/>
        <w:rPr>
          <w:rFonts w:ascii="Arial" w:hAnsi="Arial" w:cs="Arial"/>
        </w:rPr>
      </w:pPr>
    </w:p>
    <w:p w14:paraId="0D4A7162"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Please provide (if known) any additional evidence which shows the population is stable, increasing or declining.</w:t>
      </w:r>
    </w:p>
    <w:p w14:paraId="7BEC6356" w14:textId="77777777" w:rsidR="00AB7015" w:rsidRDefault="00AB7015" w:rsidP="00AB7015">
      <w:pPr>
        <w:autoSpaceDE w:val="0"/>
        <w:autoSpaceDN w:val="0"/>
        <w:adjustRightInd w:val="0"/>
        <w:rPr>
          <w:rFonts w:ascii="Arial" w:hAnsi="Arial" w:cs="Arial"/>
        </w:rPr>
      </w:pPr>
    </w:p>
    <w:p w14:paraId="36ABD6EC" w14:textId="77777777" w:rsidR="00AB7015" w:rsidRDefault="00AB7015" w:rsidP="00AB7015">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1929C986" w14:textId="77777777" w:rsidR="00AB7015" w:rsidRDefault="00AB7015" w:rsidP="00AB7015">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6743B92A"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2C2373E0" w14:textId="77777777" w:rsidR="00AB7015" w:rsidRDefault="00AB7015" w:rsidP="00AB7015">
      <w:pPr>
        <w:pStyle w:val="ListParagraph"/>
        <w:autoSpaceDE w:val="0"/>
        <w:autoSpaceDN w:val="0"/>
        <w:adjustRightInd w:val="0"/>
        <w:ind w:left="360"/>
        <w:rPr>
          <w:rFonts w:ascii="Arial" w:hAnsi="Arial" w:cs="Arial"/>
        </w:rPr>
      </w:pPr>
    </w:p>
    <w:p w14:paraId="67211644"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7B6009E3" w14:textId="77777777" w:rsidR="00AB7015" w:rsidRDefault="00AB7015" w:rsidP="00AB7015">
      <w:pPr>
        <w:pStyle w:val="ListParagraph"/>
        <w:autoSpaceDE w:val="0"/>
        <w:autoSpaceDN w:val="0"/>
        <w:adjustRightInd w:val="0"/>
        <w:ind w:left="360"/>
        <w:rPr>
          <w:rFonts w:ascii="Arial" w:hAnsi="Arial" w:cs="Arial"/>
        </w:rPr>
      </w:pPr>
    </w:p>
    <w:p w14:paraId="2E684BD7"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7232530A" w14:textId="77777777" w:rsidR="00AB7015" w:rsidRDefault="00AB7015" w:rsidP="00AB7015">
      <w:pPr>
        <w:pStyle w:val="ListParagraph"/>
        <w:autoSpaceDE w:val="0"/>
        <w:autoSpaceDN w:val="0"/>
        <w:adjustRightInd w:val="0"/>
        <w:ind w:left="360"/>
        <w:rPr>
          <w:rFonts w:ascii="Arial" w:hAnsi="Arial" w:cs="Arial"/>
        </w:rPr>
      </w:pPr>
    </w:p>
    <w:p w14:paraId="0FA8A1F8"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535A59F8" w14:textId="77777777" w:rsidR="00AB7015" w:rsidRDefault="00AB7015" w:rsidP="00AB7015">
      <w:pPr>
        <w:pStyle w:val="ListParagraph"/>
        <w:autoSpaceDE w:val="0"/>
        <w:autoSpaceDN w:val="0"/>
        <w:adjustRightInd w:val="0"/>
        <w:ind w:left="360"/>
        <w:rPr>
          <w:rFonts w:ascii="Arial" w:hAnsi="Arial" w:cs="Arial"/>
        </w:rPr>
      </w:pPr>
    </w:p>
    <w:p w14:paraId="4C3A65BF"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775E2461" w14:textId="77777777" w:rsidR="00AB7015" w:rsidRDefault="00AB7015" w:rsidP="00AB7015">
      <w:pPr>
        <w:pStyle w:val="ListParagraph"/>
        <w:autoSpaceDE w:val="0"/>
        <w:autoSpaceDN w:val="0"/>
        <w:adjustRightInd w:val="0"/>
        <w:ind w:left="360"/>
        <w:rPr>
          <w:rFonts w:ascii="Arial" w:hAnsi="Arial" w:cs="Arial"/>
        </w:rPr>
      </w:pPr>
    </w:p>
    <w:p w14:paraId="71A68ED4"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extent of occurrence, you may wish to provide an estimated range. If so, please choose one of the ranges suggested in the table below of ranges of extent of occurrence, and also choose the level of confidence you have in this estimated range.</w:t>
      </w:r>
    </w:p>
    <w:p w14:paraId="1DC242F2" w14:textId="77777777" w:rsidR="00AB7015" w:rsidRDefault="00AB7015" w:rsidP="00AB7015">
      <w:pPr>
        <w:autoSpaceDE w:val="0"/>
        <w:autoSpaceDN w:val="0"/>
        <w:adjustRightInd w:val="0"/>
        <w:rPr>
          <w:rFonts w:ascii="Arial" w:hAnsi="Arial" w:cs="Arial"/>
        </w:rPr>
      </w:pPr>
    </w:p>
    <w:p w14:paraId="408EEEFE" w14:textId="77777777" w:rsidR="00AB7015" w:rsidRDefault="00AB7015" w:rsidP="00AB7015">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46735F23"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315ABE3" w14:textId="77777777" w:rsidR="00AB7015" w:rsidRDefault="00AB7015" w:rsidP="00AB7015">
      <w:pPr>
        <w:autoSpaceDE w:val="0"/>
        <w:autoSpaceDN w:val="0"/>
        <w:adjustRightInd w:val="0"/>
        <w:rPr>
          <w:rFonts w:ascii="Arial" w:hAnsi="Arial" w:cs="Arial"/>
        </w:rPr>
      </w:pPr>
    </w:p>
    <w:p w14:paraId="01700C12" w14:textId="77777777" w:rsidR="00AB7015" w:rsidRDefault="00AB7015" w:rsidP="00AB701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28BB188"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04268195"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445E188"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7EA0549"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7D9840F"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657BD01C" w14:textId="77777777" w:rsidR="00AB7015" w:rsidRDefault="00AB7015" w:rsidP="00AB7015">
      <w:pPr>
        <w:autoSpaceDE w:val="0"/>
        <w:autoSpaceDN w:val="0"/>
        <w:adjustRightInd w:val="0"/>
        <w:ind w:left="360"/>
        <w:rPr>
          <w:rFonts w:ascii="Arial" w:hAnsi="Arial" w:cs="Arial"/>
        </w:rPr>
      </w:pPr>
      <w:r>
        <w:rPr>
          <w:rFonts w:ascii="Arial" w:hAnsi="Arial" w:cs="Arial"/>
        </w:rPr>
        <w:t>If, because of uncertainty, you are unable to provide an estimate of area of occupancy, you may wish to provide an estimated range. If so, please choose one of the ranges suggested in the table below of ranges of area of occupancy, and also choose the level of confidence you have in this estimated range.</w:t>
      </w:r>
    </w:p>
    <w:p w14:paraId="59EBB556" w14:textId="77777777" w:rsidR="00AB7015" w:rsidRDefault="00AB7015" w:rsidP="00AB7015">
      <w:pPr>
        <w:autoSpaceDE w:val="0"/>
        <w:autoSpaceDN w:val="0"/>
        <w:adjustRightInd w:val="0"/>
        <w:rPr>
          <w:rFonts w:ascii="Arial" w:hAnsi="Arial" w:cs="Arial"/>
        </w:rPr>
      </w:pPr>
    </w:p>
    <w:p w14:paraId="4298850D" w14:textId="77777777" w:rsidR="00AB7015" w:rsidRDefault="00AB7015" w:rsidP="00AB7015">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0351145"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5FB03D04" w14:textId="77777777" w:rsidR="00AB7015" w:rsidRDefault="00AB7015" w:rsidP="00AB7015">
      <w:pPr>
        <w:autoSpaceDE w:val="0"/>
        <w:autoSpaceDN w:val="0"/>
        <w:adjustRightInd w:val="0"/>
        <w:ind w:left="360"/>
        <w:rPr>
          <w:rFonts w:ascii="Arial" w:hAnsi="Arial" w:cs="Arial"/>
        </w:rPr>
      </w:pPr>
      <w:r>
        <w:rPr>
          <w:rFonts w:ascii="Arial" w:hAnsi="Arial" w:cs="Arial"/>
        </w:rPr>
        <w:t>Level of your confidence in this estimated extent of occurrence:</w:t>
      </w:r>
    </w:p>
    <w:p w14:paraId="0721ADE7"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2193C87"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D33D712"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8CE80B8"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52CC8A4" w14:textId="77777777" w:rsidR="00AB7015" w:rsidRDefault="00AB7015" w:rsidP="00AB7015">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21A2573" w14:textId="77777777" w:rsidR="00AB7015" w:rsidRDefault="00AB7015" w:rsidP="00AB7015">
      <w:pPr>
        <w:autoSpaceDE w:val="0"/>
        <w:autoSpaceDN w:val="0"/>
        <w:adjustRightInd w:val="0"/>
        <w:ind w:left="1920" w:hanging="1560"/>
        <w:rPr>
          <w:rFonts w:ascii="Arial" w:hAnsi="Arial" w:cs="Arial"/>
          <w:b/>
        </w:rPr>
      </w:pPr>
    </w:p>
    <w:p w14:paraId="201B9FDF" w14:textId="77777777" w:rsidR="00AB7015" w:rsidRDefault="00AB7015" w:rsidP="00AB7015">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0E674A16" w14:textId="77777777" w:rsidR="00AB7015" w:rsidRDefault="00AB7015" w:rsidP="00AB7015">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16724B0B"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39B5B0C0" w14:textId="77777777" w:rsidR="00AB7015" w:rsidRDefault="00AB7015" w:rsidP="00AB7015">
      <w:pPr>
        <w:pStyle w:val="ListParagraph"/>
        <w:autoSpaceDE w:val="0"/>
        <w:autoSpaceDN w:val="0"/>
        <w:adjustRightInd w:val="0"/>
        <w:ind w:left="360"/>
        <w:rPr>
          <w:rFonts w:ascii="Arial" w:hAnsi="Arial" w:cs="Arial"/>
        </w:rPr>
      </w:pPr>
    </w:p>
    <w:p w14:paraId="0A4A81BB"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675F9D73" w14:textId="77777777" w:rsidR="00AB7015" w:rsidRDefault="00AB7015" w:rsidP="00AB7015">
      <w:pPr>
        <w:pStyle w:val="ListParagraph"/>
        <w:autoSpaceDE w:val="0"/>
        <w:autoSpaceDN w:val="0"/>
        <w:adjustRightInd w:val="0"/>
        <w:ind w:left="360"/>
        <w:rPr>
          <w:rFonts w:ascii="Arial" w:hAnsi="Arial" w:cs="Arial"/>
        </w:rPr>
      </w:pPr>
    </w:p>
    <w:p w14:paraId="5A283FA9" w14:textId="77777777" w:rsidR="00AB7015" w:rsidRDefault="00AB7015" w:rsidP="00AB7015">
      <w:pPr>
        <w:pStyle w:val="ListParagraph"/>
        <w:autoSpaceDE w:val="0"/>
        <w:autoSpaceDN w:val="0"/>
        <w:adjustRightInd w:val="0"/>
        <w:ind w:left="360"/>
        <w:rPr>
          <w:rFonts w:ascii="Arial" w:hAnsi="Arial" w:cs="Arial"/>
        </w:rPr>
      </w:pPr>
      <w:r>
        <w:rPr>
          <w:rFonts w:ascii="Arial" w:hAnsi="Arial" w:cs="Arial"/>
        </w:rPr>
        <w:t>If, because of uncertainty, you are unable to provide an estimate of past extent of occurrence, you may wish to provide an estimated range. If so, please choose one of the ranges suggested in the table below of ranges of past extent of occurrence, and also choose the level of confidence you have in this estimated range.</w:t>
      </w:r>
    </w:p>
    <w:p w14:paraId="231DA6B7" w14:textId="77777777" w:rsidR="00AB7015" w:rsidRDefault="00AB7015" w:rsidP="00AB7015">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43916E1B"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0899704" w14:textId="77777777" w:rsidR="00AB7015" w:rsidRDefault="00AB7015" w:rsidP="00AB701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97369CA"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BAE559C"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A16F260"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D5D2944"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A04C7C2"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C359C12" w14:textId="77777777" w:rsidR="00AB7015" w:rsidRDefault="00AB7015" w:rsidP="00AB7015">
      <w:pPr>
        <w:autoSpaceDE w:val="0"/>
        <w:autoSpaceDN w:val="0"/>
        <w:adjustRightInd w:val="0"/>
        <w:ind w:left="360"/>
        <w:rPr>
          <w:rFonts w:ascii="Arial" w:hAnsi="Arial" w:cs="Arial"/>
        </w:rPr>
      </w:pPr>
      <w:r>
        <w:rPr>
          <w:rFonts w:ascii="Arial" w:hAnsi="Arial" w:cs="Arial"/>
        </w:rPr>
        <w:t>If, because of uncertainty, you are unable to provide an estimate of past area of occupancy, you may wish to provide an estimated range. If so, please choose one of the ranges suggested in the table below of ranges of past area of occupancy, and also choose the level of confidence you have in this estimated range:</w:t>
      </w:r>
    </w:p>
    <w:p w14:paraId="4FB125A5" w14:textId="77777777" w:rsidR="00AB7015" w:rsidRDefault="00AB7015" w:rsidP="00AB7015">
      <w:pPr>
        <w:autoSpaceDE w:val="0"/>
        <w:autoSpaceDN w:val="0"/>
        <w:adjustRightInd w:val="0"/>
        <w:rPr>
          <w:rFonts w:ascii="Arial,Bold" w:hAnsi="Arial,Bold" w:cs="Arial,Bold"/>
          <w:b/>
          <w:bCs/>
        </w:rPr>
      </w:pPr>
    </w:p>
    <w:p w14:paraId="59FE133E" w14:textId="77777777" w:rsidR="00AB7015" w:rsidRDefault="00AB7015" w:rsidP="00AB7015">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335055F"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59400AA4" w14:textId="77777777" w:rsidR="00AB7015" w:rsidRDefault="00AB7015" w:rsidP="00AB7015">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8E52334"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59842B66"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E81DA05"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1695D639" w14:textId="77777777" w:rsidR="00AB7015" w:rsidRDefault="00AB7015" w:rsidP="00AB7015">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0D480B79" w14:textId="77777777" w:rsidR="00AB7015" w:rsidRDefault="00AB7015" w:rsidP="00AB7015">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5AB5A278"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0526C9E3" w14:textId="77777777" w:rsidR="00AB7015" w:rsidRPr="009F43F9" w:rsidRDefault="00AB7015" w:rsidP="00AB701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3C1BB958"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0EA2416F" w14:textId="77777777" w:rsidR="00AB7015" w:rsidRDefault="00AB7015" w:rsidP="00AB7015">
      <w:pPr>
        <w:autoSpaceDE w:val="0"/>
        <w:autoSpaceDN w:val="0"/>
        <w:adjustRightInd w:val="0"/>
        <w:rPr>
          <w:rFonts w:ascii="Arial" w:hAnsi="Arial" w:cs="Arial"/>
        </w:rPr>
      </w:pPr>
    </w:p>
    <w:p w14:paraId="01B4F859" w14:textId="77777777" w:rsidR="00AB7015" w:rsidRDefault="00AB7015" w:rsidP="00AB7015">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4C7624BE"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6B6C679C" w14:textId="77777777" w:rsidR="00AB7015" w:rsidRDefault="00AB7015" w:rsidP="00AB7015">
      <w:pPr>
        <w:pStyle w:val="ListParagraph"/>
        <w:autoSpaceDE w:val="0"/>
        <w:autoSpaceDN w:val="0"/>
        <w:adjustRightInd w:val="0"/>
        <w:ind w:left="360"/>
        <w:rPr>
          <w:rFonts w:ascii="Arial" w:hAnsi="Arial" w:cs="Arial"/>
        </w:rPr>
      </w:pPr>
    </w:p>
    <w:p w14:paraId="38CFBCAA"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14859C4E" w14:textId="77777777" w:rsidR="00AB7015" w:rsidRDefault="00AB7015" w:rsidP="00AB7015">
      <w:pPr>
        <w:pStyle w:val="ListParagraph"/>
        <w:autoSpaceDE w:val="0"/>
        <w:autoSpaceDN w:val="0"/>
        <w:adjustRightInd w:val="0"/>
        <w:ind w:left="360"/>
        <w:rPr>
          <w:rFonts w:ascii="Arial" w:hAnsi="Arial" w:cs="Arial"/>
        </w:rPr>
      </w:pPr>
    </w:p>
    <w:p w14:paraId="64CA07F1"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359F9DD1" w14:textId="77777777" w:rsidR="00AB7015" w:rsidRDefault="00AB7015" w:rsidP="00AB7015">
      <w:pPr>
        <w:pStyle w:val="ListParagraph"/>
        <w:autoSpaceDE w:val="0"/>
        <w:autoSpaceDN w:val="0"/>
        <w:adjustRightInd w:val="0"/>
        <w:ind w:left="360"/>
        <w:rPr>
          <w:rFonts w:ascii="Arial" w:hAnsi="Arial" w:cs="Arial"/>
        </w:rPr>
      </w:pPr>
    </w:p>
    <w:p w14:paraId="477618AB"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189D2560" w14:textId="77777777" w:rsidR="00AB7015" w:rsidRDefault="00AB7015" w:rsidP="00AB7015">
      <w:pPr>
        <w:pStyle w:val="ListParagraph"/>
        <w:autoSpaceDE w:val="0"/>
        <w:autoSpaceDN w:val="0"/>
        <w:adjustRightInd w:val="0"/>
        <w:ind w:left="360"/>
        <w:rPr>
          <w:rFonts w:ascii="Arial" w:hAnsi="Arial" w:cs="Arial"/>
        </w:rPr>
      </w:pPr>
    </w:p>
    <w:p w14:paraId="5FAF91C4"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6D77E763" w14:textId="77777777" w:rsidR="00AB7015" w:rsidRDefault="00AB7015" w:rsidP="00AB7015">
      <w:pPr>
        <w:autoSpaceDE w:val="0"/>
        <w:autoSpaceDN w:val="0"/>
        <w:adjustRightInd w:val="0"/>
        <w:ind w:left="1560" w:hanging="1560"/>
        <w:rPr>
          <w:rFonts w:ascii="Arial,Bold" w:hAnsi="Arial,Bold" w:cs="Arial,Bold"/>
          <w:b/>
          <w:bCs/>
        </w:rPr>
      </w:pPr>
    </w:p>
    <w:p w14:paraId="2BF4C357" w14:textId="77777777" w:rsidR="00AB7015" w:rsidRDefault="00AB7015" w:rsidP="00AB7015">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7FABF576"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02F4AF53" w14:textId="77777777" w:rsidR="00AB7015" w:rsidRDefault="00AB7015" w:rsidP="00AB7015">
      <w:pPr>
        <w:pStyle w:val="ListParagraph"/>
        <w:autoSpaceDE w:val="0"/>
        <w:autoSpaceDN w:val="0"/>
        <w:adjustRightInd w:val="0"/>
        <w:ind w:left="360"/>
        <w:rPr>
          <w:rFonts w:ascii="Arial" w:hAnsi="Arial" w:cs="Arial"/>
        </w:rPr>
      </w:pPr>
    </w:p>
    <w:p w14:paraId="7FF6B593"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36A0D1F9" w14:textId="77777777" w:rsidR="00AB7015" w:rsidRDefault="00AB7015" w:rsidP="00AB7015">
      <w:pPr>
        <w:pStyle w:val="ListParagraph"/>
        <w:autoSpaceDE w:val="0"/>
        <w:autoSpaceDN w:val="0"/>
        <w:adjustRightInd w:val="0"/>
        <w:ind w:left="360"/>
        <w:rPr>
          <w:rFonts w:ascii="Arial" w:hAnsi="Arial" w:cs="Arial"/>
        </w:rPr>
      </w:pPr>
    </w:p>
    <w:p w14:paraId="52A41AE4"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7CA88A12" w14:textId="77777777" w:rsidR="00AB7015" w:rsidRDefault="00AB7015" w:rsidP="00AB7015">
      <w:pPr>
        <w:autoSpaceDE w:val="0"/>
        <w:autoSpaceDN w:val="0"/>
        <w:adjustRightInd w:val="0"/>
        <w:rPr>
          <w:rFonts w:ascii="Arial" w:hAnsi="Arial" w:cs="Arial"/>
        </w:rPr>
      </w:pPr>
    </w:p>
    <w:p w14:paraId="68C5CE4C" w14:textId="77777777" w:rsidR="00AB7015" w:rsidRDefault="00AB7015" w:rsidP="00AB7015">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B562955"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037C4BC5" w14:textId="77777777" w:rsidR="00AB7015" w:rsidRDefault="00AB7015" w:rsidP="00AB7015">
      <w:pPr>
        <w:pStyle w:val="ListParagraph"/>
        <w:autoSpaceDE w:val="0"/>
        <w:autoSpaceDN w:val="0"/>
        <w:adjustRightInd w:val="0"/>
        <w:ind w:left="360"/>
        <w:rPr>
          <w:rFonts w:ascii="Arial" w:hAnsi="Arial" w:cs="Arial"/>
          <w:color w:val="000000"/>
        </w:rPr>
      </w:pPr>
    </w:p>
    <w:p w14:paraId="52736649"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3027CE52" w14:textId="77777777" w:rsidR="00AB7015" w:rsidRDefault="00AB7015" w:rsidP="00AB7015">
      <w:pPr>
        <w:pStyle w:val="ListParagraph"/>
        <w:autoSpaceDE w:val="0"/>
        <w:autoSpaceDN w:val="0"/>
        <w:adjustRightInd w:val="0"/>
        <w:ind w:left="360"/>
        <w:rPr>
          <w:rFonts w:ascii="Arial" w:hAnsi="Arial" w:cs="Arial"/>
          <w:color w:val="000000"/>
        </w:rPr>
      </w:pPr>
    </w:p>
    <w:p w14:paraId="0222E46D"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0FA1EBC3" w14:textId="77777777" w:rsidR="00AB7015" w:rsidRDefault="00AB7015" w:rsidP="00AB7015">
      <w:pPr>
        <w:pStyle w:val="ListParagraph"/>
        <w:autoSpaceDE w:val="0"/>
        <w:autoSpaceDN w:val="0"/>
        <w:adjustRightInd w:val="0"/>
        <w:ind w:left="360"/>
        <w:rPr>
          <w:rFonts w:ascii="Arial" w:hAnsi="Arial" w:cs="Arial"/>
          <w:color w:val="000000"/>
        </w:rPr>
      </w:pPr>
    </w:p>
    <w:p w14:paraId="51DE5A3A"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5A38515D" w14:textId="77777777" w:rsidR="00AB7015" w:rsidRDefault="00AB7015" w:rsidP="00AB7015">
      <w:pPr>
        <w:pStyle w:val="ListParagraph"/>
        <w:autoSpaceDE w:val="0"/>
        <w:autoSpaceDN w:val="0"/>
        <w:adjustRightInd w:val="0"/>
        <w:ind w:left="360"/>
        <w:rPr>
          <w:rFonts w:ascii="Arial" w:hAnsi="Arial" w:cs="Arial"/>
          <w:color w:val="000000"/>
        </w:rPr>
      </w:pPr>
    </w:p>
    <w:p w14:paraId="3D964503"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48E250F7" w14:textId="77777777" w:rsidR="00AB7015" w:rsidRDefault="00AB7015" w:rsidP="00AB7015">
      <w:pPr>
        <w:pStyle w:val="ListParagraph"/>
        <w:autoSpaceDE w:val="0"/>
        <w:autoSpaceDN w:val="0"/>
        <w:adjustRightInd w:val="0"/>
        <w:ind w:left="360"/>
        <w:rPr>
          <w:rFonts w:ascii="Arial" w:hAnsi="Arial" w:cs="Arial"/>
          <w:color w:val="000000"/>
        </w:rPr>
      </w:pPr>
    </w:p>
    <w:p w14:paraId="2D48FB82" w14:textId="77777777" w:rsidR="00AB7015" w:rsidRDefault="00AB7015" w:rsidP="00AB7015">
      <w:pPr>
        <w:pStyle w:val="ListParagraph"/>
        <w:numPr>
          <w:ilvl w:val="1"/>
          <w:numId w:val="36"/>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63E573A8" w14:textId="77777777" w:rsidR="00AB7015" w:rsidRDefault="00AB7015" w:rsidP="00AB7015">
      <w:pPr>
        <w:pStyle w:val="ListParagraph"/>
        <w:autoSpaceDE w:val="0"/>
        <w:autoSpaceDN w:val="0"/>
        <w:adjustRightInd w:val="0"/>
        <w:ind w:left="1080"/>
        <w:rPr>
          <w:rFonts w:ascii="Arial" w:hAnsi="Arial" w:cs="Arial"/>
          <w:color w:val="000000"/>
        </w:rPr>
      </w:pPr>
    </w:p>
    <w:p w14:paraId="7492CE2B" w14:textId="77777777" w:rsidR="00AB7015" w:rsidRDefault="00AB7015" w:rsidP="00AB7015">
      <w:pPr>
        <w:pStyle w:val="ListParagraph"/>
        <w:numPr>
          <w:ilvl w:val="1"/>
          <w:numId w:val="36"/>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3EFC352B" w14:textId="77777777" w:rsidR="00AB7015" w:rsidRDefault="00AB7015" w:rsidP="00AB7015">
      <w:pPr>
        <w:autoSpaceDE w:val="0"/>
        <w:autoSpaceDN w:val="0"/>
        <w:adjustRightInd w:val="0"/>
      </w:pPr>
    </w:p>
    <w:p w14:paraId="6C907BAC"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7DE57981" w14:textId="77777777" w:rsidR="00AB7015" w:rsidRPr="009F43F9" w:rsidRDefault="00AB7015" w:rsidP="00AB7015">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67734C29" w14:textId="77777777" w:rsidR="00AB7015" w:rsidRDefault="00AB7015" w:rsidP="00AB7015">
      <w:pPr>
        <w:shd w:val="clear" w:color="auto" w:fill="D9D9D9" w:themeFill="background1" w:themeFillShade="D9"/>
        <w:autoSpaceDE w:val="0"/>
        <w:autoSpaceDN w:val="0"/>
        <w:adjustRightInd w:val="0"/>
        <w:jc w:val="center"/>
        <w:rPr>
          <w:rFonts w:ascii="Arial" w:hAnsi="Arial" w:cs="Arial"/>
          <w:b/>
        </w:rPr>
      </w:pPr>
    </w:p>
    <w:p w14:paraId="4D3DBC4D" w14:textId="77777777" w:rsidR="00AB7015" w:rsidRDefault="00AB7015" w:rsidP="00AB7015">
      <w:pPr>
        <w:autoSpaceDE w:val="0"/>
        <w:autoSpaceDN w:val="0"/>
        <w:adjustRightInd w:val="0"/>
        <w:rPr>
          <w:rFonts w:ascii="Arial" w:hAnsi="Arial" w:cs="Arial"/>
        </w:rPr>
      </w:pPr>
    </w:p>
    <w:p w14:paraId="546DB608" w14:textId="77777777" w:rsidR="00AB7015" w:rsidRDefault="00AB7015" w:rsidP="00AB7015">
      <w:pPr>
        <w:pStyle w:val="ListParagraph"/>
        <w:numPr>
          <w:ilvl w:val="0"/>
          <w:numId w:val="36"/>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0FED2581" w14:textId="77777777" w:rsidR="00AB7015" w:rsidRPr="00EF53FF" w:rsidRDefault="00AB7015" w:rsidP="00AB7015"/>
    <w:p w14:paraId="17C47C1D" w14:textId="77777777" w:rsidR="00AB7015" w:rsidRPr="009779CB" w:rsidRDefault="00AB7015" w:rsidP="00AB7015"/>
    <w:p w14:paraId="67DA2B7D" w14:textId="77777777" w:rsidR="00AB7015" w:rsidRDefault="00AB7015" w:rsidP="00AB7015"/>
    <w:p w14:paraId="73D5B07D" w14:textId="77777777" w:rsidR="00A60E9D" w:rsidRDefault="00A60E9D" w:rsidP="008F791C">
      <w:pPr>
        <w:pStyle w:val="DisseminationLimitingMarker"/>
      </w:pPr>
    </w:p>
    <w:p w14:paraId="31275794" w14:textId="77777777" w:rsidR="00A60E9D" w:rsidRDefault="00A60E9D" w:rsidP="008F791C">
      <w:pPr>
        <w:pStyle w:val="DisseminationLimitingMarker"/>
      </w:pPr>
    </w:p>
    <w:p w14:paraId="35568DDF" w14:textId="77777777" w:rsidR="00A60E9D" w:rsidRDefault="00A60E9D" w:rsidP="008F791C">
      <w:pPr>
        <w:pStyle w:val="DisseminationLimitingMarker"/>
      </w:pPr>
    </w:p>
    <w:p w14:paraId="0586A520" w14:textId="4D579E09" w:rsidR="008F791C" w:rsidRPr="00655AEC" w:rsidRDefault="008F791C" w:rsidP="008F791C">
      <w:pPr>
        <w:pStyle w:val="DisseminationLimitingMarker"/>
      </w:pPr>
      <w:r>
        <w:lastRenderedPageBreak/>
        <w:t xml:space="preserve">Conservation Advice for </w:t>
      </w:r>
      <w:r>
        <w:br/>
      </w:r>
      <w:r>
        <w:rPr>
          <w:rStyle w:val="Emphasis"/>
        </w:rPr>
        <w:t xml:space="preserve">Rhodanthe </w:t>
      </w:r>
      <w:r>
        <w:rPr>
          <w:rStyle w:val="Emphasis"/>
          <w:i w:val="0"/>
          <w:iCs w:val="0"/>
        </w:rPr>
        <w:t xml:space="preserve">sp. Point Lookout (J.J Bruhl 2078) </w:t>
      </w:r>
    </w:p>
    <w:p w14:paraId="1979689C" w14:textId="77777777" w:rsidR="008F791C" w:rsidRPr="005B3D88" w:rsidRDefault="008F791C" w:rsidP="008F791C">
      <w:pPr>
        <w:pStyle w:val="Header"/>
      </w:pPr>
    </w:p>
    <w:p w14:paraId="61AEF40C" w14:textId="77777777" w:rsidR="008F791C" w:rsidRPr="00A7798C" w:rsidRDefault="008F791C" w:rsidP="008F791C">
      <w:r>
        <w:rPr>
          <w:noProof/>
        </w:rPr>
        <mc:AlternateContent>
          <mc:Choice Requires="wps">
            <w:drawing>
              <wp:anchor distT="45720" distB="45720" distL="114300" distR="114300" simplePos="0" relativeHeight="251658241" behindDoc="0" locked="0" layoutInCell="1" allowOverlap="1" wp14:anchorId="3A347729" wp14:editId="09CC44AD">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DFE5FF" w14:textId="77777777" w:rsidR="008F791C" w:rsidRPr="00A51C1B" w:rsidRDefault="008F791C" w:rsidP="008F791C">
                            <w:pPr>
                              <w:pStyle w:val="Author"/>
                              <w:jc w:val="center"/>
                              <w:rPr>
                                <w:rStyle w:val="Emphasis"/>
                                <w:i w:val="0"/>
                                <w:iCs w:val="0"/>
                                <w:color w:val="FF0000"/>
                              </w:rPr>
                            </w:pPr>
                            <w:r w:rsidRPr="00A51C1B">
                              <w:rPr>
                                <w:rStyle w:val="Emphasis"/>
                                <w:i w:val="0"/>
                                <w:iCs w:val="0"/>
                                <w:color w:val="FF0000"/>
                              </w:rPr>
                              <w:t>This draft document is being released for consultation on the species listing eligibility and conservation actions</w:t>
                            </w:r>
                          </w:p>
                          <w:p w14:paraId="02871EDD" w14:textId="77777777" w:rsidR="008F791C" w:rsidRPr="00A51C1B" w:rsidRDefault="008F791C" w:rsidP="008F791C">
                            <w:pPr>
                              <w:rPr>
                                <w:color w:val="FF0000"/>
                              </w:rPr>
                            </w:pPr>
                          </w:p>
                          <w:p w14:paraId="14B7B2BE" w14:textId="77777777" w:rsidR="008F791C" w:rsidRPr="00A51C1B" w:rsidRDefault="008F791C" w:rsidP="008F791C">
                            <w:pPr>
                              <w:pStyle w:val="Consultationtext"/>
                            </w:pPr>
                            <w:r w:rsidRPr="00A51C1B">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A51C1B">
                              <w:rPr>
                                <w:b/>
                                <w:bCs/>
                              </w:rPr>
                              <w:t>tentative</w:t>
                            </w:r>
                            <w:r w:rsidRPr="00A51C1B">
                              <w:t xml:space="preserve"> at this stage, as it may change as a result of responses to this consultation process.</w:t>
                            </w:r>
                          </w:p>
                          <w:p w14:paraId="6650EE2D" w14:textId="77777777" w:rsidR="008F791C" w:rsidRPr="00A51C1B" w:rsidRDefault="008F791C" w:rsidP="008F791C">
                            <w:pPr>
                              <w:rPr>
                                <w:color w:val="FF0000"/>
                              </w:rPr>
                            </w:pPr>
                            <w:r w:rsidRPr="00A51C1B">
                              <w:rPr>
                                <w:color w:val="FF0000"/>
                                <w:u w:val="single"/>
                              </w:rPr>
                              <w:t>Note</w:t>
                            </w:r>
                            <w:r w:rsidRPr="00A51C1B">
                              <w:rPr>
                                <w:color w:val="FF0000"/>
                              </w:rPr>
                              <w:t>: Specific consultation questions relating to the below draft assessment and preliminary determination have been included in the consultation cover paper for your consideration.</w:t>
                            </w:r>
                          </w:p>
                          <w:p w14:paraId="49CE2C4F" w14:textId="77777777" w:rsidR="008F791C" w:rsidRDefault="008F791C" w:rsidP="008F7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47729"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" fillcolor="white [3201]" strokecolor="black [3200]" strokeweight="1pt">
                <v:textbox>
                  <w:txbxContent>
                    <w:p w14:paraId="22DFE5FF" w14:textId="77777777" w:rsidR="008F791C" w:rsidRPr="00A51C1B" w:rsidRDefault="008F791C" w:rsidP="008F791C">
                      <w:pPr>
                        <w:pStyle w:val="Author"/>
                        <w:jc w:val="center"/>
                        <w:rPr>
                          <w:rStyle w:val="Emphasis"/>
                          <w:i w:val="0"/>
                          <w:iCs w:val="0"/>
                          <w:color w:val="FF0000"/>
                        </w:rPr>
                      </w:pPr>
                      <w:r w:rsidRPr="00A51C1B">
                        <w:rPr>
                          <w:rStyle w:val="Emphasis"/>
                          <w:i w:val="0"/>
                          <w:iCs w:val="0"/>
                          <w:color w:val="FF0000"/>
                        </w:rPr>
                        <w:t>This draft document is being released for consultation on the species listing eligibility and conservation actions</w:t>
                      </w:r>
                    </w:p>
                    <w:p w14:paraId="02871EDD" w14:textId="77777777" w:rsidR="008F791C" w:rsidRPr="00A51C1B" w:rsidRDefault="008F791C" w:rsidP="008F791C">
                      <w:pPr>
                        <w:rPr>
                          <w:color w:val="FF0000"/>
                        </w:rPr>
                      </w:pPr>
                    </w:p>
                    <w:p w14:paraId="14B7B2BE" w14:textId="77777777" w:rsidR="008F791C" w:rsidRPr="00A51C1B" w:rsidRDefault="008F791C" w:rsidP="008F791C">
                      <w:pPr>
                        <w:pStyle w:val="Consultationtext"/>
                      </w:pPr>
                      <w:r w:rsidRPr="00A51C1B">
                        <w:t xml:space="preserve">The purpose of this consultation document is to elicit additional information to better understand the status of the species and help inform conservation actions, further planning and a potential recovery plan. The draft assessment below should therefore be considered </w:t>
                      </w:r>
                      <w:r w:rsidRPr="00A51C1B">
                        <w:rPr>
                          <w:b/>
                          <w:bCs/>
                        </w:rPr>
                        <w:t>tentative</w:t>
                      </w:r>
                      <w:r w:rsidRPr="00A51C1B">
                        <w:t xml:space="preserve"> at this stage, as it may change as a result of responses to this consultation process.</w:t>
                      </w:r>
                    </w:p>
                    <w:p w14:paraId="6650EE2D" w14:textId="77777777" w:rsidR="008F791C" w:rsidRPr="00A51C1B" w:rsidRDefault="008F791C" w:rsidP="008F791C">
                      <w:pPr>
                        <w:rPr>
                          <w:color w:val="FF0000"/>
                        </w:rPr>
                      </w:pPr>
                      <w:r w:rsidRPr="00A51C1B">
                        <w:rPr>
                          <w:color w:val="FF0000"/>
                          <w:u w:val="single"/>
                        </w:rPr>
                        <w:t>Note</w:t>
                      </w:r>
                      <w:r w:rsidRPr="00A51C1B">
                        <w:rPr>
                          <w:color w:val="FF0000"/>
                        </w:rPr>
                        <w:t>: Specific consultation questions relating to the below draft assessment and preliminary determination have been included in the consultation cover paper for your consideration.</w:t>
                      </w:r>
                    </w:p>
                    <w:p w14:paraId="49CE2C4F" w14:textId="77777777" w:rsidR="008F791C" w:rsidRDefault="008F791C" w:rsidP="008F791C"/>
                  </w:txbxContent>
                </v:textbox>
                <w10:wrap type="square"/>
              </v:shape>
            </w:pict>
          </mc:Fallback>
        </mc:AlternateContent>
      </w:r>
    </w:p>
    <w:p w14:paraId="0FD5663A" w14:textId="77777777" w:rsidR="008F791C" w:rsidRDefault="008F791C" w:rsidP="008F791C"/>
    <w:p w14:paraId="08BF67D6" w14:textId="77777777" w:rsidR="008F791C" w:rsidRDefault="008F791C" w:rsidP="008F791C"/>
    <w:p w14:paraId="31FF2907" w14:textId="77777777" w:rsidR="008F791C" w:rsidRDefault="008F791C" w:rsidP="008F791C"/>
    <w:p w14:paraId="24D5B26F" w14:textId="77777777" w:rsidR="008F791C" w:rsidRPr="00A7798C" w:rsidRDefault="008F791C" w:rsidP="008F791C"/>
    <w:p w14:paraId="352B0B57" w14:textId="77777777" w:rsidR="008F791C" w:rsidRDefault="008F791C" w:rsidP="008F791C">
      <w:pPr>
        <w:pStyle w:val="Author"/>
      </w:pPr>
    </w:p>
    <w:p w14:paraId="4F5ED93A" w14:textId="77777777" w:rsidR="008F791C" w:rsidRDefault="008F791C" w:rsidP="008F791C">
      <w:pPr>
        <w:pStyle w:val="Author"/>
      </w:pPr>
    </w:p>
    <w:p w14:paraId="04C070FF" w14:textId="77777777" w:rsidR="008F791C" w:rsidRDefault="008F791C" w:rsidP="008F791C">
      <w:pPr>
        <w:pStyle w:val="Author"/>
      </w:pPr>
    </w:p>
    <w:p w14:paraId="65BBA1D4" w14:textId="77777777" w:rsidR="008F791C" w:rsidRDefault="008F791C" w:rsidP="008F791C">
      <w:pPr>
        <w:pStyle w:val="Author"/>
      </w:pPr>
    </w:p>
    <w:p w14:paraId="6A3C2EE2" w14:textId="77777777" w:rsidR="008F791C" w:rsidRDefault="008F791C" w:rsidP="008F791C">
      <w:pPr>
        <w:pStyle w:val="Instructiontext"/>
      </w:pPr>
      <w:bookmarkStart w:id="3" w:name="_Hlk63243315"/>
    </w:p>
    <w:bookmarkEnd w:id="3"/>
    <w:p w14:paraId="21DF9162" w14:textId="77777777" w:rsidR="008F791C" w:rsidRDefault="008F791C" w:rsidP="008F791C">
      <w:r w:rsidRPr="005B5689">
        <w:t>This document combines the approved conservation advice and listing assessment for the species.</w:t>
      </w:r>
      <w:r w:rsidRPr="0016081E">
        <w:t xml:space="preserve"> </w:t>
      </w:r>
      <w:r w:rsidRPr="009D41D2">
        <w:t>It provides a foundation for conservation action and further planning.</w:t>
      </w:r>
    </w:p>
    <w:p w14:paraId="18D92B0E" w14:textId="77777777" w:rsidR="008F791C" w:rsidRDefault="008F791C" w:rsidP="008F791C">
      <w:r>
        <w:rPr>
          <w:noProof/>
        </w:rPr>
        <w:drawing>
          <wp:inline distT="0" distB="0" distL="0" distR="0" wp14:anchorId="7C736015" wp14:editId="713A1184">
            <wp:extent cx="3648075" cy="3686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9520" b="13644"/>
                    <a:stretch/>
                  </pic:blipFill>
                  <pic:spPr bwMode="auto">
                    <a:xfrm>
                      <a:off x="0" y="0"/>
                      <a:ext cx="3649376" cy="3687490"/>
                    </a:xfrm>
                    <a:prstGeom prst="rect">
                      <a:avLst/>
                    </a:prstGeom>
                    <a:noFill/>
                    <a:ln>
                      <a:noFill/>
                    </a:ln>
                    <a:extLst>
                      <a:ext uri="{53640926-AAD7-44D8-BBD7-CCE9431645EC}">
                        <a14:shadowObscured xmlns:a14="http://schemas.microsoft.com/office/drawing/2010/main"/>
                      </a:ext>
                    </a:extLst>
                  </pic:spPr>
                </pic:pic>
              </a:graphicData>
            </a:graphic>
          </wp:inline>
        </w:drawing>
      </w:r>
    </w:p>
    <w:p w14:paraId="5E557261" w14:textId="77777777" w:rsidR="008F791C" w:rsidRPr="000A6133" w:rsidRDefault="008F791C" w:rsidP="008F791C">
      <w:pPr>
        <w:pStyle w:val="FigureTableNoteSource"/>
        <w:tabs>
          <w:tab w:val="left" w:pos="7088"/>
        </w:tabs>
      </w:pPr>
      <w:bookmarkStart w:id="4" w:name="_Hlk46319602"/>
      <w:r w:rsidRPr="00E47782">
        <w:rPr>
          <w:rStyle w:val="Emphasis"/>
          <w:color w:val="000000" w:themeColor="text1"/>
        </w:rPr>
        <w:t xml:space="preserve">Rhodanthe </w:t>
      </w:r>
      <w:r w:rsidRPr="00E47782">
        <w:rPr>
          <w:rStyle w:val="Emphasis"/>
          <w:i w:val="0"/>
          <w:iCs w:val="0"/>
          <w:color w:val="000000" w:themeColor="text1"/>
        </w:rPr>
        <w:t xml:space="preserve">sp. Point Lookout (J.J Bruhl 2078) </w:t>
      </w:r>
      <w:r>
        <w:t xml:space="preserve">© Copyright John Hunter (from DPIE 2021) </w:t>
      </w:r>
    </w:p>
    <w:bookmarkEnd w:id="4"/>
    <w:p w14:paraId="0F11D938" w14:textId="77777777" w:rsidR="008F791C" w:rsidRPr="00AC3A2A" w:rsidRDefault="008F791C" w:rsidP="008F791C">
      <w:pPr>
        <w:pStyle w:val="Heading2"/>
        <w:ind w:left="720" w:hanging="720"/>
      </w:pPr>
      <w:r>
        <w:lastRenderedPageBreak/>
        <w:t>Conservation status</w:t>
      </w:r>
    </w:p>
    <w:p w14:paraId="3AC6F4FD" w14:textId="44089B74" w:rsidR="008F791C" w:rsidRPr="007D11FF" w:rsidRDefault="008F791C" w:rsidP="008F791C">
      <w:pPr>
        <w:pStyle w:val="Consultationtext"/>
      </w:pPr>
      <w:r w:rsidRPr="007D11FF">
        <w:rPr>
          <w:rStyle w:val="Emphasis"/>
          <w:color w:val="000000" w:themeColor="text1"/>
        </w:rPr>
        <w:t xml:space="preserve">Rhodanthe </w:t>
      </w:r>
      <w:r w:rsidRPr="626B437C">
        <w:rPr>
          <w:rStyle w:val="Emphasis"/>
          <w:i w:val="0"/>
          <w:iCs w:val="0"/>
          <w:color w:val="000000" w:themeColor="text1"/>
        </w:rPr>
        <w:t xml:space="preserve">sp. Point Lookout (J.J Bruhl 2078) (hereafter </w:t>
      </w:r>
      <w:r w:rsidRPr="007D11FF">
        <w:rPr>
          <w:rStyle w:val="Emphasis"/>
          <w:color w:val="000000" w:themeColor="text1"/>
        </w:rPr>
        <w:t xml:space="preserve">Rhodanthe </w:t>
      </w:r>
      <w:r w:rsidRPr="626B437C">
        <w:rPr>
          <w:rStyle w:val="Emphasis"/>
          <w:i w:val="0"/>
          <w:iCs w:val="0"/>
          <w:color w:val="000000" w:themeColor="text1"/>
        </w:rPr>
        <w:t xml:space="preserve">sp. Point </w:t>
      </w:r>
      <w:r w:rsidR="00401138" w:rsidRPr="626B437C">
        <w:rPr>
          <w:rStyle w:val="Emphasis"/>
          <w:i w:val="0"/>
          <w:iCs w:val="0"/>
          <w:color w:val="000000" w:themeColor="text1"/>
        </w:rPr>
        <w:t>Lookout) (</w:t>
      </w:r>
      <w:r w:rsidR="798A4880" w:rsidRPr="626B437C">
        <w:rPr>
          <w:rStyle w:val="Emphasis"/>
          <w:i w:val="0"/>
          <w:iCs w:val="0"/>
          <w:color w:val="000000" w:themeColor="text1"/>
        </w:rPr>
        <w:t>Asteraceae)</w:t>
      </w:r>
      <w:r w:rsidRPr="626B437C">
        <w:rPr>
          <w:rStyle w:val="Emphasis"/>
          <w:i w:val="0"/>
          <w:iCs w:val="0"/>
          <w:color w:val="000000" w:themeColor="text1"/>
        </w:rPr>
        <w:t xml:space="preserve"> </w:t>
      </w:r>
      <w:r w:rsidRPr="007D11FF">
        <w:rPr>
          <w:color w:val="000000" w:themeColor="text1"/>
        </w:rPr>
        <w:t>is proposed to be listed in th</w:t>
      </w:r>
      <w:bookmarkStart w:id="5" w:name="_Hlk57798064"/>
      <w:r w:rsidRPr="007D11FF">
        <w:rPr>
          <w:color w:val="000000" w:themeColor="text1"/>
        </w:rPr>
        <w:t xml:space="preserve">e </w:t>
      </w:r>
      <w:sdt>
        <w:sdtPr>
          <w:rPr>
            <w:color w:val="000000" w:themeColor="text1"/>
          </w:rPr>
          <w:id w:val="-720434868"/>
          <w:placeholder>
            <w:docPart w:val="334303BCEE9546B0AFA88874EFB9D2E0"/>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D11FF">
            <w:rPr>
              <w:color w:val="000000" w:themeColor="text1"/>
            </w:rPr>
            <w:t>Endangered</w:t>
          </w:r>
        </w:sdtContent>
      </w:sdt>
      <w:bookmarkEnd w:id="5"/>
      <w:r w:rsidRPr="007D11FF">
        <w:rPr>
          <w:color w:val="000000" w:themeColor="text1"/>
        </w:rPr>
        <w:t xml:space="preserve"> category of the threatened species list under the </w:t>
      </w:r>
      <w:r w:rsidRPr="007D11FF">
        <w:rPr>
          <w:rStyle w:val="Emphasis"/>
          <w:color w:val="000000" w:themeColor="text1"/>
        </w:rPr>
        <w:t>Environment Protection and Biodiversity Conservation Act 1999</w:t>
      </w:r>
      <w:r w:rsidRPr="00D37258">
        <w:rPr>
          <w:rStyle w:val="Emphasis"/>
          <w:color w:val="auto"/>
        </w:rPr>
        <w:t>.</w:t>
      </w:r>
    </w:p>
    <w:p w14:paraId="7DB157DC" w14:textId="77777777" w:rsidR="008F791C" w:rsidRPr="007D11FF" w:rsidRDefault="008F791C" w:rsidP="008F791C">
      <w:r w:rsidRPr="007D11FF">
        <w:rPr>
          <w:rStyle w:val="Emphasis"/>
          <w:color w:val="000000" w:themeColor="text1"/>
        </w:rPr>
        <w:t xml:space="preserve">Rhodanthe </w:t>
      </w:r>
      <w:r w:rsidRPr="007D11FF">
        <w:rPr>
          <w:rStyle w:val="Emphasis"/>
          <w:i w:val="0"/>
          <w:iCs w:val="0"/>
          <w:color w:val="000000" w:themeColor="text1"/>
        </w:rPr>
        <w:t>sp. Point Lookout</w:t>
      </w:r>
      <w:r w:rsidRPr="007D11FF">
        <w:t xml:space="preserve"> was assessed by the Threatened Species Scientific Committee to be eligible for listing under as </w:t>
      </w:r>
      <w:sdt>
        <w:sdtPr>
          <w:id w:val="257643898"/>
          <w:placeholder>
            <w:docPart w:val="19D534473EBE4F18AD026B94712A5C04"/>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D11FF">
            <w:t>Endangered</w:t>
          </w:r>
        </w:sdtContent>
      </w:sdt>
      <w:r w:rsidRPr="007D11FF">
        <w:t xml:space="preserve"> under criterion 2. The Committee’s assessment is at Attachment A. The Committee’s assessment of the species’ eligibility against each of the listing criteria is:</w:t>
      </w:r>
    </w:p>
    <w:p w14:paraId="17849DD7" w14:textId="77777777" w:rsidR="008F791C" w:rsidRPr="007D11FF" w:rsidRDefault="008F791C" w:rsidP="008F791C">
      <w:pPr>
        <w:pStyle w:val="ListBullet"/>
      </w:pPr>
      <w:r w:rsidRPr="007D11FF">
        <w:t xml:space="preserve">Criterion 1: </w:t>
      </w:r>
      <w:sdt>
        <w:sdtPr>
          <w:id w:val="77107183"/>
          <w:placeholder>
            <w:docPart w:val="5B13328B6A1C472BB97FAE59B07E316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7D11FF">
            <w:t>Insufficient data</w:t>
          </w:r>
        </w:sdtContent>
      </w:sdt>
    </w:p>
    <w:p w14:paraId="55A811F4" w14:textId="77777777" w:rsidR="008F791C" w:rsidRPr="007D11FF" w:rsidRDefault="008F791C" w:rsidP="008F791C">
      <w:pPr>
        <w:pStyle w:val="ListBullet"/>
      </w:pPr>
      <w:r w:rsidRPr="007D11FF">
        <w:t xml:space="preserve">Criterion 2: B1ab(iii)+2ab(iii): </w:t>
      </w:r>
      <w:sdt>
        <w:sdtPr>
          <w:id w:val="-1042367401"/>
          <w:placeholder>
            <w:docPart w:val="0E7E817408504F8BA6066B6A4A43F46F"/>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t>Endangered</w:t>
          </w:r>
        </w:sdtContent>
      </w:sdt>
    </w:p>
    <w:p w14:paraId="2BC5971B" w14:textId="77777777" w:rsidR="008F791C" w:rsidRPr="007D11FF" w:rsidRDefault="008F791C" w:rsidP="008F791C">
      <w:pPr>
        <w:pStyle w:val="ListBullet"/>
      </w:pPr>
      <w:r w:rsidRPr="007D11FF">
        <w:t xml:space="preserve">Criterion 3: </w:t>
      </w:r>
      <w:sdt>
        <w:sdtPr>
          <w:id w:val="-151294044"/>
          <w:placeholder>
            <w:docPart w:val="3ABFA85F45C44EFCBF22515A7884300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7D11FF">
            <w:t>Insufficient data</w:t>
          </w:r>
        </w:sdtContent>
      </w:sdt>
    </w:p>
    <w:p w14:paraId="5642BC00" w14:textId="77777777" w:rsidR="008F791C" w:rsidRPr="007D11FF" w:rsidRDefault="008F791C" w:rsidP="008F791C">
      <w:pPr>
        <w:pStyle w:val="ListBullet"/>
      </w:pPr>
      <w:r w:rsidRPr="007D11FF">
        <w:t xml:space="preserve">Criterion 4: </w:t>
      </w:r>
      <w:sdt>
        <w:sdtPr>
          <w:id w:val="-2084978900"/>
          <w:placeholder>
            <w:docPart w:val="122368A45A1D4D23B1F5637E26B7E26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7D11FF">
            <w:t>Insufficient data</w:t>
          </w:r>
        </w:sdtContent>
      </w:sdt>
    </w:p>
    <w:p w14:paraId="593339FE" w14:textId="77777777" w:rsidR="008F791C" w:rsidRPr="007D11FF" w:rsidRDefault="008F791C" w:rsidP="008F791C">
      <w:pPr>
        <w:pStyle w:val="ListBullet"/>
      </w:pPr>
      <w:r w:rsidRPr="007D11FF">
        <w:t xml:space="preserve">Criterion 5: </w:t>
      </w:r>
      <w:sdt>
        <w:sdtPr>
          <w:id w:val="1205373663"/>
          <w:placeholder>
            <w:docPart w:val="8B8B9324D8CA473695A0221B10FECAB5"/>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7D11FF">
            <w:t>Insufficient data</w:t>
          </w:r>
        </w:sdtContent>
      </w:sdt>
    </w:p>
    <w:p w14:paraId="1D44B7FE" w14:textId="77777777" w:rsidR="008F791C" w:rsidRPr="007D11FF" w:rsidRDefault="008F791C" w:rsidP="008F791C">
      <w:r w:rsidRPr="007D11FF">
        <w:t xml:space="preserve">The main factors that make the species eligible for listing in the </w:t>
      </w:r>
      <w:sdt>
        <w:sdtPr>
          <w:id w:val="-775248640"/>
          <w:placeholder>
            <w:docPart w:val="025E8C273B27451B8864514B67778AC5"/>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7D11FF">
            <w:t>Endangered</w:t>
          </w:r>
        </w:sdtContent>
      </w:sdt>
      <w:r w:rsidRPr="007D11FF">
        <w:t xml:space="preserve"> category are a limited extent of occurrence (EOO) and area of occupancy (AOO); </w:t>
      </w:r>
      <w:r>
        <w:t>low</w:t>
      </w:r>
      <w:r w:rsidRPr="007D11FF">
        <w:t xml:space="preserve"> number of locations (two); and continuing decline in the quality of </w:t>
      </w:r>
      <w:r>
        <w:t xml:space="preserve">the species’ </w:t>
      </w:r>
      <w:r w:rsidRPr="007D11FF">
        <w:t xml:space="preserve">habitat. </w:t>
      </w:r>
    </w:p>
    <w:p w14:paraId="70534245" w14:textId="77777777" w:rsidR="008F791C" w:rsidRDefault="008F791C" w:rsidP="008F791C">
      <w:r w:rsidRPr="007D11FF">
        <w:t xml:space="preserve">Species can also be listed as threatened under state and territory legislation. For information on the current listing status of this species under relevant state or territory legislation, see the </w:t>
      </w:r>
      <w:hyperlink r:id="rId18" w:history="1">
        <w:r w:rsidRPr="007D11FF">
          <w:rPr>
            <w:rStyle w:val="Hyperlink"/>
          </w:rPr>
          <w:t>Species Profile and Threat Database</w:t>
        </w:r>
      </w:hyperlink>
      <w:r w:rsidRPr="007D11FF">
        <w:t>.</w:t>
      </w:r>
    </w:p>
    <w:p w14:paraId="45223758" w14:textId="77777777" w:rsidR="008F791C" w:rsidRDefault="008F791C" w:rsidP="008F791C">
      <w:pPr>
        <w:pStyle w:val="Heading2"/>
        <w:ind w:left="720" w:hanging="720"/>
      </w:pPr>
      <w:r>
        <w:t>Species information</w:t>
      </w:r>
    </w:p>
    <w:p w14:paraId="4CB2028F" w14:textId="77777777" w:rsidR="008F791C" w:rsidRDefault="008F791C" w:rsidP="008F791C">
      <w:pPr>
        <w:pStyle w:val="Heading3"/>
      </w:pPr>
      <w:r>
        <w:t>Taxonomy</w:t>
      </w:r>
    </w:p>
    <w:p w14:paraId="64190EC0" w14:textId="4248EC63" w:rsidR="008F791C" w:rsidRPr="00A559E4" w:rsidRDefault="008F791C" w:rsidP="008F791C">
      <w:pPr>
        <w:tabs>
          <w:tab w:val="left" w:pos="4111"/>
        </w:tabs>
      </w:pPr>
      <w:r>
        <w:t xml:space="preserve">The taxon has not yet been formally described. It is currently known under the informal phrase name of </w:t>
      </w:r>
      <w:r w:rsidRPr="626B437C">
        <w:rPr>
          <w:rStyle w:val="Emphasis"/>
        </w:rPr>
        <w:t xml:space="preserve">Rhodanthe </w:t>
      </w:r>
      <w:r w:rsidRPr="626B437C">
        <w:rPr>
          <w:rStyle w:val="Emphasis"/>
          <w:i w:val="0"/>
          <w:iCs w:val="0"/>
        </w:rPr>
        <w:t>sp. Point Lookout (J.J Bruhl 2078). The species is accepted by the Australian Plant Census (APC 2021), and there are four specimens held at herbaria (AVH 2021)</w:t>
      </w:r>
      <w:r w:rsidR="00A66EA7" w:rsidRPr="626B437C">
        <w:rPr>
          <w:rStyle w:val="Emphasis"/>
          <w:i w:val="0"/>
          <w:iCs w:val="0"/>
        </w:rPr>
        <w:t>, though none at NSW herbarium</w:t>
      </w:r>
      <w:r w:rsidRPr="626B437C">
        <w:rPr>
          <w:rStyle w:val="Emphasis"/>
          <w:i w:val="0"/>
          <w:iCs w:val="0"/>
        </w:rPr>
        <w:t xml:space="preserve">. The species is in the </w:t>
      </w:r>
      <w:r>
        <w:t xml:space="preserve">Asteraceae family. It </w:t>
      </w:r>
      <w:r w:rsidR="1BC86541">
        <w:t>may be</w:t>
      </w:r>
      <w:r>
        <w:t xml:space="preserve"> closely related to </w:t>
      </w:r>
      <w:r w:rsidRPr="626B437C">
        <w:rPr>
          <w:i/>
          <w:iCs/>
        </w:rPr>
        <w:t xml:space="preserve">Rhodanthe anthemoides </w:t>
      </w:r>
      <w:r>
        <w:t xml:space="preserve">(chamomile sunray), as chamomile sunray is the only perennial </w:t>
      </w:r>
      <w:r w:rsidRPr="626B437C">
        <w:rPr>
          <w:i/>
          <w:iCs/>
        </w:rPr>
        <w:t xml:space="preserve">Rhodanthe </w:t>
      </w:r>
      <w:r>
        <w:t xml:space="preserve">in New South Wales (NSW) and the only member of the genus that has been recorded in northeast NSW (PlantNet 2021). </w:t>
      </w:r>
    </w:p>
    <w:p w14:paraId="3057BDAF" w14:textId="77777777" w:rsidR="008F791C" w:rsidRPr="008064B3" w:rsidRDefault="008F791C" w:rsidP="008F791C">
      <w:pPr>
        <w:pStyle w:val="Heading3"/>
      </w:pPr>
      <w:bookmarkStart w:id="6" w:name="_Ref445985062"/>
      <w:bookmarkStart w:id="7" w:name="_Toc409769199"/>
      <w:bookmarkStart w:id="8" w:name="_Toc454439316"/>
      <w:r w:rsidRPr="008064B3">
        <w:t>Description</w:t>
      </w:r>
    </w:p>
    <w:p w14:paraId="3114A590" w14:textId="02A17134" w:rsidR="008F791C" w:rsidRPr="004403C4" w:rsidRDefault="008F791C" w:rsidP="008F791C">
      <w:r>
        <w:t xml:space="preserve">The species has not yet been formally described, so a brief description has been drawn from available images. </w:t>
      </w:r>
      <w:r w:rsidRPr="626B437C">
        <w:rPr>
          <w:rStyle w:val="Emphasis"/>
        </w:rPr>
        <w:t xml:space="preserve">Rhodanthe </w:t>
      </w:r>
      <w:r w:rsidRPr="626B437C">
        <w:rPr>
          <w:rStyle w:val="Emphasis"/>
          <w:i w:val="0"/>
          <w:iCs w:val="0"/>
        </w:rPr>
        <w:t xml:space="preserve">sp. Point Lookout </w:t>
      </w:r>
      <w:r>
        <w:t>is a sprawling, semi-woody herb (suggesting it is probably perennial) with stems 30 to 50 cm long, alternate linear leaves and white flowers with purple bracts (AVH 2021).</w:t>
      </w:r>
    </w:p>
    <w:p w14:paraId="002047A1" w14:textId="77777777" w:rsidR="008F791C" w:rsidRPr="008064B3" w:rsidRDefault="008F791C" w:rsidP="008F791C">
      <w:pPr>
        <w:pStyle w:val="Heading3"/>
      </w:pPr>
      <w:r w:rsidRPr="008064B3">
        <w:t>Distribution</w:t>
      </w:r>
    </w:p>
    <w:p w14:paraId="71689572" w14:textId="67437695" w:rsidR="008F791C" w:rsidRPr="00F35B06" w:rsidRDefault="008F791C" w:rsidP="008F791C">
      <w:r w:rsidRPr="626B437C">
        <w:rPr>
          <w:rStyle w:val="Emphasis"/>
        </w:rPr>
        <w:t xml:space="preserve">Rhodanthe </w:t>
      </w:r>
      <w:r w:rsidRPr="626B437C">
        <w:rPr>
          <w:rStyle w:val="Emphasis"/>
          <w:i w:val="0"/>
          <w:iCs w:val="0"/>
        </w:rPr>
        <w:t xml:space="preserve">sp. Point Lookout </w:t>
      </w:r>
      <w:r>
        <w:t>occurs at Apsley Falls (two sites</w:t>
      </w:r>
      <w:r w:rsidR="4336A194">
        <w:t>, A and B</w:t>
      </w:r>
      <w:r>
        <w:t xml:space="preserve">; c. 20 km east of Walcha; ALA 2021), Steep Drop Falls (30 km east of Walcha; ALA 2021), Point Lookout (c.10 km south of Ebor; Heenan et al. 2013) and Darkie Point (c. 8km south-east of Ebor) (Map 1). </w:t>
      </w:r>
    </w:p>
    <w:p w14:paraId="543A2BD4" w14:textId="77777777" w:rsidR="008F791C" w:rsidRPr="008672F8" w:rsidRDefault="008F791C" w:rsidP="008F791C">
      <w:r w:rsidRPr="00F35B06">
        <w:lastRenderedPageBreak/>
        <w:t>As the species is found on cliffsides</w:t>
      </w:r>
      <w:r w:rsidRPr="008672F8">
        <w:t xml:space="preserve"> and in crevices on cliff faces</w:t>
      </w:r>
      <w:r>
        <w:t xml:space="preserve"> at sites that are </w:t>
      </w:r>
      <w:r w:rsidRPr="008672F8">
        <w:t>difficult to reach</w:t>
      </w:r>
      <w:r>
        <w:t>, it</w:t>
      </w:r>
      <w:r w:rsidRPr="008672F8">
        <w:t xml:space="preserve"> may be </w:t>
      </w:r>
      <w:r>
        <w:t>more widespread than current records suggest</w:t>
      </w:r>
      <w:r w:rsidRPr="008672F8">
        <w:t>.</w:t>
      </w:r>
    </w:p>
    <w:p w14:paraId="56B03E27" w14:textId="77777777" w:rsidR="008F791C" w:rsidRDefault="008F791C" w:rsidP="008F791C">
      <w:r>
        <w:rPr>
          <w:i/>
          <w:iCs/>
        </w:rPr>
        <w:t>Tenure</w:t>
      </w:r>
    </w:p>
    <w:p w14:paraId="424D4BB7" w14:textId="77777777" w:rsidR="008F791C" w:rsidRDefault="008F791C" w:rsidP="008F791C">
      <w:r>
        <w:t xml:space="preserve">The Apsley Falls and Steep Drop Falls sites are found within Oxley Wild Rivers National Park (OWRNP). Point Lookout and Darkie Point are found within New England National Park (NSW Government 2021). </w:t>
      </w:r>
    </w:p>
    <w:p w14:paraId="2A5E7463" w14:textId="77777777" w:rsidR="008F791C" w:rsidRDefault="008F791C" w:rsidP="008F791C">
      <w:pPr>
        <w:rPr>
          <w:i/>
          <w:iCs/>
        </w:rPr>
      </w:pPr>
      <w:r>
        <w:rPr>
          <w:i/>
          <w:iCs/>
        </w:rPr>
        <w:t>Subpopulations</w:t>
      </w:r>
    </w:p>
    <w:p w14:paraId="04A3C9B1" w14:textId="77777777" w:rsidR="008F791C" w:rsidRDefault="008F791C" w:rsidP="008F791C">
      <w:r>
        <w:t>Information on subpopulation sizes is limited, especially for the Point Lookout and Darkie Point sites. Surveys of Apsley Falls and Steep Drop Falls were conducted after the 2019–20 bushfires (DPIE 2021), though these were compromised by the dangerous terrain on which the species is found, and only small sections of habitat could be appropriately searched (DPIE 2021).</w:t>
      </w:r>
      <w:r w:rsidRPr="00A1304E">
        <w:t xml:space="preserve"> </w:t>
      </w:r>
      <w:r>
        <w:t xml:space="preserve">At Apsley Falls </w:t>
      </w:r>
      <w:proofErr w:type="gramStart"/>
      <w:r>
        <w:t>site</w:t>
      </w:r>
      <w:proofErr w:type="gramEnd"/>
      <w:r>
        <w:t xml:space="preserve"> B, the cliff edges were too dangerous to approach and surveys could not be conducted. </w:t>
      </w:r>
      <w:r w:rsidRPr="0065739E">
        <w:t>It is suggested that fu</w:t>
      </w:r>
      <w:r w:rsidRPr="003809A6">
        <w:t>rther surveys could</w:t>
      </w:r>
      <w:r>
        <w:t xml:space="preserve"> be conducted using drones (DPIE 2021).</w:t>
      </w:r>
    </w:p>
    <w:p w14:paraId="1A7D48F8" w14:textId="0BA90FC0" w:rsidR="008F791C" w:rsidRDefault="008F791C" w:rsidP="008F791C">
      <w:r>
        <w:t>At Apsley Falls site A, surveys identified 28 individuals in protected sites on cliff faces, though there are likely many more plants that could not be sighted due to poor conditions and inaccessibility. It is likely that the population is of ‘reasonable size’ (DPIE 2021). At Steep Drop Falls, foggy conditions and the presence of individuals over cliff edges reduced accessibility, though plants were again seen in crevices, as well as opposite the cliff face and on the edge of a waterfall. Steep Drop Falls was also burnt by high severity fire</w:t>
      </w:r>
      <w:r w:rsidR="0FEEEC9B">
        <w:t xml:space="preserve"> in 2019-20</w:t>
      </w:r>
      <w:r>
        <w:t xml:space="preserve">, though whilst the edges of cliffs and surrounding forest were burnt, the cliff crevices in which many </w:t>
      </w:r>
      <w:r w:rsidRPr="626B437C">
        <w:rPr>
          <w:i/>
          <w:iCs/>
        </w:rPr>
        <w:t>Rhodanthe</w:t>
      </w:r>
      <w:r>
        <w:t xml:space="preserve"> sp. Point Lookout plants were located appeared to be unaffected (DPIE 2021). It is unknown how many mature plants there are at this site, or if there are any post-fire seedlings. All other known sites appear to be unburnt after the 2019–20 bushfires (NSW Government 2021).</w:t>
      </w:r>
    </w:p>
    <w:p w14:paraId="53651860" w14:textId="6F4C37B7" w:rsidR="008F791C" w:rsidRDefault="008F791C" w:rsidP="008F791C">
      <w:pPr>
        <w:pStyle w:val="Caption"/>
        <w:rPr>
          <w:rStyle w:val="Emphasis"/>
          <w:i w:val="0"/>
          <w:iCs w:val="0"/>
        </w:rPr>
      </w:pPr>
      <w:r>
        <w:lastRenderedPageBreak/>
        <w:t xml:space="preserve">Map </w:t>
      </w:r>
      <w:r>
        <w:rPr>
          <w:noProof/>
        </w:rPr>
        <w:fldChar w:fldCharType="begin"/>
      </w:r>
      <w:r>
        <w:rPr>
          <w:noProof/>
        </w:rPr>
        <w:instrText xml:space="preserve"> SEQ Map \* ARABIC </w:instrText>
      </w:r>
      <w:r>
        <w:rPr>
          <w:noProof/>
        </w:rPr>
        <w:fldChar w:fldCharType="separate"/>
      </w:r>
      <w:r w:rsidR="00B66DB4">
        <w:rPr>
          <w:noProof/>
        </w:rPr>
        <w:t>1</w:t>
      </w:r>
      <w:r>
        <w:rPr>
          <w:noProof/>
        </w:rPr>
        <w:fldChar w:fldCharType="end"/>
      </w:r>
      <w:bookmarkEnd w:id="6"/>
      <w:r>
        <w:t xml:space="preserve"> </w:t>
      </w:r>
      <w:bookmarkEnd w:id="7"/>
      <w:bookmarkEnd w:id="8"/>
      <w:r>
        <w:t xml:space="preserve">Modelled distribution of </w:t>
      </w:r>
      <w:r>
        <w:rPr>
          <w:rStyle w:val="Emphasis"/>
        </w:rPr>
        <w:t xml:space="preserve">Rhodanthe </w:t>
      </w:r>
      <w:r>
        <w:rPr>
          <w:rStyle w:val="Emphasis"/>
          <w:i w:val="0"/>
          <w:iCs w:val="0"/>
        </w:rPr>
        <w:t>sp. Point Lookout</w:t>
      </w:r>
    </w:p>
    <w:p w14:paraId="6865033F" w14:textId="77777777" w:rsidR="008F791C" w:rsidRDefault="008F791C" w:rsidP="008F791C">
      <w:r>
        <w:rPr>
          <w:noProof/>
        </w:rPr>
        <w:drawing>
          <wp:inline distT="0" distB="0" distL="0" distR="0" wp14:anchorId="5BBEF9F3" wp14:editId="4887C900">
            <wp:extent cx="5759450" cy="406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63A8911" w14:textId="13093CF1" w:rsidR="008F791C" w:rsidRPr="002E6775" w:rsidRDefault="008F791C" w:rsidP="008F791C">
      <w:pPr>
        <w:pStyle w:val="FigureTableNoteSource"/>
        <w:spacing w:after="120"/>
        <w:rPr>
          <w:rFonts w:cs="Calibri"/>
          <w:szCs w:val="18"/>
        </w:rPr>
      </w:pPr>
      <w:r w:rsidRPr="002E6775">
        <w:rPr>
          <w:b/>
          <w:bCs/>
        </w:rPr>
        <w:t>Source:</w:t>
      </w:r>
      <w:r w:rsidRPr="002E6775">
        <w:t xml:space="preserve"> Base map Geoscience Australia; species distribution data </w:t>
      </w:r>
      <w:hyperlink r:id="rId20" w:history="1">
        <w:r w:rsidR="003B2E45" w:rsidRPr="002E6775">
          <w:rPr>
            <w:rStyle w:val="Hyperlink"/>
          </w:rPr>
          <w:t>Species of National Environmental Significance</w:t>
        </w:r>
      </w:hyperlink>
      <w:r w:rsidRPr="002E6775">
        <w:t xml:space="preserve"> database.</w:t>
      </w:r>
    </w:p>
    <w:p w14:paraId="0EA90A59" w14:textId="77777777" w:rsidR="008F791C" w:rsidRPr="002E6775" w:rsidRDefault="008F791C" w:rsidP="008F791C">
      <w:pPr>
        <w:pStyle w:val="FigureTableNoteSource"/>
        <w:spacing w:after="120"/>
      </w:pPr>
      <w:r w:rsidRPr="002E6775">
        <w:rPr>
          <w:b/>
          <w:bCs/>
        </w:rPr>
        <w:t>Caveat</w:t>
      </w:r>
      <w:r w:rsidRPr="002E6775">
        <w:t xml:space="preserve">: The information presented in this map has been provided by a range of </w:t>
      </w:r>
      <w:r>
        <w:t>groups</w:t>
      </w:r>
      <w:r w:rsidRPr="002E6775">
        <w:t xml:space="preserve">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as a consequence of, anything containing herein. </w:t>
      </w:r>
    </w:p>
    <w:p w14:paraId="05FEC284" w14:textId="77777777" w:rsidR="008F791C" w:rsidRPr="002E6775" w:rsidRDefault="008F791C" w:rsidP="008F791C">
      <w:pPr>
        <w:pStyle w:val="FigureTableNoteSource"/>
        <w:spacing w:after="120"/>
      </w:pPr>
      <w:r w:rsidRPr="002E6775">
        <w:rPr>
          <w:b/>
          <w:bCs/>
        </w:rPr>
        <w:t>Species distribution mapping</w:t>
      </w:r>
      <w:r w:rsidRPr="002E6775">
        <w:t>: The species distribution mapping categories are indicative only and aim to capture (a) the specific habitat type or geographic feature that represents to recent observed locations of the species (known to occur) or preferred habitat occurring in close proximity to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1978EEB0" w14:textId="77777777" w:rsidR="008F791C" w:rsidRDefault="008F791C" w:rsidP="008F791C">
      <w:pPr>
        <w:pStyle w:val="Heading3"/>
        <w:ind w:left="964" w:hanging="964"/>
      </w:pPr>
      <w:r>
        <w:t>Cultural and community significance</w:t>
      </w:r>
    </w:p>
    <w:p w14:paraId="507237F6" w14:textId="77777777" w:rsidR="003E36AB" w:rsidRDefault="003E36AB" w:rsidP="003E36AB">
      <w:pPr>
        <w:keepNext/>
        <w:keepLines/>
      </w:pPr>
      <w:r>
        <w:rPr>
          <w:rFonts w:eastAsia="Cambria" w:cs="Cambria"/>
          <w:color w:val="000000" w:themeColor="text1"/>
        </w:rPr>
        <w:t xml:space="preserve">This section describes some published examples of this significance but is not intended to be comprehensive, applicable to, or speak for, all Indigenous Australians. Such knowledge may be only held by </w:t>
      </w:r>
      <w:bookmarkStart w:id="9" w:name="_Hlk82424754"/>
      <w:r>
        <w:rPr>
          <w:rFonts w:eastAsia="Cambria" w:cs="Cambria"/>
          <w:color w:val="000000" w:themeColor="text1"/>
        </w:rPr>
        <w:t xml:space="preserve">Indigenous Australians </w:t>
      </w:r>
      <w:bookmarkEnd w:id="9"/>
      <w:r>
        <w:rPr>
          <w:rFonts w:eastAsia="Cambria" w:cs="Cambria"/>
          <w:color w:val="000000" w:themeColor="text1"/>
        </w:rPr>
        <w:t>who are the custodians of this knowledge.</w:t>
      </w:r>
    </w:p>
    <w:p w14:paraId="4F699A46" w14:textId="6C8F1D56" w:rsidR="008F791C" w:rsidRDefault="008F791C" w:rsidP="008F791C">
      <w:r w:rsidRPr="00892F83">
        <w:t xml:space="preserve">The cultural and community significance of </w:t>
      </w:r>
      <w:r w:rsidRPr="00892F83">
        <w:rPr>
          <w:i/>
          <w:iCs/>
        </w:rPr>
        <w:t>Rhodanthe</w:t>
      </w:r>
      <w:r w:rsidRPr="00892F83">
        <w:t xml:space="preserve"> sp. Point Lookout is unknown.</w:t>
      </w:r>
      <w:r>
        <w:t xml:space="preserve"> However, New England NP includes the traditional lands of the </w:t>
      </w:r>
      <w:proofErr w:type="spellStart"/>
      <w:r>
        <w:t>Dunghutti</w:t>
      </w:r>
      <w:proofErr w:type="spellEnd"/>
      <w:r>
        <w:t xml:space="preserve">, </w:t>
      </w:r>
      <w:proofErr w:type="spellStart"/>
      <w:r>
        <w:t>Anaiwan</w:t>
      </w:r>
      <w:proofErr w:type="spellEnd"/>
      <w:r>
        <w:t xml:space="preserve"> and </w:t>
      </w:r>
      <w:proofErr w:type="spellStart"/>
      <w:r>
        <w:t>Gumbaynggirr</w:t>
      </w:r>
      <w:proofErr w:type="spellEnd"/>
      <w:r>
        <w:t xml:space="preserve"> Peoples, and Point Lookout is a sacred location known as ‘</w:t>
      </w:r>
      <w:proofErr w:type="spellStart"/>
      <w:r>
        <w:t>Berarngutta</w:t>
      </w:r>
      <w:proofErr w:type="spellEnd"/>
      <w:r>
        <w:t xml:space="preserve">’, translated to ‘prohibited area’. It is a men-only place, and some </w:t>
      </w:r>
      <w:r w:rsidR="003E36AB">
        <w:t>Indigenous Australian</w:t>
      </w:r>
      <w:r>
        <w:t xml:space="preserve"> women continue to avoid the area (NSW NPWS 2021).  Apsley Falls is also significant to </w:t>
      </w:r>
      <w:r w:rsidR="003E36AB">
        <w:t>Indigenous Australians</w:t>
      </w:r>
      <w:r>
        <w:t xml:space="preserve">, and Dunghutti people tell the story of how the Rainbow Serpent created the gorge in the Dreamtime. It is said that The Rainbow Serpent travelled down to earth at the site and moved underground from the base of the falls to reappear 20 km upstream at the Mill Hole on the Apsley River in Walcha </w:t>
      </w:r>
      <w:r>
        <w:lastRenderedPageBreak/>
        <w:t>(Waterfall Way 2008; Trees 2018).  Aside from the cultural significance of the site, explorer John Oxley passed by the falls on 13 September 1818 and named them Bathurst Falls. He described it as “one of the most magnificent waterfalls we have seen” (Walcha Council 2021a).</w:t>
      </w:r>
    </w:p>
    <w:p w14:paraId="21503C15" w14:textId="5DBF5A7D" w:rsidR="008F791C" w:rsidRDefault="008F791C" w:rsidP="008F791C">
      <w:r>
        <w:t xml:space="preserve">Darkie Point also has cultural significance, as it was the site of a massacre of </w:t>
      </w:r>
      <w:r w:rsidR="003E36AB">
        <w:t>Indigenous Australians</w:t>
      </w:r>
      <w:r>
        <w:t xml:space="preserve"> in May 1841 (UON 2019).</w:t>
      </w:r>
    </w:p>
    <w:p w14:paraId="1E1DC481" w14:textId="77777777" w:rsidR="008F791C" w:rsidRPr="00892F83" w:rsidRDefault="008F791C" w:rsidP="008F791C">
      <w:r w:rsidRPr="00892F83">
        <w:t xml:space="preserve">Investigating the significance of </w:t>
      </w:r>
      <w:r w:rsidRPr="00892F83">
        <w:rPr>
          <w:i/>
          <w:iCs/>
        </w:rPr>
        <w:t>Rhodanthe</w:t>
      </w:r>
      <w:r w:rsidRPr="00892F83">
        <w:t xml:space="preserve"> sp. Point Lookout is a research priority identified in the conservation actions.</w:t>
      </w:r>
      <w:r>
        <w:t xml:space="preserve"> </w:t>
      </w:r>
    </w:p>
    <w:p w14:paraId="7708384A" w14:textId="77777777" w:rsidR="008F791C" w:rsidRDefault="008F791C" w:rsidP="008F791C">
      <w:pPr>
        <w:pStyle w:val="Heading3"/>
        <w:ind w:left="964" w:hanging="964"/>
      </w:pPr>
      <w:r>
        <w:t>Relevant biology and ecology</w:t>
      </w:r>
    </w:p>
    <w:p w14:paraId="11646E44" w14:textId="77777777" w:rsidR="008F791C" w:rsidRPr="004338F4" w:rsidRDefault="008F791C" w:rsidP="008F791C">
      <w:pPr>
        <w:rPr>
          <w:i/>
          <w:iCs/>
        </w:rPr>
      </w:pPr>
      <w:r w:rsidRPr="004338F4">
        <w:rPr>
          <w:i/>
          <w:iCs/>
        </w:rPr>
        <w:t>Habitat ecology</w:t>
      </w:r>
    </w:p>
    <w:p w14:paraId="54E6D216" w14:textId="38F11928" w:rsidR="008F791C" w:rsidRDefault="008F791C" w:rsidP="008F791C">
      <w:r>
        <w:t>At Apsley Falls and Steep Drop Falls, the species is found in rocky protected sites on cliff faces, along cliff lines, on waterfall edges and in crevices opposite the cliff face (DPIE 2021). Known habitat is adjacent to eucalyptus forest, and at Point lookout, associated species include</w:t>
      </w:r>
      <w:r w:rsidRPr="626B437C">
        <w:rPr>
          <w:i/>
          <w:iCs/>
        </w:rPr>
        <w:t xml:space="preserve"> Gingidia rupicola </w:t>
      </w:r>
      <w:r>
        <w:t>and</w:t>
      </w:r>
      <w:r w:rsidRPr="626B437C">
        <w:rPr>
          <w:i/>
          <w:iCs/>
        </w:rPr>
        <w:t xml:space="preserve"> Gaultheria </w:t>
      </w:r>
      <w:proofErr w:type="spellStart"/>
      <w:r w:rsidRPr="626B437C">
        <w:rPr>
          <w:i/>
          <w:iCs/>
        </w:rPr>
        <w:t>viridicarpa</w:t>
      </w:r>
      <w:proofErr w:type="spellEnd"/>
      <w:r w:rsidRPr="626B437C">
        <w:rPr>
          <w:i/>
          <w:iCs/>
        </w:rPr>
        <w:t xml:space="preserve"> </w:t>
      </w:r>
      <w:r>
        <w:t>(green waxberry).</w:t>
      </w:r>
      <w:r w:rsidRPr="626B437C">
        <w:rPr>
          <w:i/>
          <w:iCs/>
        </w:rPr>
        <w:t xml:space="preserve"> </w:t>
      </w:r>
      <w:proofErr w:type="spellStart"/>
      <w:r w:rsidRPr="626B437C">
        <w:rPr>
          <w:i/>
          <w:iCs/>
        </w:rPr>
        <w:t>Vesselowskya</w:t>
      </w:r>
      <w:proofErr w:type="spellEnd"/>
      <w:r w:rsidRPr="626B437C">
        <w:rPr>
          <w:i/>
          <w:iCs/>
        </w:rPr>
        <w:t xml:space="preserve"> </w:t>
      </w:r>
      <w:proofErr w:type="spellStart"/>
      <w:r w:rsidRPr="626B437C">
        <w:rPr>
          <w:i/>
          <w:iCs/>
        </w:rPr>
        <w:t>rubifolia</w:t>
      </w:r>
      <w:proofErr w:type="spellEnd"/>
      <w:r w:rsidRPr="626B437C">
        <w:rPr>
          <w:i/>
          <w:iCs/>
        </w:rPr>
        <w:t xml:space="preserve"> </w:t>
      </w:r>
      <w:r>
        <w:t>(southern marara)</w:t>
      </w:r>
      <w:r w:rsidRPr="626B437C">
        <w:rPr>
          <w:i/>
          <w:iCs/>
        </w:rPr>
        <w:t xml:space="preserve">, </w:t>
      </w:r>
      <w:proofErr w:type="spellStart"/>
      <w:r w:rsidRPr="626B437C">
        <w:rPr>
          <w:i/>
          <w:iCs/>
        </w:rPr>
        <w:t>Xerochrysym</w:t>
      </w:r>
      <w:proofErr w:type="spellEnd"/>
      <w:r w:rsidRPr="626B437C">
        <w:rPr>
          <w:i/>
          <w:iCs/>
        </w:rPr>
        <w:t xml:space="preserve"> </w:t>
      </w:r>
      <w:r>
        <w:t xml:space="preserve">sp. Point Lookout (I.R. Telford 12830), </w:t>
      </w:r>
      <w:proofErr w:type="spellStart"/>
      <w:r w:rsidRPr="626B437C">
        <w:rPr>
          <w:i/>
          <w:iCs/>
        </w:rPr>
        <w:t>Coronidium</w:t>
      </w:r>
      <w:proofErr w:type="spellEnd"/>
      <w:r w:rsidRPr="626B437C">
        <w:rPr>
          <w:i/>
          <w:iCs/>
        </w:rPr>
        <w:t xml:space="preserve"> </w:t>
      </w:r>
      <w:proofErr w:type="spellStart"/>
      <w:r w:rsidRPr="626B437C">
        <w:rPr>
          <w:i/>
          <w:iCs/>
        </w:rPr>
        <w:t>elatum</w:t>
      </w:r>
      <w:proofErr w:type="spellEnd"/>
      <w:r>
        <w:t xml:space="preserve"> subsp.</w:t>
      </w:r>
      <w:r w:rsidR="7CC7A6ED">
        <w:t xml:space="preserve"> </w:t>
      </w:r>
      <w:r w:rsidRPr="626B437C">
        <w:rPr>
          <w:i/>
          <w:iCs/>
        </w:rPr>
        <w:t xml:space="preserve">minus </w:t>
      </w:r>
      <w:r>
        <w:t xml:space="preserve">(white paper daisy), </w:t>
      </w:r>
      <w:proofErr w:type="spellStart"/>
      <w:r w:rsidRPr="626B437C">
        <w:rPr>
          <w:i/>
          <w:iCs/>
        </w:rPr>
        <w:t>Wahlenbergia</w:t>
      </w:r>
      <w:proofErr w:type="spellEnd"/>
      <w:r w:rsidRPr="626B437C">
        <w:rPr>
          <w:i/>
          <w:iCs/>
        </w:rPr>
        <w:t xml:space="preserve"> </w:t>
      </w:r>
      <w:proofErr w:type="spellStart"/>
      <w:r w:rsidRPr="626B437C">
        <w:rPr>
          <w:i/>
          <w:iCs/>
        </w:rPr>
        <w:t>telfordii</w:t>
      </w:r>
      <w:proofErr w:type="spellEnd"/>
      <w:r>
        <w:t xml:space="preserve"> and </w:t>
      </w:r>
      <w:proofErr w:type="spellStart"/>
      <w:r w:rsidRPr="626B437C">
        <w:rPr>
          <w:i/>
          <w:iCs/>
        </w:rPr>
        <w:t>Wahlenbergia</w:t>
      </w:r>
      <w:proofErr w:type="spellEnd"/>
      <w:r w:rsidRPr="626B437C">
        <w:rPr>
          <w:i/>
          <w:iCs/>
        </w:rPr>
        <w:t xml:space="preserve"> rupicola </w:t>
      </w:r>
      <w:r>
        <w:t xml:space="preserve">are also present in the area (Heenan et al. 2013).  </w:t>
      </w:r>
    </w:p>
    <w:p w14:paraId="3616765A" w14:textId="57979680" w:rsidR="008F791C" w:rsidRDefault="008F791C" w:rsidP="008F791C">
      <w:r>
        <w:t xml:space="preserve">All subpopulations </w:t>
      </w:r>
      <w:r w:rsidR="1802DC7C">
        <w:t>are exposed to</w:t>
      </w:r>
      <w:r>
        <w:t xml:space="preserve"> short mild summers and long cold winters. At Walcha (nearby the Apsley Falls and Steep Drop Falls sites), monthly maximum temperatures vary from 11.7°C – 25.4°C and monthly minimum temperatures vary from 2.9°C – 12.5°C. Average annual rainfall is 815mm, with the wettest months occurring during Summer (Walcha Council 2021b). At Dorrigo (c. 35 km from Point Lookout), mean annual rainfall is 189</w:t>
      </w:r>
      <w:r w:rsidR="4FD11EE0">
        <w:t>7</w:t>
      </w:r>
      <w:r>
        <w:t xml:space="preserve"> mm, with monthly maximum temperatures varying from 14.7°C – 24.6°C and monthly minimum temperatures varying from 4.5°C – 15°C (BOM 2021).</w:t>
      </w:r>
    </w:p>
    <w:p w14:paraId="16C724CD" w14:textId="77777777" w:rsidR="008F791C" w:rsidRDefault="008F791C" w:rsidP="008F791C">
      <w:r>
        <w:rPr>
          <w:i/>
          <w:iCs/>
        </w:rPr>
        <w:t>Reproduction and life history</w:t>
      </w:r>
    </w:p>
    <w:p w14:paraId="70DB9899" w14:textId="6D75837D" w:rsidR="008F791C" w:rsidRPr="00116797" w:rsidRDefault="008F791C" w:rsidP="008F791C">
      <w:r>
        <w:t xml:space="preserve">The reproductive ecology of </w:t>
      </w:r>
      <w:r w:rsidRPr="626B437C">
        <w:rPr>
          <w:i/>
          <w:iCs/>
        </w:rPr>
        <w:t>Rhodanthe</w:t>
      </w:r>
      <w:r>
        <w:t xml:space="preserve"> sp. Point Lookout is unknown, though it is likely similar to other members of the </w:t>
      </w:r>
      <w:r w:rsidRPr="626B437C">
        <w:rPr>
          <w:i/>
          <w:iCs/>
        </w:rPr>
        <w:t xml:space="preserve">Rhodanthe </w:t>
      </w:r>
      <w:r>
        <w:t xml:space="preserve">genus. Germination and crossing experiments conducted on four </w:t>
      </w:r>
      <w:r w:rsidRPr="626B437C">
        <w:rPr>
          <w:i/>
          <w:iCs/>
        </w:rPr>
        <w:t>Rhodanthe</w:t>
      </w:r>
      <w:r>
        <w:t xml:space="preserve"> species by Salmon (1995) found that members of the genus are obligate outbreeders, and the combination of brightly coloured flowers, protandry (male organs developed prior to female organs in the same plant), elaborate pollen presentation systems and self-incompatibility suggests that the genus is likely adapted for insect pollination. However, it is unclear if different </w:t>
      </w:r>
      <w:r w:rsidRPr="626B437C">
        <w:rPr>
          <w:i/>
          <w:iCs/>
        </w:rPr>
        <w:t>Rhodanthe</w:t>
      </w:r>
      <w:r>
        <w:t xml:space="preserve"> taxa are adapted to certain insect species.</w:t>
      </w:r>
      <w:r w:rsidRPr="626B437C">
        <w:rPr>
          <w:i/>
          <w:iCs/>
        </w:rPr>
        <w:t xml:space="preserve"> Rhodanthe</w:t>
      </w:r>
      <w:r>
        <w:t xml:space="preserve"> species appear to be able to form persistent seed banks (Scott &amp; Morgan 2012) with dormant and readily germinable seeds (Bell 1995).  However, it is unclear how long seeds </w:t>
      </w:r>
      <w:r w:rsidRPr="626B437C">
        <w:rPr>
          <w:i/>
          <w:iCs/>
        </w:rPr>
        <w:t>Rhodanthe</w:t>
      </w:r>
      <w:r>
        <w:t xml:space="preserve"> sp. Point Lookout seeds persist in the soil.</w:t>
      </w:r>
    </w:p>
    <w:p w14:paraId="337A1467" w14:textId="77777777" w:rsidR="008F791C" w:rsidRDefault="008F791C" w:rsidP="008F791C">
      <w:r w:rsidRPr="00904D4B">
        <w:rPr>
          <w:i/>
          <w:iCs/>
        </w:rPr>
        <w:t>Rhodanthe</w:t>
      </w:r>
      <w:r>
        <w:t xml:space="preserve"> seeds appear to be physiologically dormant and are highly responsive to light and temperature for germination (Plummer &amp; Bell 1995; Hoyle et al. 2008, cited in Ha &amp; Johnstone 2013; Scott &amp; Morgan 2012; Epee Misse 2019). Plummer &amp; Bell (1995) found that germination of</w:t>
      </w:r>
      <w:r w:rsidRPr="00E24943">
        <w:rPr>
          <w:i/>
          <w:iCs/>
        </w:rPr>
        <w:t xml:space="preserve"> </w:t>
      </w:r>
      <w:r>
        <w:t xml:space="preserve">three </w:t>
      </w:r>
      <w:r>
        <w:rPr>
          <w:i/>
          <w:iCs/>
        </w:rPr>
        <w:t xml:space="preserve">Rhodanthe </w:t>
      </w:r>
      <w:r>
        <w:t>taxa were stimulated by light, whilst germination of one species was inhibited by gibberellic acid (a growth regulating hormone). However, Epee Misse (2019) found that germination of</w:t>
      </w:r>
      <w:r w:rsidRPr="00E24943">
        <w:rPr>
          <w:i/>
          <w:iCs/>
        </w:rPr>
        <w:t xml:space="preserve"> </w:t>
      </w:r>
      <w:r>
        <w:rPr>
          <w:i/>
          <w:iCs/>
        </w:rPr>
        <w:t xml:space="preserve">Rhodanthe floribunda </w:t>
      </w:r>
      <w:r>
        <w:t xml:space="preserve">(common white sunray) seeds was stimulated both by </w:t>
      </w:r>
      <w:r>
        <w:lastRenderedPageBreak/>
        <w:t xml:space="preserve">light and gibberellic acid, and Bunker (1994) reported that gibberellic acid stimulated germination in two other </w:t>
      </w:r>
      <w:r>
        <w:rPr>
          <w:i/>
          <w:iCs/>
        </w:rPr>
        <w:t>Rhodanthe</w:t>
      </w:r>
      <w:r>
        <w:t xml:space="preserve"> species.</w:t>
      </w:r>
    </w:p>
    <w:p w14:paraId="6D6D7FC4" w14:textId="50424E31" w:rsidR="008F791C" w:rsidRPr="00503D1D" w:rsidRDefault="008F791C" w:rsidP="008F791C">
      <w:r>
        <w:t xml:space="preserve">It is unclear if germination of </w:t>
      </w:r>
      <w:r w:rsidRPr="626B437C">
        <w:rPr>
          <w:i/>
          <w:iCs/>
        </w:rPr>
        <w:t>Rhodanthe</w:t>
      </w:r>
      <w:r>
        <w:t xml:space="preserve"> seeds is stimulated by fire. </w:t>
      </w:r>
      <w:r w:rsidRPr="626B437C">
        <w:rPr>
          <w:i/>
          <w:iCs/>
        </w:rPr>
        <w:t xml:space="preserve">Rhodanthe anthemoides </w:t>
      </w:r>
      <w:r>
        <w:t xml:space="preserve">has been observed to be ‘common after fire or disturbance’ (Plants of </w:t>
      </w:r>
      <w:proofErr w:type="gramStart"/>
      <w:r>
        <w:t>South Eastern</w:t>
      </w:r>
      <w:proofErr w:type="gramEnd"/>
      <w:r>
        <w:t xml:space="preserve"> New South Wales 2021) and germination of </w:t>
      </w:r>
      <w:proofErr w:type="spellStart"/>
      <w:r w:rsidRPr="626B437C">
        <w:rPr>
          <w:i/>
          <w:iCs/>
        </w:rPr>
        <w:t>Rhodanthe</w:t>
      </w:r>
      <w:proofErr w:type="spellEnd"/>
      <w:r w:rsidRPr="626B437C">
        <w:rPr>
          <w:i/>
          <w:iCs/>
        </w:rPr>
        <w:t xml:space="preserve"> </w:t>
      </w:r>
      <w:proofErr w:type="spellStart"/>
      <w:r w:rsidRPr="626B437C">
        <w:rPr>
          <w:i/>
          <w:iCs/>
        </w:rPr>
        <w:t>citrina</w:t>
      </w:r>
      <w:proofErr w:type="spellEnd"/>
      <w:r w:rsidRPr="626B437C">
        <w:rPr>
          <w:i/>
          <w:iCs/>
        </w:rPr>
        <w:t xml:space="preserve"> </w:t>
      </w:r>
      <w:r>
        <w:t xml:space="preserve">was increased by the addition of butenolide (an organic compound found in smoke) (Merritt et al. 2006). However, the same study identified that germination was suppressed by the addition of smoke water (possibly due to toxic components of smoke water; Drewes et al. 1995), and the germination of the genus is considered to be suppressed by </w:t>
      </w:r>
      <w:r w:rsidR="4E88C6F9">
        <w:t xml:space="preserve">the </w:t>
      </w:r>
      <w:r w:rsidR="1B845AFB">
        <w:t>application</w:t>
      </w:r>
      <w:r w:rsidR="4E88C6F9">
        <w:t xml:space="preserve"> of </w:t>
      </w:r>
      <w:r>
        <w:t>smok</w:t>
      </w:r>
      <w:r w:rsidR="275DAE38">
        <w:t>e</w:t>
      </w:r>
      <w:r>
        <w:t xml:space="preserve"> (SGAP 1995). In a study on post-fire species composition, common white sunray was not observed until 2.5 years after fire (Cohn et al. 2002), suggesting it is not a post-fire opportunist. The response of </w:t>
      </w:r>
      <w:r w:rsidRPr="626B437C">
        <w:rPr>
          <w:i/>
          <w:iCs/>
        </w:rPr>
        <w:t xml:space="preserve">Rhodanthe </w:t>
      </w:r>
      <w:r>
        <w:t xml:space="preserve">sp. Point Lookout seeds to fire is unclear and requires further research. </w:t>
      </w:r>
    </w:p>
    <w:p w14:paraId="1CCB85EE" w14:textId="77777777" w:rsidR="008F791C" w:rsidRPr="008C2A83" w:rsidRDefault="008F791C" w:rsidP="008F791C">
      <w:r>
        <w:t xml:space="preserve">The timing of </w:t>
      </w:r>
      <w:r>
        <w:rPr>
          <w:i/>
          <w:iCs/>
        </w:rPr>
        <w:t xml:space="preserve">Rhodanthe </w:t>
      </w:r>
      <w:r>
        <w:t xml:space="preserve">spp. flowering is affected by light and temperature, and inappropriate light and high temperature conditions have been observed to reduce the number of flowers in multiple </w:t>
      </w:r>
      <w:r>
        <w:rPr>
          <w:i/>
          <w:iCs/>
        </w:rPr>
        <w:t xml:space="preserve">Rhodanthe </w:t>
      </w:r>
      <w:r>
        <w:t xml:space="preserve">species (Bunker 1995).  Common white sunray and </w:t>
      </w:r>
      <w:r>
        <w:rPr>
          <w:i/>
          <w:iCs/>
        </w:rPr>
        <w:t xml:space="preserve">Rhodanthe </w:t>
      </w:r>
      <w:r w:rsidRPr="00335911">
        <w:rPr>
          <w:i/>
          <w:iCs/>
        </w:rPr>
        <w:t xml:space="preserve">chlorocephala </w:t>
      </w:r>
      <w:r>
        <w:t xml:space="preserve">subsp. </w:t>
      </w:r>
      <w:r w:rsidRPr="00335911">
        <w:rPr>
          <w:i/>
          <w:iCs/>
        </w:rPr>
        <w:t>rosea</w:t>
      </w:r>
      <w:r>
        <w:t xml:space="preserve"> are facultative long day plants, where floral initiation occurs under any day length but is accelerated by long days and is inhibited when temperatures are too high (&gt; 25</w:t>
      </w:r>
      <w:r w:rsidRPr="00322D80">
        <w:t>°</w:t>
      </w:r>
      <w:r>
        <w:t>C) (Sharman et al. 1989; 1990; Bunker 1995).  Similarly, Roberts (2005) identified that low minimum temperatures (below 10</w:t>
      </w:r>
      <w:r w:rsidRPr="00322D80">
        <w:t>°</w:t>
      </w:r>
      <w:r>
        <w:t xml:space="preserve">C) during April, May and June plantings of common white sunray reduced the time to the first visible bud initiation, suggesting low temperatures promoted early flowering of the species. Ha &amp; Johnstone (2013) confirmed this, finding that common white sunray plants that were chilled for longer were more likely to flower, and suggested the species has a facultative requirement for flowering in response to low temperatures. Given the ecology of this and other </w:t>
      </w:r>
      <w:r>
        <w:rPr>
          <w:i/>
          <w:iCs/>
        </w:rPr>
        <w:t xml:space="preserve">Rhodanthe </w:t>
      </w:r>
      <w:r>
        <w:t xml:space="preserve">species, </w:t>
      </w:r>
      <w:r w:rsidRPr="00892F83">
        <w:rPr>
          <w:i/>
          <w:iCs/>
        </w:rPr>
        <w:t>Rhodanthe</w:t>
      </w:r>
      <w:r w:rsidRPr="00892F83">
        <w:t xml:space="preserve"> sp. Point Lookout</w:t>
      </w:r>
      <w:r>
        <w:t xml:space="preserve"> germination and flowering is also likely dependent on the effects of light and temperature.</w:t>
      </w:r>
    </w:p>
    <w:p w14:paraId="46DDBB86" w14:textId="77777777" w:rsidR="008F791C" w:rsidRDefault="008F791C" w:rsidP="008F791C">
      <w:pPr>
        <w:pStyle w:val="Heading3"/>
        <w:ind w:left="964" w:hanging="964"/>
      </w:pPr>
      <w:r>
        <w:t>Habitat critical to the survival</w:t>
      </w:r>
    </w:p>
    <w:p w14:paraId="436FE922" w14:textId="77777777" w:rsidR="008F791C" w:rsidRDefault="008F791C" w:rsidP="008F791C">
      <w:r w:rsidRPr="00A5549A">
        <w:t>At this point in time there is insufficient information available to describe, with spatial information, areas of habitat that are critical to the survival of the species. Further research is needed to do this (see conservation actions). Until such information is available, all habitat for this species</w:t>
      </w:r>
      <w:r>
        <w:t xml:space="preserve"> in all known extant and historical subpopulations</w:t>
      </w:r>
      <w:r w:rsidRPr="00A5549A">
        <w:t xml:space="preserve"> should be considered important for the species’ long-term survival.</w:t>
      </w:r>
    </w:p>
    <w:p w14:paraId="374F94F2" w14:textId="77777777" w:rsidR="008F791C" w:rsidRDefault="008F791C" w:rsidP="008F791C">
      <w:r w:rsidRPr="008A18B0">
        <w:t>No Critical Habitat as defined under section 207A of the EPBC Act has been identified or included in the Register of Critical Habitat.</w:t>
      </w:r>
    </w:p>
    <w:p w14:paraId="0311C85B" w14:textId="77777777" w:rsidR="008F791C" w:rsidRDefault="008F791C" w:rsidP="008F791C">
      <w:pPr>
        <w:pStyle w:val="Heading3"/>
      </w:pPr>
      <w:r w:rsidRPr="00476948">
        <w:rPr>
          <w:rFonts w:eastAsiaTheme="minorHAnsi"/>
        </w:rPr>
        <w:t>Important populations</w:t>
      </w:r>
    </w:p>
    <w:p w14:paraId="5C4006A0" w14:textId="77777777" w:rsidR="008F791C" w:rsidRPr="00E93C6B" w:rsidRDefault="008F791C" w:rsidP="008F791C">
      <w:r w:rsidRPr="00E93C6B">
        <w:t>In this section, the word population is used to refer to subpopulation, in keeping with the terminology used in the EPBC Act and state/territory environmental legislation</w:t>
      </w:r>
    </w:p>
    <w:p w14:paraId="1F4B117B" w14:textId="77777777" w:rsidR="008F791C" w:rsidRPr="00E93C6B" w:rsidRDefault="008F791C" w:rsidP="008F791C">
      <w:r w:rsidRPr="00E93C6B">
        <w:t>At this point in time there is insufficient information available to be able to describe, with spatial information, important populations of this species. Further research is needed to do this, if practicable to do so (see conservation actions). Until such information is available, all populations of this species should be considered important.</w:t>
      </w:r>
    </w:p>
    <w:p w14:paraId="1DEA4EA3" w14:textId="77777777" w:rsidR="008F791C" w:rsidRDefault="008F791C" w:rsidP="008F791C">
      <w:pPr>
        <w:pStyle w:val="Heading3"/>
        <w:ind w:left="964" w:hanging="964"/>
      </w:pPr>
      <w:r>
        <w:lastRenderedPageBreak/>
        <w:t>Threats</w:t>
      </w:r>
    </w:p>
    <w:p w14:paraId="40D78A79" w14:textId="77777777" w:rsidR="008F791C" w:rsidRPr="00AF6941" w:rsidRDefault="008F791C" w:rsidP="008F791C">
      <w:r>
        <w:t xml:space="preserve">The threats to </w:t>
      </w:r>
      <w:r w:rsidRPr="00892F83">
        <w:rPr>
          <w:i/>
          <w:iCs/>
        </w:rPr>
        <w:t>Rhodanthe</w:t>
      </w:r>
      <w:r w:rsidRPr="00892F83">
        <w:t xml:space="preserve"> sp. Point Lookout</w:t>
      </w:r>
      <w:r>
        <w:t xml:space="preserve"> are poorly understood, though it is likely threatened by climate change through extreme weather events, drought and bushfires. It may also be threatened by Unmanaged (feral) goats (</w:t>
      </w:r>
      <w:r>
        <w:rPr>
          <w:i/>
          <w:iCs/>
        </w:rPr>
        <w:t>Capra hircus</w:t>
      </w:r>
      <w:r>
        <w:t xml:space="preserve">). </w:t>
      </w:r>
      <w:r w:rsidRPr="00EB3D82">
        <w:t xml:space="preserve"> </w:t>
      </w:r>
    </w:p>
    <w:p w14:paraId="27E813D5" w14:textId="6BA0AEAC" w:rsidR="008F791C" w:rsidRDefault="008F791C" w:rsidP="008F791C">
      <w:pPr>
        <w:pStyle w:val="Caption"/>
      </w:pPr>
      <w:bookmarkStart w:id="10" w:name="_Ref40886856"/>
      <w:r>
        <w:t xml:space="preserve">Table </w:t>
      </w:r>
      <w:r>
        <w:rPr>
          <w:noProof/>
        </w:rPr>
        <w:fldChar w:fldCharType="begin"/>
      </w:r>
      <w:r>
        <w:rPr>
          <w:noProof/>
        </w:rPr>
        <w:instrText xml:space="preserve"> SEQ Table \* ARABIC </w:instrText>
      </w:r>
      <w:r>
        <w:rPr>
          <w:noProof/>
        </w:rPr>
        <w:fldChar w:fldCharType="separate"/>
      </w:r>
      <w:r w:rsidR="00B66DB4">
        <w:rPr>
          <w:noProof/>
        </w:rPr>
        <w:t>1</w:t>
      </w:r>
      <w:r>
        <w:rPr>
          <w:noProof/>
        </w:rPr>
        <w:fldChar w:fldCharType="end"/>
      </w:r>
      <w:bookmarkEnd w:id="10"/>
      <w:r>
        <w:t xml:space="preserve"> Threats impacting </w:t>
      </w:r>
      <w:r w:rsidRPr="00892F83">
        <w:rPr>
          <w:i/>
          <w:iCs/>
        </w:rPr>
        <w:t>Rhodanthe</w:t>
      </w:r>
      <w:r w:rsidRPr="00892F83">
        <w:t xml:space="preserve"> sp. Point Lookout</w:t>
      </w:r>
    </w:p>
    <w:p w14:paraId="0D4D9DFC" w14:textId="77777777" w:rsidR="008F791C" w:rsidRPr="00D759FF" w:rsidRDefault="008F791C" w:rsidP="008F791C">
      <w:r>
        <w:t>Threats in Table 1 are noted in approximate order of highest to lowest impact, based on available evidence.</w:t>
      </w:r>
    </w:p>
    <w:tbl>
      <w:tblPr>
        <w:tblStyle w:val="TableGrid"/>
        <w:tblpPr w:leftFromText="180" w:rightFromText="180" w:vertAnchor="text" w:tblpY="1"/>
        <w:tblOverlap w:val="never"/>
        <w:tblW w:w="0" w:type="auto"/>
        <w:tblLook w:val="04A0" w:firstRow="1" w:lastRow="0" w:firstColumn="1" w:lastColumn="0" w:noHBand="0" w:noVBand="1"/>
      </w:tblPr>
      <w:tblGrid>
        <w:gridCol w:w="1413"/>
        <w:gridCol w:w="3195"/>
        <w:gridCol w:w="4452"/>
      </w:tblGrid>
      <w:tr w:rsidR="008F791C" w14:paraId="34AB782E" w14:textId="77777777" w:rsidTr="626B437C">
        <w:trPr>
          <w:cantSplit/>
          <w:tblHeader/>
        </w:trPr>
        <w:tc>
          <w:tcPr>
            <w:tcW w:w="1413" w:type="dxa"/>
          </w:tcPr>
          <w:p w14:paraId="75B28A96" w14:textId="77777777" w:rsidR="008F791C" w:rsidRDefault="008F791C" w:rsidP="00D56568">
            <w:pPr>
              <w:pStyle w:val="TableHeading"/>
            </w:pPr>
            <w:r>
              <w:t xml:space="preserve">Threat </w:t>
            </w:r>
          </w:p>
        </w:tc>
        <w:tc>
          <w:tcPr>
            <w:tcW w:w="3195" w:type="dxa"/>
          </w:tcPr>
          <w:p w14:paraId="5D7B859D" w14:textId="77777777" w:rsidR="008F791C" w:rsidRDefault="008F791C" w:rsidP="00D56568">
            <w:pPr>
              <w:pStyle w:val="TableHeading"/>
            </w:pPr>
            <w:r>
              <w:t xml:space="preserve">Status </w:t>
            </w:r>
            <w:r w:rsidRPr="006E5CC3">
              <w:rPr>
                <w:rStyle w:val="Strong"/>
                <w:vertAlign w:val="superscript"/>
              </w:rPr>
              <w:t>a</w:t>
            </w:r>
          </w:p>
        </w:tc>
        <w:tc>
          <w:tcPr>
            <w:tcW w:w="4452" w:type="dxa"/>
          </w:tcPr>
          <w:p w14:paraId="66C1D23E" w14:textId="77777777" w:rsidR="008F791C" w:rsidRDefault="008F791C" w:rsidP="00D56568">
            <w:pPr>
              <w:pStyle w:val="TableHeading"/>
            </w:pPr>
            <w:r>
              <w:t xml:space="preserve">Evidence </w:t>
            </w:r>
          </w:p>
        </w:tc>
      </w:tr>
      <w:tr w:rsidR="008F791C" w14:paraId="57540C92" w14:textId="77777777" w:rsidTr="626B437C">
        <w:trPr>
          <w:cantSplit/>
          <w:tblHeader/>
        </w:trPr>
        <w:tc>
          <w:tcPr>
            <w:tcW w:w="9060" w:type="dxa"/>
            <w:gridSpan w:val="3"/>
          </w:tcPr>
          <w:p w14:paraId="312E4684" w14:textId="77777777" w:rsidR="008F791C" w:rsidRPr="00F83ADD" w:rsidRDefault="008F791C" w:rsidP="00D56568">
            <w:pPr>
              <w:pStyle w:val="TableHeading"/>
              <w:rPr>
                <w:b w:val="0"/>
                <w:bCs/>
              </w:rPr>
            </w:pPr>
            <w:r w:rsidRPr="00F83ADD">
              <w:rPr>
                <w:b w:val="0"/>
                <w:bCs/>
              </w:rPr>
              <w:t>Feral animals</w:t>
            </w:r>
          </w:p>
        </w:tc>
      </w:tr>
      <w:tr w:rsidR="008F791C" w14:paraId="6E983A5A" w14:textId="77777777" w:rsidTr="626B437C">
        <w:trPr>
          <w:cantSplit/>
          <w:tblHeader/>
        </w:trPr>
        <w:tc>
          <w:tcPr>
            <w:tcW w:w="1413" w:type="dxa"/>
          </w:tcPr>
          <w:p w14:paraId="4E7315FA" w14:textId="77777777" w:rsidR="008F791C" w:rsidRPr="00F83ADD" w:rsidRDefault="008F791C" w:rsidP="00D56568">
            <w:pPr>
              <w:pStyle w:val="TableHeading"/>
              <w:rPr>
                <w:b w:val="0"/>
                <w:bCs/>
              </w:rPr>
            </w:pPr>
            <w:r w:rsidRPr="00F83ADD">
              <w:rPr>
                <w:b w:val="0"/>
                <w:bCs/>
              </w:rPr>
              <w:t xml:space="preserve">Disturbance and grazing by </w:t>
            </w:r>
            <w:r>
              <w:rPr>
                <w:b w:val="0"/>
                <w:bCs/>
              </w:rPr>
              <w:t>feral</w:t>
            </w:r>
            <w:r w:rsidRPr="00F83ADD">
              <w:rPr>
                <w:b w:val="0"/>
                <w:bCs/>
              </w:rPr>
              <w:t xml:space="preserve"> goats</w:t>
            </w:r>
          </w:p>
        </w:tc>
        <w:tc>
          <w:tcPr>
            <w:tcW w:w="3195" w:type="dxa"/>
          </w:tcPr>
          <w:p w14:paraId="301F08F7" w14:textId="77777777" w:rsidR="008F791C" w:rsidRPr="009C7B55" w:rsidRDefault="008F791C" w:rsidP="00D56568">
            <w:pPr>
              <w:pStyle w:val="TableBullet1"/>
              <w:keepNext/>
            </w:pPr>
            <w:r w:rsidRPr="009C7B55">
              <w:t>Timing: current</w:t>
            </w:r>
          </w:p>
          <w:p w14:paraId="31A7A9D9" w14:textId="77777777" w:rsidR="008F791C" w:rsidRPr="009C7B55" w:rsidRDefault="008F791C" w:rsidP="00D56568">
            <w:pPr>
              <w:pStyle w:val="TableBullet1"/>
              <w:keepNext/>
            </w:pPr>
            <w:r w:rsidRPr="009C7B55">
              <w:t>Confidence: inferred</w:t>
            </w:r>
          </w:p>
          <w:p w14:paraId="082BB391" w14:textId="77777777" w:rsidR="008F791C" w:rsidRPr="009C7B55" w:rsidRDefault="008F791C" w:rsidP="00D56568">
            <w:pPr>
              <w:pStyle w:val="TableBullet1"/>
              <w:keepNext/>
            </w:pPr>
            <w:r w:rsidRPr="009C7B55">
              <w:t xml:space="preserve">Consequence: </w:t>
            </w:r>
            <w:r>
              <w:t>major</w:t>
            </w:r>
          </w:p>
          <w:p w14:paraId="0F946AF7" w14:textId="77777777" w:rsidR="008F791C" w:rsidRDefault="008F791C" w:rsidP="00D56568">
            <w:pPr>
              <w:pStyle w:val="TableBullet1"/>
              <w:keepNext/>
            </w:pPr>
            <w:r w:rsidRPr="009C7B55">
              <w:t>Trend: unknown</w:t>
            </w:r>
          </w:p>
          <w:p w14:paraId="4BD83C6D" w14:textId="77777777" w:rsidR="008F791C" w:rsidRPr="00DE1FBF" w:rsidRDefault="008F791C" w:rsidP="00D56568">
            <w:pPr>
              <w:pStyle w:val="TableBullet1"/>
              <w:keepNext/>
            </w:pPr>
            <w:r w:rsidRPr="00DE1FBF">
              <w:t xml:space="preserve">Extent: across part of its range </w:t>
            </w:r>
          </w:p>
        </w:tc>
        <w:tc>
          <w:tcPr>
            <w:tcW w:w="4452" w:type="dxa"/>
          </w:tcPr>
          <w:p w14:paraId="4193125D" w14:textId="77777777" w:rsidR="008F791C" w:rsidRDefault="008F791C" w:rsidP="00D56568">
            <w:pPr>
              <w:pStyle w:val="TableText"/>
            </w:pPr>
            <w:r>
              <w:t>Feral</w:t>
            </w:r>
            <w:r>
              <w:rPr>
                <w:rStyle w:val="TableTextChar"/>
              </w:rPr>
              <w:t xml:space="preserve"> </w:t>
            </w:r>
            <w:r w:rsidRPr="00222888">
              <w:rPr>
                <w:rStyle w:val="TableTextChar"/>
              </w:rPr>
              <w:t xml:space="preserve">goats </w:t>
            </w:r>
            <w:r w:rsidRPr="00222888">
              <w:t>are found in all states and territories of Australia and have been listed as a Key Threatening Process under the EPBC Act</w:t>
            </w:r>
            <w:r>
              <w:t xml:space="preserve"> (DEWHA 2008)</w:t>
            </w:r>
            <w:r w:rsidRPr="00222888">
              <w:t>.</w:t>
            </w:r>
            <w:r>
              <w:t xml:space="preserve"> They are often found on rocky outcrops, steep slopes, gullies and ravines (Agriculture Victoria 2021), and are therefore more likely to browse on and disturb </w:t>
            </w:r>
            <w:r>
              <w:rPr>
                <w:i/>
                <w:iCs/>
              </w:rPr>
              <w:t xml:space="preserve">Rhodanthe </w:t>
            </w:r>
            <w:r>
              <w:t>sp. Point Lookout plants compared to other feral herbivores. Feral goat herds can</w:t>
            </w:r>
            <w:r w:rsidRPr="00222888">
              <w:t xml:space="preserve"> have</w:t>
            </w:r>
            <w:r>
              <w:t xml:space="preserve"> a</w:t>
            </w:r>
            <w:r w:rsidRPr="00222888">
              <w:t xml:space="preserve"> major impact on native plant</w:t>
            </w:r>
            <w:r>
              <w:t xml:space="preserve"> </w:t>
            </w:r>
            <w:r w:rsidRPr="00222888">
              <w:t>communities through soil damage and overgrazing of herbs, grasses, shrubs and trees</w:t>
            </w:r>
            <w:r>
              <w:t xml:space="preserve"> (DSEWPC 2011), </w:t>
            </w:r>
            <w:r w:rsidRPr="00222888">
              <w:t>caus</w:t>
            </w:r>
            <w:r>
              <w:t>ing</w:t>
            </w:r>
            <w:r w:rsidRPr="00222888">
              <w:t xml:space="preserve"> erosion and prevent</w:t>
            </w:r>
            <w:r>
              <w:t>ing plant</w:t>
            </w:r>
            <w:r w:rsidRPr="00222888">
              <w:t xml:space="preserve"> regeneration</w:t>
            </w:r>
            <w:r>
              <w:t xml:space="preserve"> (DEWHA 2008; DPI 2021).  Feral</w:t>
            </w:r>
            <w:r w:rsidRPr="00222888">
              <w:t xml:space="preserve"> goats may also spread weeds</w:t>
            </w:r>
            <w:r>
              <w:t xml:space="preserve"> </w:t>
            </w:r>
            <w:r w:rsidRPr="0057254E">
              <w:t xml:space="preserve">and diseases </w:t>
            </w:r>
            <w:r w:rsidRPr="0057254E">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Pr="00DA7426">
              <w:instrText xml:space="preserve"> ADDIN EN.CITE </w:instrText>
            </w:r>
            <w:r w:rsidRPr="00DA7426">
              <w:fldChar w:fldCharType="begin">
                <w:fldData xml:space="preserve">PEVuZE5vdGU+PENpdGU+PEF1dGhvcj5ERUg8L0F1dGhvcj48WWVhcj4yMDAxPC9ZZWFyPjxSZWNO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</w:fldData>
              </w:fldChar>
            </w:r>
            <w:r w:rsidRPr="00DA7426">
              <w:instrText xml:space="preserve"> ADDIN EN.CITE.DATA </w:instrText>
            </w:r>
            <w:r w:rsidRPr="00DA7426">
              <w:fldChar w:fldCharType="end"/>
            </w:r>
            <w:r w:rsidRPr="0057254E">
              <w:fldChar w:fldCharType="separate"/>
            </w:r>
            <w:r w:rsidRPr="007F0D11">
              <w:t>(</w:t>
            </w:r>
            <w:r w:rsidRPr="00EC1A6E">
              <w:rPr>
                <w:rFonts w:cstheme="minorBidi"/>
              </w:rPr>
              <w:t xml:space="preserve">Bayne et al. 2005; </w:t>
            </w:r>
            <w:r w:rsidRPr="00EC1A6E">
              <w:t>DEWHA 2008)</w:t>
            </w:r>
            <w:r w:rsidRPr="0057254E">
              <w:fldChar w:fldCharType="end"/>
            </w:r>
            <w:r w:rsidRPr="0057254E">
              <w:t>.</w:t>
            </w:r>
            <w:r>
              <w:t xml:space="preserve"> </w:t>
            </w:r>
          </w:p>
          <w:p w14:paraId="423461C9" w14:textId="1ABE8A57" w:rsidR="008F791C" w:rsidRPr="00F83ADD" w:rsidRDefault="008F791C" w:rsidP="626B437C">
            <w:pPr>
              <w:pStyle w:val="TableHeading"/>
              <w:rPr>
                <w:b w:val="0"/>
              </w:rPr>
            </w:pPr>
            <w:r>
              <w:rPr>
                <w:b w:val="0"/>
              </w:rPr>
              <w:t xml:space="preserve">Currently, Feral goats are known to be present at Apsley Falls (DPIE 2021), though as of June 2021, there was no evidence of browsing impacts on </w:t>
            </w:r>
            <w:r w:rsidRPr="626B437C">
              <w:rPr>
                <w:b w:val="0"/>
                <w:i/>
                <w:iCs/>
              </w:rPr>
              <w:t xml:space="preserve">Rhodanthe </w:t>
            </w:r>
            <w:r>
              <w:rPr>
                <w:b w:val="0"/>
              </w:rPr>
              <w:t xml:space="preserve">sp. Point Lookout. It is unknown if they are present at the other known </w:t>
            </w:r>
            <w:r w:rsidRPr="626B437C">
              <w:rPr>
                <w:b w:val="0"/>
                <w:i/>
                <w:iCs/>
              </w:rPr>
              <w:t xml:space="preserve">Rhodanthe </w:t>
            </w:r>
            <w:r>
              <w:rPr>
                <w:b w:val="0"/>
              </w:rPr>
              <w:t xml:space="preserve">sp. Point Lookout sites. Small Feral goat subpopulations are found in in OWNRP, though are confined to the upper Chandler, Styx, Oaky, Warnes and Apsley River gorge areas, and controlled by ground and aerial shooting (NSW NPWS 2005). They are present in more than 30 reserves within the Northern Tablelands region, though the density and distribution </w:t>
            </w:r>
            <w:proofErr w:type="gramStart"/>
            <w:r>
              <w:rPr>
                <w:b w:val="0"/>
              </w:rPr>
              <w:t>varies</w:t>
            </w:r>
            <w:proofErr w:type="gramEnd"/>
            <w:r>
              <w:rPr>
                <w:b w:val="0"/>
              </w:rPr>
              <w:t xml:space="preserve"> between reserves depending on a variety of factors, including pest control (OEH 2012). Investigating the presence and impact of feral goats at known sites is an important research priority outline</w:t>
            </w:r>
            <w:r w:rsidR="3C96387E">
              <w:rPr>
                <w:b w:val="0"/>
              </w:rPr>
              <w:t>d</w:t>
            </w:r>
            <w:r>
              <w:rPr>
                <w:b w:val="0"/>
              </w:rPr>
              <w:t xml:space="preserve"> in the conservation actions. </w:t>
            </w:r>
          </w:p>
        </w:tc>
      </w:tr>
      <w:tr w:rsidR="008F791C" w14:paraId="5EBF1432" w14:textId="77777777" w:rsidTr="626B437C">
        <w:tc>
          <w:tcPr>
            <w:tcW w:w="9060" w:type="dxa"/>
            <w:gridSpan w:val="3"/>
          </w:tcPr>
          <w:p w14:paraId="610382D5" w14:textId="77777777" w:rsidR="008F791C" w:rsidRDefault="008F791C" w:rsidP="00D56568">
            <w:pPr>
              <w:pStyle w:val="TableText"/>
              <w:rPr>
                <w:highlight w:val="lightGray"/>
              </w:rPr>
            </w:pPr>
            <w:r>
              <w:t>Climate Change</w:t>
            </w:r>
          </w:p>
        </w:tc>
      </w:tr>
      <w:tr w:rsidR="008F791C" w14:paraId="715D8F5F" w14:textId="77777777" w:rsidTr="626B437C">
        <w:tc>
          <w:tcPr>
            <w:tcW w:w="1413" w:type="dxa"/>
          </w:tcPr>
          <w:p w14:paraId="6376B4CD" w14:textId="77777777" w:rsidR="008F791C" w:rsidRPr="00422BF5" w:rsidRDefault="008F791C" w:rsidP="00D56568">
            <w:r w:rsidRPr="00422BF5">
              <w:t>Changes to temperature and precipitation patterns</w:t>
            </w:r>
          </w:p>
        </w:tc>
        <w:tc>
          <w:tcPr>
            <w:tcW w:w="3195" w:type="dxa"/>
          </w:tcPr>
          <w:p w14:paraId="5C03193A" w14:textId="77777777" w:rsidR="008F791C" w:rsidRDefault="008F791C" w:rsidP="00D56568">
            <w:pPr>
              <w:pStyle w:val="TableBullet1"/>
              <w:keepNext/>
            </w:pPr>
            <w:r>
              <w:t>Timing: current</w:t>
            </w:r>
          </w:p>
          <w:p w14:paraId="7DEBB077" w14:textId="0F16D52F" w:rsidR="008F791C" w:rsidRDefault="008F791C" w:rsidP="00D56568">
            <w:pPr>
              <w:pStyle w:val="TableBullet1"/>
              <w:keepNext/>
            </w:pPr>
            <w:r>
              <w:t xml:space="preserve">Confidence: </w:t>
            </w:r>
            <w:r w:rsidR="00095C19">
              <w:t>known</w:t>
            </w:r>
          </w:p>
          <w:p w14:paraId="55DDC2BC" w14:textId="77777777" w:rsidR="008F791C" w:rsidRPr="006C5BD7" w:rsidRDefault="008F791C" w:rsidP="00D56568">
            <w:pPr>
              <w:pStyle w:val="TableBullet1"/>
              <w:keepNext/>
            </w:pPr>
            <w:r w:rsidRPr="006C5BD7">
              <w:t xml:space="preserve">Consequence: </w:t>
            </w:r>
            <w:r>
              <w:t>moderate</w:t>
            </w:r>
          </w:p>
          <w:p w14:paraId="378489BA" w14:textId="77777777" w:rsidR="008F791C" w:rsidRDefault="008F791C" w:rsidP="00D56568">
            <w:pPr>
              <w:pStyle w:val="TableBullet1"/>
              <w:keepNext/>
            </w:pPr>
            <w:r>
              <w:t>Trend: increasing</w:t>
            </w:r>
          </w:p>
          <w:p w14:paraId="72A47FD5" w14:textId="77777777" w:rsidR="008F791C" w:rsidRDefault="008F791C" w:rsidP="00D56568">
            <w:pPr>
              <w:pStyle w:val="TableBullet1"/>
              <w:keepNext/>
            </w:pPr>
            <w:r>
              <w:t>Extent: across the entire range</w:t>
            </w:r>
          </w:p>
        </w:tc>
        <w:tc>
          <w:tcPr>
            <w:tcW w:w="4452" w:type="dxa"/>
          </w:tcPr>
          <w:p w14:paraId="2BC8F15C" w14:textId="7D152862" w:rsidR="008F791C" w:rsidRPr="000D174F" w:rsidRDefault="008F791C" w:rsidP="00D56568">
            <w:pPr>
              <w:spacing w:line="240" w:lineRule="auto"/>
            </w:pPr>
            <w:r w:rsidRPr="626B437C">
              <w:rPr>
                <w:rFonts w:cs="Arial"/>
              </w:rPr>
              <w:t xml:space="preserve">The </w:t>
            </w:r>
            <w:r w:rsidRPr="626B437C">
              <w:rPr>
                <w:rFonts w:cs="Arial"/>
              </w:rPr>
              <w:fldChar w:fldCharType="begin"/>
            </w:r>
            <w:r w:rsidRPr="626B437C">
              <w:rPr>
                <w:rFonts w:cs="Arial"/>
              </w:rPr>
              <w:instrText xml:space="preserve"> ADDIN EN.CITE &lt;EndNote&gt;&lt;Cite AuthorYear="1"&gt;&lt;Author&gt;CSIRO&lt;/Author&gt;&lt;Year&gt;2015&lt;/Year&gt;&lt;RecNum&gt;55&lt;/RecNum&gt;&lt;DisplayText&gt;CSIRO &amp;amp; Bureau of Meteorology (2015)&lt;/DisplayText&gt;&lt;record&gt;&lt;rec-number&gt;55&lt;/rec-number&gt;&lt;foreign-keys&gt;&lt;key app="EN" db-id="vfr2adpp2rx2fhe5rza5wvpgsv2sx0fv52pv" timestamp="1600834539"&gt;55&lt;/key&gt;&lt;/foreign-keys&gt;&lt;ref-type name="Government Document"&gt;46&lt;/ref-type&gt;&lt;contributors&gt;&lt;authors&gt;&lt;author&gt;CSIRO, &lt;/author&gt;&lt;author&gt;Bureau of Meteorology,&lt;/author&gt;&lt;/authors&gt;&lt;secondary-authors&gt;&lt;author&gt;CSIRO and Bureau of Meteorology&lt;/author&gt;&lt;/secondary-authors&gt;&lt;/contributors&gt;&lt;titles&gt;&lt;title&gt;Climate change in Australia information for Australia’s natural resource management regions: technical report&lt;/title&gt;&lt;/titles&gt;&lt;dates&gt;&lt;year&gt;2015&lt;/year&gt;&lt;/dates&gt;&lt;pub-location&gt;Australia&lt;/pub-location&gt;&lt;label&gt;Threats - fire&lt;/label&gt;&lt;urls&gt;&lt;/urls&gt;&lt;/record&gt;&lt;/Cite&gt;&lt;/EndNote&gt;</w:instrText>
            </w:r>
            <w:r w:rsidRPr="626B437C">
              <w:rPr>
                <w:rFonts w:cs="Arial"/>
              </w:rPr>
              <w:fldChar w:fldCharType="separate"/>
            </w:r>
            <w:r w:rsidRPr="626B437C">
              <w:rPr>
                <w:rFonts w:cs="Arial"/>
                <w:noProof/>
              </w:rPr>
              <w:t>CSIRO &amp; Bureau of Meteorology (2015)</w:t>
            </w:r>
            <w:r w:rsidRPr="626B437C">
              <w:rPr>
                <w:rFonts w:cs="Arial"/>
              </w:rPr>
              <w:fldChar w:fldCharType="end"/>
            </w:r>
            <w:r w:rsidRPr="626B437C">
              <w:rPr>
                <w:rFonts w:cs="Arial"/>
              </w:rPr>
              <w:t xml:space="preserve"> </w:t>
            </w:r>
            <w:r w:rsidR="23A88A74" w:rsidRPr="626B437C">
              <w:rPr>
                <w:rFonts w:cs="Arial"/>
              </w:rPr>
              <w:t xml:space="preserve">project </w:t>
            </w:r>
            <w:r w:rsidRPr="626B437C">
              <w:rPr>
                <w:rFonts w:cs="Arial"/>
              </w:rPr>
              <w:t>the eastern coast of Australia will undergo elevated temperatures and increased frequency and severity of droughts due to climate change. These climatic changes are evidenced</w:t>
            </w:r>
            <w:r>
              <w:t xml:space="preserve"> by the catastrophic drought conditions in eastern Australia from early 2017 to late 2019 (BOM 2021; Wittwer &amp; Waschik 2021). </w:t>
            </w:r>
            <w:r w:rsidRPr="626B437C">
              <w:rPr>
                <w:rFonts w:cs="Arial"/>
              </w:rPr>
              <w:t xml:space="preserve">Drought conditions are known to induce mortality and population decline in herbaceous plants, and previous research on the related </w:t>
            </w:r>
            <w:r w:rsidRPr="626B437C">
              <w:rPr>
                <w:rFonts w:cs="Arial"/>
                <w:i/>
                <w:iCs/>
              </w:rPr>
              <w:t xml:space="preserve">Rhodanthe chlorocephala </w:t>
            </w:r>
            <w:r w:rsidRPr="626B437C">
              <w:rPr>
                <w:rFonts w:cs="Arial"/>
              </w:rPr>
              <w:t xml:space="preserve">subsp. </w:t>
            </w:r>
            <w:r w:rsidRPr="626B437C">
              <w:rPr>
                <w:rFonts w:cs="Arial"/>
                <w:i/>
                <w:iCs/>
              </w:rPr>
              <w:t>rosea</w:t>
            </w:r>
            <w:r w:rsidRPr="626B437C">
              <w:rPr>
                <w:rFonts w:cs="Arial"/>
              </w:rPr>
              <w:t xml:space="preserve"> found that water deficit reduced flower production and seed yield (Choengsat et al. 1996). This suggests that drought conditions may negatively impact the reproductive output of </w:t>
            </w:r>
            <w:r w:rsidRPr="626B437C">
              <w:rPr>
                <w:rFonts w:cs="Arial"/>
                <w:i/>
                <w:iCs/>
              </w:rPr>
              <w:t xml:space="preserve">Rhodanthe </w:t>
            </w:r>
            <w:r w:rsidRPr="626B437C">
              <w:rPr>
                <w:rFonts w:cs="Arial"/>
              </w:rPr>
              <w:t xml:space="preserve">sp. Point Lookout, although further research is required to </w:t>
            </w:r>
            <w:r w:rsidRPr="626B437C">
              <w:rPr>
                <w:rFonts w:cs="Arial"/>
              </w:rPr>
              <w:lastRenderedPageBreak/>
              <w:t xml:space="preserve">accurately determine the impact of drought on the species. </w:t>
            </w:r>
          </w:p>
          <w:p w14:paraId="56E02E50" w14:textId="3B04DC30" w:rsidR="008F791C" w:rsidRPr="000E3C9B" w:rsidRDefault="008F791C" w:rsidP="00D56568">
            <w:pPr>
              <w:spacing w:line="240" w:lineRule="auto"/>
            </w:pPr>
            <w:r w:rsidRPr="626B437C">
              <w:rPr>
                <w:rFonts w:cs="Arial"/>
              </w:rPr>
              <w:t xml:space="preserve">In New England, maximum and minimum temperatures are projected to increase by 0.7°C by 2030, and 2.2°C–2.3°C by 2070, with more hot days and fewer cold nights (DPIE 2014). Given that </w:t>
            </w:r>
            <w:r w:rsidRPr="626B437C">
              <w:rPr>
                <w:rFonts w:cs="Arial"/>
                <w:i/>
                <w:iCs/>
              </w:rPr>
              <w:t xml:space="preserve">Rhodanthe </w:t>
            </w:r>
            <w:r w:rsidRPr="626B437C">
              <w:rPr>
                <w:rFonts w:cs="Arial"/>
              </w:rPr>
              <w:t>sp. Point Lookout is a</w:t>
            </w:r>
            <w:r w:rsidR="1247ACF4" w:rsidRPr="626B437C">
              <w:rPr>
                <w:rFonts w:cs="Arial"/>
              </w:rPr>
              <w:t>n</w:t>
            </w:r>
            <w:r w:rsidRPr="626B437C">
              <w:rPr>
                <w:rFonts w:cs="Arial"/>
              </w:rPr>
              <w:t xml:space="preserve"> herb that may require longer periods of cold conditions for germination and flowering (see </w:t>
            </w:r>
            <w:r w:rsidRPr="626B437C">
              <w:rPr>
                <w:rFonts w:cs="Arial"/>
                <w:i/>
                <w:iCs/>
              </w:rPr>
              <w:t>Reproduction</w:t>
            </w:r>
            <w:r w:rsidRPr="626B437C">
              <w:rPr>
                <w:rFonts w:cs="Arial"/>
              </w:rPr>
              <w:t xml:space="preserve"> above), temperature increases may lead to changes in flowering period and floral growth. Elevated temperatures caused by climate change may shorten flowering period of herbs that require cool temperatures (Nam &amp; Kim 2020). Such changes to flowering timing may result in a mismatch with insect pollinator presence (Richardson et al. 2013) and have an impact on species level fitness (Nam &amp; Kim 2020).</w:t>
            </w:r>
          </w:p>
        </w:tc>
      </w:tr>
      <w:tr w:rsidR="008F791C" w14:paraId="75746D3B" w14:textId="77777777" w:rsidTr="626B437C">
        <w:tc>
          <w:tcPr>
            <w:tcW w:w="1413" w:type="dxa"/>
          </w:tcPr>
          <w:p w14:paraId="2D522753" w14:textId="77777777" w:rsidR="008F791C" w:rsidRPr="001A2857" w:rsidRDefault="008F791C" w:rsidP="00D56568">
            <w:pPr>
              <w:spacing w:line="240" w:lineRule="auto"/>
            </w:pPr>
            <w:r w:rsidRPr="001A2857">
              <w:lastRenderedPageBreak/>
              <w:t>Increasing severity and frequency of bushfire</w:t>
            </w:r>
            <w:r>
              <w:t xml:space="preserve"> events</w:t>
            </w:r>
          </w:p>
        </w:tc>
        <w:tc>
          <w:tcPr>
            <w:tcW w:w="3195" w:type="dxa"/>
          </w:tcPr>
          <w:p w14:paraId="43BB5FB6" w14:textId="77777777" w:rsidR="008F791C" w:rsidRDefault="008F791C" w:rsidP="00D56568">
            <w:pPr>
              <w:pStyle w:val="TableBullet1"/>
              <w:keepNext/>
            </w:pPr>
            <w:r>
              <w:t>Timing: current</w:t>
            </w:r>
          </w:p>
          <w:p w14:paraId="0653AAAD" w14:textId="77777777" w:rsidR="008F791C" w:rsidRDefault="008F791C" w:rsidP="00D56568">
            <w:pPr>
              <w:pStyle w:val="TableBullet1"/>
              <w:keepNext/>
            </w:pPr>
            <w:r>
              <w:t>Confidence: known</w:t>
            </w:r>
          </w:p>
          <w:p w14:paraId="52C7755B" w14:textId="77777777" w:rsidR="008F791C" w:rsidRPr="006C5BD7" w:rsidRDefault="008F791C" w:rsidP="00D56568">
            <w:pPr>
              <w:pStyle w:val="TableBullet1"/>
              <w:keepNext/>
            </w:pPr>
            <w:r w:rsidRPr="006C5BD7">
              <w:t xml:space="preserve">Consequence: </w:t>
            </w:r>
            <w:r>
              <w:t>moderate</w:t>
            </w:r>
          </w:p>
          <w:p w14:paraId="48EDFAFA" w14:textId="77777777" w:rsidR="008F791C" w:rsidRDefault="008F791C" w:rsidP="00D56568">
            <w:pPr>
              <w:pStyle w:val="TableBullet1"/>
              <w:keepNext/>
            </w:pPr>
            <w:r>
              <w:t>Trend: increasing</w:t>
            </w:r>
          </w:p>
          <w:p w14:paraId="6CC21745" w14:textId="77777777" w:rsidR="008F791C" w:rsidRDefault="008F791C" w:rsidP="00D56568">
            <w:pPr>
              <w:pStyle w:val="TableBullet1"/>
              <w:keepNext/>
            </w:pPr>
            <w:r>
              <w:t>Extent: across parts of its range</w:t>
            </w:r>
          </w:p>
        </w:tc>
        <w:tc>
          <w:tcPr>
            <w:tcW w:w="4452" w:type="dxa"/>
          </w:tcPr>
          <w:p w14:paraId="6D0392B9" w14:textId="67588A43" w:rsidR="008F791C" w:rsidRDefault="008F791C" w:rsidP="00D56568">
            <w:pPr>
              <w:pStyle w:val="TableBullet1"/>
              <w:keepNext/>
              <w:numPr>
                <w:ilvl w:val="0"/>
                <w:numId w:val="0"/>
              </w:numPr>
            </w:pPr>
            <w:r>
              <w:t xml:space="preserve">Climate projections for eastern Australia include more frequent and intense bushfires as a result of increases in the Forest Fire Danger Index (CSIRO &amp; Bureau of Meteorology 2015).  </w:t>
            </w:r>
            <w:r w:rsidRPr="626B437C">
              <w:rPr>
                <w:rFonts w:cs="Arial"/>
              </w:rPr>
              <w:t xml:space="preserve">These changes to fire conditions are evidenced by the </w:t>
            </w:r>
            <w:r>
              <w:t xml:space="preserve">catastrophic bushfires of 2019–20, in which an unusually large area of eastern Australia burned at high severity. Gallagher (2020) suggests that approximately 22% of the </w:t>
            </w:r>
            <w:r w:rsidRPr="626B437C">
              <w:rPr>
                <w:rFonts w:cs="Arial"/>
                <w:i/>
                <w:iCs/>
              </w:rPr>
              <w:t xml:space="preserve">Rhodanthe </w:t>
            </w:r>
            <w:r w:rsidRPr="626B437C">
              <w:rPr>
                <w:rFonts w:cs="Arial"/>
              </w:rPr>
              <w:t>sp. Point Lookout</w:t>
            </w:r>
            <w:r>
              <w:t xml:space="preserve"> modelled range was burnt by the fires, and one of the four known subpopulations has been found to be fire-impacted </w:t>
            </w:r>
            <w:r w:rsidR="2D4CB5F3">
              <w:t xml:space="preserve">in pos-fire surveys </w:t>
            </w:r>
            <w:r>
              <w:t>(DPIE 2021). However, surveys have also identified that many plants at the fire affected site were not burnt due to protection by offered by its habitat in rocky crevices (DPIE 2021).</w:t>
            </w:r>
          </w:p>
          <w:p w14:paraId="3D20A956" w14:textId="77777777" w:rsidR="008F791C" w:rsidRDefault="008F791C" w:rsidP="00D56568">
            <w:pPr>
              <w:pStyle w:val="TableBullet1"/>
              <w:keepNext/>
              <w:numPr>
                <w:ilvl w:val="0"/>
                <w:numId w:val="0"/>
              </w:numPr>
            </w:pPr>
            <w:r>
              <w:rPr>
                <w:rFonts w:cs="Arial"/>
                <w:szCs w:val="18"/>
              </w:rPr>
              <w:t xml:space="preserve">New England is expected to undergo a continuing increase in severe and average Forest Fire Danger Index values, and these changes to fire conditions will likely increase the probability of frequent and high severity bushfires impacting </w:t>
            </w:r>
            <w:r>
              <w:rPr>
                <w:szCs w:val="18"/>
              </w:rPr>
              <w:t xml:space="preserve">the species in the future (OEH 2014). </w:t>
            </w:r>
            <w:r>
              <w:t>I</w:t>
            </w:r>
            <w:r w:rsidRPr="004E212D">
              <w:t>t is suspected that future high severity fire events would negatively impact this species</w:t>
            </w:r>
            <w:r>
              <w:t xml:space="preserve"> through the mortality of individuals and reductions to habitat quality as a result of fire. For example, fire</w:t>
            </w:r>
            <w:r w:rsidRPr="00A641EB">
              <w:t xml:space="preserve"> may facilitate weed invasion </w:t>
            </w:r>
            <w:r>
              <w:t>which may</w:t>
            </w:r>
            <w:r w:rsidRPr="00A641EB">
              <w:t xml:space="preserve"> outcompete native vegetation</w:t>
            </w:r>
            <w:r>
              <w:t xml:space="preserve"> </w:t>
            </w:r>
            <w:r w:rsidRPr="00A641EB">
              <w:t>in disturbed areas (</w:t>
            </w:r>
            <w:r w:rsidRPr="00C10428">
              <w:t>D'Antonio &amp; Vitousek 1992</w:t>
            </w:r>
            <w:r>
              <w:t>; Milberg &amp; Lamont 1995; DPIPWE 2021</w:t>
            </w:r>
            <w:r w:rsidRPr="00A641EB">
              <w:t>).</w:t>
            </w:r>
          </w:p>
          <w:p w14:paraId="290D11E6" w14:textId="2FBB454B" w:rsidR="008F791C" w:rsidRPr="005F3791" w:rsidRDefault="008F791C" w:rsidP="00D56568">
            <w:pPr>
              <w:pStyle w:val="TableBullet1"/>
              <w:keepNext/>
              <w:numPr>
                <w:ilvl w:val="0"/>
                <w:numId w:val="0"/>
              </w:numPr>
            </w:pPr>
            <w:r>
              <w:t xml:space="preserve">It is unclear if </w:t>
            </w:r>
            <w:r w:rsidRPr="626B437C">
              <w:rPr>
                <w:i/>
                <w:iCs/>
              </w:rPr>
              <w:t>Rhodanthe</w:t>
            </w:r>
            <w:r>
              <w:t xml:space="preserve"> sp. Point Lookout </w:t>
            </w:r>
            <w:r w:rsidR="59420A1A">
              <w:t xml:space="preserve">regenerates </w:t>
            </w:r>
            <w:r>
              <w:t xml:space="preserve">from a soil-stored seed bank after fire, though germination of seed appears to be more dependent on temperature and light conditions than physical disturbance (see </w:t>
            </w:r>
            <w:r w:rsidRPr="626B437C">
              <w:rPr>
                <w:i/>
                <w:iCs/>
              </w:rPr>
              <w:t>Reproduction and life history</w:t>
            </w:r>
            <w:r>
              <w:t xml:space="preserve">). If the species is partially dependent on post-fire seed recruitment for population growth and recovery, fire occurring too regularly or out of season may lead to failure of seed release and/or germination, failure of seedling establishment, interruption of maturation or developmental growth, and failure of seed production. Alternatively, subpopulations may also be threatened by too infrequent fire that allows plants to senesce and the seed bank to decline before recruitment occurs (Whelan 1995; Bond &amp; van Wilgen 1996 Keith 1996)  </w:t>
            </w:r>
          </w:p>
        </w:tc>
      </w:tr>
      <w:tr w:rsidR="008F791C" w14:paraId="0FDB31F1" w14:textId="77777777" w:rsidTr="626B437C">
        <w:tc>
          <w:tcPr>
            <w:tcW w:w="1413" w:type="dxa"/>
          </w:tcPr>
          <w:p w14:paraId="0E8F77FB" w14:textId="77777777" w:rsidR="008F791C" w:rsidRPr="009C7B55" w:rsidRDefault="008F791C" w:rsidP="00D56568">
            <w:r w:rsidRPr="009C7B55">
              <w:t xml:space="preserve">Cliff </w:t>
            </w:r>
            <w:r>
              <w:t>collapse</w:t>
            </w:r>
          </w:p>
        </w:tc>
        <w:tc>
          <w:tcPr>
            <w:tcW w:w="3195" w:type="dxa"/>
          </w:tcPr>
          <w:p w14:paraId="30FAA24A" w14:textId="77777777" w:rsidR="008F791C" w:rsidRDefault="008F791C" w:rsidP="00D56568">
            <w:pPr>
              <w:pStyle w:val="TableBullet1"/>
              <w:keepNext/>
            </w:pPr>
            <w:r>
              <w:t>Timing: current</w:t>
            </w:r>
          </w:p>
          <w:p w14:paraId="1A30BD03" w14:textId="77777777" w:rsidR="008F791C" w:rsidRDefault="008F791C" w:rsidP="00D56568">
            <w:pPr>
              <w:pStyle w:val="TableBullet1"/>
              <w:keepNext/>
            </w:pPr>
            <w:r>
              <w:t>Confidence: suspected</w:t>
            </w:r>
          </w:p>
          <w:p w14:paraId="5ACFE48B" w14:textId="77777777" w:rsidR="008F791C" w:rsidRPr="006C5BD7" w:rsidRDefault="008F791C" w:rsidP="00D56568">
            <w:pPr>
              <w:pStyle w:val="TableBullet1"/>
              <w:keepNext/>
            </w:pPr>
            <w:r w:rsidRPr="006C5BD7">
              <w:lastRenderedPageBreak/>
              <w:t xml:space="preserve">Consequence: </w:t>
            </w:r>
            <w:r>
              <w:t>moderate</w:t>
            </w:r>
          </w:p>
          <w:p w14:paraId="747F9B22" w14:textId="77777777" w:rsidR="008F791C" w:rsidRDefault="008F791C" w:rsidP="00D56568">
            <w:pPr>
              <w:pStyle w:val="TableBullet1"/>
              <w:keepNext/>
            </w:pPr>
            <w:r>
              <w:t>Trend: increasing</w:t>
            </w:r>
          </w:p>
          <w:p w14:paraId="5E6F641B" w14:textId="77777777" w:rsidR="008F791C" w:rsidRDefault="008F791C" w:rsidP="00D56568">
            <w:pPr>
              <w:pStyle w:val="TableBullet1"/>
              <w:keepNext/>
            </w:pPr>
            <w:r>
              <w:t xml:space="preserve">Extent: </w:t>
            </w:r>
            <w:r w:rsidRPr="009C7B55">
              <w:t>across part of its range</w:t>
            </w:r>
          </w:p>
        </w:tc>
        <w:tc>
          <w:tcPr>
            <w:tcW w:w="4452" w:type="dxa"/>
          </w:tcPr>
          <w:p w14:paraId="72604A47" w14:textId="77777777" w:rsidR="008F791C" w:rsidRDefault="008F791C" w:rsidP="00D56568">
            <w:pPr>
              <w:spacing w:line="240" w:lineRule="auto"/>
            </w:pPr>
            <w:bookmarkStart w:id="11" w:name="_Hlk83652767"/>
            <w:r w:rsidRPr="00F378B4">
              <w:lastRenderedPageBreak/>
              <w:t xml:space="preserve">Cliff and escarpment </w:t>
            </w:r>
            <w:r>
              <w:t>collapse</w:t>
            </w:r>
            <w:r w:rsidRPr="00F378B4">
              <w:t xml:space="preserve"> due to extreme w</w:t>
            </w:r>
            <w:r>
              <w:t>ea</w:t>
            </w:r>
            <w:r w:rsidRPr="00F378B4">
              <w:t xml:space="preserve">ther events is an emerging threat for </w:t>
            </w:r>
            <w:r>
              <w:rPr>
                <w:i/>
                <w:iCs/>
              </w:rPr>
              <w:t xml:space="preserve">Rhodanthe </w:t>
            </w:r>
            <w:r>
              <w:t xml:space="preserve">sp. Point </w:t>
            </w:r>
            <w:r>
              <w:lastRenderedPageBreak/>
              <w:t xml:space="preserve">Lookout, as </w:t>
            </w:r>
            <w:r w:rsidRPr="00F378B4">
              <w:t>the species</w:t>
            </w:r>
            <w:r>
              <w:t xml:space="preserve"> is found exclusively on rocky outcrops, cliff faces and cliffsides</w:t>
            </w:r>
            <w:r w:rsidRPr="00F378B4">
              <w:t xml:space="preserve"> (DPIE 2021). </w:t>
            </w:r>
            <w:r>
              <w:t>High rainfall events can lead to landslides and cliff collapse (Lieba 2011; Gariano 2016), and extreme rainfall events</w:t>
            </w:r>
            <w:r w:rsidRPr="00F378B4">
              <w:t xml:space="preserve"> in</w:t>
            </w:r>
            <w:r>
              <w:t xml:space="preserve"> the New England region of</w:t>
            </w:r>
            <w:r w:rsidRPr="00F378B4">
              <w:t xml:space="preserve"> NSW are projected to increase in the near (2030) and far (2070) future due to climate change</w:t>
            </w:r>
            <w:r>
              <w:t xml:space="preserve"> (Evans et al.</w:t>
            </w:r>
            <w:r w:rsidRPr="00F378B4">
              <w:t xml:space="preserve"> 2014</w:t>
            </w:r>
            <w:r>
              <w:t>)</w:t>
            </w:r>
            <w:r w:rsidRPr="00F378B4">
              <w:t xml:space="preserve">. </w:t>
            </w:r>
            <w:bookmarkEnd w:id="11"/>
            <w:r w:rsidRPr="00F378B4">
              <w:t>These are within yearly variability in the near future, though significant increases in multiple extreme rainfall indices are projected by 2070.</w:t>
            </w:r>
            <w:r>
              <w:t xml:space="preserve"> Climate change is projected to increase the frequency of landslips due to an increasing frequency of extreme rainfall events (Gariano 2016). </w:t>
            </w:r>
            <w:r w:rsidRPr="00F378B4">
              <w:t xml:space="preserve"> Cliff and escarpment collapse may therefore become more common in the future as the probability of extreme rainfall</w:t>
            </w:r>
            <w:r>
              <w:t xml:space="preserve"> events</w:t>
            </w:r>
            <w:r w:rsidRPr="00F378B4">
              <w:t xml:space="preserve"> increases. </w:t>
            </w:r>
          </w:p>
          <w:p w14:paraId="730E8A43" w14:textId="6B79A8F3" w:rsidR="008F791C" w:rsidRPr="00F378B4" w:rsidRDefault="008F791C" w:rsidP="00D56568">
            <w:pPr>
              <w:spacing w:line="240" w:lineRule="auto"/>
            </w:pPr>
            <w:r w:rsidRPr="00F378B4">
              <w:t xml:space="preserve">One site at </w:t>
            </w:r>
            <w:r>
              <w:t>Apsley Falls</w:t>
            </w:r>
            <w:r w:rsidRPr="00F378B4">
              <w:t xml:space="preserve"> has </w:t>
            </w:r>
            <w:r>
              <w:t xml:space="preserve">recently </w:t>
            </w:r>
            <w:r w:rsidRPr="00F378B4">
              <w:t>undergone a landslide and part of the cliffside has collapsed</w:t>
            </w:r>
            <w:r>
              <w:t xml:space="preserve"> (DPIE 2021)</w:t>
            </w:r>
            <w:r w:rsidRPr="00F378B4">
              <w:t>. Any plants in the affected area have likely been destroyed</w:t>
            </w:r>
            <w:r>
              <w:t xml:space="preserve">, though </w:t>
            </w:r>
            <w:r w:rsidR="00D5323D">
              <w:t>it</w:t>
            </w:r>
            <w:r>
              <w:t xml:space="preserve"> is unknown if </w:t>
            </w:r>
            <w:r>
              <w:rPr>
                <w:i/>
                <w:iCs/>
              </w:rPr>
              <w:t>Rhodanthe</w:t>
            </w:r>
            <w:r>
              <w:t xml:space="preserve"> sp. Point Lookout has the ability to colonise disturbed soil after collapse events occur. </w:t>
            </w:r>
          </w:p>
        </w:tc>
      </w:tr>
    </w:tbl>
    <w:p w14:paraId="671798EE" w14:textId="77777777" w:rsidR="008F791C" w:rsidRPr="009A615F" w:rsidRDefault="008F791C" w:rsidP="008F791C">
      <w:pPr>
        <w:pStyle w:val="TableText"/>
      </w:pPr>
      <w:r>
        <w:lastRenderedPageBreak/>
        <w:br w:type="textWrapping" w:clear="all"/>
      </w:r>
    </w:p>
    <w:p w14:paraId="0F52CD03" w14:textId="200C409C" w:rsidR="008F791C" w:rsidRDefault="008F791C" w:rsidP="008F791C">
      <w:bookmarkStart w:id="12" w:name="_Toc430782162"/>
      <w:bookmarkStart w:id="13" w:name="_Toc511376531"/>
      <w:r>
        <w:t>Each threat has been described in Table 1 in terms of the extent that it is operating on the species. The risk matrix (</w:t>
      </w:r>
      <w:r>
        <w:fldChar w:fldCharType="begin"/>
      </w:r>
      <w:r>
        <w:instrText xml:space="preserve"> REF _Ref43127879 \h </w:instrText>
      </w:r>
      <w:r>
        <w:fldChar w:fldCharType="separate"/>
      </w:r>
      <w:r w:rsidR="00B66DB4">
        <w:t xml:space="preserve">Table </w:t>
      </w:r>
      <w:r w:rsidR="00B66DB4">
        <w:rPr>
          <w:noProof/>
        </w:rPr>
        <w:t>2</w:t>
      </w:r>
      <w:r>
        <w:fldChar w:fldCharType="end"/>
      </w:r>
      <w:r>
        <w:t xml:space="preserve">) provides a visual depiction of the level of risk being imposed by a threat and supports the prioritisation of subsequent management and conservation actions. In preparing a risk matrix,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continue to be applied appropriately. The risk matrix and ranking of threats has been developed in consultation with experts and using available literature.</w:t>
      </w:r>
    </w:p>
    <w:p w14:paraId="768FAACD" w14:textId="6AFD03D6" w:rsidR="008F791C" w:rsidRDefault="008F791C" w:rsidP="008F791C">
      <w:pPr>
        <w:pStyle w:val="Caption"/>
      </w:pPr>
      <w:bookmarkStart w:id="14" w:name="_Ref43127879"/>
      <w:r>
        <w:t xml:space="preserve">Table </w:t>
      </w:r>
      <w:r>
        <w:rPr>
          <w:noProof/>
        </w:rPr>
        <w:fldChar w:fldCharType="begin"/>
      </w:r>
      <w:r>
        <w:rPr>
          <w:noProof/>
        </w:rPr>
        <w:instrText xml:space="preserve"> SEQ Table \* ARABIC </w:instrText>
      </w:r>
      <w:r>
        <w:rPr>
          <w:noProof/>
        </w:rPr>
        <w:fldChar w:fldCharType="separate"/>
      </w:r>
      <w:r w:rsidR="00B66DB4">
        <w:rPr>
          <w:noProof/>
        </w:rPr>
        <w:t>2</w:t>
      </w:r>
      <w:r>
        <w:rPr>
          <w:noProof/>
        </w:rPr>
        <w:fldChar w:fldCharType="end"/>
      </w:r>
      <w:bookmarkEnd w:id="14"/>
      <w:r>
        <w:t xml:space="preserve"> Risk Matrix for </w:t>
      </w:r>
      <w:r>
        <w:rPr>
          <w:i/>
          <w:iCs/>
        </w:rPr>
        <w:t xml:space="preserve">Rhodanthe </w:t>
      </w:r>
      <w:r>
        <w:t>sp. Point Lookout</w:t>
      </w:r>
    </w:p>
    <w:tbl>
      <w:tblPr>
        <w:tblStyle w:val="TableGrid"/>
        <w:tblW w:w="9111" w:type="dxa"/>
        <w:tblLook w:val="04A0" w:firstRow="1" w:lastRow="0" w:firstColumn="1" w:lastColumn="0" w:noHBand="0" w:noVBand="1"/>
      </w:tblPr>
      <w:tblGrid>
        <w:gridCol w:w="1528"/>
        <w:gridCol w:w="1507"/>
        <w:gridCol w:w="1708"/>
        <w:gridCol w:w="1450"/>
        <w:gridCol w:w="1230"/>
        <w:gridCol w:w="1688"/>
      </w:tblGrid>
      <w:tr w:rsidR="008F791C" w14:paraId="1ADE9FDA" w14:textId="77777777" w:rsidTr="00D56568">
        <w:trPr>
          <w:trHeight w:val="280"/>
          <w:tblHeader/>
        </w:trPr>
        <w:tc>
          <w:tcPr>
            <w:tcW w:w="1543" w:type="dxa"/>
            <w:vMerge w:val="restart"/>
          </w:tcPr>
          <w:p w14:paraId="00987BF4" w14:textId="77777777" w:rsidR="008F791C" w:rsidRDefault="008F791C" w:rsidP="00D56568">
            <w:pPr>
              <w:pStyle w:val="TableHeading"/>
            </w:pPr>
            <w:r>
              <w:t>Likelihood</w:t>
            </w:r>
          </w:p>
        </w:tc>
        <w:tc>
          <w:tcPr>
            <w:tcW w:w="7568" w:type="dxa"/>
            <w:gridSpan w:val="5"/>
          </w:tcPr>
          <w:p w14:paraId="74D7EE51" w14:textId="77777777" w:rsidR="008F791C" w:rsidRDefault="008F791C" w:rsidP="00D56568">
            <w:pPr>
              <w:pStyle w:val="TableHeading"/>
            </w:pPr>
            <w:r>
              <w:t>Consequences</w:t>
            </w:r>
          </w:p>
        </w:tc>
      </w:tr>
      <w:tr w:rsidR="008F791C" w14:paraId="39AC1F2B" w14:textId="77777777" w:rsidTr="00D56568">
        <w:trPr>
          <w:trHeight w:val="474"/>
          <w:tblHeader/>
        </w:trPr>
        <w:tc>
          <w:tcPr>
            <w:tcW w:w="1543" w:type="dxa"/>
            <w:vMerge/>
          </w:tcPr>
          <w:p w14:paraId="69A727F6" w14:textId="77777777" w:rsidR="008F791C" w:rsidRDefault="008F791C" w:rsidP="00D56568">
            <w:pPr>
              <w:pStyle w:val="TableHeading"/>
            </w:pPr>
          </w:p>
        </w:tc>
        <w:tc>
          <w:tcPr>
            <w:tcW w:w="1523" w:type="dxa"/>
          </w:tcPr>
          <w:p w14:paraId="4CB50A4B" w14:textId="77777777" w:rsidR="008F791C" w:rsidRDefault="008F791C" w:rsidP="00D56568">
            <w:pPr>
              <w:pStyle w:val="TableHeading"/>
            </w:pPr>
            <w:r>
              <w:t>Not significant</w:t>
            </w:r>
          </w:p>
        </w:tc>
        <w:tc>
          <w:tcPr>
            <w:tcW w:w="1736" w:type="dxa"/>
          </w:tcPr>
          <w:p w14:paraId="5858B7BC" w14:textId="77777777" w:rsidR="008F791C" w:rsidRDefault="008F791C" w:rsidP="00D56568">
            <w:pPr>
              <w:pStyle w:val="TableHeading"/>
            </w:pPr>
            <w:r>
              <w:t>Minor</w:t>
            </w:r>
          </w:p>
        </w:tc>
        <w:tc>
          <w:tcPr>
            <w:tcW w:w="1455" w:type="dxa"/>
          </w:tcPr>
          <w:p w14:paraId="5E8D94FE" w14:textId="77777777" w:rsidR="008F791C" w:rsidRDefault="008F791C" w:rsidP="00D56568">
            <w:pPr>
              <w:pStyle w:val="TableHeading"/>
            </w:pPr>
            <w:r>
              <w:t>Moderate</w:t>
            </w:r>
          </w:p>
        </w:tc>
        <w:tc>
          <w:tcPr>
            <w:tcW w:w="1150" w:type="dxa"/>
          </w:tcPr>
          <w:p w14:paraId="7899AB1D" w14:textId="77777777" w:rsidR="008F791C" w:rsidRDefault="008F791C" w:rsidP="00D56568">
            <w:pPr>
              <w:pStyle w:val="TableHeading"/>
            </w:pPr>
            <w:r>
              <w:t>Major</w:t>
            </w:r>
          </w:p>
        </w:tc>
        <w:tc>
          <w:tcPr>
            <w:tcW w:w="1704" w:type="dxa"/>
          </w:tcPr>
          <w:p w14:paraId="3A466561" w14:textId="77777777" w:rsidR="008F791C" w:rsidRDefault="008F791C" w:rsidP="00D56568">
            <w:pPr>
              <w:pStyle w:val="TableHeading"/>
            </w:pPr>
            <w:r>
              <w:t>Catastrophic</w:t>
            </w:r>
          </w:p>
        </w:tc>
      </w:tr>
      <w:tr w:rsidR="008F791C" w14:paraId="524FF7AA" w14:textId="77777777" w:rsidTr="00D56568">
        <w:trPr>
          <w:trHeight w:val="454"/>
          <w:tblHeader/>
        </w:trPr>
        <w:tc>
          <w:tcPr>
            <w:tcW w:w="1543" w:type="dxa"/>
          </w:tcPr>
          <w:p w14:paraId="1B3481CD" w14:textId="77777777" w:rsidR="008F791C" w:rsidRPr="00774EAA" w:rsidRDefault="008F791C" w:rsidP="00D56568">
            <w:pPr>
              <w:pStyle w:val="TableText"/>
              <w:rPr>
                <w:rStyle w:val="Strong"/>
              </w:rPr>
            </w:pPr>
            <w:r w:rsidRPr="00774EAA">
              <w:rPr>
                <w:rStyle w:val="Strong"/>
              </w:rPr>
              <w:t>Almost certain</w:t>
            </w:r>
          </w:p>
        </w:tc>
        <w:tc>
          <w:tcPr>
            <w:tcW w:w="1523" w:type="dxa"/>
            <w:shd w:val="clear" w:color="auto" w:fill="C5E0B3" w:themeFill="accent6" w:themeFillTint="66"/>
          </w:tcPr>
          <w:p w14:paraId="48644C65" w14:textId="77777777" w:rsidR="008F791C" w:rsidRPr="00AF153A" w:rsidRDefault="008F791C" w:rsidP="00D56568">
            <w:pPr>
              <w:spacing w:line="240" w:lineRule="auto"/>
            </w:pPr>
            <w:r w:rsidRPr="00AF153A">
              <w:t>Low risk</w:t>
            </w:r>
          </w:p>
        </w:tc>
        <w:tc>
          <w:tcPr>
            <w:tcW w:w="1736" w:type="dxa"/>
            <w:shd w:val="clear" w:color="auto" w:fill="8EAADB" w:themeFill="accent1" w:themeFillTint="99"/>
          </w:tcPr>
          <w:p w14:paraId="4AD39E00" w14:textId="77777777" w:rsidR="008F791C" w:rsidRPr="00AF153A" w:rsidRDefault="008F791C" w:rsidP="00D56568">
            <w:pPr>
              <w:spacing w:line="240" w:lineRule="auto"/>
            </w:pPr>
            <w:r w:rsidRPr="00AF153A">
              <w:t>Moderate risk</w:t>
            </w:r>
          </w:p>
        </w:tc>
        <w:tc>
          <w:tcPr>
            <w:tcW w:w="1455" w:type="dxa"/>
            <w:shd w:val="clear" w:color="auto" w:fill="D99594"/>
          </w:tcPr>
          <w:p w14:paraId="336141A3" w14:textId="77777777" w:rsidR="008F791C" w:rsidRPr="00AF153A" w:rsidRDefault="008F791C" w:rsidP="00D56568">
            <w:pPr>
              <w:spacing w:line="240" w:lineRule="auto"/>
            </w:pPr>
            <w:r w:rsidRPr="00AF153A">
              <w:t>Very high risk</w:t>
            </w:r>
            <w:r>
              <w:br/>
            </w:r>
            <w:r w:rsidRPr="00673538">
              <w:rPr>
                <w:b/>
                <w:bCs/>
              </w:rPr>
              <w:t>Increasing severity and frequency of bushfire</w:t>
            </w:r>
            <w:r>
              <w:rPr>
                <w:b/>
                <w:bCs/>
              </w:rPr>
              <w:t>s</w:t>
            </w:r>
          </w:p>
        </w:tc>
        <w:tc>
          <w:tcPr>
            <w:tcW w:w="1150" w:type="dxa"/>
            <w:shd w:val="clear" w:color="auto" w:fill="D99594"/>
          </w:tcPr>
          <w:p w14:paraId="351FE9AD" w14:textId="77777777" w:rsidR="008F791C" w:rsidRPr="00AF153A" w:rsidRDefault="008F791C" w:rsidP="00D56568">
            <w:pPr>
              <w:spacing w:line="240" w:lineRule="auto"/>
            </w:pPr>
            <w:r w:rsidRPr="00AF153A">
              <w:t>Very high risk</w:t>
            </w:r>
          </w:p>
        </w:tc>
        <w:tc>
          <w:tcPr>
            <w:tcW w:w="1704" w:type="dxa"/>
            <w:shd w:val="clear" w:color="auto" w:fill="D99594"/>
          </w:tcPr>
          <w:p w14:paraId="2454550F" w14:textId="77777777" w:rsidR="008F791C" w:rsidRPr="00AF153A" w:rsidRDefault="008F791C" w:rsidP="00D56568">
            <w:pPr>
              <w:spacing w:line="240" w:lineRule="auto"/>
            </w:pPr>
            <w:r w:rsidRPr="00AF153A">
              <w:t>Very high risk</w:t>
            </w:r>
          </w:p>
        </w:tc>
      </w:tr>
      <w:tr w:rsidR="008F791C" w14:paraId="049AC70B" w14:textId="77777777" w:rsidTr="00D56568">
        <w:trPr>
          <w:trHeight w:val="463"/>
          <w:tblHeader/>
        </w:trPr>
        <w:tc>
          <w:tcPr>
            <w:tcW w:w="1543" w:type="dxa"/>
          </w:tcPr>
          <w:p w14:paraId="60DD1F14" w14:textId="77777777" w:rsidR="008F791C" w:rsidRPr="00774EAA" w:rsidRDefault="008F791C" w:rsidP="00D56568">
            <w:pPr>
              <w:pStyle w:val="TableText"/>
              <w:rPr>
                <w:rStyle w:val="Strong"/>
              </w:rPr>
            </w:pPr>
            <w:r w:rsidRPr="00774EAA">
              <w:rPr>
                <w:rStyle w:val="Strong"/>
              </w:rPr>
              <w:t>Likely</w:t>
            </w:r>
          </w:p>
        </w:tc>
        <w:tc>
          <w:tcPr>
            <w:tcW w:w="1523" w:type="dxa"/>
            <w:shd w:val="clear" w:color="auto" w:fill="C5E0B3" w:themeFill="accent6" w:themeFillTint="66"/>
          </w:tcPr>
          <w:p w14:paraId="1DFE38CE" w14:textId="77777777" w:rsidR="008F791C" w:rsidRPr="00AF153A" w:rsidRDefault="008F791C" w:rsidP="00D56568">
            <w:pPr>
              <w:spacing w:line="240" w:lineRule="auto"/>
            </w:pPr>
            <w:r w:rsidRPr="00AF153A">
              <w:t>Low risk</w:t>
            </w:r>
          </w:p>
        </w:tc>
        <w:tc>
          <w:tcPr>
            <w:tcW w:w="1736" w:type="dxa"/>
            <w:shd w:val="clear" w:color="auto" w:fill="8EAADB" w:themeFill="accent1" w:themeFillTint="99"/>
          </w:tcPr>
          <w:p w14:paraId="3CD5F7F3" w14:textId="77777777" w:rsidR="008F791C" w:rsidRPr="00AF153A" w:rsidRDefault="008F791C" w:rsidP="00D56568">
            <w:pPr>
              <w:spacing w:line="240" w:lineRule="auto"/>
            </w:pPr>
            <w:r w:rsidRPr="00AF153A">
              <w:t>Moderate risk</w:t>
            </w:r>
          </w:p>
        </w:tc>
        <w:tc>
          <w:tcPr>
            <w:tcW w:w="1455" w:type="dxa"/>
            <w:shd w:val="clear" w:color="auto" w:fill="FFFF00"/>
          </w:tcPr>
          <w:p w14:paraId="7795F932" w14:textId="77777777" w:rsidR="008F791C" w:rsidRPr="00AF153A" w:rsidRDefault="008F791C" w:rsidP="00D56568">
            <w:pPr>
              <w:spacing w:line="240" w:lineRule="auto"/>
            </w:pPr>
            <w:r w:rsidRPr="00AF153A">
              <w:t>High risk</w:t>
            </w:r>
            <w:r>
              <w:br/>
            </w:r>
            <w:r w:rsidRPr="00673538">
              <w:rPr>
                <w:b/>
                <w:bCs/>
              </w:rPr>
              <w:t>Changes to temperature and precipitation patterns</w:t>
            </w:r>
          </w:p>
        </w:tc>
        <w:tc>
          <w:tcPr>
            <w:tcW w:w="1150" w:type="dxa"/>
            <w:shd w:val="clear" w:color="auto" w:fill="D99594"/>
          </w:tcPr>
          <w:p w14:paraId="4F85DDC9" w14:textId="77777777" w:rsidR="008F791C" w:rsidRPr="00AF153A" w:rsidRDefault="008F791C" w:rsidP="00D56568">
            <w:pPr>
              <w:spacing w:line="240" w:lineRule="auto"/>
            </w:pPr>
            <w:r w:rsidRPr="00AF153A">
              <w:t>Very high risk</w:t>
            </w:r>
            <w:r>
              <w:br/>
            </w:r>
            <w:r w:rsidRPr="00673538">
              <w:rPr>
                <w:b/>
                <w:bCs/>
              </w:rPr>
              <w:t xml:space="preserve">Disturbance and grazing by </w:t>
            </w:r>
            <w:r>
              <w:rPr>
                <w:b/>
                <w:bCs/>
              </w:rPr>
              <w:t>feral</w:t>
            </w:r>
            <w:r w:rsidRPr="00673538">
              <w:rPr>
                <w:b/>
                <w:bCs/>
              </w:rPr>
              <w:t xml:space="preserve"> goats</w:t>
            </w:r>
          </w:p>
        </w:tc>
        <w:tc>
          <w:tcPr>
            <w:tcW w:w="1704" w:type="dxa"/>
            <w:shd w:val="clear" w:color="auto" w:fill="D99594"/>
          </w:tcPr>
          <w:p w14:paraId="5D9A5424" w14:textId="77777777" w:rsidR="008F791C" w:rsidRPr="00AF153A" w:rsidRDefault="008F791C" w:rsidP="00D56568">
            <w:pPr>
              <w:spacing w:line="240" w:lineRule="auto"/>
            </w:pPr>
            <w:r w:rsidRPr="00AF153A">
              <w:t>Very high risk</w:t>
            </w:r>
            <w:r>
              <w:br/>
            </w:r>
          </w:p>
        </w:tc>
      </w:tr>
      <w:tr w:rsidR="008F791C" w14:paraId="35A9B667" w14:textId="77777777" w:rsidTr="00D56568">
        <w:trPr>
          <w:trHeight w:val="695"/>
          <w:tblHeader/>
        </w:trPr>
        <w:tc>
          <w:tcPr>
            <w:tcW w:w="1543" w:type="dxa"/>
          </w:tcPr>
          <w:p w14:paraId="40D29BEE" w14:textId="77777777" w:rsidR="008F791C" w:rsidRPr="00774EAA" w:rsidRDefault="008F791C" w:rsidP="00D56568">
            <w:pPr>
              <w:pStyle w:val="TableText"/>
              <w:rPr>
                <w:rStyle w:val="Strong"/>
              </w:rPr>
            </w:pPr>
            <w:r w:rsidRPr="00774EAA">
              <w:rPr>
                <w:rStyle w:val="Strong"/>
              </w:rPr>
              <w:t>Possible</w:t>
            </w:r>
          </w:p>
        </w:tc>
        <w:tc>
          <w:tcPr>
            <w:tcW w:w="1523" w:type="dxa"/>
            <w:shd w:val="clear" w:color="auto" w:fill="C5E0B3" w:themeFill="accent6" w:themeFillTint="66"/>
          </w:tcPr>
          <w:p w14:paraId="6AB4D65F" w14:textId="77777777" w:rsidR="008F791C" w:rsidRPr="00AF153A" w:rsidRDefault="008F791C" w:rsidP="00D56568">
            <w:pPr>
              <w:spacing w:line="240" w:lineRule="auto"/>
            </w:pPr>
            <w:r w:rsidRPr="00AF153A">
              <w:t>Low risk</w:t>
            </w:r>
          </w:p>
        </w:tc>
        <w:tc>
          <w:tcPr>
            <w:tcW w:w="1736" w:type="dxa"/>
            <w:shd w:val="clear" w:color="auto" w:fill="8EAADB" w:themeFill="accent1" w:themeFillTint="99"/>
          </w:tcPr>
          <w:p w14:paraId="3690DD58" w14:textId="77777777" w:rsidR="008F791C" w:rsidRPr="00AF153A" w:rsidRDefault="008F791C" w:rsidP="00D56568">
            <w:pPr>
              <w:spacing w:line="240" w:lineRule="auto"/>
            </w:pPr>
            <w:r w:rsidRPr="00AF153A">
              <w:t>Moderate risk</w:t>
            </w:r>
            <w:r>
              <w:br/>
            </w:r>
          </w:p>
        </w:tc>
        <w:tc>
          <w:tcPr>
            <w:tcW w:w="1455" w:type="dxa"/>
            <w:shd w:val="clear" w:color="auto" w:fill="FFFF00"/>
          </w:tcPr>
          <w:p w14:paraId="6E8842D8" w14:textId="77777777" w:rsidR="008F791C" w:rsidRPr="00AF153A" w:rsidRDefault="008F791C" w:rsidP="00D56568">
            <w:pPr>
              <w:spacing w:line="240" w:lineRule="auto"/>
            </w:pPr>
            <w:r w:rsidRPr="00AF153A">
              <w:t>High risk</w:t>
            </w:r>
            <w:r>
              <w:br/>
            </w:r>
            <w:r w:rsidRPr="00673538">
              <w:rPr>
                <w:b/>
                <w:bCs/>
              </w:rPr>
              <w:t>Cliff destruction</w:t>
            </w:r>
          </w:p>
        </w:tc>
        <w:tc>
          <w:tcPr>
            <w:tcW w:w="1150" w:type="dxa"/>
            <w:shd w:val="clear" w:color="auto" w:fill="D99594"/>
          </w:tcPr>
          <w:p w14:paraId="7C795C6A" w14:textId="77777777" w:rsidR="008F791C" w:rsidRPr="00AF153A" w:rsidRDefault="008F791C" w:rsidP="00D56568">
            <w:pPr>
              <w:spacing w:line="240" w:lineRule="auto"/>
            </w:pPr>
            <w:r w:rsidRPr="00AF153A">
              <w:t>Very high risk</w:t>
            </w:r>
            <w:r>
              <w:br/>
            </w:r>
          </w:p>
        </w:tc>
        <w:tc>
          <w:tcPr>
            <w:tcW w:w="1704" w:type="dxa"/>
            <w:shd w:val="clear" w:color="auto" w:fill="D99594"/>
          </w:tcPr>
          <w:p w14:paraId="56DB49C4" w14:textId="77777777" w:rsidR="008F791C" w:rsidRPr="00AF153A" w:rsidRDefault="008F791C" w:rsidP="00D56568">
            <w:pPr>
              <w:spacing w:line="240" w:lineRule="auto"/>
            </w:pPr>
            <w:r w:rsidRPr="00AF153A">
              <w:t>Very high risk</w:t>
            </w:r>
          </w:p>
        </w:tc>
      </w:tr>
      <w:tr w:rsidR="008F791C" w14:paraId="02C34328" w14:textId="77777777" w:rsidTr="00D56568">
        <w:trPr>
          <w:trHeight w:val="454"/>
          <w:tblHeader/>
        </w:trPr>
        <w:tc>
          <w:tcPr>
            <w:tcW w:w="1543" w:type="dxa"/>
          </w:tcPr>
          <w:p w14:paraId="4AC74ADC" w14:textId="77777777" w:rsidR="008F791C" w:rsidRPr="00774EAA" w:rsidRDefault="008F791C" w:rsidP="00D56568">
            <w:pPr>
              <w:pStyle w:val="TableText"/>
              <w:rPr>
                <w:rStyle w:val="Strong"/>
              </w:rPr>
            </w:pPr>
            <w:r w:rsidRPr="00774EAA">
              <w:rPr>
                <w:rStyle w:val="Strong"/>
              </w:rPr>
              <w:t>Unlikely</w:t>
            </w:r>
          </w:p>
        </w:tc>
        <w:tc>
          <w:tcPr>
            <w:tcW w:w="1523" w:type="dxa"/>
            <w:shd w:val="clear" w:color="auto" w:fill="C5E0B3" w:themeFill="accent6" w:themeFillTint="66"/>
          </w:tcPr>
          <w:p w14:paraId="5A8FB1A9" w14:textId="77777777" w:rsidR="008F791C" w:rsidRPr="00AF153A" w:rsidRDefault="008F791C" w:rsidP="00D56568">
            <w:pPr>
              <w:spacing w:line="240" w:lineRule="auto"/>
            </w:pPr>
            <w:r w:rsidRPr="00AF153A">
              <w:t>Low risk</w:t>
            </w:r>
          </w:p>
        </w:tc>
        <w:tc>
          <w:tcPr>
            <w:tcW w:w="1736" w:type="dxa"/>
            <w:shd w:val="clear" w:color="auto" w:fill="C5E0B3" w:themeFill="accent6" w:themeFillTint="66"/>
          </w:tcPr>
          <w:p w14:paraId="559F9522" w14:textId="77777777" w:rsidR="008F791C" w:rsidRPr="00AF153A" w:rsidRDefault="008F791C" w:rsidP="00D56568">
            <w:pPr>
              <w:spacing w:line="240" w:lineRule="auto"/>
            </w:pPr>
            <w:r w:rsidRPr="00AF153A">
              <w:t>Low risk</w:t>
            </w:r>
          </w:p>
        </w:tc>
        <w:tc>
          <w:tcPr>
            <w:tcW w:w="1455" w:type="dxa"/>
            <w:shd w:val="clear" w:color="auto" w:fill="8EAADB" w:themeFill="accent1" w:themeFillTint="99"/>
          </w:tcPr>
          <w:p w14:paraId="6629130A" w14:textId="77777777" w:rsidR="008F791C" w:rsidRPr="00AF153A" w:rsidRDefault="008F791C" w:rsidP="00D56568">
            <w:pPr>
              <w:spacing w:line="240" w:lineRule="auto"/>
            </w:pPr>
            <w:r w:rsidRPr="00AF153A">
              <w:t>Moderate risk</w:t>
            </w:r>
          </w:p>
        </w:tc>
        <w:tc>
          <w:tcPr>
            <w:tcW w:w="1150" w:type="dxa"/>
            <w:shd w:val="clear" w:color="auto" w:fill="FFFF00"/>
          </w:tcPr>
          <w:p w14:paraId="50CC50BB" w14:textId="77777777" w:rsidR="008F791C" w:rsidRPr="00AF153A" w:rsidRDefault="008F791C" w:rsidP="00D56568">
            <w:pPr>
              <w:spacing w:line="240" w:lineRule="auto"/>
            </w:pPr>
            <w:r w:rsidRPr="00AF153A">
              <w:t>High risk</w:t>
            </w:r>
          </w:p>
        </w:tc>
        <w:tc>
          <w:tcPr>
            <w:tcW w:w="1704" w:type="dxa"/>
            <w:shd w:val="clear" w:color="auto" w:fill="D99594"/>
          </w:tcPr>
          <w:p w14:paraId="4941F791" w14:textId="77777777" w:rsidR="008F791C" w:rsidRPr="00AF153A" w:rsidRDefault="008F791C" w:rsidP="00D56568">
            <w:pPr>
              <w:spacing w:line="240" w:lineRule="auto"/>
            </w:pPr>
            <w:r w:rsidRPr="00AF153A">
              <w:t>Very high risk</w:t>
            </w:r>
          </w:p>
        </w:tc>
      </w:tr>
      <w:tr w:rsidR="008F791C" w14:paraId="51474147" w14:textId="77777777" w:rsidTr="00D56568">
        <w:trPr>
          <w:trHeight w:val="463"/>
          <w:tblHeader/>
        </w:trPr>
        <w:tc>
          <w:tcPr>
            <w:tcW w:w="1543" w:type="dxa"/>
          </w:tcPr>
          <w:p w14:paraId="17F401F7" w14:textId="77777777" w:rsidR="008F791C" w:rsidRPr="00774EAA" w:rsidRDefault="008F791C" w:rsidP="00D56568">
            <w:pPr>
              <w:pStyle w:val="TableText"/>
              <w:rPr>
                <w:rStyle w:val="Strong"/>
              </w:rPr>
            </w:pPr>
            <w:r w:rsidRPr="00774EAA">
              <w:rPr>
                <w:rStyle w:val="Strong"/>
              </w:rPr>
              <w:t>Unknown</w:t>
            </w:r>
          </w:p>
        </w:tc>
        <w:tc>
          <w:tcPr>
            <w:tcW w:w="1523" w:type="dxa"/>
            <w:shd w:val="clear" w:color="auto" w:fill="C5E0B3" w:themeFill="accent6" w:themeFillTint="66"/>
          </w:tcPr>
          <w:p w14:paraId="06FC2F90" w14:textId="77777777" w:rsidR="008F791C" w:rsidRPr="00AF153A" w:rsidRDefault="008F791C" w:rsidP="00D56568">
            <w:pPr>
              <w:spacing w:line="240" w:lineRule="auto"/>
            </w:pPr>
            <w:r w:rsidRPr="00AF153A">
              <w:t>Low risk</w:t>
            </w:r>
          </w:p>
        </w:tc>
        <w:tc>
          <w:tcPr>
            <w:tcW w:w="1736" w:type="dxa"/>
            <w:shd w:val="clear" w:color="auto" w:fill="C5E0B3" w:themeFill="accent6" w:themeFillTint="66"/>
          </w:tcPr>
          <w:p w14:paraId="13B94EBA" w14:textId="77777777" w:rsidR="008F791C" w:rsidRPr="00AF153A" w:rsidRDefault="008F791C" w:rsidP="00D56568">
            <w:pPr>
              <w:spacing w:line="240" w:lineRule="auto"/>
            </w:pPr>
            <w:r w:rsidRPr="00AF153A">
              <w:t>Low risk</w:t>
            </w:r>
          </w:p>
        </w:tc>
        <w:tc>
          <w:tcPr>
            <w:tcW w:w="1455" w:type="dxa"/>
            <w:shd w:val="clear" w:color="auto" w:fill="8EAADB" w:themeFill="accent1" w:themeFillTint="99"/>
          </w:tcPr>
          <w:p w14:paraId="470DFDE0" w14:textId="77777777" w:rsidR="008F791C" w:rsidRPr="00AF153A" w:rsidRDefault="008F791C" w:rsidP="00D56568">
            <w:pPr>
              <w:spacing w:line="240" w:lineRule="auto"/>
            </w:pPr>
            <w:r w:rsidRPr="00AF153A">
              <w:t>Moderate risk</w:t>
            </w:r>
          </w:p>
        </w:tc>
        <w:tc>
          <w:tcPr>
            <w:tcW w:w="1150" w:type="dxa"/>
            <w:shd w:val="clear" w:color="auto" w:fill="FFFF00"/>
          </w:tcPr>
          <w:p w14:paraId="7ED15F13" w14:textId="77777777" w:rsidR="008F791C" w:rsidRPr="00AF153A" w:rsidRDefault="008F791C" w:rsidP="00D56568">
            <w:pPr>
              <w:spacing w:line="240" w:lineRule="auto"/>
            </w:pPr>
            <w:r w:rsidRPr="00AF153A">
              <w:t>High risk</w:t>
            </w:r>
          </w:p>
        </w:tc>
        <w:tc>
          <w:tcPr>
            <w:tcW w:w="1704" w:type="dxa"/>
            <w:shd w:val="clear" w:color="auto" w:fill="D99594"/>
          </w:tcPr>
          <w:p w14:paraId="413960E6" w14:textId="77777777" w:rsidR="008F791C" w:rsidRPr="00AF153A" w:rsidRDefault="008F791C" w:rsidP="00D56568">
            <w:pPr>
              <w:spacing w:line="240" w:lineRule="auto"/>
            </w:pPr>
            <w:r w:rsidRPr="00AF153A">
              <w:t>Very high risk</w:t>
            </w:r>
          </w:p>
        </w:tc>
      </w:tr>
    </w:tbl>
    <w:p w14:paraId="35A025F2" w14:textId="77777777" w:rsidR="008F791C" w:rsidRPr="006B4EBD" w:rsidRDefault="008F791C" w:rsidP="006B4EBD"/>
    <w:p w14:paraId="5BDC96FE" w14:textId="77777777" w:rsidR="008F791C" w:rsidRDefault="008F791C" w:rsidP="008F791C">
      <w:pPr>
        <w:pStyle w:val="Heading2"/>
        <w:ind w:left="720" w:hanging="720"/>
      </w:pPr>
      <w:r>
        <w:t xml:space="preserve">Conservation and recovery </w:t>
      </w:r>
      <w:r w:rsidRPr="002B6A3F">
        <w:t>actions</w:t>
      </w:r>
    </w:p>
    <w:p w14:paraId="3899858F" w14:textId="77777777" w:rsidR="008F791C" w:rsidRDefault="008F791C" w:rsidP="008F791C">
      <w:pPr>
        <w:pStyle w:val="Heading3"/>
        <w:ind w:left="964" w:hanging="964"/>
      </w:pPr>
      <w:r>
        <w:t>Primary conservation objective</w:t>
      </w:r>
    </w:p>
    <w:p w14:paraId="74A59F61" w14:textId="77777777" w:rsidR="008F791C" w:rsidRPr="005E7961" w:rsidRDefault="008F791C" w:rsidP="008F791C">
      <w:r>
        <w:t>T</w:t>
      </w:r>
      <w:r w:rsidRPr="005E7961">
        <w:t xml:space="preserve">he population of </w:t>
      </w:r>
      <w:r>
        <w:rPr>
          <w:i/>
          <w:iCs/>
        </w:rPr>
        <w:t xml:space="preserve">Rhodanthe </w:t>
      </w:r>
      <w:r>
        <w:t xml:space="preserve">sp. Point Lookout </w:t>
      </w:r>
      <w:r w:rsidRPr="005E7961">
        <w:t>i</w:t>
      </w:r>
      <w:r>
        <w:t>ncreases</w:t>
      </w:r>
      <w:r w:rsidRPr="005E7961">
        <w:t xml:space="preserve"> in abundance and subpopulations are sustained in habitats </w:t>
      </w:r>
      <w:r>
        <w:t xml:space="preserve">in which very </w:t>
      </w:r>
      <w:proofErr w:type="gramStart"/>
      <w:r>
        <w:t>high risk</w:t>
      </w:r>
      <w:proofErr w:type="gramEnd"/>
      <w:r>
        <w:t xml:space="preserve"> threats are managed effectively</w:t>
      </w:r>
      <w:r w:rsidRPr="005E7961">
        <w:t>.</w:t>
      </w:r>
    </w:p>
    <w:p w14:paraId="10E043AD" w14:textId="77777777" w:rsidR="008F791C" w:rsidRDefault="008F791C" w:rsidP="008F791C">
      <w:pPr>
        <w:pStyle w:val="Heading3"/>
        <w:ind w:left="964" w:hanging="964"/>
      </w:pPr>
      <w:r w:rsidRPr="00A31C76">
        <w:t>Conservation and management priorities</w:t>
      </w:r>
    </w:p>
    <w:p w14:paraId="06910C02" w14:textId="77777777" w:rsidR="008F791C" w:rsidRPr="008A79D3" w:rsidRDefault="008F791C" w:rsidP="008F791C">
      <w:pPr>
        <w:pStyle w:val="Heading4"/>
        <w:spacing w:line="276" w:lineRule="auto"/>
        <w:ind w:left="964" w:hanging="964"/>
      </w:pPr>
      <w:r w:rsidRPr="008A79D3">
        <w:t>Invasive species (including threats from grazing</w:t>
      </w:r>
      <w:r>
        <w:t xml:space="preserve"> and trampling</w:t>
      </w:r>
      <w:r w:rsidRPr="008A79D3">
        <w:t>)</w:t>
      </w:r>
    </w:p>
    <w:p w14:paraId="05865922" w14:textId="77777777" w:rsidR="008F791C" w:rsidRDefault="008F791C" w:rsidP="008F791C">
      <w:pPr>
        <w:pStyle w:val="ListBullet"/>
      </w:pPr>
      <w:r>
        <w:t xml:space="preserve">Remove feral goats from the vicinity of subpopulations of </w:t>
      </w:r>
      <w:r>
        <w:rPr>
          <w:i/>
          <w:iCs/>
        </w:rPr>
        <w:t xml:space="preserve">Rhodanthe </w:t>
      </w:r>
      <w:r>
        <w:t>sp. Point Lookout</w:t>
      </w:r>
      <w:r w:rsidRPr="008A79D3">
        <w:t>, including through the use of aerial and ground shooting, mustering and trapping (DEWHA 2008)</w:t>
      </w:r>
      <w:r>
        <w:t>.</w:t>
      </w:r>
    </w:p>
    <w:p w14:paraId="0E162DDE" w14:textId="77777777" w:rsidR="008F791C" w:rsidRPr="008A79D3" w:rsidRDefault="008F791C" w:rsidP="008F791C">
      <w:pPr>
        <w:pStyle w:val="ListBullet"/>
      </w:pPr>
      <w:r w:rsidRPr="008A79D3">
        <w:t xml:space="preserve">Install and maintain cages or fencing around subpopulations impacted by </w:t>
      </w:r>
      <w:r>
        <w:t>Feral</w:t>
      </w:r>
      <w:r w:rsidRPr="008A79D3">
        <w:t xml:space="preserve"> goats to protect against grazing and habitat disturbance. </w:t>
      </w:r>
    </w:p>
    <w:p w14:paraId="03EA6030" w14:textId="77777777" w:rsidR="008F791C" w:rsidRPr="00FB5396" w:rsidRDefault="008F791C" w:rsidP="008F791C">
      <w:pPr>
        <w:pStyle w:val="Heading4"/>
        <w:spacing w:line="276" w:lineRule="auto"/>
        <w:ind w:left="964" w:hanging="964"/>
      </w:pPr>
      <w:r>
        <w:t>Climate change and f</w:t>
      </w:r>
      <w:r w:rsidRPr="00FB5396">
        <w:t>ire</w:t>
      </w:r>
    </w:p>
    <w:p w14:paraId="5178D04D" w14:textId="77777777" w:rsidR="008F791C" w:rsidRDefault="008F791C" w:rsidP="008F791C">
      <w:pPr>
        <w:pStyle w:val="ListBullet"/>
      </w:pPr>
      <w:r w:rsidRPr="00FB5396">
        <w:t>Implement a fire management strategy to protect all known subpopulations</w:t>
      </w:r>
      <w:r>
        <w:rPr>
          <w:strike/>
        </w:rPr>
        <w:t xml:space="preserve"> </w:t>
      </w:r>
      <w:r w:rsidRPr="00F77A13">
        <w:t>from</w:t>
      </w:r>
      <w:r>
        <w:t xml:space="preserve"> inappropriate fire regimes, by excluding planned </w:t>
      </w:r>
      <w:r w:rsidRPr="00FB5396">
        <w:t>fire</w:t>
      </w:r>
      <w:r>
        <w:t xml:space="preserve"> (and bushfire where possible)</w:t>
      </w:r>
      <w:r w:rsidRPr="00FB5396">
        <w:t xml:space="preserve"> from all subpopulations until seedling</w:t>
      </w:r>
      <w:r>
        <w:t>s</w:t>
      </w:r>
      <w:r w:rsidRPr="00FB5396">
        <w:t xml:space="preserve"> mature and the soil-stored seed </w:t>
      </w:r>
      <w:r>
        <w:t>bank is rebuilt.</w:t>
      </w:r>
    </w:p>
    <w:p w14:paraId="22DC0306" w14:textId="77777777" w:rsidR="008F791C" w:rsidRPr="00FB5396" w:rsidRDefault="008F791C" w:rsidP="008F791C">
      <w:pPr>
        <w:pStyle w:val="ListBullet"/>
      </w:pPr>
      <w:r>
        <w:t>If required, undertake supplementary watering of post-fire seedlings to protect against drought-induced mortality.</w:t>
      </w:r>
    </w:p>
    <w:p w14:paraId="6D6CC9FB" w14:textId="4E5C9155" w:rsidR="008F791C" w:rsidRPr="00FB5396" w:rsidRDefault="008F791C" w:rsidP="008F791C">
      <w:pPr>
        <w:pStyle w:val="ListBullet"/>
      </w:pPr>
      <w:r>
        <w:t xml:space="preserve">Identify and protect habitat modelled as being likely to remain </w:t>
      </w:r>
      <w:r w:rsidR="00D5323D">
        <w:t>or</w:t>
      </w:r>
      <w:r>
        <w:t xml:space="preserve"> become suitable for </w:t>
      </w:r>
      <w:r>
        <w:rPr>
          <w:i/>
          <w:iCs/>
        </w:rPr>
        <w:t xml:space="preserve">Rhodanthe </w:t>
      </w:r>
      <w:r>
        <w:t>sp. Point Lookout due to the effects of climate change.</w:t>
      </w:r>
    </w:p>
    <w:p w14:paraId="018D82FF" w14:textId="77777777" w:rsidR="008F791C" w:rsidRDefault="008F791C" w:rsidP="008F791C">
      <w:pPr>
        <w:pStyle w:val="Heading4"/>
        <w:spacing w:line="276" w:lineRule="auto"/>
        <w:ind w:left="964" w:hanging="964"/>
      </w:pPr>
      <w:r>
        <w:t>Breeding, seed collection, propagation and other ex situ recovery action</w:t>
      </w:r>
    </w:p>
    <w:p w14:paraId="2CE717D3" w14:textId="77777777" w:rsidR="008F791C" w:rsidRPr="005E1FC0" w:rsidRDefault="008F791C" w:rsidP="008F791C">
      <w:pPr>
        <w:pStyle w:val="ListBullet"/>
      </w:pPr>
      <w:bookmarkStart w:id="15" w:name="_Hlk82181522"/>
      <w:r w:rsidRPr="005E1FC0">
        <w:t>Collect and store</w:t>
      </w:r>
      <w:r>
        <w:t xml:space="preserve"> sufficient quantities of</w:t>
      </w:r>
      <w:r w:rsidRPr="005E1FC0">
        <w:t xml:space="preserve"> seed from </w:t>
      </w:r>
      <w:r>
        <w:t xml:space="preserve">all </w:t>
      </w:r>
      <w:r w:rsidRPr="005E1FC0">
        <w:t xml:space="preserve">known subpopulations </w:t>
      </w:r>
      <w:r>
        <w:t xml:space="preserve">in long-term storage </w:t>
      </w:r>
      <w:r w:rsidRPr="005E1FC0">
        <w:t>to preserve genetic material</w:t>
      </w:r>
      <w:r>
        <w:t xml:space="preserve">, in accordance with the revised </w:t>
      </w:r>
      <w:r w:rsidRPr="00F83ADD">
        <w:rPr>
          <w:i/>
        </w:rPr>
        <w:t>Plant Germplasm Conservation Guidelines</w:t>
      </w:r>
      <w:r>
        <w:t xml:space="preserve"> (Martyn Yenson et al. 2021)</w:t>
      </w:r>
      <w:r w:rsidRPr="005E1FC0">
        <w:t>.</w:t>
      </w:r>
    </w:p>
    <w:bookmarkEnd w:id="15"/>
    <w:p w14:paraId="3889D36B" w14:textId="77777777" w:rsidR="008F791C" w:rsidRDefault="008F791C" w:rsidP="008F791C">
      <w:pPr>
        <w:pStyle w:val="ListBullet"/>
      </w:pPr>
      <w:r>
        <w:t>If appropriate, undertake</w:t>
      </w:r>
      <w:r w:rsidRPr="004A791B">
        <w:t xml:space="preserve"> conservation translocations in suitable habitat with ongoing management</w:t>
      </w:r>
      <w:r>
        <w:t xml:space="preserve"> and monitoring</w:t>
      </w:r>
      <w:r w:rsidRPr="004A791B">
        <w:t xml:space="preserve">, to increase the number of </w:t>
      </w:r>
      <w:r>
        <w:t xml:space="preserve">self-sustaining </w:t>
      </w:r>
      <w:r w:rsidRPr="004A791B">
        <w:t>subpopulations</w:t>
      </w:r>
      <w:bookmarkStart w:id="16" w:name="_Hlk54856776"/>
      <w:r w:rsidRPr="004A791B">
        <w:t xml:space="preserve">, in accordance with the </w:t>
      </w:r>
      <w:r w:rsidRPr="004A791B">
        <w:rPr>
          <w:i/>
          <w:iCs/>
        </w:rPr>
        <w:t xml:space="preserve">Guidelines for the Translocation of Threatened Plants in Australia </w:t>
      </w:r>
      <w:r w:rsidRPr="004A791B">
        <w:t>(Commander et al. 2018)</w:t>
      </w:r>
      <w:bookmarkEnd w:id="16"/>
      <w:r w:rsidRPr="004A791B">
        <w:t>.</w:t>
      </w:r>
    </w:p>
    <w:p w14:paraId="1A808614" w14:textId="77777777" w:rsidR="008F791C" w:rsidRPr="005E1FC0" w:rsidRDefault="008F791C" w:rsidP="008F791C">
      <w:pPr>
        <w:pStyle w:val="ListBullet"/>
      </w:pPr>
      <w:r w:rsidRPr="20583809">
        <w:rPr>
          <w:rFonts w:eastAsia="Calibri"/>
        </w:rPr>
        <w:t>Use genomic approaches to understand population structure and use this data to inform translocation programs</w:t>
      </w:r>
      <w:r>
        <w:rPr>
          <w:rFonts w:eastAsia="Calibri"/>
        </w:rPr>
        <w:t xml:space="preserve"> (Rossetto et al. 2021)</w:t>
      </w:r>
      <w:r w:rsidRPr="20583809">
        <w:rPr>
          <w:rFonts w:eastAsia="Calibri"/>
        </w:rPr>
        <w:t xml:space="preserve">. </w:t>
      </w:r>
    </w:p>
    <w:p w14:paraId="4FA47319" w14:textId="77777777" w:rsidR="008F791C" w:rsidRPr="00CB3CED" w:rsidRDefault="008F791C" w:rsidP="008F791C">
      <w:pPr>
        <w:pStyle w:val="Heading3"/>
        <w:spacing w:line="276" w:lineRule="auto"/>
        <w:ind w:left="964" w:hanging="964"/>
      </w:pPr>
      <w:r w:rsidRPr="00CB3CED">
        <w:t>Stakeholder engagement/community engagement</w:t>
      </w:r>
    </w:p>
    <w:p w14:paraId="72E06B02" w14:textId="77777777" w:rsidR="008F791C" w:rsidRPr="00735C15" w:rsidRDefault="008F791C" w:rsidP="008F791C">
      <w:pPr>
        <w:pStyle w:val="ListBullet"/>
      </w:pPr>
      <w:r w:rsidRPr="00735C15">
        <w:t xml:space="preserve">Engage and involve </w:t>
      </w:r>
      <w:r>
        <w:t>T</w:t>
      </w:r>
      <w:r w:rsidRPr="00735C15">
        <w:t xml:space="preserve">raditional </w:t>
      </w:r>
      <w:r>
        <w:t>O</w:t>
      </w:r>
      <w:r w:rsidRPr="00735C15">
        <w:t xml:space="preserve">wners in conservation actions, including surveying for new populations. </w:t>
      </w:r>
    </w:p>
    <w:p w14:paraId="26761F45" w14:textId="77777777" w:rsidR="008F791C" w:rsidRDefault="008F791C" w:rsidP="008F791C">
      <w:pPr>
        <w:pStyle w:val="ListBullet"/>
      </w:pPr>
      <w:r>
        <w:t>Liaise with relevant land managers to ensure that subpopulations are not accidentally damaged or destroyed. The approval and assistance of land managers should also be sought to implement recovery actions, and</w:t>
      </w:r>
      <w:r w:rsidRPr="00CB3CED">
        <w:t xml:space="preserve"> recent population data</w:t>
      </w:r>
      <w:r>
        <w:t xml:space="preserve"> should</w:t>
      </w:r>
      <w:r w:rsidRPr="00CB3CED">
        <w:t xml:space="preserve"> inform management</w:t>
      </w:r>
      <w:r>
        <w:t>.</w:t>
      </w:r>
    </w:p>
    <w:p w14:paraId="1C9A5124" w14:textId="77777777" w:rsidR="008F791C" w:rsidRPr="00EE7755" w:rsidRDefault="008F791C" w:rsidP="008F791C">
      <w:pPr>
        <w:pStyle w:val="Heading3"/>
        <w:spacing w:line="276" w:lineRule="auto"/>
      </w:pPr>
      <w:r w:rsidRPr="00EE7755">
        <w:lastRenderedPageBreak/>
        <w:t>Survey and monitoring priorities</w:t>
      </w:r>
    </w:p>
    <w:p w14:paraId="672798F5" w14:textId="77777777" w:rsidR="008F791C" w:rsidRPr="008331C9" w:rsidRDefault="008F791C" w:rsidP="008F791C">
      <w:pPr>
        <w:pStyle w:val="ListBullet"/>
      </w:pPr>
      <w:r w:rsidRPr="008331C9">
        <w:t xml:space="preserve">Conduct targeted surveys </w:t>
      </w:r>
      <w:r>
        <w:t>of all known sites t</w:t>
      </w:r>
      <w:r w:rsidRPr="008331C9">
        <w:t xml:space="preserve">o better determine </w:t>
      </w:r>
      <w:r>
        <w:t>the species’</w:t>
      </w:r>
      <w:r w:rsidRPr="008331C9">
        <w:t xml:space="preserve"> population size. </w:t>
      </w:r>
      <w:r>
        <w:t>Surveys should be undertaken when the species is flowering, likely from early spring to summer.</w:t>
      </w:r>
    </w:p>
    <w:p w14:paraId="7523E8C2" w14:textId="77777777" w:rsidR="008F791C" w:rsidRPr="008331C9" w:rsidRDefault="008F791C" w:rsidP="008F791C">
      <w:pPr>
        <w:pStyle w:val="ListBullet"/>
      </w:pPr>
      <w:r w:rsidRPr="008331C9">
        <w:t>Maintain a monitoring program to:</w:t>
      </w:r>
    </w:p>
    <w:p w14:paraId="7DA5610B" w14:textId="77777777" w:rsidR="008F791C" w:rsidRPr="008331C9" w:rsidRDefault="008F791C" w:rsidP="008F791C">
      <w:pPr>
        <w:pStyle w:val="ListBullet2"/>
      </w:pPr>
      <w:r w:rsidRPr="008331C9">
        <w:t xml:space="preserve">determine trends in population size and </w:t>
      </w:r>
      <w:proofErr w:type="gramStart"/>
      <w:r w:rsidRPr="008331C9">
        <w:t>distribution</w:t>
      </w:r>
      <w:r>
        <w:t>;</w:t>
      </w:r>
      <w:proofErr w:type="gramEnd"/>
    </w:p>
    <w:p w14:paraId="4C88EBE4" w14:textId="77777777" w:rsidR="008F791C" w:rsidRPr="008331C9" w:rsidRDefault="008F791C" w:rsidP="008F791C">
      <w:pPr>
        <w:pStyle w:val="ListBullet2"/>
      </w:pPr>
      <w:r w:rsidRPr="008331C9">
        <w:t>determine threats and their impacts; and,</w:t>
      </w:r>
    </w:p>
    <w:p w14:paraId="3BCE5E46" w14:textId="77777777" w:rsidR="008F791C" w:rsidRPr="008331C9" w:rsidRDefault="008F791C" w:rsidP="008F791C">
      <w:pPr>
        <w:pStyle w:val="ListBullet2"/>
      </w:pPr>
      <w:r w:rsidRPr="008331C9">
        <w:t>monitor the effectiveness of management actions and the need to adapt them if necessary.</w:t>
      </w:r>
    </w:p>
    <w:p w14:paraId="7703721A" w14:textId="77777777" w:rsidR="008F791C" w:rsidRDefault="008F791C" w:rsidP="008F791C">
      <w:pPr>
        <w:pStyle w:val="ListBullet"/>
      </w:pPr>
      <w:r w:rsidRPr="00EE7755">
        <w:t xml:space="preserve">Survey suitable habitat for new subpopulations. </w:t>
      </w:r>
    </w:p>
    <w:p w14:paraId="5A3D4502" w14:textId="77777777" w:rsidR="008F791C" w:rsidRPr="00E61444" w:rsidRDefault="008F791C" w:rsidP="008F791C">
      <w:pPr>
        <w:pStyle w:val="Heading3"/>
        <w:spacing w:line="276" w:lineRule="auto"/>
      </w:pPr>
      <w:r w:rsidRPr="00E61444">
        <w:t>Information and research priorities</w:t>
      </w:r>
    </w:p>
    <w:p w14:paraId="7B8D376A" w14:textId="77777777" w:rsidR="008F791C" w:rsidRDefault="008F791C" w:rsidP="008F791C">
      <w:pPr>
        <w:pStyle w:val="ListBullet"/>
      </w:pPr>
      <w:r>
        <w:t xml:space="preserve">Conduct research into the taxonomy of the </w:t>
      </w:r>
      <w:r>
        <w:rPr>
          <w:i/>
          <w:iCs/>
        </w:rPr>
        <w:t xml:space="preserve">Rhodanthe </w:t>
      </w:r>
      <w:r>
        <w:t xml:space="preserve">genus, including by formally describing </w:t>
      </w:r>
      <w:r>
        <w:rPr>
          <w:i/>
          <w:iCs/>
        </w:rPr>
        <w:t>Rhodanthe</w:t>
      </w:r>
      <w:r>
        <w:t xml:space="preserve"> sp. Point Lookout and potentially conducting a molecular and morphological revision of the genus to clarify its taxonomic distinctiveness.</w:t>
      </w:r>
    </w:p>
    <w:p w14:paraId="7393C79A" w14:textId="77777777" w:rsidR="008F791C" w:rsidRDefault="008F791C" w:rsidP="008F791C">
      <w:pPr>
        <w:pStyle w:val="ListBullet"/>
      </w:pPr>
      <w:r w:rsidRPr="00812BA7">
        <w:t>Increase knowledge surrounding the</w:t>
      </w:r>
      <w:r>
        <w:t xml:space="preserve"> biology and </w:t>
      </w:r>
      <w:r w:rsidRPr="00812BA7">
        <w:t xml:space="preserve">ecology of </w:t>
      </w:r>
      <w:r>
        <w:t>the species</w:t>
      </w:r>
      <w:r w:rsidRPr="00812BA7">
        <w:t>. This includes improving understanding</w:t>
      </w:r>
      <w:r>
        <w:t xml:space="preserve"> of</w:t>
      </w:r>
      <w:r w:rsidRPr="00812BA7">
        <w:t xml:space="preserve"> pollinat</w:t>
      </w:r>
      <w:r>
        <w:t>ion</w:t>
      </w:r>
      <w:r w:rsidRPr="00812BA7">
        <w:t xml:space="preserve"> </w:t>
      </w:r>
      <w:r>
        <w:t>biology (and ecology of pollinators)</w:t>
      </w:r>
      <w:r w:rsidRPr="00812BA7">
        <w:t>, seed</w:t>
      </w:r>
      <w:r>
        <w:t xml:space="preserve"> recruitment and longevity,</w:t>
      </w:r>
      <w:r w:rsidRPr="00812BA7">
        <w:t xml:space="preserve"> plant longevity</w:t>
      </w:r>
      <w:r>
        <w:t xml:space="preserve"> and time to maturity</w:t>
      </w:r>
      <w:r w:rsidRPr="00812BA7">
        <w:t xml:space="preserve">, genetic structure, and minimum viable population size. </w:t>
      </w:r>
    </w:p>
    <w:p w14:paraId="075D66F2" w14:textId="77777777" w:rsidR="008F791C" w:rsidRPr="00812BA7" w:rsidRDefault="008F791C" w:rsidP="008F791C">
      <w:pPr>
        <w:pStyle w:val="ListBullet"/>
      </w:pPr>
      <w:r>
        <w:t>Investigate and determine which subpopulations are currently being impacted by feral goats, and if there are any herds nearby known sites.</w:t>
      </w:r>
    </w:p>
    <w:p w14:paraId="2542F91B" w14:textId="1346F350" w:rsidR="008F791C" w:rsidRDefault="008F791C" w:rsidP="008F791C">
      <w:pPr>
        <w:pStyle w:val="ListBullet"/>
      </w:pPr>
      <w:r>
        <w:t xml:space="preserve">Investigate how changing temperatures are likely to impact </w:t>
      </w:r>
      <w:r w:rsidR="728995FA">
        <w:t xml:space="preserve">flowering and seed-set and </w:t>
      </w:r>
      <w:r>
        <w:t>the interaction between flowering and pollination.</w:t>
      </w:r>
    </w:p>
    <w:p w14:paraId="155B3436" w14:textId="77777777" w:rsidR="008F791C" w:rsidRDefault="008F791C" w:rsidP="008F791C">
      <w:pPr>
        <w:pStyle w:val="ListBullet"/>
      </w:pPr>
      <w:r>
        <w:t xml:space="preserve">Investigate the impact of drought on </w:t>
      </w:r>
      <w:r>
        <w:rPr>
          <w:i/>
          <w:iCs/>
        </w:rPr>
        <w:t xml:space="preserve">Rhodanthe </w:t>
      </w:r>
      <w:r>
        <w:t>flower production, seed yield and recruitment, and seedling growth.</w:t>
      </w:r>
    </w:p>
    <w:p w14:paraId="66EEC652" w14:textId="77777777" w:rsidR="008F791C" w:rsidRDefault="008F791C" w:rsidP="008F791C">
      <w:pPr>
        <w:pStyle w:val="ListBullet"/>
      </w:pPr>
      <w:r>
        <w:t>Investigate the susceptibility of known sites to future landslides and collapse due to extreme weather.</w:t>
      </w:r>
    </w:p>
    <w:p w14:paraId="713B154C" w14:textId="3E5E144E" w:rsidR="008F791C" w:rsidRDefault="008F791C" w:rsidP="008F791C">
      <w:pPr>
        <w:pStyle w:val="ListBullet"/>
      </w:pPr>
      <w:r>
        <w:t xml:space="preserve">Understand the potential influence of climate change on the long-term </w:t>
      </w:r>
      <w:r w:rsidR="2C831855">
        <w:t xml:space="preserve">persistence </w:t>
      </w:r>
      <w:r>
        <w:t>of the species.</w:t>
      </w:r>
    </w:p>
    <w:p w14:paraId="02ACF8D4" w14:textId="77777777" w:rsidR="008F791C" w:rsidRDefault="008F791C" w:rsidP="008F791C">
      <w:pPr>
        <w:pStyle w:val="ListBullet"/>
      </w:pPr>
      <w:r>
        <w:t xml:space="preserve">Ascertain the cultural significance of </w:t>
      </w:r>
      <w:r>
        <w:rPr>
          <w:i/>
          <w:iCs/>
        </w:rPr>
        <w:t xml:space="preserve">Rhodanthe </w:t>
      </w:r>
      <w:r>
        <w:t xml:space="preserve">sp. Point Lookout to First Nations Peoples. </w:t>
      </w:r>
    </w:p>
    <w:p w14:paraId="40D28600" w14:textId="77777777" w:rsidR="008F791C" w:rsidRDefault="008F791C" w:rsidP="008F791C">
      <w:pPr>
        <w:pStyle w:val="ListBullet"/>
      </w:pPr>
      <w:r>
        <w:t xml:space="preserve">Determine habitat critical to the survival of </w:t>
      </w:r>
      <w:r>
        <w:rPr>
          <w:i/>
          <w:iCs/>
        </w:rPr>
        <w:t xml:space="preserve">Rhodanthe </w:t>
      </w:r>
      <w:r>
        <w:t>sp. Point Lookout.</w:t>
      </w:r>
    </w:p>
    <w:p w14:paraId="676B958D" w14:textId="77777777" w:rsidR="008F791C" w:rsidRDefault="008F791C" w:rsidP="008F791C">
      <w:pPr>
        <w:pStyle w:val="Heading3"/>
        <w:spacing w:line="276" w:lineRule="auto"/>
        <w:ind w:left="964" w:hanging="964"/>
      </w:pPr>
      <w:r>
        <w:t>Recovery plan decision</w:t>
      </w:r>
    </w:p>
    <w:p w14:paraId="2555341E" w14:textId="77777777" w:rsidR="008F791C" w:rsidRDefault="008F791C" w:rsidP="008F791C">
      <w:r w:rsidRPr="00732BEA">
        <w:t xml:space="preserve">A decision about whether there should be a recovery plan for this species has not yet been determined. The purpose of this consultation document is to elicit additional information to help inform this decision. </w:t>
      </w:r>
    </w:p>
    <w:p w14:paraId="50BD19F8" w14:textId="77777777" w:rsidR="008F791C" w:rsidRDefault="008F791C" w:rsidP="008F791C">
      <w:pPr>
        <w:pStyle w:val="Heading2"/>
        <w:spacing w:line="276" w:lineRule="auto"/>
        <w:ind w:left="720" w:hanging="720"/>
      </w:pPr>
      <w:r>
        <w:t>Links to relevant implementation documents</w:t>
      </w:r>
    </w:p>
    <w:p w14:paraId="019A2C58" w14:textId="77777777" w:rsidR="008F791C" w:rsidRDefault="006E2873" w:rsidP="008F791C">
      <w:pPr>
        <w:rPr>
          <w:rStyle w:val="Hyperlink"/>
        </w:rPr>
      </w:pPr>
      <w:hyperlink r:id="rId21" w:history="1">
        <w:r w:rsidR="008F791C" w:rsidRPr="00855A65">
          <w:rPr>
            <w:rStyle w:val="Hyperlink"/>
          </w:rPr>
          <w:t>Threat abatement plan for competition and land degradation by unmanaged goats (2008)</w:t>
        </w:r>
      </w:hyperlink>
    </w:p>
    <w:p w14:paraId="12A3D901" w14:textId="77777777" w:rsidR="008F791C" w:rsidRDefault="008F791C" w:rsidP="008F791C">
      <w:pPr>
        <w:pStyle w:val="Heading2"/>
        <w:spacing w:before="120"/>
        <w:ind w:left="709" w:hanging="709"/>
      </w:pPr>
      <w:r>
        <w:lastRenderedPageBreak/>
        <w:t>Con</w:t>
      </w:r>
      <w:r>
        <w:rPr>
          <w:bCs w:val="0"/>
        </w:rPr>
        <w:t>se</w:t>
      </w:r>
      <w:r>
        <w:t>rva</w:t>
      </w:r>
      <w:r>
        <w:rPr>
          <w:bCs w:val="0"/>
        </w:rPr>
        <w:t>t</w:t>
      </w:r>
      <w:r>
        <w:t>io</w:t>
      </w:r>
      <w:r>
        <w:rPr>
          <w:bCs w:val="0"/>
        </w:rPr>
        <w:t>n</w:t>
      </w:r>
      <w:r>
        <w:t xml:space="preserve"> Advi</w:t>
      </w:r>
      <w:r>
        <w:rPr>
          <w:bCs w:val="0"/>
        </w:rPr>
        <w:t>c</w:t>
      </w:r>
      <w:r>
        <w:t xml:space="preserve">e and </w:t>
      </w:r>
      <w:bookmarkEnd w:id="12"/>
      <w:bookmarkEnd w:id="13"/>
      <w:r>
        <w:t>Listing Assessment references</w:t>
      </w:r>
    </w:p>
    <w:p w14:paraId="32C8B536" w14:textId="77777777" w:rsidR="008F791C" w:rsidRPr="00AE7188" w:rsidRDefault="008F791C" w:rsidP="008F791C">
      <w:pPr>
        <w:spacing w:before="240"/>
        <w:ind w:left="720" w:hanging="720"/>
        <w:rPr>
          <w:rFonts w:cs="Arial"/>
          <w:color w:val="222222"/>
          <w:shd w:val="clear" w:color="auto" w:fill="FFFFFF"/>
        </w:rPr>
      </w:pPr>
      <w:r w:rsidRPr="00AE7188">
        <w:t xml:space="preserve">Agriculture Victoria (2021) </w:t>
      </w:r>
      <w:r w:rsidRPr="00AE7188">
        <w:rPr>
          <w:i/>
          <w:iCs/>
        </w:rPr>
        <w:t>Integrated feral goat control</w:t>
      </w:r>
      <w:r w:rsidRPr="00AE7188">
        <w:t xml:space="preserve">. Viewed: 6 September. Available on the internet at: </w:t>
      </w:r>
      <w:hyperlink r:id="rId22" w:history="1">
        <w:r w:rsidRPr="00AE7188">
          <w:rPr>
            <w:rStyle w:val="Hyperlink"/>
          </w:rPr>
          <w:t>https://agriculture.vic.gov.au/biosecurity/pest-animals/invasive-animal-management/integrated-feral-goat-control</w:t>
        </w:r>
      </w:hyperlink>
    </w:p>
    <w:p w14:paraId="58DCA049" w14:textId="77777777" w:rsidR="008F791C" w:rsidRDefault="008F791C" w:rsidP="008F791C">
      <w:pPr>
        <w:ind w:left="720" w:right="-284" w:hanging="720"/>
        <w:rPr>
          <w:rFonts w:cs="Arial"/>
          <w:color w:val="222222"/>
          <w:shd w:val="clear" w:color="auto" w:fill="FFFFFF"/>
        </w:rPr>
      </w:pPr>
      <w:r w:rsidRPr="00AE7188">
        <w:rPr>
          <w:rFonts w:cs="Arial"/>
          <w:color w:val="222222"/>
          <w:shd w:val="clear" w:color="auto" w:fill="FFFFFF"/>
        </w:rPr>
        <w:t>Bayne P, Harden R &amp; Davies I (2005) Feral goats (</w:t>
      </w:r>
      <w:r w:rsidRPr="00AE7188">
        <w:rPr>
          <w:rFonts w:cs="Arial"/>
          <w:i/>
          <w:iCs/>
          <w:color w:val="222222"/>
          <w:shd w:val="clear" w:color="auto" w:fill="FFFFFF"/>
        </w:rPr>
        <w:t>Capra hircus</w:t>
      </w:r>
      <w:r w:rsidRPr="00AE7188">
        <w:rPr>
          <w:rFonts w:cs="Arial"/>
          <w:color w:val="222222"/>
          <w:shd w:val="clear" w:color="auto" w:fill="FFFFFF"/>
        </w:rPr>
        <w:t xml:space="preserve"> L.) in the Macleay River gorge system, north-eastern New South Wales, Australia. I. Impacts on soil erosion. </w:t>
      </w:r>
      <w:r w:rsidRPr="00AE7188">
        <w:rPr>
          <w:rFonts w:cs="Arial"/>
          <w:i/>
          <w:iCs/>
          <w:color w:val="222222"/>
          <w:shd w:val="clear" w:color="auto" w:fill="FFFFFF"/>
        </w:rPr>
        <w:t xml:space="preserve">Wildlife Research </w:t>
      </w:r>
      <w:r w:rsidRPr="00AE7188">
        <w:rPr>
          <w:rFonts w:cs="Arial"/>
          <w:color w:val="222222"/>
          <w:shd w:val="clear" w:color="auto" w:fill="FFFFFF"/>
        </w:rPr>
        <w:t>1, 519–525.</w:t>
      </w:r>
    </w:p>
    <w:p w14:paraId="22FDF38A" w14:textId="77777777" w:rsidR="008F791C" w:rsidRPr="00503D1D" w:rsidRDefault="008F791C" w:rsidP="008F791C">
      <w:pPr>
        <w:ind w:left="720" w:right="-284" w:hanging="720"/>
        <w:rPr>
          <w:rFonts w:cs="Arial"/>
          <w:color w:val="222222"/>
          <w:shd w:val="clear" w:color="auto" w:fill="FFFFFF"/>
        </w:rPr>
      </w:pPr>
      <w:r w:rsidRPr="00DE1FBF">
        <w:rPr>
          <w:rFonts w:cs="Arial"/>
          <w:color w:val="222222"/>
          <w:shd w:val="clear" w:color="auto" w:fill="FFFFFF"/>
        </w:rPr>
        <w:t>Bell DT (1995). A review of the ecological factors affecting seed germination of species used in the reclamation of Western Australian bauxite mining. In </w:t>
      </w:r>
      <w:r w:rsidRPr="00DE1FBF">
        <w:rPr>
          <w:rFonts w:cs="Arial"/>
          <w:i/>
          <w:iCs/>
          <w:color w:val="222222"/>
          <w:shd w:val="clear" w:color="auto" w:fill="FFFFFF"/>
        </w:rPr>
        <w:t>Decades Later: a Time for Reassessment. Proceedings of the 12th Annual National Meeting of the American Society for Surface Mining and Reclamation June</w:t>
      </w:r>
      <w:r w:rsidRPr="00DE1FBF">
        <w:rPr>
          <w:rFonts w:cs="Arial"/>
          <w:color w:val="222222"/>
          <w:shd w:val="clear" w:color="auto" w:fill="FFFFFF"/>
        </w:rPr>
        <w:t xml:space="preserve"> </w:t>
      </w:r>
      <w:r w:rsidRPr="00DE1FBF">
        <w:rPr>
          <w:rFonts w:cs="Arial"/>
          <w:i/>
          <w:iCs/>
          <w:color w:val="222222"/>
          <w:shd w:val="clear" w:color="auto" w:fill="FFFFFF"/>
        </w:rPr>
        <w:t>5</w:t>
      </w:r>
      <w:r w:rsidRPr="00DE1FBF">
        <w:rPr>
          <w:rFonts w:cs="Arial"/>
          <w:color w:val="222222"/>
          <w:shd w:val="clear" w:color="auto" w:fill="FFFFFF"/>
        </w:rPr>
        <w:t xml:space="preserve"> </w:t>
      </w:r>
    </w:p>
    <w:p w14:paraId="0374BD38" w14:textId="77777777" w:rsidR="008F791C" w:rsidRPr="00AE7188" w:rsidRDefault="008F791C" w:rsidP="008F791C">
      <w:pPr>
        <w:ind w:left="720" w:hanging="720"/>
      </w:pPr>
      <w:r w:rsidRPr="00AE7188">
        <w:t xml:space="preserve">BOM (Bureau of Meteorology) (2021) Previous Droughts. Viewed: 6 September 2021. Available on the internet at: </w:t>
      </w:r>
      <w:hyperlink r:id="rId23" w:history="1">
        <w:r w:rsidRPr="00AE7188">
          <w:rPr>
            <w:rStyle w:val="Hyperlink"/>
          </w:rPr>
          <w:t>http://www.bom.gov.au/climate/drought/knowledge-centre/previous-droughts.shtml</w:t>
        </w:r>
      </w:hyperlink>
    </w:p>
    <w:p w14:paraId="308BB6C8" w14:textId="77777777" w:rsidR="008F791C" w:rsidRDefault="008F791C" w:rsidP="008F791C">
      <w:pPr>
        <w:spacing w:before="240"/>
        <w:ind w:left="720" w:hanging="720"/>
        <w:rPr>
          <w:rStyle w:val="Hyperlink"/>
        </w:rPr>
      </w:pPr>
      <w:r w:rsidRPr="00AE7188">
        <w:t xml:space="preserve">BOM (Bureau of Meteorology) (2021) Climate statistics for Australian locations. Viewed: 6 September 2021. Available on the internet at: </w:t>
      </w:r>
      <w:hyperlink r:id="rId24" w:history="1">
        <w:r w:rsidRPr="00AE7188">
          <w:rPr>
            <w:rStyle w:val="Hyperlink"/>
          </w:rPr>
          <w:t>http://www.bom.gov.au/climate/averages/tables/cw_059140.shtml</w:t>
        </w:r>
      </w:hyperlink>
    </w:p>
    <w:p w14:paraId="7AEFDB4A" w14:textId="77777777" w:rsidR="008F791C" w:rsidRPr="00DE1FBF" w:rsidRDefault="008F791C" w:rsidP="008F791C">
      <w:pPr>
        <w:spacing w:before="240"/>
        <w:ind w:left="720" w:hanging="720"/>
        <w:rPr>
          <w:iCs/>
          <w:color w:val="000000" w:themeColor="text1"/>
        </w:rPr>
      </w:pPr>
      <w:r w:rsidRPr="00DE1FBF">
        <w:rPr>
          <w:rStyle w:val="Hyperlink"/>
          <w:color w:val="000000" w:themeColor="text1"/>
          <w:u w:val="none"/>
        </w:rPr>
        <w:t xml:space="preserve">Bunker KV (1994) Overcoming poor germination in Australian daisies (Asteraceae) by combinations of gibberellin, scarification, light and dark. </w:t>
      </w:r>
      <w:r w:rsidRPr="00DE1FBF">
        <w:rPr>
          <w:rStyle w:val="Hyperlink"/>
          <w:i/>
          <w:color w:val="000000" w:themeColor="text1"/>
          <w:u w:val="none"/>
        </w:rPr>
        <w:t>Scientia Horticulturae</w:t>
      </w:r>
      <w:r w:rsidRPr="00DE1FBF">
        <w:rPr>
          <w:rStyle w:val="Hyperlink"/>
          <w:iCs/>
          <w:color w:val="000000" w:themeColor="text1"/>
          <w:u w:val="none"/>
        </w:rPr>
        <w:t xml:space="preserve"> 59, 243</w:t>
      </w:r>
      <w:r w:rsidRPr="00DE1FBF">
        <w:rPr>
          <w:rStyle w:val="Hyperlink"/>
          <w:iCs/>
          <w:color w:val="000000" w:themeColor="text1"/>
          <w:u w:val="none"/>
        </w:rPr>
        <w:softHyphen/>
        <w:t>252</w:t>
      </w:r>
    </w:p>
    <w:p w14:paraId="5EBC8E68" w14:textId="0426A616" w:rsidR="008F791C" w:rsidRPr="00AE7188" w:rsidRDefault="008F791C" w:rsidP="008F791C">
      <w:pPr>
        <w:spacing w:before="240"/>
        <w:ind w:left="720" w:hanging="720"/>
      </w:pPr>
      <w:r w:rsidRPr="00AE7188">
        <w:t>Bunker KV (1995) Year-round production of Australian daisies (Asteraceae) as flowering pot plants</w:t>
      </w:r>
      <w:r w:rsidR="00517DE9">
        <w:t>.</w:t>
      </w:r>
      <w:r w:rsidRPr="00AE7188">
        <w:t xml:space="preserve"> </w:t>
      </w:r>
      <w:r w:rsidRPr="00AE7188">
        <w:rPr>
          <w:i/>
          <w:iCs/>
        </w:rPr>
        <w:t>Scientia Horticulturae</w:t>
      </w:r>
      <w:r w:rsidRPr="00AE7188">
        <w:t xml:space="preserve"> 61, 101–113. </w:t>
      </w:r>
    </w:p>
    <w:p w14:paraId="02B0149C" w14:textId="77777777" w:rsidR="008F791C"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Choengsaat D, Plummer JA &amp; Turner DW (1996) Irrigate for more seeds and heat for better germination in Australian Everlasting Daisies. In </w:t>
      </w:r>
      <w:r w:rsidRPr="00AE7188">
        <w:rPr>
          <w:rFonts w:cs="Arial"/>
          <w:i/>
          <w:iCs/>
          <w:color w:val="222222"/>
          <w:shd w:val="clear" w:color="auto" w:fill="FFFFFF"/>
        </w:rPr>
        <w:t xml:space="preserve">III International Symposium on New Floricultural Crops </w:t>
      </w:r>
      <w:r w:rsidRPr="00AE7188">
        <w:rPr>
          <w:rFonts w:cs="Arial"/>
          <w:color w:val="222222"/>
          <w:shd w:val="clear" w:color="auto" w:fill="FFFFFF"/>
        </w:rPr>
        <w:t>454, 241–250.</w:t>
      </w:r>
    </w:p>
    <w:p w14:paraId="38135C92" w14:textId="77777777" w:rsidR="008F791C" w:rsidRPr="00503D1D" w:rsidRDefault="008F791C" w:rsidP="008F791C">
      <w:pPr>
        <w:spacing w:before="240"/>
        <w:ind w:left="720" w:hanging="720"/>
        <w:rPr>
          <w:rFonts w:cs="Arial"/>
          <w:color w:val="222222"/>
          <w:shd w:val="clear" w:color="auto" w:fill="FFFFFF"/>
        </w:rPr>
      </w:pPr>
      <w:r w:rsidRPr="00DE1FBF">
        <w:rPr>
          <w:rFonts w:cs="Arial"/>
          <w:color w:val="222222"/>
          <w:shd w:val="clear" w:color="auto" w:fill="FFFFFF"/>
        </w:rPr>
        <w:t>Cohn JS, Bradstock RA &amp; Burke S (2002). Effects of time since fire, topography and resprouting eucalypts on ephemeral understorey species composition, in semi-arid mallee communities in NSW. </w:t>
      </w:r>
      <w:r w:rsidRPr="00DE1FBF">
        <w:rPr>
          <w:rFonts w:cs="Arial"/>
          <w:i/>
          <w:iCs/>
          <w:color w:val="222222"/>
          <w:shd w:val="clear" w:color="auto" w:fill="FFFFFF"/>
        </w:rPr>
        <w:t>Cunninghamia</w:t>
      </w:r>
      <w:r w:rsidRPr="00DE1FBF">
        <w:rPr>
          <w:rFonts w:cs="Arial"/>
          <w:color w:val="222222"/>
          <w:shd w:val="clear" w:color="auto" w:fill="FFFFFF"/>
        </w:rPr>
        <w:t>, </w:t>
      </w:r>
      <w:r w:rsidRPr="00DE1FBF">
        <w:rPr>
          <w:rFonts w:cs="Arial"/>
          <w:i/>
          <w:iCs/>
          <w:color w:val="222222"/>
          <w:shd w:val="clear" w:color="auto" w:fill="FFFFFF"/>
        </w:rPr>
        <w:t>7</w:t>
      </w:r>
      <w:r w:rsidRPr="00DE1FBF">
        <w:rPr>
          <w:rFonts w:cs="Arial"/>
          <w:color w:val="222222"/>
          <w:shd w:val="clear" w:color="auto" w:fill="FFFFFF"/>
        </w:rPr>
        <w:t>, 579</w:t>
      </w:r>
      <w:r>
        <w:rPr>
          <w:rFonts w:cs="Arial"/>
          <w:color w:val="222222"/>
          <w:shd w:val="clear" w:color="auto" w:fill="FFFFFF"/>
        </w:rPr>
        <w:t>–</w:t>
      </w:r>
      <w:r w:rsidRPr="00DE1FBF">
        <w:rPr>
          <w:rFonts w:cs="Arial"/>
          <w:color w:val="222222"/>
          <w:shd w:val="clear" w:color="auto" w:fill="FFFFFF"/>
        </w:rPr>
        <w:t>600.</w:t>
      </w:r>
    </w:p>
    <w:p w14:paraId="59D313D9" w14:textId="77777777" w:rsidR="008F791C" w:rsidRPr="00C449C5" w:rsidRDefault="008F791C" w:rsidP="008F791C">
      <w:pPr>
        <w:ind w:left="426" w:hanging="426"/>
      </w:pPr>
      <w:r w:rsidRPr="00C449C5">
        <w:t xml:space="preserve">Commander LE, Coates D, Broadhurst L, Offord CA, Makinson RO and Matthes M (2018) </w:t>
      </w:r>
      <w:r w:rsidRPr="00C449C5">
        <w:rPr>
          <w:i/>
          <w:iCs/>
        </w:rPr>
        <w:t>Guidelines for the translocation of threatened plants in Australia</w:t>
      </w:r>
      <w:r w:rsidRPr="00C449C5">
        <w:t xml:space="preserve"> </w:t>
      </w:r>
      <w:r w:rsidRPr="00C449C5">
        <w:rPr>
          <w:i/>
          <w:iCs/>
        </w:rPr>
        <w:t>Third Edition</w:t>
      </w:r>
      <w:r w:rsidRPr="00C449C5">
        <w:t>. Australian Network for Plant Conservation, Canberra.</w:t>
      </w:r>
    </w:p>
    <w:p w14:paraId="11AD4F44" w14:textId="77777777" w:rsidR="008F791C" w:rsidRPr="00AE7188" w:rsidRDefault="008F791C" w:rsidP="008F791C">
      <w:pPr>
        <w:ind w:left="720" w:hanging="720"/>
      </w:pPr>
      <w:r w:rsidRPr="00AE7188">
        <w:t>CSIRO &amp; Bureau of Meteorology (2015)</w:t>
      </w:r>
      <w:r w:rsidRPr="00AE7188">
        <w:rPr>
          <w:i/>
          <w:iCs/>
        </w:rPr>
        <w:t xml:space="preserve"> Climate Change in Australia Information for Australia’s Natural Resource Management Regions</w:t>
      </w:r>
      <w:r w:rsidRPr="00AE7188">
        <w:t>: Technical Report. CSIRO and Bureau of Meteorology, Australia.</w:t>
      </w:r>
    </w:p>
    <w:p w14:paraId="40C6989A" w14:textId="77777777" w:rsidR="008F791C" w:rsidRPr="00AE7188" w:rsidRDefault="008F791C" w:rsidP="008F791C">
      <w:pPr>
        <w:ind w:left="720" w:hanging="720"/>
        <w:rPr>
          <w:rStyle w:val="Hyperlink"/>
          <w:color w:val="000000" w:themeColor="text1"/>
          <w:u w:val="none"/>
        </w:rPr>
      </w:pPr>
      <w:r w:rsidRPr="00E12F30">
        <w:rPr>
          <w:rStyle w:val="Hyperlink"/>
          <w:color w:val="000000" w:themeColor="text1"/>
          <w:u w:val="none"/>
        </w:rPr>
        <w:t xml:space="preserve">DAF (2020) </w:t>
      </w:r>
      <w:r w:rsidRPr="00E12F30">
        <w:rPr>
          <w:rStyle w:val="Hyperlink"/>
          <w:i/>
          <w:iCs/>
          <w:color w:val="000000" w:themeColor="text1"/>
          <w:u w:val="none"/>
        </w:rPr>
        <w:t>Feral Goat</w:t>
      </w:r>
      <w:r w:rsidRPr="00AE7188">
        <w:t xml:space="preserve"> Capra hircus</w:t>
      </w:r>
      <w:r>
        <w:t>.</w:t>
      </w:r>
      <w:r w:rsidRPr="00AE7188">
        <w:t xml:space="preserve"> Department of Agriculture &amp; Fisheries, Brisbane.</w:t>
      </w:r>
    </w:p>
    <w:p w14:paraId="1DD92EEE" w14:textId="77777777" w:rsidR="008F791C"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D'Antonio CM &amp; Vitousek PM (1992) Biological invasions by exotic grasses, the grass/fire cycle, and global change. </w:t>
      </w:r>
      <w:r w:rsidRPr="00AE7188">
        <w:rPr>
          <w:rFonts w:cs="Arial"/>
          <w:i/>
          <w:iCs/>
          <w:color w:val="222222"/>
          <w:shd w:val="clear" w:color="auto" w:fill="FFFFFF"/>
        </w:rPr>
        <w:t>Annual review of ecology and systematics</w:t>
      </w:r>
      <w:r w:rsidRPr="00AE7188">
        <w:rPr>
          <w:rFonts w:cs="Arial"/>
          <w:color w:val="222222"/>
          <w:shd w:val="clear" w:color="auto" w:fill="FFFFFF"/>
        </w:rPr>
        <w:t xml:space="preserve"> 23, 63–87.</w:t>
      </w:r>
    </w:p>
    <w:p w14:paraId="2FEA11EA" w14:textId="77777777" w:rsidR="008F791C" w:rsidRPr="00222B99" w:rsidRDefault="008F791C" w:rsidP="008F791C">
      <w:pPr>
        <w:spacing w:before="240"/>
        <w:ind w:left="720" w:hanging="720"/>
        <w:rPr>
          <w:rFonts w:cs="Arial"/>
          <w:color w:val="222222"/>
          <w:shd w:val="clear" w:color="auto" w:fill="FFFFFF"/>
        </w:rPr>
      </w:pPr>
      <w:r>
        <w:rPr>
          <w:rFonts w:cs="Arial"/>
          <w:color w:val="222222"/>
          <w:shd w:val="clear" w:color="auto" w:fill="FFFFFF"/>
        </w:rPr>
        <w:lastRenderedPageBreak/>
        <w:t xml:space="preserve">DAWE (2021) Conservation Advice for </w:t>
      </w:r>
      <w:r>
        <w:rPr>
          <w:rFonts w:cs="Arial"/>
          <w:i/>
          <w:iCs/>
          <w:color w:val="222222"/>
          <w:shd w:val="clear" w:color="auto" w:fill="FFFFFF"/>
        </w:rPr>
        <w:t>Leucochrysum</w:t>
      </w:r>
      <w:r>
        <w:rPr>
          <w:rFonts w:cs="Arial"/>
          <w:color w:val="222222"/>
          <w:shd w:val="clear" w:color="auto" w:fill="FFFFFF"/>
        </w:rPr>
        <w:t xml:space="preserve"> </w:t>
      </w:r>
      <w:r>
        <w:rPr>
          <w:rFonts w:cs="Arial"/>
          <w:i/>
          <w:iCs/>
          <w:color w:val="222222"/>
          <w:shd w:val="clear" w:color="auto" w:fill="FFFFFF"/>
        </w:rPr>
        <w:t>albicans</w:t>
      </w:r>
      <w:r>
        <w:rPr>
          <w:rFonts w:cs="Arial"/>
          <w:color w:val="222222"/>
          <w:shd w:val="clear" w:color="auto" w:fill="FFFFFF"/>
        </w:rPr>
        <w:t xml:space="preserve"> var </w:t>
      </w:r>
      <w:r>
        <w:rPr>
          <w:rFonts w:cs="Arial"/>
          <w:i/>
          <w:iCs/>
          <w:color w:val="222222"/>
          <w:shd w:val="clear" w:color="auto" w:fill="FFFFFF"/>
        </w:rPr>
        <w:t>tricolor</w:t>
      </w:r>
      <w:r>
        <w:rPr>
          <w:rFonts w:cs="Arial"/>
          <w:color w:val="222222"/>
          <w:shd w:val="clear" w:color="auto" w:fill="FFFFFF"/>
        </w:rPr>
        <w:t>. Department of Agriculture, Water and the Environment (Cwlth), Canberra.</w:t>
      </w:r>
    </w:p>
    <w:p w14:paraId="41BE135A" w14:textId="77777777" w:rsidR="008F791C" w:rsidRPr="00AE7188" w:rsidRDefault="008F791C" w:rsidP="008F791C">
      <w:pPr>
        <w:spacing w:before="240"/>
        <w:ind w:left="720" w:hanging="720"/>
      </w:pPr>
      <w:r w:rsidRPr="00AE7188">
        <w:t xml:space="preserve">DEWHA (2008) </w:t>
      </w:r>
      <w:r w:rsidRPr="00AE7188">
        <w:rPr>
          <w:i/>
          <w:iCs/>
        </w:rPr>
        <w:t>Threat abatement plan for competition and land degradation by unmanaged goats</w:t>
      </w:r>
      <w:r w:rsidRPr="00AE7188">
        <w:t>. Department of the Environment, Water, Heritage and the Arts, Canberra</w:t>
      </w:r>
    </w:p>
    <w:p w14:paraId="33F93944" w14:textId="77777777" w:rsidR="008F791C" w:rsidRPr="00AE7188" w:rsidRDefault="008F791C" w:rsidP="008F791C">
      <w:pPr>
        <w:spacing w:before="240"/>
        <w:ind w:left="720" w:hanging="720"/>
      </w:pPr>
      <w:r w:rsidRPr="00AE7188">
        <w:t xml:space="preserve">DPI (Department of Primary Industries) (2021) Feral goat biology and distribution. Viewed: 6 September. Available on the internet at: </w:t>
      </w:r>
      <w:hyperlink r:id="rId25" w:history="1">
        <w:r w:rsidRPr="00AE7188">
          <w:rPr>
            <w:rStyle w:val="Hyperlink"/>
          </w:rPr>
          <w:t>https://www.dpi.nsw.gov.au/biosecurity/vertebrate-pests/pest-animals-in-nsw/feral-goats/feral-goat-biology</w:t>
        </w:r>
      </w:hyperlink>
    </w:p>
    <w:p w14:paraId="7B16A9CF" w14:textId="77777777" w:rsidR="008F791C" w:rsidRPr="00AE7188" w:rsidRDefault="008F791C" w:rsidP="008F791C">
      <w:pPr>
        <w:spacing w:before="240"/>
        <w:ind w:left="720" w:hanging="720"/>
      </w:pPr>
      <w:r w:rsidRPr="00AE7188">
        <w:t xml:space="preserve">DPIE (2021) </w:t>
      </w:r>
      <w:r w:rsidRPr="00AE7188">
        <w:rPr>
          <w:i/>
          <w:iCs/>
        </w:rPr>
        <w:t xml:space="preserve">NSW Post-fire Priority Plants Field Assessment Data – </w:t>
      </w:r>
      <w:r w:rsidRPr="00AE7188">
        <w:t>Rhodanthe</w:t>
      </w:r>
      <w:r w:rsidRPr="00AE7188">
        <w:rPr>
          <w:i/>
          <w:iCs/>
        </w:rPr>
        <w:t xml:space="preserve"> sp. Point Lookout Field Assessment Data Sheets</w:t>
      </w:r>
      <w:r w:rsidRPr="00AE7188">
        <w:t xml:space="preserve">. Department of Planning, Industry and Environment, Sydney, New South Wales. </w:t>
      </w:r>
    </w:p>
    <w:p w14:paraId="2F7D6EAC" w14:textId="77777777" w:rsidR="008F791C" w:rsidRDefault="008F791C" w:rsidP="008F791C">
      <w:pPr>
        <w:spacing w:before="240"/>
        <w:ind w:left="720" w:hanging="720"/>
        <w:rPr>
          <w:rStyle w:val="Hyperlink"/>
          <w:rFonts w:cs="Arial"/>
          <w:shd w:val="clear" w:color="auto" w:fill="FFFFFF"/>
        </w:rPr>
      </w:pPr>
      <w:r w:rsidRPr="00AE7188">
        <w:rPr>
          <w:rFonts w:cs="Arial"/>
          <w:color w:val="222222"/>
          <w:shd w:val="clear" w:color="auto" w:fill="FFFFFF"/>
        </w:rPr>
        <w:t xml:space="preserve">DPIPWE (Department of Primary Industries, Parks, Water and Environment) (2021) Managing weed spread after fire. Viewed: 6 September 2021. Available on the internet at: </w:t>
      </w:r>
      <w:hyperlink r:id="rId26" w:history="1">
        <w:r w:rsidRPr="00AE7188">
          <w:rPr>
            <w:rStyle w:val="Hyperlink"/>
            <w:rFonts w:cs="Arial"/>
            <w:shd w:val="clear" w:color="auto" w:fill="FFFFFF"/>
          </w:rPr>
          <w:t>https://dpipwe.tas.gov.au/invasive-species/weeds/weed-publications-and-resources/weed-spread-after-fire</w:t>
        </w:r>
      </w:hyperlink>
    </w:p>
    <w:p w14:paraId="7A0B9BB7" w14:textId="77777777" w:rsidR="008F791C" w:rsidRPr="00AE7188" w:rsidRDefault="008F791C" w:rsidP="008F791C">
      <w:pPr>
        <w:spacing w:before="240"/>
        <w:ind w:left="720" w:hanging="720"/>
        <w:rPr>
          <w:rFonts w:cs="Arial"/>
          <w:color w:val="222222"/>
          <w:shd w:val="clear" w:color="auto" w:fill="FFFFFF"/>
        </w:rPr>
      </w:pPr>
      <w:r>
        <w:rPr>
          <w:rFonts w:cs="Arial"/>
          <w:color w:val="222222"/>
          <w:shd w:val="clear" w:color="auto" w:fill="FFFFFF"/>
        </w:rPr>
        <w:t xml:space="preserve">Drewes FE, Smith MT &amp; van Staden J (1995). The effect of a plant derived smoke extract on the germination of light-sensitive lettuce seed. </w:t>
      </w:r>
      <w:r w:rsidRPr="00DE1FBF">
        <w:rPr>
          <w:rFonts w:cs="Arial"/>
          <w:i/>
          <w:iCs/>
          <w:color w:val="222222"/>
          <w:shd w:val="clear" w:color="auto" w:fill="FFFFFF"/>
        </w:rPr>
        <w:t>Plant Growth regulation</w:t>
      </w:r>
      <w:r>
        <w:rPr>
          <w:rFonts w:cs="Arial"/>
          <w:color w:val="222222"/>
          <w:shd w:val="clear" w:color="auto" w:fill="FFFFFF"/>
        </w:rPr>
        <w:t xml:space="preserve"> 16, 205–209</w:t>
      </w:r>
    </w:p>
    <w:p w14:paraId="2A61B684" w14:textId="77777777" w:rsidR="008F791C" w:rsidRDefault="008F791C" w:rsidP="008F791C">
      <w:pPr>
        <w:spacing w:before="240"/>
        <w:ind w:left="720" w:hanging="720"/>
      </w:pPr>
      <w:r w:rsidRPr="00AE7188">
        <w:t xml:space="preserve">DSEWPC (2011) </w:t>
      </w:r>
      <w:r w:rsidRPr="00AE7188">
        <w:rPr>
          <w:i/>
          <w:iCs/>
        </w:rPr>
        <w:t xml:space="preserve">The Feral Goat </w:t>
      </w:r>
      <w:r w:rsidRPr="00AE7188">
        <w:t xml:space="preserve">(Capra hircus). Department of Sustainability, Environment, Water, Population and Communities. </w:t>
      </w:r>
    </w:p>
    <w:p w14:paraId="01A3A353" w14:textId="77777777" w:rsidR="008F791C" w:rsidRPr="00503D1D" w:rsidRDefault="008F791C" w:rsidP="008F791C">
      <w:pPr>
        <w:spacing w:before="240"/>
        <w:ind w:left="720" w:hanging="720"/>
      </w:pPr>
      <w:r>
        <w:t>Epee Misse PT (2019) Dormancy and germination in two Australian native species (</w:t>
      </w:r>
      <w:r>
        <w:rPr>
          <w:i/>
          <w:iCs/>
        </w:rPr>
        <w:t xml:space="preserve">Acacia aneura </w:t>
      </w:r>
      <w:r>
        <w:t xml:space="preserve">and </w:t>
      </w:r>
      <w:r>
        <w:rPr>
          <w:i/>
          <w:iCs/>
        </w:rPr>
        <w:t>Rhodanthe floribunda</w:t>
      </w:r>
      <w:r>
        <w:t xml:space="preserve">). </w:t>
      </w:r>
      <w:r w:rsidRPr="00DE1FBF">
        <w:rPr>
          <w:i/>
          <w:iCs/>
        </w:rPr>
        <w:t>African Journal of Biological Sciences</w:t>
      </w:r>
      <w:r>
        <w:rPr>
          <w:i/>
          <w:iCs/>
        </w:rPr>
        <w:t xml:space="preserve"> </w:t>
      </w:r>
      <w:r>
        <w:t xml:space="preserve">01, 55–59. </w:t>
      </w:r>
    </w:p>
    <w:p w14:paraId="7DBD518F" w14:textId="77777777" w:rsidR="008F791C" w:rsidRPr="00AE7188" w:rsidRDefault="008F791C" w:rsidP="008F791C">
      <w:pPr>
        <w:spacing w:before="240"/>
        <w:ind w:left="720" w:hanging="720"/>
      </w:pPr>
      <w:r w:rsidRPr="00AE7188">
        <w:t xml:space="preserve">Evans JP, Argüeso D, Olson R, Di Luca A (2014) </w:t>
      </w:r>
      <w:r w:rsidRPr="00AE7188">
        <w:rPr>
          <w:i/>
          <w:iCs/>
        </w:rPr>
        <w:t>NARCliM extreme precipitation indices report</w:t>
      </w:r>
      <w:r w:rsidRPr="00AE7188">
        <w:t xml:space="preserve">. </w:t>
      </w:r>
      <w:r w:rsidRPr="00AE7188">
        <w:rPr>
          <w:i/>
          <w:iCs/>
        </w:rPr>
        <w:t>NARCliM Technical Note 6. Sydney, Australia</w:t>
      </w:r>
      <w:r w:rsidRPr="00AE7188">
        <w:t xml:space="preserve">: Report to the NSW Office of Environment and Heritage, Sydney. </w:t>
      </w:r>
    </w:p>
    <w:p w14:paraId="62EED3CF" w14:textId="77777777" w:rsidR="008F791C" w:rsidRDefault="008F791C" w:rsidP="008F791C">
      <w:pPr>
        <w:spacing w:before="240"/>
        <w:ind w:left="720" w:hanging="720"/>
        <w:rPr>
          <w:rStyle w:val="Hyperlink"/>
        </w:rPr>
      </w:pPr>
      <w:r w:rsidRPr="0073134C">
        <w:t xml:space="preserve">Gallagher RV </w:t>
      </w:r>
      <w:r>
        <w:t>(</w:t>
      </w:r>
      <w:r w:rsidRPr="0073134C">
        <w:t>2020</w:t>
      </w:r>
      <w:r>
        <w:t>)</w:t>
      </w:r>
      <w:r w:rsidRPr="0073134C">
        <w:t xml:space="preserve"> </w:t>
      </w:r>
      <w:r w:rsidRPr="0073134C">
        <w:rPr>
          <w:i/>
          <w:iCs/>
        </w:rPr>
        <w:t xml:space="preserve">National prioritisation of Australian plants affected by the 2019-2020 bushfire season </w:t>
      </w:r>
      <w:r w:rsidRPr="0073134C">
        <w:t xml:space="preserve">– </w:t>
      </w:r>
      <w:r w:rsidRPr="0073134C">
        <w:rPr>
          <w:i/>
          <w:iCs/>
        </w:rPr>
        <w:t>Report to the Commonwealth Department of Agriculture, Water and Environment</w:t>
      </w:r>
      <w:r w:rsidRPr="0073134C">
        <w:t>. Australian Government Department of Agriculture, Water and the Environment, Canberra</w:t>
      </w:r>
      <w:r>
        <w:t xml:space="preserve">. </w:t>
      </w:r>
      <w:r w:rsidRPr="0073134C">
        <w:t xml:space="preserve">Accessed on </w:t>
      </w:r>
      <w:r>
        <w:t>30 November 2020</w:t>
      </w:r>
      <w:r w:rsidRPr="0073134C">
        <w:t>.</w:t>
      </w:r>
      <w:r>
        <w:t xml:space="preserve"> Available from</w:t>
      </w:r>
      <w:r w:rsidRPr="0073134C">
        <w:t xml:space="preserve"> </w:t>
      </w:r>
      <w:hyperlink r:id="rId27" w:history="1">
        <w:r w:rsidRPr="0073134C">
          <w:rPr>
            <w:rStyle w:val="Hyperlink"/>
          </w:rPr>
          <w:t>http://www.environment.gov.au/biodiversity/bushfire-recovery/priority-plants</w:t>
        </w:r>
      </w:hyperlink>
    </w:p>
    <w:p w14:paraId="7F409120" w14:textId="77777777" w:rsidR="008F791C" w:rsidRPr="00222B99" w:rsidRDefault="008F791C" w:rsidP="008F791C">
      <w:pPr>
        <w:spacing w:before="240"/>
        <w:ind w:left="720" w:hanging="720"/>
        <w:rPr>
          <w:rStyle w:val="Hyperlink"/>
        </w:rPr>
      </w:pPr>
      <w:r w:rsidRPr="00F83ADD">
        <w:rPr>
          <w:rStyle w:val="Hyperlink"/>
          <w:color w:val="auto"/>
          <w:u w:val="none"/>
        </w:rPr>
        <w:t xml:space="preserve">Greening Australia (n.d.) </w:t>
      </w:r>
      <w:r w:rsidRPr="00F83ADD">
        <w:rPr>
          <w:rStyle w:val="Hyperlink"/>
          <w:i/>
          <w:iCs/>
          <w:color w:val="auto"/>
          <w:u w:val="none"/>
        </w:rPr>
        <w:t>Leucochrysum albicans</w:t>
      </w:r>
      <w:r w:rsidRPr="00F83ADD">
        <w:rPr>
          <w:rStyle w:val="Hyperlink"/>
          <w:color w:val="auto"/>
          <w:u w:val="none"/>
        </w:rPr>
        <w:t>. Viewed: 27 September 2021. Available on the internet at</w:t>
      </w:r>
      <w:r>
        <w:rPr>
          <w:rStyle w:val="Hyperlink"/>
        </w:rPr>
        <w:t xml:space="preserve">: </w:t>
      </w:r>
      <w:hyperlink r:id="rId28" w:history="1">
        <w:r w:rsidRPr="00222B99">
          <w:rPr>
            <w:rStyle w:val="Hyperlink"/>
          </w:rPr>
          <w:t>https://www.greeningaustralia.org.au/wp-content/uploads/2017/11/FACT-SHEET_Leucochrysum_albicans.pdf</w:t>
        </w:r>
      </w:hyperlink>
    </w:p>
    <w:p w14:paraId="6B0C6C2A" w14:textId="77777777" w:rsidR="008F791C" w:rsidRPr="00AE7188"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Ha TM &amp; Johnston ME (2013) The effect of low temperature on flowering of Rhodanthe Floribunda. </w:t>
      </w:r>
      <w:r w:rsidRPr="00AE7188">
        <w:rPr>
          <w:rFonts w:cs="Arial"/>
          <w:i/>
          <w:iCs/>
          <w:color w:val="222222"/>
          <w:shd w:val="clear" w:color="auto" w:fill="FFFFFF"/>
        </w:rPr>
        <w:t>Asian Journal of Agriculture and Food Sciences</w:t>
      </w:r>
      <w:r w:rsidRPr="00AE7188">
        <w:rPr>
          <w:rFonts w:cs="Arial"/>
          <w:color w:val="222222"/>
          <w:shd w:val="clear" w:color="auto" w:fill="FFFFFF"/>
        </w:rPr>
        <w:t> 1, 205–209.</w:t>
      </w:r>
    </w:p>
    <w:p w14:paraId="569E64B1" w14:textId="77777777" w:rsidR="008F791C" w:rsidRPr="00AE7188" w:rsidRDefault="008F791C" w:rsidP="008F791C">
      <w:pPr>
        <w:ind w:left="720" w:hanging="720"/>
        <w:rPr>
          <w:rFonts w:cs="Arial"/>
          <w:color w:val="222222"/>
          <w:shd w:val="clear" w:color="auto" w:fill="FFFFFF"/>
        </w:rPr>
      </w:pPr>
      <w:r w:rsidRPr="00AE7188">
        <w:rPr>
          <w:rFonts w:cs="Arial"/>
          <w:color w:val="222222"/>
          <w:shd w:val="clear" w:color="auto" w:fill="FFFFFF"/>
        </w:rPr>
        <w:t xml:space="preserve">Heenan PB, Telford IR &amp; Bruhl JJ (2013) Three new species of </w:t>
      </w:r>
      <w:r w:rsidRPr="00AE7188">
        <w:rPr>
          <w:rFonts w:cs="Arial"/>
          <w:i/>
          <w:iCs/>
          <w:color w:val="222222"/>
          <w:shd w:val="clear" w:color="auto" w:fill="FFFFFF"/>
        </w:rPr>
        <w:t>Gingidia</w:t>
      </w:r>
      <w:r w:rsidRPr="00AE7188">
        <w:rPr>
          <w:rFonts w:cs="Arial"/>
          <w:color w:val="222222"/>
          <w:shd w:val="clear" w:color="auto" w:fill="FFFFFF"/>
        </w:rPr>
        <w:t xml:space="preserve"> (Apiaceae: Apioideae) from Australia and New Zealand segregated from </w:t>
      </w:r>
      <w:r w:rsidRPr="00AE7188">
        <w:rPr>
          <w:rFonts w:cs="Arial"/>
          <w:i/>
          <w:iCs/>
          <w:color w:val="222222"/>
          <w:shd w:val="clear" w:color="auto" w:fill="FFFFFF"/>
        </w:rPr>
        <w:t>G. montana</w:t>
      </w:r>
      <w:r w:rsidRPr="00AE7188">
        <w:rPr>
          <w:rFonts w:cs="Arial"/>
          <w:color w:val="222222"/>
          <w:shd w:val="clear" w:color="auto" w:fill="FFFFFF"/>
        </w:rPr>
        <w:t>. </w:t>
      </w:r>
      <w:r w:rsidRPr="00AE7188">
        <w:rPr>
          <w:rFonts w:cs="Arial"/>
          <w:i/>
          <w:iCs/>
          <w:color w:val="222222"/>
          <w:shd w:val="clear" w:color="auto" w:fill="FFFFFF"/>
        </w:rPr>
        <w:t>Australian Systematic Botany</w:t>
      </w:r>
      <w:r w:rsidRPr="00AE7188">
        <w:rPr>
          <w:rFonts w:cs="Arial"/>
          <w:color w:val="222222"/>
          <w:shd w:val="clear" w:color="auto" w:fill="FFFFFF"/>
        </w:rPr>
        <w:t> 26, 196–209.</w:t>
      </w:r>
    </w:p>
    <w:p w14:paraId="1589C7A0" w14:textId="77777777" w:rsidR="008F791C" w:rsidRPr="00AE7188" w:rsidRDefault="008F791C" w:rsidP="008F791C">
      <w:pPr>
        <w:ind w:left="720" w:hanging="720"/>
      </w:pPr>
      <w:r w:rsidRPr="00AE7188">
        <w:lastRenderedPageBreak/>
        <w:t>IUCN (2019) Guidelines for Using the IUCN Red List Categories and Criteria</w:t>
      </w:r>
      <w:r w:rsidRPr="00AE7188">
        <w:rPr>
          <w:i/>
          <w:iCs/>
        </w:rPr>
        <w:t>. Version 14.</w:t>
      </w:r>
      <w:r w:rsidRPr="00AE7188">
        <w:t xml:space="preserve"> Prepared by the Standards and Petitions Committee. Viewed: 6 September 2021. Available on the internet at: </w:t>
      </w:r>
      <w:hyperlink r:id="rId29" w:history="1">
        <w:r w:rsidRPr="00AE7188">
          <w:rPr>
            <w:rStyle w:val="Hyperlink"/>
          </w:rPr>
          <w:t>http://www.iucnredlist.org/documents/RedListGuidelines.pdf</w:t>
        </w:r>
      </w:hyperlink>
      <w:r w:rsidRPr="00AE7188">
        <w:t>.</w:t>
      </w:r>
    </w:p>
    <w:p w14:paraId="61BBF920" w14:textId="77777777" w:rsidR="008F791C" w:rsidRDefault="008F791C" w:rsidP="008F791C">
      <w:pPr>
        <w:spacing w:before="240"/>
        <w:ind w:left="720" w:hanging="720"/>
        <w:rPr>
          <w:rFonts w:cs="Arial"/>
          <w:color w:val="222222"/>
          <w:shd w:val="clear" w:color="auto" w:fill="FFFFFF"/>
        </w:rPr>
      </w:pPr>
      <w:bookmarkStart w:id="17" w:name="_Hlk82181548"/>
      <w:r>
        <w:rPr>
          <w:rFonts w:cs="Arial"/>
          <w:color w:val="222222"/>
          <w:shd w:val="clear" w:color="auto" w:fill="FFFFFF"/>
        </w:rPr>
        <w:t xml:space="preserve">Martyn Yenson AJ, Offord CA, Meagher PF, Auld T, Bush D, Coates DJ, Commander LE, Guja LK, Norton SL, Makinson RO, Stanley R, Walsh N, Wrigley D, Broadhurst L (2021) </w:t>
      </w:r>
      <w:r w:rsidRPr="00123D92">
        <w:rPr>
          <w:rFonts w:cs="Arial"/>
          <w:i/>
          <w:iCs/>
          <w:color w:val="222222"/>
          <w:shd w:val="clear" w:color="auto" w:fill="FFFFFF"/>
        </w:rPr>
        <w:t>Plant Germplasm Conservation in Australia: strategies and guidelines for developing, managing and utilising ex situ collection. Third edition.</w:t>
      </w:r>
      <w:r>
        <w:rPr>
          <w:rFonts w:cs="Arial"/>
          <w:color w:val="222222"/>
          <w:shd w:val="clear" w:color="auto" w:fill="FFFFFF"/>
        </w:rPr>
        <w:t xml:space="preserve"> Australian Network for Plant Conservation, Canberra.</w:t>
      </w:r>
    </w:p>
    <w:p w14:paraId="03511CB7" w14:textId="77777777" w:rsidR="008F791C" w:rsidRPr="000510F7" w:rsidRDefault="008F791C" w:rsidP="008F791C">
      <w:pPr>
        <w:spacing w:before="240"/>
        <w:ind w:left="720" w:hanging="720"/>
        <w:rPr>
          <w:rFonts w:cs="Arial"/>
          <w:color w:val="222222"/>
          <w:shd w:val="clear" w:color="auto" w:fill="FFFFFF"/>
        </w:rPr>
      </w:pPr>
      <w:r w:rsidRPr="00DE1FBF">
        <w:rPr>
          <w:rFonts w:cs="Arial"/>
          <w:color w:val="222222"/>
          <w:shd w:val="clear" w:color="auto" w:fill="FFFFFF"/>
        </w:rPr>
        <w:t>Merritt DJ, Kristiansen M, Flematti GR, Turner SR, Ghisalberti E., Trengove RD &amp; Dixon, KW (2006). Effects of a butenolide present in smoke on light-mediated germination of Australian Asteraceae. </w:t>
      </w:r>
      <w:r w:rsidRPr="00DE1FBF">
        <w:rPr>
          <w:rFonts w:cs="Arial"/>
          <w:i/>
          <w:iCs/>
          <w:color w:val="222222"/>
          <w:shd w:val="clear" w:color="auto" w:fill="FFFFFF"/>
        </w:rPr>
        <w:t>Seed Science Research</w:t>
      </w:r>
      <w:r w:rsidRPr="00DE1FBF">
        <w:rPr>
          <w:rFonts w:cs="Arial"/>
          <w:color w:val="222222"/>
          <w:shd w:val="clear" w:color="auto" w:fill="FFFFFF"/>
        </w:rPr>
        <w:t> </w:t>
      </w:r>
      <w:r w:rsidRPr="00DE1FBF">
        <w:rPr>
          <w:rFonts w:cs="Arial"/>
          <w:i/>
          <w:iCs/>
          <w:color w:val="222222"/>
          <w:shd w:val="clear" w:color="auto" w:fill="FFFFFF"/>
        </w:rPr>
        <w:t>16</w:t>
      </w:r>
      <w:r w:rsidRPr="00DE1FBF">
        <w:rPr>
          <w:rFonts w:cs="Arial"/>
          <w:color w:val="222222"/>
          <w:shd w:val="clear" w:color="auto" w:fill="FFFFFF"/>
        </w:rPr>
        <w:t>, 29-35.</w:t>
      </w:r>
    </w:p>
    <w:bookmarkEnd w:id="17"/>
    <w:p w14:paraId="59C75505" w14:textId="77777777" w:rsidR="008F791C" w:rsidRPr="00AE7188"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Milberg P &amp; Lamont, BB (1995</w:t>
      </w:r>
      <w:r>
        <w:rPr>
          <w:rFonts w:cs="Arial"/>
          <w:color w:val="222222"/>
          <w:shd w:val="clear" w:color="auto" w:fill="FFFFFF"/>
        </w:rPr>
        <w:t>)</w:t>
      </w:r>
      <w:r w:rsidRPr="00AE7188">
        <w:rPr>
          <w:rFonts w:cs="Arial"/>
          <w:color w:val="222222"/>
          <w:shd w:val="clear" w:color="auto" w:fill="FFFFFF"/>
        </w:rPr>
        <w:t xml:space="preserve"> Fire enhances weed invasion of roadside vegetation in southwestern Australia. </w:t>
      </w:r>
      <w:r w:rsidRPr="00AE7188">
        <w:rPr>
          <w:rFonts w:cs="Arial"/>
          <w:i/>
          <w:iCs/>
          <w:color w:val="222222"/>
          <w:shd w:val="clear" w:color="auto" w:fill="FFFFFF"/>
        </w:rPr>
        <w:t>Biological Conservation</w:t>
      </w:r>
      <w:r w:rsidRPr="00AE7188">
        <w:rPr>
          <w:rFonts w:cs="Arial"/>
          <w:color w:val="222222"/>
          <w:shd w:val="clear" w:color="auto" w:fill="FFFFFF"/>
        </w:rPr>
        <w:t> 73, 45–49.</w:t>
      </w:r>
    </w:p>
    <w:p w14:paraId="4F159807" w14:textId="77777777" w:rsidR="008F791C" w:rsidRPr="00AE7188"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Nam BE &amp; Kim JG (2020) Flowering season of vernal herbs is shortened at elevated temperatures with reduced precipitation in early spring. </w:t>
      </w:r>
      <w:r w:rsidRPr="00AE7188">
        <w:rPr>
          <w:rFonts w:cs="Arial"/>
          <w:i/>
          <w:iCs/>
          <w:color w:val="222222"/>
          <w:shd w:val="clear" w:color="auto" w:fill="FFFFFF"/>
        </w:rPr>
        <w:t>Scientific reports</w:t>
      </w:r>
      <w:r w:rsidRPr="00AE7188">
        <w:rPr>
          <w:rFonts w:cs="Arial"/>
          <w:color w:val="222222"/>
          <w:shd w:val="clear" w:color="auto" w:fill="FFFFFF"/>
        </w:rPr>
        <w:t>, 10, 1–10.</w:t>
      </w:r>
    </w:p>
    <w:p w14:paraId="0A763504" w14:textId="77777777" w:rsidR="008F791C" w:rsidRPr="00AE7188" w:rsidRDefault="008F791C" w:rsidP="008F791C">
      <w:pPr>
        <w:ind w:left="720" w:hanging="720"/>
        <w:rPr>
          <w:rFonts w:cs="Arial"/>
          <w:color w:val="222222"/>
          <w:shd w:val="clear" w:color="auto" w:fill="FFFFFF"/>
        </w:rPr>
      </w:pPr>
      <w:r w:rsidRPr="00AE7188">
        <w:rPr>
          <w:rFonts w:cs="Arial"/>
          <w:color w:val="222222"/>
          <w:shd w:val="clear" w:color="auto" w:fill="FFFFFF"/>
        </w:rPr>
        <w:t xml:space="preserve">NSW Government (2021) SEED – The central resource for sharing and enabling environmental data in NSW. Viewed: 6 September 2021. Available on the internet at: </w:t>
      </w:r>
      <w:hyperlink r:id="rId30" w:history="1">
        <w:r w:rsidRPr="00AE7188">
          <w:rPr>
            <w:rStyle w:val="Hyperlink"/>
            <w:rFonts w:cs="Arial"/>
            <w:shd w:val="clear" w:color="auto" w:fill="FFFFFF"/>
          </w:rPr>
          <w:t>https://geo.seed.nsw.gov.au/Public_Viewer/index.html?viewer=Public_Viewer&amp;locale=en-AU</w:t>
        </w:r>
      </w:hyperlink>
    </w:p>
    <w:p w14:paraId="73DC8037" w14:textId="77777777" w:rsidR="008F791C" w:rsidRPr="00AE7188" w:rsidRDefault="008F791C" w:rsidP="008F791C">
      <w:pPr>
        <w:ind w:left="720" w:hanging="720"/>
        <w:rPr>
          <w:rStyle w:val="Hyperlink"/>
        </w:rPr>
      </w:pPr>
      <w:r w:rsidRPr="00AE7188">
        <w:rPr>
          <w:rStyle w:val="Hyperlink"/>
          <w:color w:val="000000" w:themeColor="text1"/>
          <w:u w:val="none"/>
        </w:rPr>
        <w:t xml:space="preserve">NSW NPWS (2005) </w:t>
      </w:r>
      <w:r w:rsidRPr="00AE7188">
        <w:rPr>
          <w:rStyle w:val="Hyperlink"/>
          <w:i/>
          <w:iCs/>
          <w:color w:val="000000" w:themeColor="text1"/>
          <w:u w:val="none"/>
        </w:rPr>
        <w:t>Oxley Wild Rivers National Park, Oxley Wild Rivers State Conservation Area, Cunnawarra National Park and Georges Creek Nature Reserve</w:t>
      </w:r>
      <w:r w:rsidRPr="00AE7188">
        <w:rPr>
          <w:rStyle w:val="Hyperlink"/>
          <w:color w:val="000000" w:themeColor="text1"/>
          <w:u w:val="none"/>
        </w:rPr>
        <w:t>. National Parks and Wildlife Service (NSW), Sydney</w:t>
      </w:r>
      <w:r w:rsidRPr="00AE7188">
        <w:rPr>
          <w:rStyle w:val="Hyperlink"/>
          <w:color w:val="000000" w:themeColor="text1"/>
        </w:rPr>
        <w:t>.</w:t>
      </w:r>
      <w:r w:rsidRPr="00AE7188">
        <w:rPr>
          <w:rStyle w:val="Hyperlink"/>
          <w:color w:val="000000" w:themeColor="text1"/>
          <w:u w:val="none"/>
        </w:rPr>
        <w:t xml:space="preserve"> Viewed: 12 June</w:t>
      </w:r>
      <w:r w:rsidRPr="00AE7188">
        <w:rPr>
          <w:rStyle w:val="Hyperlink"/>
          <w:color w:val="auto"/>
          <w:u w:val="none"/>
        </w:rPr>
        <w:t>.</w:t>
      </w:r>
      <w:r w:rsidRPr="00AE7188">
        <w:rPr>
          <w:rStyle w:val="Hyperlink"/>
          <w:color w:val="000000" w:themeColor="text1"/>
          <w:u w:val="none"/>
        </w:rPr>
        <w:t xml:space="preserve"> Available on the internet at: </w:t>
      </w:r>
      <w:hyperlink r:id="rId31" w:history="1">
        <w:r w:rsidRPr="00AE7188">
          <w:rPr>
            <w:rStyle w:val="Hyperlink"/>
          </w:rPr>
          <w:t>https://www.environment.nsw.gov.au/-/media/OEH/Corporate-Site/Documents/Parks-reserves-and-protected-areas/Parks-plans-of-management/oxley-wild-rivers-cunnawarra-georges-creek-parks-plan-of-management-050627.pdf</w:t>
        </w:r>
      </w:hyperlink>
      <w:r w:rsidRPr="00AE7188">
        <w:rPr>
          <w:rStyle w:val="Hyperlink"/>
          <w:color w:val="auto"/>
        </w:rPr>
        <w:t>.</w:t>
      </w:r>
    </w:p>
    <w:p w14:paraId="6D2FACCC" w14:textId="77777777" w:rsidR="008F791C" w:rsidRPr="00AE7188" w:rsidRDefault="008F791C" w:rsidP="008F791C">
      <w:pPr>
        <w:spacing w:before="240"/>
        <w:ind w:left="720" w:hanging="720"/>
      </w:pPr>
      <w:r w:rsidRPr="00AE7188">
        <w:t xml:space="preserve">NSW NPWS (NSW National Parks and Wildlife Service) (2021) New England National Park. Viewed: 6 September 2021. Available on the internet at: </w:t>
      </w:r>
      <w:hyperlink r:id="rId32" w:history="1">
        <w:r w:rsidRPr="00AE7188">
          <w:rPr>
            <w:rStyle w:val="Hyperlink"/>
          </w:rPr>
          <w:t>https://www.nationalparks.nsw.gov.au/visit-a-park/parks/new-england-national-park/learn-more</w:t>
        </w:r>
      </w:hyperlink>
    </w:p>
    <w:p w14:paraId="590500D3" w14:textId="77777777" w:rsidR="008F791C" w:rsidRPr="000A641E" w:rsidRDefault="008F791C" w:rsidP="008F791C">
      <w:pPr>
        <w:ind w:left="720" w:hanging="720"/>
        <w:rPr>
          <w:rStyle w:val="Hyperlink"/>
          <w:color w:val="000000" w:themeColor="text1"/>
          <w:u w:val="none"/>
        </w:rPr>
      </w:pPr>
      <w:r w:rsidRPr="000A641E">
        <w:rPr>
          <w:rStyle w:val="Hyperlink"/>
          <w:color w:val="000000" w:themeColor="text1"/>
          <w:u w:val="none"/>
        </w:rPr>
        <w:t xml:space="preserve">OEH (2012) </w:t>
      </w:r>
      <w:r w:rsidRPr="000A641E">
        <w:rPr>
          <w:rStyle w:val="Hyperlink"/>
          <w:i/>
          <w:iCs/>
          <w:color w:val="000000" w:themeColor="text1"/>
          <w:u w:val="none"/>
        </w:rPr>
        <w:t>Regional Pest Management Strategy 2012–2017, Northern Tablelands Region: a new approach for reducing impacts on native species and park neighbours</w:t>
      </w:r>
      <w:r w:rsidRPr="000A641E">
        <w:rPr>
          <w:rStyle w:val="Hyperlink"/>
          <w:color w:val="000000" w:themeColor="text1"/>
          <w:u w:val="none"/>
        </w:rPr>
        <w:t xml:space="preserve">. Office of Environment and Heritage, Sydney. </w:t>
      </w:r>
    </w:p>
    <w:p w14:paraId="2FFD7C17" w14:textId="77777777" w:rsidR="008F791C"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 xml:space="preserve">OEH (2014) New England </w:t>
      </w:r>
      <w:proofErr w:type="gramStart"/>
      <w:r w:rsidRPr="00AE7188">
        <w:rPr>
          <w:rFonts w:cs="Arial"/>
          <w:color w:val="222222"/>
          <w:shd w:val="clear" w:color="auto" w:fill="FFFFFF"/>
        </w:rPr>
        <w:t>North West</w:t>
      </w:r>
      <w:proofErr w:type="gramEnd"/>
      <w:r w:rsidRPr="00AE7188">
        <w:rPr>
          <w:rFonts w:cs="Arial"/>
          <w:color w:val="222222"/>
          <w:shd w:val="clear" w:color="auto" w:fill="FFFFFF"/>
        </w:rPr>
        <w:t xml:space="preserve"> Climate Change Snapshot. Office of Environment and Heritage, Sydney, NSW. </w:t>
      </w:r>
    </w:p>
    <w:p w14:paraId="2A8E453D" w14:textId="77777777" w:rsidR="008F791C" w:rsidRDefault="008F791C" w:rsidP="008F791C">
      <w:pPr>
        <w:ind w:left="709" w:hanging="709"/>
        <w:rPr>
          <w:rFonts w:ascii="Calibri" w:hAnsi="Calibri"/>
        </w:rPr>
      </w:pPr>
      <w:r>
        <w:t xml:space="preserve">PlantNet (2021) </w:t>
      </w:r>
      <w:proofErr w:type="gramStart"/>
      <w:r>
        <w:t>Genus</w:t>
      </w:r>
      <w:proofErr w:type="gramEnd"/>
      <w:r>
        <w:t xml:space="preserve"> profile page for </w:t>
      </w:r>
      <w:r>
        <w:rPr>
          <w:i/>
          <w:iCs/>
        </w:rPr>
        <w:t>Rhodanthe</w:t>
      </w:r>
      <w:r>
        <w:t>. Royal Botanic Gardens and Domain Trust, Sydney. Accessed: 27 September 2021. Available on the internet at:</w:t>
      </w:r>
      <w:r w:rsidRPr="00645851">
        <w:t xml:space="preserve"> </w:t>
      </w:r>
      <w:hyperlink r:id="rId33" w:history="1">
        <w:r w:rsidRPr="00645851">
          <w:rPr>
            <w:rStyle w:val="Hyperlink"/>
          </w:rPr>
          <w:t>https://plantnet.rbgsyd.nsw.gov.au/cgi-bin/NSWfl.pl?page=nswfl&amp;lvl=sp&amp;name=Rhodanthe~anthemoides</w:t>
        </w:r>
      </w:hyperlink>
    </w:p>
    <w:p w14:paraId="2F03088F" w14:textId="5CA7AAC7" w:rsidR="008F791C" w:rsidRPr="000510F7" w:rsidRDefault="008F791C" w:rsidP="008F791C">
      <w:pPr>
        <w:spacing w:before="240"/>
        <w:ind w:left="720" w:hanging="720"/>
        <w:rPr>
          <w:rFonts w:cs="Arial"/>
          <w:color w:val="222222"/>
          <w:shd w:val="clear" w:color="auto" w:fill="FFFFFF"/>
        </w:rPr>
      </w:pPr>
      <w:r>
        <w:rPr>
          <w:rFonts w:cs="Arial"/>
          <w:color w:val="222222"/>
          <w:shd w:val="clear" w:color="auto" w:fill="FFFFFF"/>
        </w:rPr>
        <w:lastRenderedPageBreak/>
        <w:t xml:space="preserve">Plants of </w:t>
      </w:r>
      <w:proofErr w:type="gramStart"/>
      <w:r>
        <w:rPr>
          <w:rFonts w:cs="Arial"/>
          <w:color w:val="222222"/>
          <w:shd w:val="clear" w:color="auto" w:fill="FFFFFF"/>
        </w:rPr>
        <w:t>South Eastern</w:t>
      </w:r>
      <w:proofErr w:type="gramEnd"/>
      <w:r>
        <w:rPr>
          <w:rFonts w:cs="Arial"/>
          <w:color w:val="222222"/>
          <w:shd w:val="clear" w:color="auto" w:fill="FFFFFF"/>
        </w:rPr>
        <w:t xml:space="preserve"> New South Wales (2021) </w:t>
      </w:r>
      <w:r>
        <w:rPr>
          <w:rFonts w:cs="Arial"/>
          <w:i/>
          <w:iCs/>
          <w:color w:val="222222"/>
          <w:shd w:val="clear" w:color="auto" w:fill="FFFFFF"/>
        </w:rPr>
        <w:t>Rhodanthe anthemoides</w:t>
      </w:r>
      <w:r>
        <w:rPr>
          <w:rFonts w:cs="Arial"/>
          <w:color w:val="222222"/>
          <w:shd w:val="clear" w:color="auto" w:fill="FFFFFF"/>
        </w:rPr>
        <w:t xml:space="preserve">. Viewed: 27 September 2021. Available on the </w:t>
      </w:r>
      <w:r w:rsidR="00401138">
        <w:rPr>
          <w:rFonts w:cs="Arial"/>
          <w:color w:val="222222"/>
          <w:shd w:val="clear" w:color="auto" w:fill="FFFFFF"/>
        </w:rPr>
        <w:t>internet</w:t>
      </w:r>
      <w:r>
        <w:rPr>
          <w:rFonts w:cs="Arial"/>
          <w:color w:val="222222"/>
          <w:shd w:val="clear" w:color="auto" w:fill="FFFFFF"/>
        </w:rPr>
        <w:t xml:space="preserve"> at: </w:t>
      </w:r>
      <w:hyperlink r:id="rId34" w:history="1">
        <w:r w:rsidRPr="000510F7">
          <w:rPr>
            <w:rStyle w:val="Hyperlink"/>
            <w:rFonts w:cs="Arial"/>
            <w:shd w:val="clear" w:color="auto" w:fill="FFFFFF"/>
          </w:rPr>
          <w:t>https://apps.lucidcentral.org/plants_se_nsw/text/entities/rhodanthe_anthemoides.htm</w:t>
        </w:r>
      </w:hyperlink>
    </w:p>
    <w:p w14:paraId="226C0FCC" w14:textId="77777777" w:rsidR="008F791C" w:rsidRPr="00AE7188"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Plummer JA &amp; Bell DT (1995) The effect of temperature, light and gibberellic acid (GA3) on the germination of Australian everlasting daisies (Asteraceae, Tribe Inuleae). </w:t>
      </w:r>
      <w:r w:rsidRPr="00AE7188">
        <w:rPr>
          <w:rFonts w:cs="Arial"/>
          <w:i/>
          <w:iCs/>
          <w:color w:val="222222"/>
          <w:shd w:val="clear" w:color="auto" w:fill="FFFFFF"/>
        </w:rPr>
        <w:t>Australian Journal of Botany</w:t>
      </w:r>
      <w:r w:rsidRPr="00AE7188">
        <w:rPr>
          <w:rFonts w:cs="Arial"/>
          <w:color w:val="222222"/>
          <w:shd w:val="clear" w:color="auto" w:fill="FFFFFF"/>
        </w:rPr>
        <w:t> 43, 93–102.</w:t>
      </w:r>
    </w:p>
    <w:p w14:paraId="26A6C147" w14:textId="77777777" w:rsidR="008F791C"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Richardson AD, Keenan TF, Migliavacca M, Ryu Y, Sonnentag O &amp; Toomey M (2013) Climate change, phenology, and phenological control of vegetation feedbacks to the climate system. </w:t>
      </w:r>
      <w:r w:rsidRPr="00AE7188">
        <w:rPr>
          <w:rFonts w:cs="Arial"/>
          <w:i/>
          <w:iCs/>
          <w:color w:val="222222"/>
          <w:shd w:val="clear" w:color="auto" w:fill="FFFFFF"/>
        </w:rPr>
        <w:t>Agricultural and Forest Meteorology</w:t>
      </w:r>
      <w:r w:rsidRPr="00AE7188">
        <w:rPr>
          <w:rFonts w:cs="Arial"/>
          <w:color w:val="222222"/>
          <w:shd w:val="clear" w:color="auto" w:fill="FFFFFF"/>
        </w:rPr>
        <w:t> 169, 156–173.</w:t>
      </w:r>
    </w:p>
    <w:p w14:paraId="66519529" w14:textId="7FC97D88" w:rsidR="008F791C" w:rsidRPr="00AE7188" w:rsidRDefault="008F791C" w:rsidP="008F791C">
      <w:pPr>
        <w:spacing w:before="240"/>
        <w:ind w:left="720" w:hanging="720"/>
        <w:rPr>
          <w:rFonts w:cs="Arial"/>
          <w:color w:val="222222"/>
          <w:shd w:val="clear" w:color="auto" w:fill="FFFFFF"/>
        </w:rPr>
      </w:pPr>
      <w:r>
        <w:t>Rossetto M</w:t>
      </w:r>
      <w:r w:rsidR="008C0EC3">
        <w:t>,</w:t>
      </w:r>
      <w:r>
        <w:t xml:space="preserve"> </w:t>
      </w:r>
      <w:r w:rsidR="008C0EC3">
        <w:t>JYS</w:t>
      </w:r>
      <w:r>
        <w:t xml:space="preserve"> Yap, Lemmon</w:t>
      </w:r>
      <w:r w:rsidR="008C0EC3">
        <w:t xml:space="preserve"> J</w:t>
      </w:r>
      <w:r>
        <w:t xml:space="preserve">, </w:t>
      </w:r>
      <w:r w:rsidR="008C0EC3">
        <w:t>B</w:t>
      </w:r>
      <w:r>
        <w:t>ain</w:t>
      </w:r>
      <w:r w:rsidR="008C0EC3">
        <w:t xml:space="preserve"> D</w:t>
      </w:r>
      <w:r>
        <w:t>, Bragg</w:t>
      </w:r>
      <w:r w:rsidR="008C0EC3">
        <w:t xml:space="preserve"> J</w:t>
      </w:r>
      <w:r>
        <w:t>, Hogbin</w:t>
      </w:r>
      <w:r w:rsidR="008C0EC3">
        <w:t xml:space="preserve"> P</w:t>
      </w:r>
      <w:r>
        <w:t>, Gallagher</w:t>
      </w:r>
      <w:r w:rsidR="008C0EC3">
        <w:t xml:space="preserve"> R</w:t>
      </w:r>
      <w:r>
        <w:t xml:space="preserve">, </w:t>
      </w:r>
      <w:r w:rsidR="008C0EC3">
        <w:t>Ru</w:t>
      </w:r>
      <w:r>
        <w:t>therford</w:t>
      </w:r>
      <w:r w:rsidR="008C0EC3">
        <w:t xml:space="preserve"> S</w:t>
      </w:r>
      <w:r>
        <w:t>, Summerell</w:t>
      </w:r>
      <w:r w:rsidR="008C0EC3">
        <w:t xml:space="preserve"> B &amp; </w:t>
      </w:r>
      <w:r>
        <w:t>Wilson</w:t>
      </w:r>
      <w:r w:rsidR="008C0EC3">
        <w:t xml:space="preserve"> TC</w:t>
      </w:r>
      <w:r>
        <w:t xml:space="preserve"> (2021) A conservation genomics workflow to guide practical management actions. </w:t>
      </w:r>
      <w:r w:rsidRPr="20583809">
        <w:rPr>
          <w:i/>
          <w:iCs/>
        </w:rPr>
        <w:t>Global Ecology and Conservation</w:t>
      </w:r>
      <w:r>
        <w:t xml:space="preserve"> 26: e01492.</w:t>
      </w:r>
    </w:p>
    <w:p w14:paraId="62D433F6" w14:textId="77777777" w:rsidR="008F791C" w:rsidRPr="00AE7188" w:rsidRDefault="008F791C" w:rsidP="008F791C">
      <w:pPr>
        <w:spacing w:before="240"/>
        <w:ind w:left="720" w:hanging="720"/>
      </w:pPr>
      <w:r w:rsidRPr="00AE7188">
        <w:t xml:space="preserve">Roberts JM, Johnston ME &amp; Perkins M (2005) </w:t>
      </w:r>
      <w:r w:rsidRPr="00AE7188">
        <w:rPr>
          <w:i/>
          <w:iCs/>
        </w:rPr>
        <w:t>The effect of planting date and daylength on the flowering and growth habit of Rhodanthe floribunda</w:t>
      </w:r>
      <w:r w:rsidRPr="00AE7188">
        <w:t>. Bachelor of Applied Science (Horticulture) thesis, University of Queensland, Brisbane.</w:t>
      </w:r>
    </w:p>
    <w:p w14:paraId="01DA5E0E" w14:textId="77777777" w:rsidR="008F791C" w:rsidRDefault="008F791C" w:rsidP="008F791C">
      <w:pPr>
        <w:spacing w:before="240"/>
        <w:ind w:left="720" w:hanging="720"/>
        <w:rPr>
          <w:rFonts w:cs="Helvetica"/>
          <w:color w:val="333333"/>
          <w:shd w:val="clear" w:color="auto" w:fill="FFFFFF"/>
        </w:rPr>
      </w:pPr>
      <w:r w:rsidRPr="00AE7188">
        <w:rPr>
          <w:rFonts w:cs="Helvetica"/>
          <w:color w:val="333333"/>
          <w:shd w:val="clear" w:color="auto" w:fill="FFFFFF"/>
        </w:rPr>
        <w:t xml:space="preserve">Salmon A (1995) </w:t>
      </w:r>
      <w:r w:rsidRPr="00AE7188">
        <w:rPr>
          <w:rFonts w:cs="Helvetica"/>
          <w:i/>
          <w:iCs/>
          <w:color w:val="333333"/>
          <w:shd w:val="clear" w:color="auto" w:fill="FFFFFF"/>
        </w:rPr>
        <w:t xml:space="preserve">Breeding approaches to the horticultural improvement of the Australian daisy </w:t>
      </w:r>
      <w:r w:rsidRPr="00AE7188">
        <w:rPr>
          <w:rFonts w:cs="Helvetica"/>
          <w:color w:val="333333"/>
          <w:shd w:val="clear" w:color="auto" w:fill="FFFFFF"/>
        </w:rPr>
        <w:t xml:space="preserve">Rhodanthe anthemoides. Masters Research thesis, Faculty of Agriculture, Forestry and Horticulture, Burnley College, University of Melbourne, Melbourne. </w:t>
      </w:r>
    </w:p>
    <w:p w14:paraId="3156F1F7" w14:textId="77777777" w:rsidR="008F791C" w:rsidRDefault="008F791C" w:rsidP="008F791C">
      <w:pPr>
        <w:spacing w:before="240"/>
        <w:ind w:left="720" w:hanging="720"/>
        <w:rPr>
          <w:rFonts w:cs="Helvetica"/>
          <w:color w:val="333333"/>
          <w:shd w:val="clear" w:color="auto" w:fill="FFFFFF"/>
        </w:rPr>
      </w:pPr>
      <w:r w:rsidRPr="001801EF">
        <w:rPr>
          <w:rFonts w:cs="Helvetica"/>
          <w:color w:val="333333"/>
          <w:shd w:val="clear" w:color="auto" w:fill="FFFFFF"/>
        </w:rPr>
        <w:t xml:space="preserve">Scott AJ &amp; Morgan JW (2012). Germination strategies of annual forbs from south-eastern Australian semiarid grasslands. </w:t>
      </w:r>
      <w:r w:rsidRPr="00DE1FBF">
        <w:rPr>
          <w:rFonts w:cs="Helvetica"/>
          <w:i/>
          <w:iCs/>
          <w:color w:val="333333"/>
          <w:shd w:val="clear" w:color="auto" w:fill="FFFFFF"/>
        </w:rPr>
        <w:t>Australian Journal of Botany</w:t>
      </w:r>
      <w:r w:rsidRPr="001801EF">
        <w:rPr>
          <w:rFonts w:cs="Helvetica"/>
          <w:color w:val="333333"/>
          <w:shd w:val="clear" w:color="auto" w:fill="FFFFFF"/>
        </w:rPr>
        <w:t xml:space="preserve"> 60, 340-346.</w:t>
      </w:r>
    </w:p>
    <w:p w14:paraId="6F8D5105" w14:textId="77777777" w:rsidR="008F791C" w:rsidRPr="00503D1D" w:rsidRDefault="008F791C" w:rsidP="008F791C">
      <w:pPr>
        <w:spacing w:before="240"/>
        <w:ind w:left="720" w:hanging="720"/>
        <w:rPr>
          <w:rFonts w:cs="Helvetica"/>
          <w:color w:val="333333"/>
          <w:shd w:val="clear" w:color="auto" w:fill="FFFFFF"/>
        </w:rPr>
      </w:pPr>
      <w:r>
        <w:rPr>
          <w:rFonts w:cs="Helvetica"/>
          <w:color w:val="333333"/>
          <w:shd w:val="clear" w:color="auto" w:fill="FFFFFF"/>
        </w:rPr>
        <w:t xml:space="preserve">SGAP (1995) </w:t>
      </w:r>
      <w:r>
        <w:rPr>
          <w:rFonts w:cs="Helvetica"/>
          <w:i/>
          <w:iCs/>
          <w:color w:val="333333"/>
          <w:shd w:val="clear" w:color="auto" w:fill="FFFFFF"/>
        </w:rPr>
        <w:t>Smoke stimulates germination of many Western Australian plants</w:t>
      </w:r>
      <w:r>
        <w:rPr>
          <w:rFonts w:cs="Helvetica"/>
          <w:color w:val="333333"/>
          <w:shd w:val="clear" w:color="auto" w:fill="FFFFFF"/>
        </w:rPr>
        <w:t xml:space="preserve">. Society for Growing Australian Plants, August 1995.  </w:t>
      </w:r>
    </w:p>
    <w:p w14:paraId="1B6A17D1" w14:textId="77777777" w:rsidR="008F791C" w:rsidRPr="00AE7188" w:rsidRDefault="008F791C" w:rsidP="008F791C">
      <w:pPr>
        <w:ind w:left="720" w:hanging="720"/>
      </w:pPr>
      <w:r w:rsidRPr="00AE7188">
        <w:rPr>
          <w:rStyle w:val="hlfld-contribauthor"/>
        </w:rPr>
        <w:t>Sharman </w:t>
      </w:r>
      <w:r w:rsidRPr="00AE7188">
        <w:rPr>
          <w:rStyle w:val="nlmgiven-names"/>
        </w:rPr>
        <w:t>KV</w:t>
      </w:r>
      <w:r w:rsidRPr="00AE7188">
        <w:t xml:space="preserve"> &amp; </w:t>
      </w:r>
      <w:r w:rsidRPr="00AE7188">
        <w:rPr>
          <w:rStyle w:val="hlfld-contribauthor"/>
        </w:rPr>
        <w:t>Sedgley </w:t>
      </w:r>
      <w:r w:rsidRPr="00AE7188">
        <w:rPr>
          <w:rStyle w:val="nlmgiven-names"/>
        </w:rPr>
        <w:t>M</w:t>
      </w:r>
      <w:r w:rsidRPr="00AE7188">
        <w:t> (</w:t>
      </w:r>
      <w:r w:rsidRPr="00AE7188">
        <w:rPr>
          <w:rStyle w:val="nlmyear"/>
        </w:rPr>
        <w:t>1988)</w:t>
      </w:r>
      <w:r w:rsidRPr="00AE7188">
        <w:t xml:space="preserve"> </w:t>
      </w:r>
      <w:r w:rsidRPr="00AE7188">
        <w:rPr>
          <w:rStyle w:val="nlmarticle-title"/>
        </w:rPr>
        <w:t>Floral initiation and development in </w:t>
      </w:r>
      <w:r w:rsidRPr="00AE7188">
        <w:rPr>
          <w:rStyle w:val="nlmarticle-title"/>
          <w:i/>
          <w:iCs/>
        </w:rPr>
        <w:t>Helipterum roseum</w:t>
      </w:r>
      <w:r w:rsidRPr="00AE7188">
        <w:rPr>
          <w:rStyle w:val="nlmarticle-title"/>
        </w:rPr>
        <w:t> (Hook.) Benth. and </w:t>
      </w:r>
      <w:r w:rsidRPr="00AE7188">
        <w:rPr>
          <w:rStyle w:val="nlmarticle-title"/>
          <w:i/>
          <w:iCs/>
        </w:rPr>
        <w:t>Helichrysum bracteatum</w:t>
      </w:r>
      <w:r w:rsidRPr="00AE7188">
        <w:rPr>
          <w:rStyle w:val="nlmarticle-title"/>
        </w:rPr>
        <w:t> (Vent.) Andrews (Asteraceae)</w:t>
      </w:r>
      <w:r w:rsidRPr="00AE7188">
        <w:t xml:space="preserve">. </w:t>
      </w:r>
      <w:r w:rsidRPr="00AE7188">
        <w:rPr>
          <w:i/>
          <w:iCs/>
        </w:rPr>
        <w:t>Australian Journal of Botany</w:t>
      </w:r>
      <w:r w:rsidRPr="00AE7188">
        <w:t xml:space="preserve"> 36: </w:t>
      </w:r>
      <w:r w:rsidRPr="00AE7188">
        <w:rPr>
          <w:rStyle w:val="nlmfpage"/>
        </w:rPr>
        <w:t>575</w:t>
      </w:r>
      <w:r w:rsidRPr="00AE7188">
        <w:t>–</w:t>
      </w:r>
      <w:r w:rsidRPr="00AE7188">
        <w:rPr>
          <w:rStyle w:val="nlmlpage"/>
        </w:rPr>
        <w:t>587</w:t>
      </w:r>
      <w:r w:rsidRPr="00AE7188">
        <w:t xml:space="preserve">. </w:t>
      </w:r>
    </w:p>
    <w:p w14:paraId="50206F16" w14:textId="77777777" w:rsidR="008F791C" w:rsidRPr="00AE7188" w:rsidRDefault="008F791C" w:rsidP="008F791C">
      <w:pPr>
        <w:spacing w:before="240"/>
        <w:ind w:left="720" w:hanging="720"/>
        <w:rPr>
          <w:i/>
          <w:iCs/>
        </w:rPr>
      </w:pPr>
      <w:r w:rsidRPr="00AE7188">
        <w:rPr>
          <w:rStyle w:val="hlfld-contribauthor"/>
        </w:rPr>
        <w:t>Sharman </w:t>
      </w:r>
      <w:r w:rsidRPr="00AE7188">
        <w:rPr>
          <w:rStyle w:val="nlmgiven-names"/>
        </w:rPr>
        <w:t>KV</w:t>
      </w:r>
      <w:r w:rsidRPr="00AE7188">
        <w:t>, </w:t>
      </w:r>
      <w:r w:rsidRPr="00AE7188">
        <w:rPr>
          <w:rStyle w:val="hlfld-contribauthor"/>
        </w:rPr>
        <w:t>Sedgley </w:t>
      </w:r>
      <w:r w:rsidRPr="00AE7188">
        <w:rPr>
          <w:rStyle w:val="nlmgiven-names"/>
        </w:rPr>
        <w:t>M &amp;</w:t>
      </w:r>
      <w:r w:rsidRPr="00AE7188">
        <w:t> </w:t>
      </w:r>
      <w:r w:rsidRPr="00AE7188">
        <w:rPr>
          <w:rStyle w:val="hlfld-contribauthor"/>
        </w:rPr>
        <w:t>Aspinall </w:t>
      </w:r>
      <w:r w:rsidRPr="00AE7188">
        <w:rPr>
          <w:rStyle w:val="nlmgiven-names"/>
        </w:rPr>
        <w:t>D</w:t>
      </w:r>
      <w:r w:rsidRPr="00AE7188">
        <w:t> (</w:t>
      </w:r>
      <w:r w:rsidRPr="00AE7188">
        <w:rPr>
          <w:rStyle w:val="nlmyear"/>
        </w:rPr>
        <w:t>1989)</w:t>
      </w:r>
      <w:r w:rsidRPr="00AE7188">
        <w:t> </w:t>
      </w:r>
      <w:r w:rsidRPr="00AE7188">
        <w:rPr>
          <w:rStyle w:val="nlmarticle-title"/>
        </w:rPr>
        <w:t>Effects of photoperiod, temperature and plant age on floral initiation and inflorescence quality in the Australian native Daisies </w:t>
      </w:r>
      <w:r w:rsidRPr="00AE7188">
        <w:rPr>
          <w:rStyle w:val="nlmarticle-title"/>
          <w:i/>
          <w:iCs/>
        </w:rPr>
        <w:t>Helipterum roseum</w:t>
      </w:r>
      <w:r w:rsidRPr="00AE7188">
        <w:rPr>
          <w:rStyle w:val="nlmarticle-title"/>
        </w:rPr>
        <w:t> and </w:t>
      </w:r>
      <w:r w:rsidRPr="00AE7188">
        <w:rPr>
          <w:rStyle w:val="nlmarticle-title"/>
          <w:i/>
          <w:iCs/>
        </w:rPr>
        <w:t>Helichrysum bracteatum</w:t>
      </w:r>
      <w:r w:rsidRPr="00AE7188">
        <w:rPr>
          <w:rStyle w:val="nlmarticle-title"/>
        </w:rPr>
        <w:t> in relation to cut-flower production</w:t>
      </w:r>
      <w:r w:rsidRPr="00AE7188">
        <w:t xml:space="preserve">. </w:t>
      </w:r>
      <w:r w:rsidRPr="00AE7188">
        <w:rPr>
          <w:i/>
          <w:iCs/>
        </w:rPr>
        <w:t>Journal of Horticultural Science</w:t>
      </w:r>
      <w:r w:rsidRPr="00AE7188">
        <w:t xml:space="preserve"> 64, </w:t>
      </w:r>
      <w:r w:rsidRPr="00AE7188">
        <w:rPr>
          <w:rStyle w:val="nlmfpage"/>
        </w:rPr>
        <w:t>351</w:t>
      </w:r>
      <w:r w:rsidRPr="00AE7188">
        <w:t>–</w:t>
      </w:r>
      <w:r w:rsidRPr="00AE7188">
        <w:rPr>
          <w:rStyle w:val="nlmlpage"/>
        </w:rPr>
        <w:t>359</w:t>
      </w:r>
      <w:r w:rsidRPr="00AE7188">
        <w:t>.</w:t>
      </w:r>
      <w:r w:rsidRPr="00AE7188">
        <w:rPr>
          <w:i/>
          <w:iCs/>
        </w:rPr>
        <w:t xml:space="preserve"> </w:t>
      </w:r>
    </w:p>
    <w:p w14:paraId="075287BF" w14:textId="77777777" w:rsidR="008F791C" w:rsidRPr="00AE7188" w:rsidRDefault="008F791C" w:rsidP="008F791C">
      <w:pPr>
        <w:spacing w:before="240"/>
        <w:ind w:left="720" w:hanging="720"/>
      </w:pPr>
      <w:r w:rsidRPr="00AE7188">
        <w:t>Trees J (2018) A Dunghutti Story</w:t>
      </w:r>
      <w:r>
        <w:t>.</w:t>
      </w:r>
      <w:r w:rsidRPr="00AE7188">
        <w:t xml:space="preserve"> Viewed: 6 September 2021. Available on the internet at: </w:t>
      </w:r>
      <w:hyperlink r:id="rId35" w:history="1">
        <w:r w:rsidRPr="00AE7188">
          <w:rPr>
            <w:rStyle w:val="Hyperlink"/>
          </w:rPr>
          <w:t>http://www.janelletrees.com/blog/2018/8/25/a-dunghutti-story</w:t>
        </w:r>
      </w:hyperlink>
    </w:p>
    <w:p w14:paraId="042E5B52" w14:textId="77777777" w:rsidR="008F791C" w:rsidRPr="00AE7188" w:rsidRDefault="008F791C" w:rsidP="008F791C">
      <w:pPr>
        <w:spacing w:before="240"/>
        <w:ind w:left="720" w:hanging="720"/>
      </w:pPr>
      <w:r w:rsidRPr="00AE7188">
        <w:t xml:space="preserve">UON (University of Newcastle) (2019) Colonial Frontier Massacres in Australia, 1788-1930. Viewed: 6 September 2021. Available on the internet at: </w:t>
      </w:r>
      <w:hyperlink r:id="rId36" w:history="1">
        <w:r w:rsidRPr="00AE7188">
          <w:rPr>
            <w:rStyle w:val="Hyperlink"/>
          </w:rPr>
          <w:t>https://c21ch.newcastle.edu.au/colonialmassacres/detail.php?r=582</w:t>
        </w:r>
      </w:hyperlink>
    </w:p>
    <w:p w14:paraId="0171FD5C" w14:textId="77777777" w:rsidR="008F791C" w:rsidRPr="00AE7188" w:rsidRDefault="008F791C" w:rsidP="008F791C">
      <w:pPr>
        <w:spacing w:before="240"/>
        <w:ind w:left="720" w:hanging="720"/>
      </w:pPr>
      <w:r w:rsidRPr="00AE7188">
        <w:t xml:space="preserve">Walcha Council (2021a) Apsley Falls and Tia Falls. Viewed: 6 September 2021. Available on the internet at: </w:t>
      </w:r>
      <w:hyperlink r:id="rId37" w:history="1">
        <w:r w:rsidRPr="00AE7188">
          <w:rPr>
            <w:rStyle w:val="Hyperlink"/>
          </w:rPr>
          <w:t>https://www.walcha.nsw.gov.au/tourism/visit-walcha/apsley-stoney-creek-and-tia-falls.aspx</w:t>
        </w:r>
      </w:hyperlink>
    </w:p>
    <w:p w14:paraId="0D11581D" w14:textId="77777777" w:rsidR="008F791C" w:rsidRPr="00AE7188" w:rsidRDefault="008F791C" w:rsidP="008F791C">
      <w:pPr>
        <w:spacing w:before="240"/>
        <w:ind w:left="720" w:hanging="720"/>
      </w:pPr>
      <w:r w:rsidRPr="00AE7188">
        <w:lastRenderedPageBreak/>
        <w:t xml:space="preserve">Walcha Council (2021b) Information on Climate and Geology. Viewed: 6 September 2021. Available on the internet at: </w:t>
      </w:r>
      <w:hyperlink r:id="rId38" w:history="1">
        <w:r w:rsidRPr="00AE7188">
          <w:rPr>
            <w:rStyle w:val="Hyperlink"/>
          </w:rPr>
          <w:t>https://www.walcha.nsw.gov.au/about-the-shire/stats-facts/information-on-climate-and-geology.aspx</w:t>
        </w:r>
      </w:hyperlink>
    </w:p>
    <w:p w14:paraId="6D6E1205" w14:textId="77777777" w:rsidR="008F791C" w:rsidRPr="00AE7188" w:rsidRDefault="008F791C" w:rsidP="008F791C">
      <w:pPr>
        <w:spacing w:before="240"/>
        <w:ind w:left="720" w:hanging="720"/>
      </w:pPr>
      <w:r w:rsidRPr="00AE7188">
        <w:t xml:space="preserve">Waterfall Way (2008) The Way of Spirit. Viewed: 6 September 2021. Available on the internet at: </w:t>
      </w:r>
      <w:hyperlink r:id="rId39" w:history="1">
        <w:r w:rsidRPr="00AE7188">
          <w:rPr>
            <w:rStyle w:val="Hyperlink"/>
          </w:rPr>
          <w:t>http://www.visitwaterfallway.com.au/aboriginal/</w:t>
        </w:r>
      </w:hyperlink>
    </w:p>
    <w:p w14:paraId="32B64C15" w14:textId="77777777" w:rsidR="008F791C" w:rsidRPr="00AE7188" w:rsidRDefault="008F791C" w:rsidP="008F791C">
      <w:pPr>
        <w:spacing w:before="240"/>
        <w:ind w:left="720" w:hanging="720"/>
        <w:rPr>
          <w:rFonts w:cs="Arial"/>
          <w:color w:val="222222"/>
          <w:shd w:val="clear" w:color="auto" w:fill="FFFFFF"/>
        </w:rPr>
      </w:pPr>
      <w:r w:rsidRPr="00AE7188">
        <w:rPr>
          <w:rFonts w:cs="Arial"/>
          <w:color w:val="222222"/>
          <w:shd w:val="clear" w:color="auto" w:fill="FFFFFF"/>
        </w:rPr>
        <w:t>Wittwer G &amp; Waschik R (2021) Estimating the economic impacts of the 2017–2019 drought and 2019–2020 bushfires on regional NSW and the rest of Australia. </w:t>
      </w:r>
      <w:r w:rsidRPr="00AE7188">
        <w:rPr>
          <w:rFonts w:cs="Arial"/>
          <w:i/>
          <w:iCs/>
          <w:color w:val="222222"/>
          <w:shd w:val="clear" w:color="auto" w:fill="FFFFFF"/>
        </w:rPr>
        <w:t>Australian Journal of Agricultural and Resource Economics</w:t>
      </w:r>
      <w:r w:rsidRPr="00AE7188">
        <w:rPr>
          <w:rFonts w:cs="Arial"/>
          <w:color w:val="222222"/>
          <w:shd w:val="clear" w:color="auto" w:fill="FFFFFF"/>
        </w:rPr>
        <w:t>.</w:t>
      </w:r>
    </w:p>
    <w:p w14:paraId="1691800C" w14:textId="77777777" w:rsidR="008F791C" w:rsidRPr="00246A0D" w:rsidRDefault="008F791C" w:rsidP="008F791C">
      <w:pPr>
        <w:rPr>
          <w:lang w:eastAsia="ja-JP"/>
        </w:rPr>
      </w:pPr>
    </w:p>
    <w:p w14:paraId="66EA0B99" w14:textId="77777777" w:rsidR="008F791C" w:rsidRPr="009E13C2" w:rsidRDefault="008F791C" w:rsidP="008F791C"/>
    <w:p w14:paraId="3BCBD21C" w14:textId="77777777" w:rsidR="008F791C" w:rsidRDefault="008F791C" w:rsidP="008F791C">
      <w:pPr>
        <w:sectPr w:rsidR="008F791C" w:rsidSect="005208A6">
          <w:headerReference w:type="even" r:id="rId40"/>
          <w:headerReference w:type="default" r:id="rId41"/>
          <w:footerReference w:type="default" r:id="rId42"/>
          <w:headerReference w:type="first" r:id="rId43"/>
          <w:footerReference w:type="first" r:id="rId44"/>
          <w:pgSz w:w="11906" w:h="16838"/>
          <w:pgMar w:top="1418" w:right="1418" w:bottom="1418" w:left="1418" w:header="567" w:footer="284" w:gutter="0"/>
          <w:cols w:space="708"/>
          <w:titlePg/>
          <w:docGrid w:linePitch="360"/>
        </w:sectPr>
      </w:pPr>
    </w:p>
    <w:p w14:paraId="15485ABC" w14:textId="77777777" w:rsidR="008F791C" w:rsidRDefault="008F791C" w:rsidP="008F791C">
      <w:pPr>
        <w:pStyle w:val="Heading2"/>
        <w:pageBreakBefore/>
        <w:ind w:left="720" w:hanging="720"/>
      </w:pPr>
      <w:r>
        <w:lastRenderedPageBreak/>
        <w:t xml:space="preserve">Attachment A: Listing Assessment for </w:t>
      </w:r>
      <w:r>
        <w:rPr>
          <w:i/>
          <w:iCs/>
        </w:rPr>
        <w:t xml:space="preserve">Rhodanthe </w:t>
      </w:r>
      <w:r>
        <w:t>sp. Point Lookout</w:t>
      </w:r>
    </w:p>
    <w:p w14:paraId="13CD9A9E" w14:textId="77777777" w:rsidR="008F791C" w:rsidRPr="004D61C9" w:rsidRDefault="008F791C" w:rsidP="008F791C">
      <w:pPr>
        <w:pStyle w:val="Heading3"/>
        <w:ind w:left="964" w:hanging="964"/>
        <w:rPr>
          <w:lang w:eastAsia="ja-JP"/>
        </w:rPr>
      </w:pPr>
      <w:r>
        <w:rPr>
          <w:lang w:eastAsia="ja-JP"/>
        </w:rPr>
        <w:t>Reason for assessment</w:t>
      </w:r>
    </w:p>
    <w:p w14:paraId="51B15B57" w14:textId="77777777" w:rsidR="008F791C" w:rsidRDefault="008F791C" w:rsidP="008F791C">
      <w:pPr>
        <w:rPr>
          <w:lang w:eastAsia="ja-JP"/>
        </w:rPr>
      </w:pPr>
      <w:r w:rsidRPr="005969F9">
        <w:t>This assessment follows</w:t>
      </w:r>
      <w:r w:rsidRPr="005969F9">
        <w:rPr>
          <w:lang w:eastAsia="ja-JP"/>
        </w:rPr>
        <w:t xml:space="preserve"> prioritisation of a nomination from the TSSC</w:t>
      </w:r>
      <w:r>
        <w:rPr>
          <w:lang w:eastAsia="ja-JP"/>
        </w:rPr>
        <w:t>.</w:t>
      </w:r>
    </w:p>
    <w:p w14:paraId="1C09FE6F" w14:textId="77777777" w:rsidR="008F791C" w:rsidRDefault="008F791C" w:rsidP="008F791C">
      <w:pPr>
        <w:pStyle w:val="Heading3"/>
        <w:ind w:left="964" w:hanging="964"/>
        <w:rPr>
          <w:lang w:eastAsia="ja-JP"/>
        </w:rPr>
      </w:pPr>
      <w:r>
        <w:rPr>
          <w:lang w:eastAsia="ja-JP"/>
        </w:rPr>
        <w:t>Assessment of eligibility for listing</w:t>
      </w:r>
    </w:p>
    <w:p w14:paraId="4672BC65" w14:textId="1721DF20" w:rsidR="008F791C" w:rsidRDefault="008F791C" w:rsidP="008F791C">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5" w:history="1">
        <w:r w:rsidR="00432D7F" w:rsidRPr="00C77CE3">
          <w:rPr>
            <w:rStyle w:val="Hyperlink"/>
            <w:lang w:eastAsia="ja-JP"/>
          </w:rPr>
          <w:t>EPBC Regulations</w:t>
        </w:r>
      </w:hyperlink>
      <w:r>
        <w:rPr>
          <w:lang w:eastAsia="ja-JP"/>
        </w:rPr>
        <w:t xml:space="preserve">. The thresholds used correspond with those in the </w:t>
      </w:r>
      <w:hyperlink r:id="rId46"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3AB240E3" w14:textId="77777777" w:rsidR="008F791C" w:rsidRDefault="008F791C" w:rsidP="008F791C">
      <w:pPr>
        <w:pStyle w:val="Heading3"/>
        <w:rPr>
          <w:lang w:eastAsia="ja-JP"/>
        </w:rPr>
      </w:pPr>
      <w:r>
        <w:rPr>
          <w:lang w:eastAsia="ja-JP"/>
        </w:rPr>
        <w:t>Key assessment parameters</w:t>
      </w:r>
    </w:p>
    <w:p w14:paraId="63702844" w14:textId="77777777" w:rsidR="008F791C" w:rsidRDefault="008F791C" w:rsidP="008F791C">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 against the criteria.</w:t>
      </w:r>
    </w:p>
    <w:p w14:paraId="60C5B6CE" w14:textId="77B4D3DD" w:rsidR="008F791C" w:rsidRPr="009502E2" w:rsidRDefault="008F791C" w:rsidP="008F791C">
      <w:pPr>
        <w:pStyle w:val="Caption"/>
      </w:pPr>
      <w:r w:rsidRPr="009502E2">
        <w:t xml:space="preserve">Table </w:t>
      </w:r>
      <w:r>
        <w:fldChar w:fldCharType="begin"/>
      </w:r>
      <w:r>
        <w:instrText>SEQ Table \* ARABIC</w:instrText>
      </w:r>
      <w:r>
        <w:fldChar w:fldCharType="separate"/>
      </w:r>
      <w:r w:rsidR="00B66DB4">
        <w:rPr>
          <w:noProof/>
        </w:rPr>
        <w:t>3</w:t>
      </w:r>
      <w:r>
        <w:fldChar w:fldCharType="end"/>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8F791C" w:rsidRPr="00D20C80" w14:paraId="34810697" w14:textId="77777777" w:rsidTr="12744716">
        <w:trPr>
          <w:cantSplit/>
          <w:tblHeader/>
        </w:trPr>
        <w:tc>
          <w:tcPr>
            <w:tcW w:w="1741" w:type="dxa"/>
          </w:tcPr>
          <w:p w14:paraId="1C02F194" w14:textId="77777777" w:rsidR="008F791C" w:rsidRPr="00D20C80" w:rsidRDefault="008F791C" w:rsidP="00D56568">
            <w:pPr>
              <w:pStyle w:val="TableHeading"/>
              <w:keepNext w:val="0"/>
            </w:pPr>
            <w:bookmarkStart w:id="18" w:name="_Hlk66963083"/>
            <w:r w:rsidRPr="00D20C80">
              <w:t>Metric</w:t>
            </w:r>
          </w:p>
        </w:tc>
        <w:tc>
          <w:tcPr>
            <w:tcW w:w="1422" w:type="dxa"/>
          </w:tcPr>
          <w:p w14:paraId="37FA6E18" w14:textId="77777777" w:rsidR="008F791C" w:rsidRPr="00D20C80" w:rsidRDefault="008F791C" w:rsidP="00D56568">
            <w:pPr>
              <w:pStyle w:val="TableHeading"/>
              <w:keepNext w:val="0"/>
            </w:pPr>
            <w:r w:rsidRPr="00D20C80">
              <w:t>Estimate</w:t>
            </w:r>
            <w:r>
              <w:t xml:space="preserve"> used in the assessment</w:t>
            </w:r>
          </w:p>
        </w:tc>
        <w:tc>
          <w:tcPr>
            <w:tcW w:w="1409" w:type="dxa"/>
          </w:tcPr>
          <w:p w14:paraId="1D5E5275" w14:textId="77777777" w:rsidR="008F791C" w:rsidRPr="00D20C80" w:rsidRDefault="008F791C" w:rsidP="00D56568">
            <w:pPr>
              <w:pStyle w:val="TableHeading"/>
              <w:keepNext w:val="0"/>
            </w:pPr>
            <w:r w:rsidRPr="00D20C80">
              <w:t>Minimum</w:t>
            </w:r>
            <w:r>
              <w:t xml:space="preserve"> plausible value</w:t>
            </w:r>
          </w:p>
        </w:tc>
        <w:tc>
          <w:tcPr>
            <w:tcW w:w="1414" w:type="dxa"/>
          </w:tcPr>
          <w:p w14:paraId="468E0DC6" w14:textId="77777777" w:rsidR="008F791C" w:rsidRPr="00D20C80" w:rsidRDefault="008F791C" w:rsidP="00D56568">
            <w:pPr>
              <w:pStyle w:val="TableHeading"/>
              <w:keepNext w:val="0"/>
            </w:pPr>
            <w:r w:rsidRPr="00D20C80">
              <w:t>Maximum</w:t>
            </w:r>
            <w:r>
              <w:t xml:space="preserve"> plausible value</w:t>
            </w:r>
          </w:p>
        </w:tc>
        <w:tc>
          <w:tcPr>
            <w:tcW w:w="3074" w:type="dxa"/>
          </w:tcPr>
          <w:p w14:paraId="52B33268" w14:textId="77777777" w:rsidR="008F791C" w:rsidRPr="00D20C80" w:rsidRDefault="008F791C" w:rsidP="00D56568">
            <w:pPr>
              <w:pStyle w:val="TableHeading"/>
              <w:keepNext w:val="0"/>
            </w:pPr>
            <w:r w:rsidRPr="00D20C80">
              <w:t>Justification</w:t>
            </w:r>
          </w:p>
          <w:p w14:paraId="3FA19294" w14:textId="77777777" w:rsidR="008F791C" w:rsidRPr="00EB79E2" w:rsidRDefault="008F791C" w:rsidP="00D56568"/>
        </w:tc>
      </w:tr>
      <w:tr w:rsidR="008F791C" w14:paraId="0375286E" w14:textId="77777777" w:rsidTr="12744716">
        <w:trPr>
          <w:cantSplit/>
        </w:trPr>
        <w:tc>
          <w:tcPr>
            <w:tcW w:w="1741" w:type="dxa"/>
          </w:tcPr>
          <w:p w14:paraId="54E6ABFE" w14:textId="77777777" w:rsidR="008F791C" w:rsidRDefault="008F791C" w:rsidP="00D56568">
            <w:pPr>
              <w:pStyle w:val="TableHeading"/>
              <w:keepNext w:val="0"/>
              <w:rPr>
                <w:rStyle w:val="Strong"/>
                <w:b/>
                <w:bCs w:val="0"/>
              </w:rPr>
            </w:pPr>
            <w:r w:rsidRPr="00D20C80">
              <w:rPr>
                <w:rStyle w:val="Strong"/>
                <w:b/>
                <w:bCs w:val="0"/>
              </w:rPr>
              <w:t>Number of mature individuals</w:t>
            </w:r>
          </w:p>
          <w:p w14:paraId="306100A6" w14:textId="77777777" w:rsidR="008F791C" w:rsidRPr="00D20C80" w:rsidRDefault="008F791C" w:rsidP="00D56568">
            <w:pPr>
              <w:pStyle w:val="TableText"/>
              <w:rPr>
                <w:rStyle w:val="Strong"/>
                <w:b w:val="0"/>
                <w:bCs w:val="0"/>
              </w:rPr>
            </w:pPr>
          </w:p>
        </w:tc>
        <w:tc>
          <w:tcPr>
            <w:tcW w:w="1422" w:type="dxa"/>
            <w:shd w:val="clear" w:color="auto" w:fill="auto"/>
          </w:tcPr>
          <w:p w14:paraId="14629DD3" w14:textId="77777777" w:rsidR="008F791C" w:rsidRDefault="008F791C" w:rsidP="00D56568">
            <w:pPr>
              <w:pStyle w:val="TableText"/>
            </w:pPr>
            <w:r>
              <w:t>unknown</w:t>
            </w:r>
          </w:p>
        </w:tc>
        <w:tc>
          <w:tcPr>
            <w:tcW w:w="1409" w:type="dxa"/>
            <w:shd w:val="clear" w:color="auto" w:fill="auto"/>
          </w:tcPr>
          <w:p w14:paraId="264D6000" w14:textId="77777777" w:rsidR="008F791C" w:rsidRDefault="008F791C" w:rsidP="00D56568">
            <w:pPr>
              <w:pStyle w:val="TableText"/>
            </w:pPr>
            <w:r>
              <w:t>28</w:t>
            </w:r>
          </w:p>
        </w:tc>
        <w:tc>
          <w:tcPr>
            <w:tcW w:w="1414" w:type="dxa"/>
            <w:shd w:val="clear" w:color="auto" w:fill="auto"/>
          </w:tcPr>
          <w:p w14:paraId="0168AA42" w14:textId="77777777" w:rsidR="008F791C" w:rsidRDefault="008F791C" w:rsidP="00D56568">
            <w:pPr>
              <w:pStyle w:val="TableText"/>
            </w:pPr>
            <w:r>
              <w:t>Unknown</w:t>
            </w:r>
          </w:p>
        </w:tc>
        <w:tc>
          <w:tcPr>
            <w:tcW w:w="3074" w:type="dxa"/>
            <w:shd w:val="clear" w:color="auto" w:fill="auto"/>
          </w:tcPr>
          <w:p w14:paraId="275859AE" w14:textId="77777777" w:rsidR="008F791C" w:rsidRDefault="008F791C" w:rsidP="00D56568">
            <w:pPr>
              <w:pStyle w:val="TableText"/>
            </w:pPr>
            <w:r>
              <w:t>The number of mature individuals is unknown, though one subpopulation is known to have at least 28 individuals (DPIE 2021).</w:t>
            </w:r>
          </w:p>
        </w:tc>
      </w:tr>
      <w:tr w:rsidR="008F791C" w14:paraId="57389D1F" w14:textId="77777777" w:rsidTr="12744716">
        <w:trPr>
          <w:cantSplit/>
        </w:trPr>
        <w:tc>
          <w:tcPr>
            <w:tcW w:w="1741" w:type="dxa"/>
          </w:tcPr>
          <w:p w14:paraId="409CB620" w14:textId="77777777" w:rsidR="008F791C" w:rsidRPr="00D20C80" w:rsidRDefault="008F791C" w:rsidP="00D56568">
            <w:pPr>
              <w:pStyle w:val="TableHeading"/>
              <w:keepNext w:val="0"/>
              <w:rPr>
                <w:rStyle w:val="Strong"/>
                <w:b/>
                <w:bCs w:val="0"/>
              </w:rPr>
            </w:pPr>
            <w:r w:rsidRPr="00D20C80">
              <w:rPr>
                <w:rStyle w:val="Strong"/>
                <w:b/>
                <w:bCs w:val="0"/>
              </w:rPr>
              <w:t>Trend</w:t>
            </w:r>
          </w:p>
        </w:tc>
        <w:tc>
          <w:tcPr>
            <w:tcW w:w="4245" w:type="dxa"/>
            <w:gridSpan w:val="3"/>
            <w:shd w:val="clear" w:color="auto" w:fill="auto"/>
          </w:tcPr>
          <w:p w14:paraId="5703C79F" w14:textId="77777777" w:rsidR="008F791C" w:rsidRPr="001D0098" w:rsidRDefault="008F791C" w:rsidP="00D56568">
            <w:r>
              <w:t>unknown</w:t>
            </w:r>
          </w:p>
          <w:p w14:paraId="470E06C3" w14:textId="77777777" w:rsidR="008F791C" w:rsidRDefault="008F791C" w:rsidP="00D56568">
            <w:pPr>
              <w:pStyle w:val="TableText"/>
            </w:pPr>
          </w:p>
        </w:tc>
        <w:tc>
          <w:tcPr>
            <w:tcW w:w="3074" w:type="dxa"/>
            <w:shd w:val="clear" w:color="auto" w:fill="auto"/>
          </w:tcPr>
          <w:p w14:paraId="0026452E" w14:textId="528459E0" w:rsidR="008F791C" w:rsidRDefault="008F791C" w:rsidP="00D56568">
            <w:pPr>
              <w:spacing w:line="240" w:lineRule="auto"/>
            </w:pPr>
            <w:r>
              <w:t xml:space="preserve">The number of mature individuals is likely declining due to a combination of threats including bushfires, escarpment collapse, drought and </w:t>
            </w:r>
            <w:r w:rsidR="009946EB">
              <w:t xml:space="preserve">feral </w:t>
            </w:r>
            <w:r>
              <w:t xml:space="preserve">goats (Table 1). </w:t>
            </w:r>
          </w:p>
        </w:tc>
      </w:tr>
      <w:tr w:rsidR="008F791C" w14:paraId="5EA085AC" w14:textId="77777777" w:rsidTr="12744716">
        <w:trPr>
          <w:cantSplit/>
        </w:trPr>
        <w:tc>
          <w:tcPr>
            <w:tcW w:w="1741" w:type="dxa"/>
          </w:tcPr>
          <w:p w14:paraId="31F09CEF" w14:textId="77777777" w:rsidR="008F791C" w:rsidRPr="00D20C80" w:rsidRDefault="008F791C" w:rsidP="00D56568">
            <w:pPr>
              <w:pStyle w:val="TableHeading"/>
              <w:keepNext w:val="0"/>
              <w:rPr>
                <w:rStyle w:val="Strong"/>
                <w:b/>
                <w:bCs w:val="0"/>
              </w:rPr>
            </w:pPr>
            <w:r w:rsidRPr="00D20C80">
              <w:rPr>
                <w:rStyle w:val="Strong"/>
                <w:b/>
                <w:bCs w:val="0"/>
              </w:rPr>
              <w:t>Generation time (years)</w:t>
            </w:r>
          </w:p>
        </w:tc>
        <w:tc>
          <w:tcPr>
            <w:tcW w:w="1422" w:type="dxa"/>
            <w:shd w:val="clear" w:color="auto" w:fill="auto"/>
          </w:tcPr>
          <w:p w14:paraId="76C1498C" w14:textId="77777777" w:rsidR="008F791C" w:rsidRDefault="008F791C" w:rsidP="00D56568">
            <w:pPr>
              <w:pStyle w:val="TableText"/>
            </w:pPr>
            <w:r>
              <w:t>~7</w:t>
            </w:r>
          </w:p>
        </w:tc>
        <w:tc>
          <w:tcPr>
            <w:tcW w:w="1409" w:type="dxa"/>
            <w:shd w:val="clear" w:color="auto" w:fill="auto"/>
          </w:tcPr>
          <w:p w14:paraId="702F800F" w14:textId="77777777" w:rsidR="008F791C" w:rsidRDefault="008F791C" w:rsidP="00D56568">
            <w:pPr>
              <w:pStyle w:val="TableText"/>
            </w:pPr>
            <w:r>
              <w:t>Unknown</w:t>
            </w:r>
          </w:p>
        </w:tc>
        <w:tc>
          <w:tcPr>
            <w:tcW w:w="1414" w:type="dxa"/>
            <w:shd w:val="clear" w:color="auto" w:fill="auto"/>
          </w:tcPr>
          <w:p w14:paraId="6950B78F" w14:textId="77777777" w:rsidR="008F791C" w:rsidRDefault="008F791C" w:rsidP="00D56568">
            <w:pPr>
              <w:pStyle w:val="TableText"/>
            </w:pPr>
            <w:r>
              <w:t>Unknown</w:t>
            </w:r>
          </w:p>
        </w:tc>
        <w:tc>
          <w:tcPr>
            <w:tcW w:w="3074" w:type="dxa"/>
            <w:shd w:val="clear" w:color="auto" w:fill="auto"/>
          </w:tcPr>
          <w:p w14:paraId="589EC961" w14:textId="46D73F9E" w:rsidR="008F791C" w:rsidRPr="00007BEC" w:rsidRDefault="2B13B67F" w:rsidP="00D56568">
            <w:pPr>
              <w:pStyle w:val="TableText"/>
            </w:pPr>
            <w:r>
              <w:t xml:space="preserve">The generation length of </w:t>
            </w:r>
            <w:r w:rsidRPr="12744716">
              <w:rPr>
                <w:i/>
                <w:iCs/>
              </w:rPr>
              <w:t xml:space="preserve">Rhodanthe </w:t>
            </w:r>
            <w:r>
              <w:t xml:space="preserve">sp. Point Lookout is unclear, as the primary juvenile period and life expectancy of the species is unknown. However, generation length of another </w:t>
            </w:r>
            <w:r w:rsidR="009946EB">
              <w:t xml:space="preserve">co-familial </w:t>
            </w:r>
            <w:r>
              <w:t xml:space="preserve">perennial </w:t>
            </w:r>
            <w:r w:rsidR="7E602498">
              <w:t xml:space="preserve">daisy </w:t>
            </w:r>
            <w:r w:rsidRPr="12744716">
              <w:rPr>
                <w:i/>
                <w:iCs/>
              </w:rPr>
              <w:t xml:space="preserve">Leucochrysum albicans </w:t>
            </w:r>
            <w:r>
              <w:t xml:space="preserve">var </w:t>
            </w:r>
            <w:r w:rsidRPr="12744716">
              <w:rPr>
                <w:i/>
                <w:iCs/>
              </w:rPr>
              <w:t xml:space="preserve">tricolor </w:t>
            </w:r>
            <w:r>
              <w:t>(hoary sunray)</w:t>
            </w:r>
            <w:r w:rsidRPr="12744716">
              <w:rPr>
                <w:i/>
                <w:iCs/>
              </w:rPr>
              <w:t xml:space="preserve"> </w:t>
            </w:r>
            <w:r>
              <w:t xml:space="preserve">is inferred to be around seven years (DAWE 2020). This taxon is considered to be similar to chamomile sunray (Greening Australia n.d). </w:t>
            </w:r>
          </w:p>
        </w:tc>
      </w:tr>
      <w:tr w:rsidR="008F791C" w14:paraId="7B07AB24" w14:textId="77777777" w:rsidTr="12744716">
        <w:trPr>
          <w:cantSplit/>
        </w:trPr>
        <w:tc>
          <w:tcPr>
            <w:tcW w:w="1741" w:type="dxa"/>
          </w:tcPr>
          <w:p w14:paraId="4F3505DA" w14:textId="77777777" w:rsidR="008F791C" w:rsidRPr="00D20C80" w:rsidRDefault="008F791C" w:rsidP="00D56568">
            <w:pPr>
              <w:pStyle w:val="TableHeading"/>
              <w:keepNext w:val="0"/>
              <w:rPr>
                <w:rStyle w:val="Strong"/>
                <w:b/>
                <w:sz w:val="22"/>
              </w:rPr>
            </w:pPr>
            <w:r w:rsidRPr="00D20C80">
              <w:rPr>
                <w:rStyle w:val="Strong"/>
                <w:b/>
                <w:bCs w:val="0"/>
              </w:rPr>
              <w:lastRenderedPageBreak/>
              <w:t>Extent of occurrence</w:t>
            </w:r>
          </w:p>
          <w:p w14:paraId="402E6B64" w14:textId="77777777" w:rsidR="008F791C" w:rsidRPr="00D20C80" w:rsidRDefault="008F791C" w:rsidP="00D56568">
            <w:pPr>
              <w:pStyle w:val="TableText"/>
              <w:rPr>
                <w:rStyle w:val="Strong"/>
                <w:b w:val="0"/>
                <w:bCs w:val="0"/>
              </w:rPr>
            </w:pPr>
          </w:p>
        </w:tc>
        <w:tc>
          <w:tcPr>
            <w:tcW w:w="1422" w:type="dxa"/>
            <w:shd w:val="clear" w:color="auto" w:fill="auto"/>
          </w:tcPr>
          <w:p w14:paraId="4FDAA415" w14:textId="25ED6AC0" w:rsidR="008F791C" w:rsidRPr="003E36AB" w:rsidRDefault="003E36AB" w:rsidP="00D56568">
            <w:pPr>
              <w:pStyle w:val="TableText"/>
            </w:pPr>
            <w:r w:rsidRPr="003E36AB">
              <w:t>284</w:t>
            </w:r>
            <w:r w:rsidR="008F791C" w:rsidRPr="003E36AB">
              <w:t xml:space="preserve"> km</w:t>
            </w:r>
            <w:r w:rsidR="008F791C" w:rsidRPr="003E36AB">
              <w:rPr>
                <w:vertAlign w:val="superscript"/>
              </w:rPr>
              <w:t>2</w:t>
            </w:r>
          </w:p>
        </w:tc>
        <w:tc>
          <w:tcPr>
            <w:tcW w:w="1409" w:type="dxa"/>
            <w:shd w:val="clear" w:color="auto" w:fill="auto"/>
          </w:tcPr>
          <w:p w14:paraId="11D5A1C8" w14:textId="0C8CD0FE" w:rsidR="008F791C" w:rsidRPr="003E36AB" w:rsidRDefault="003E36AB" w:rsidP="00D56568">
            <w:pPr>
              <w:pStyle w:val="TableText"/>
            </w:pPr>
            <w:r w:rsidRPr="003E36AB">
              <w:t>284</w:t>
            </w:r>
            <w:r w:rsidR="008F791C" w:rsidRPr="003E36AB">
              <w:t xml:space="preserve"> km</w:t>
            </w:r>
            <w:r w:rsidR="008F791C" w:rsidRPr="003E36AB">
              <w:rPr>
                <w:vertAlign w:val="superscript"/>
              </w:rPr>
              <w:t>2</w:t>
            </w:r>
          </w:p>
        </w:tc>
        <w:tc>
          <w:tcPr>
            <w:tcW w:w="1414" w:type="dxa"/>
            <w:shd w:val="clear" w:color="auto" w:fill="auto"/>
          </w:tcPr>
          <w:p w14:paraId="4BAC3B90" w14:textId="77777777" w:rsidR="008F791C" w:rsidRPr="003E36AB" w:rsidRDefault="008F791C" w:rsidP="00D56568">
            <w:pPr>
              <w:pStyle w:val="TableText"/>
              <w:rPr>
                <w:vertAlign w:val="superscript"/>
              </w:rPr>
            </w:pPr>
            <w:r w:rsidRPr="003E36AB">
              <w:t>&lt;500 km</w:t>
            </w:r>
            <w:r w:rsidRPr="003E36AB">
              <w:rPr>
                <w:vertAlign w:val="superscript"/>
              </w:rPr>
              <w:t>2</w:t>
            </w:r>
          </w:p>
        </w:tc>
        <w:tc>
          <w:tcPr>
            <w:tcW w:w="3074" w:type="dxa"/>
            <w:shd w:val="clear" w:color="auto" w:fill="auto"/>
          </w:tcPr>
          <w:p w14:paraId="2975EF36" w14:textId="5474C120" w:rsidR="008F791C" w:rsidRPr="003E36AB" w:rsidRDefault="008F791C" w:rsidP="00D56568">
            <w:pPr>
              <w:pStyle w:val="TableText"/>
            </w:pPr>
            <w:r w:rsidRPr="003E36AB">
              <w:t xml:space="preserve">The current estimated EOO is </w:t>
            </w:r>
            <w:r w:rsidR="003E36AB" w:rsidRPr="003E36AB">
              <w:t xml:space="preserve">284 </w:t>
            </w:r>
            <w:r w:rsidRPr="003E36AB">
              <w:t>km</w:t>
            </w:r>
            <w:r w:rsidRPr="003E36AB">
              <w:rPr>
                <w:vertAlign w:val="superscript"/>
              </w:rPr>
              <w:t>2</w:t>
            </w:r>
            <w:r w:rsidRPr="003E36AB">
              <w:t>. This estimate of EOO was attained by mapping point records from 2004–2021, obtained from state governments, museums, and CSIRO. The EOO was then calculated using a minimum convex hull (IUCN 2019).</w:t>
            </w:r>
          </w:p>
          <w:p w14:paraId="2C66B3AC" w14:textId="77777777" w:rsidR="008F791C" w:rsidRPr="003E36AB" w:rsidRDefault="008F791C" w:rsidP="00D56568">
            <w:pPr>
              <w:pStyle w:val="TableText"/>
            </w:pPr>
            <w:r w:rsidRPr="003E36AB">
              <w:t>The species may be more widespread than current records suggest, however, it is unlikely to occur outside of the New England region and the maximum EOO is therefore likely to be less than 500 km</w:t>
            </w:r>
            <w:r w:rsidRPr="003E36AB">
              <w:rPr>
                <w:vertAlign w:val="superscript"/>
              </w:rPr>
              <w:t>2</w:t>
            </w:r>
            <w:r w:rsidRPr="003E36AB">
              <w:t>.</w:t>
            </w:r>
          </w:p>
        </w:tc>
      </w:tr>
      <w:tr w:rsidR="008F791C" w14:paraId="421A800B" w14:textId="77777777" w:rsidTr="12744716">
        <w:trPr>
          <w:cantSplit/>
        </w:trPr>
        <w:tc>
          <w:tcPr>
            <w:tcW w:w="1741" w:type="dxa"/>
          </w:tcPr>
          <w:p w14:paraId="703D863A" w14:textId="77777777" w:rsidR="008F791C" w:rsidRPr="00D20C80" w:rsidRDefault="008F791C" w:rsidP="00D5656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3534C8B" w14:textId="77777777" w:rsidR="008F791C" w:rsidRPr="003E36AB" w:rsidRDefault="008F791C" w:rsidP="00D56568">
            <w:pPr>
              <w:pStyle w:val="TableText"/>
            </w:pPr>
            <w:r w:rsidRPr="003E36AB">
              <w:t>Unknown</w:t>
            </w:r>
          </w:p>
        </w:tc>
        <w:tc>
          <w:tcPr>
            <w:tcW w:w="3074" w:type="dxa"/>
            <w:shd w:val="clear" w:color="auto" w:fill="auto"/>
          </w:tcPr>
          <w:p w14:paraId="2DAC3282" w14:textId="77777777" w:rsidR="008F791C" w:rsidRPr="003E36AB" w:rsidRDefault="008F791C" w:rsidP="00D56568">
            <w:pPr>
              <w:pStyle w:val="TableText"/>
            </w:pPr>
            <w:r w:rsidRPr="003E36AB">
              <w:t xml:space="preserve">Due to the inaccessibility of the species’ habitat, it is likely that other unknown subpopulations are extant. If these are found, the EOO may increase.  </w:t>
            </w:r>
          </w:p>
        </w:tc>
      </w:tr>
      <w:tr w:rsidR="008F791C" w14:paraId="585810E1" w14:textId="77777777" w:rsidTr="12744716">
        <w:trPr>
          <w:cantSplit/>
        </w:trPr>
        <w:tc>
          <w:tcPr>
            <w:tcW w:w="1741" w:type="dxa"/>
          </w:tcPr>
          <w:p w14:paraId="0DAEF62C" w14:textId="77777777" w:rsidR="008F791C" w:rsidRDefault="008F791C" w:rsidP="00D56568">
            <w:pPr>
              <w:pStyle w:val="TableHeading"/>
              <w:keepNext w:val="0"/>
              <w:rPr>
                <w:rStyle w:val="Strong"/>
                <w:b/>
                <w:sz w:val="22"/>
              </w:rPr>
            </w:pPr>
            <w:r w:rsidRPr="00D20C80">
              <w:rPr>
                <w:rStyle w:val="Strong"/>
                <w:b/>
                <w:bCs w:val="0"/>
              </w:rPr>
              <w:t>Area of Occupancy</w:t>
            </w:r>
          </w:p>
          <w:p w14:paraId="0C26B71A" w14:textId="77777777" w:rsidR="008F791C" w:rsidRPr="00D20C80" w:rsidRDefault="008F791C" w:rsidP="00D56568">
            <w:pPr>
              <w:pStyle w:val="TableText"/>
              <w:rPr>
                <w:rStyle w:val="Strong"/>
                <w:b w:val="0"/>
                <w:bCs w:val="0"/>
              </w:rPr>
            </w:pPr>
          </w:p>
        </w:tc>
        <w:tc>
          <w:tcPr>
            <w:tcW w:w="1422" w:type="dxa"/>
            <w:shd w:val="clear" w:color="auto" w:fill="auto"/>
          </w:tcPr>
          <w:p w14:paraId="444B0E00" w14:textId="77777777" w:rsidR="008F791C" w:rsidRPr="003E36AB" w:rsidRDefault="008F791C" w:rsidP="00D56568">
            <w:pPr>
              <w:pStyle w:val="TableText"/>
            </w:pPr>
            <w:r w:rsidRPr="003E36AB">
              <w:t>16 km</w:t>
            </w:r>
            <w:r w:rsidRPr="003E36AB">
              <w:rPr>
                <w:vertAlign w:val="superscript"/>
              </w:rPr>
              <w:t>2</w:t>
            </w:r>
          </w:p>
        </w:tc>
        <w:tc>
          <w:tcPr>
            <w:tcW w:w="1409" w:type="dxa"/>
            <w:shd w:val="clear" w:color="auto" w:fill="auto"/>
          </w:tcPr>
          <w:p w14:paraId="0E6500A0" w14:textId="77777777" w:rsidR="008F791C" w:rsidRPr="003E36AB" w:rsidRDefault="008F791C" w:rsidP="00D56568">
            <w:pPr>
              <w:pStyle w:val="TableText"/>
            </w:pPr>
            <w:r w:rsidRPr="003E36AB">
              <w:t>16 km</w:t>
            </w:r>
            <w:r w:rsidRPr="003E36AB">
              <w:rPr>
                <w:vertAlign w:val="superscript"/>
              </w:rPr>
              <w:t>2</w:t>
            </w:r>
          </w:p>
        </w:tc>
        <w:tc>
          <w:tcPr>
            <w:tcW w:w="1414" w:type="dxa"/>
            <w:shd w:val="clear" w:color="auto" w:fill="auto"/>
          </w:tcPr>
          <w:p w14:paraId="53D5BFCF" w14:textId="77777777" w:rsidR="008F791C" w:rsidRPr="003E36AB" w:rsidRDefault="008F791C" w:rsidP="00D56568">
            <w:pPr>
              <w:pStyle w:val="TableText"/>
            </w:pPr>
            <w:r w:rsidRPr="003E36AB">
              <w:t>&lt;100 km</w:t>
            </w:r>
            <w:r w:rsidRPr="003E36AB">
              <w:rPr>
                <w:vertAlign w:val="superscript"/>
              </w:rPr>
              <w:t>2</w:t>
            </w:r>
          </w:p>
        </w:tc>
        <w:tc>
          <w:tcPr>
            <w:tcW w:w="3074" w:type="dxa"/>
            <w:shd w:val="clear" w:color="auto" w:fill="auto"/>
          </w:tcPr>
          <w:p w14:paraId="4A2C3F31" w14:textId="1E21DB0B" w:rsidR="008F791C" w:rsidRPr="003E36AB" w:rsidRDefault="008F791C" w:rsidP="00D56568">
            <w:pPr>
              <w:pStyle w:val="TableText"/>
            </w:pPr>
            <w:r w:rsidRPr="003E36AB">
              <w:t>The current estimated AOO is 16 km</w:t>
            </w:r>
            <w:r w:rsidRPr="003E36AB">
              <w:rPr>
                <w:vertAlign w:val="superscript"/>
              </w:rPr>
              <w:t>2</w:t>
            </w:r>
            <w:r w:rsidRPr="003E36AB">
              <w:t>. This estimate is based on the mapping of point records from 2004– 2021, obtained from state governments, museums and CSIRO. The AOO itself was calculated using a 2x2 km grid cell method, based on the IUCN Red List Guidelines (IUCN 2019).</w:t>
            </w:r>
          </w:p>
          <w:p w14:paraId="1E811039" w14:textId="77777777" w:rsidR="008F791C" w:rsidRPr="003E36AB" w:rsidRDefault="008F791C" w:rsidP="00D56568">
            <w:pPr>
              <w:pStyle w:val="TableText"/>
            </w:pPr>
            <w:r w:rsidRPr="003E36AB">
              <w:t>The species may be more widespread than current records suggest, however, due to its specialised habitat the maximum AOO is therefore likely to be less than 100 km</w:t>
            </w:r>
            <w:r w:rsidRPr="003E36AB">
              <w:rPr>
                <w:vertAlign w:val="superscript"/>
              </w:rPr>
              <w:t>2</w:t>
            </w:r>
            <w:r w:rsidRPr="003E36AB">
              <w:t>.</w:t>
            </w:r>
          </w:p>
        </w:tc>
      </w:tr>
      <w:tr w:rsidR="008F791C" w14:paraId="129F0327" w14:textId="77777777" w:rsidTr="12744716">
        <w:trPr>
          <w:cantSplit/>
        </w:trPr>
        <w:tc>
          <w:tcPr>
            <w:tcW w:w="1741" w:type="dxa"/>
          </w:tcPr>
          <w:p w14:paraId="458C6E17" w14:textId="77777777" w:rsidR="008F791C" w:rsidRPr="00D20C80" w:rsidRDefault="008F791C" w:rsidP="00D5656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376846D7" w14:textId="77777777" w:rsidR="008F791C" w:rsidRDefault="008F791C" w:rsidP="00D56568">
            <w:r>
              <w:t>increasing</w:t>
            </w:r>
          </w:p>
          <w:p w14:paraId="367281D2" w14:textId="77777777" w:rsidR="008F791C" w:rsidRPr="00810B26" w:rsidRDefault="008F791C" w:rsidP="00D56568">
            <w:pPr>
              <w:tabs>
                <w:tab w:val="left" w:pos="3270"/>
              </w:tabs>
            </w:pPr>
            <w:r>
              <w:tab/>
            </w:r>
          </w:p>
        </w:tc>
        <w:tc>
          <w:tcPr>
            <w:tcW w:w="3074" w:type="dxa"/>
            <w:shd w:val="clear" w:color="auto" w:fill="auto"/>
          </w:tcPr>
          <w:p w14:paraId="61EB155A" w14:textId="77777777" w:rsidR="008F791C" w:rsidRDefault="008F791C" w:rsidP="00D56568">
            <w:pPr>
              <w:pStyle w:val="TableText"/>
            </w:pPr>
            <w:r w:rsidRPr="00553C3B">
              <w:t>Due to th</w:t>
            </w:r>
            <w:r>
              <w:t xml:space="preserve">e inaccessibility of the species’ habitat, it is likely that other unknown subpopulations are extant. If these are found, the AOO would increase. </w:t>
            </w:r>
            <w:r w:rsidRPr="00553C3B">
              <w:t xml:space="preserve"> </w:t>
            </w:r>
          </w:p>
        </w:tc>
      </w:tr>
      <w:tr w:rsidR="008F791C" w14:paraId="1AA7C5EE" w14:textId="77777777" w:rsidTr="12744716">
        <w:trPr>
          <w:cantSplit/>
        </w:trPr>
        <w:tc>
          <w:tcPr>
            <w:tcW w:w="1741" w:type="dxa"/>
          </w:tcPr>
          <w:p w14:paraId="7948A065" w14:textId="77777777" w:rsidR="008F791C" w:rsidRDefault="008F791C" w:rsidP="00D56568">
            <w:pPr>
              <w:pStyle w:val="TableHeading"/>
              <w:keepNext w:val="0"/>
              <w:rPr>
                <w:rStyle w:val="Strong"/>
                <w:b/>
                <w:sz w:val="22"/>
              </w:rPr>
            </w:pPr>
            <w:r w:rsidRPr="00D20C80">
              <w:rPr>
                <w:rStyle w:val="Strong"/>
                <w:b/>
                <w:bCs w:val="0"/>
              </w:rPr>
              <w:t>Number of subpopulations</w:t>
            </w:r>
          </w:p>
          <w:p w14:paraId="723E297E" w14:textId="77777777" w:rsidR="008F791C" w:rsidRPr="00D20C80" w:rsidRDefault="008F791C" w:rsidP="00D56568">
            <w:pPr>
              <w:pStyle w:val="TableText"/>
              <w:rPr>
                <w:rStyle w:val="Strong"/>
                <w:b w:val="0"/>
                <w:bCs w:val="0"/>
              </w:rPr>
            </w:pPr>
          </w:p>
        </w:tc>
        <w:tc>
          <w:tcPr>
            <w:tcW w:w="1422" w:type="dxa"/>
            <w:shd w:val="clear" w:color="auto" w:fill="auto"/>
          </w:tcPr>
          <w:p w14:paraId="55CAA8B4" w14:textId="77777777" w:rsidR="008F791C" w:rsidRDefault="008F791C" w:rsidP="00D56568">
            <w:pPr>
              <w:pStyle w:val="TableText"/>
            </w:pPr>
            <w:r>
              <w:t>4</w:t>
            </w:r>
          </w:p>
        </w:tc>
        <w:tc>
          <w:tcPr>
            <w:tcW w:w="1409" w:type="dxa"/>
            <w:shd w:val="clear" w:color="auto" w:fill="auto"/>
          </w:tcPr>
          <w:p w14:paraId="5AB6EAD0" w14:textId="77777777" w:rsidR="008F791C" w:rsidRDefault="008F791C" w:rsidP="00D56568">
            <w:pPr>
              <w:pStyle w:val="TableText"/>
            </w:pPr>
            <w:r>
              <w:t>4</w:t>
            </w:r>
          </w:p>
        </w:tc>
        <w:tc>
          <w:tcPr>
            <w:tcW w:w="1414" w:type="dxa"/>
            <w:shd w:val="clear" w:color="auto" w:fill="auto"/>
          </w:tcPr>
          <w:p w14:paraId="365B1D35" w14:textId="77777777" w:rsidR="008F791C" w:rsidRDefault="008F791C" w:rsidP="00D56568">
            <w:pPr>
              <w:pStyle w:val="TableText"/>
            </w:pPr>
            <w:r>
              <w:t>&gt;4</w:t>
            </w:r>
          </w:p>
        </w:tc>
        <w:tc>
          <w:tcPr>
            <w:tcW w:w="3074" w:type="dxa"/>
            <w:shd w:val="clear" w:color="auto" w:fill="auto"/>
          </w:tcPr>
          <w:p w14:paraId="607C4674" w14:textId="77777777" w:rsidR="008F791C" w:rsidRDefault="008F791C" w:rsidP="00D56568">
            <w:pPr>
              <w:pStyle w:val="TableText"/>
            </w:pPr>
            <w:r>
              <w:t>The known subpopulations are Apsley Falls, Steep Drop Falls, Point Lookout and Darkie Point. There are likely more undiscovered subpopulations due to the species’ inaccessible habitat.</w:t>
            </w:r>
          </w:p>
        </w:tc>
      </w:tr>
      <w:tr w:rsidR="008F791C" w14:paraId="6C050259" w14:textId="77777777" w:rsidTr="12744716">
        <w:trPr>
          <w:cantSplit/>
        </w:trPr>
        <w:tc>
          <w:tcPr>
            <w:tcW w:w="1741" w:type="dxa"/>
          </w:tcPr>
          <w:p w14:paraId="3161039E" w14:textId="77777777" w:rsidR="008F791C" w:rsidRPr="00D20C80" w:rsidRDefault="008F791C" w:rsidP="00D56568">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1D49B2A" w14:textId="77777777" w:rsidR="008F791C" w:rsidRPr="00B5274C" w:rsidRDefault="008F791C" w:rsidP="00D56568">
            <w:r>
              <w:t>increasing</w:t>
            </w:r>
          </w:p>
          <w:p w14:paraId="04518123" w14:textId="77777777" w:rsidR="008F791C" w:rsidRDefault="008F791C" w:rsidP="00D56568">
            <w:pPr>
              <w:pStyle w:val="TableText"/>
            </w:pPr>
          </w:p>
        </w:tc>
        <w:tc>
          <w:tcPr>
            <w:tcW w:w="3074" w:type="dxa"/>
            <w:shd w:val="clear" w:color="auto" w:fill="auto"/>
          </w:tcPr>
          <w:p w14:paraId="45D3DE53" w14:textId="77777777" w:rsidR="008F791C" w:rsidRPr="001B7D1F" w:rsidRDefault="008F791C" w:rsidP="00D56568">
            <w:pPr>
              <w:pStyle w:val="TableText"/>
            </w:pPr>
            <w:r w:rsidRPr="00553C3B">
              <w:t>Due to th</w:t>
            </w:r>
            <w:r>
              <w:t xml:space="preserve">e inaccessibility of the species’ habitat, it is likely that other unknown subpopulations </w:t>
            </w:r>
            <w:r w:rsidRPr="00016874">
              <w:t>exist</w:t>
            </w:r>
            <w:r>
              <w:t>.</w:t>
            </w:r>
          </w:p>
        </w:tc>
      </w:tr>
      <w:tr w:rsidR="008F791C" w14:paraId="2C29FD1C" w14:textId="77777777" w:rsidTr="12744716">
        <w:trPr>
          <w:cantSplit/>
        </w:trPr>
        <w:tc>
          <w:tcPr>
            <w:tcW w:w="1741" w:type="dxa"/>
          </w:tcPr>
          <w:p w14:paraId="1737F543" w14:textId="77777777" w:rsidR="008F791C" w:rsidRPr="00D20C80" w:rsidRDefault="008F791C" w:rsidP="00D56568">
            <w:pPr>
              <w:pStyle w:val="TableHeading"/>
              <w:keepNext w:val="0"/>
              <w:rPr>
                <w:rStyle w:val="Strong"/>
                <w:rFonts w:eastAsiaTheme="minorHAnsi" w:cstheme="minorBidi"/>
                <w:sz w:val="22"/>
                <w:szCs w:val="22"/>
                <w:lang w:eastAsia="en-US"/>
              </w:rPr>
            </w:pPr>
            <w:r w:rsidRPr="00D20C80">
              <w:rPr>
                <w:rStyle w:val="Strong"/>
                <w:b/>
                <w:bCs w:val="0"/>
              </w:rPr>
              <w:t>Basis of assessment of subpopulation number</w:t>
            </w:r>
          </w:p>
        </w:tc>
        <w:tc>
          <w:tcPr>
            <w:tcW w:w="7319" w:type="dxa"/>
            <w:gridSpan w:val="4"/>
            <w:shd w:val="clear" w:color="auto" w:fill="auto"/>
          </w:tcPr>
          <w:p w14:paraId="58C8D897" w14:textId="77777777" w:rsidR="008F791C" w:rsidRDefault="008F791C" w:rsidP="00D56568">
            <w:pPr>
              <w:pStyle w:val="TableText"/>
            </w:pPr>
            <w:r w:rsidRPr="00016874">
              <w:t>All</w:t>
            </w:r>
            <w:r>
              <w:t xml:space="preserve"> four</w:t>
            </w:r>
            <w:r w:rsidRPr="00016874">
              <w:t xml:space="preserve"> known subpopulations are separated by</w:t>
            </w:r>
            <w:r>
              <w:t xml:space="preserve"> at least 5 km and found at isolated gorge and cliffside sites, suggesting they are distinct subpopulations</w:t>
            </w:r>
            <w:r w:rsidRPr="00016874">
              <w:t>.</w:t>
            </w:r>
            <w:r>
              <w:t xml:space="preserve"> Apsley Falls has two separate sites that were surveyed by DPIE (2021), though this was considered a single subpopulation.</w:t>
            </w:r>
          </w:p>
        </w:tc>
      </w:tr>
      <w:tr w:rsidR="008F791C" w14:paraId="7774E42D" w14:textId="77777777" w:rsidTr="12744716">
        <w:trPr>
          <w:cantSplit/>
        </w:trPr>
        <w:tc>
          <w:tcPr>
            <w:tcW w:w="1741" w:type="dxa"/>
          </w:tcPr>
          <w:p w14:paraId="61DFF65C" w14:textId="77777777" w:rsidR="008F791C" w:rsidRDefault="008F791C" w:rsidP="00D56568">
            <w:pPr>
              <w:pStyle w:val="TableHeading"/>
              <w:keepNext w:val="0"/>
              <w:rPr>
                <w:rStyle w:val="Strong"/>
                <w:b/>
                <w:sz w:val="22"/>
              </w:rPr>
            </w:pPr>
            <w:r w:rsidRPr="00D20C80">
              <w:rPr>
                <w:rStyle w:val="Strong"/>
                <w:b/>
                <w:bCs w:val="0"/>
              </w:rPr>
              <w:lastRenderedPageBreak/>
              <w:t>No. locations</w:t>
            </w:r>
          </w:p>
          <w:p w14:paraId="67FB036F" w14:textId="77777777" w:rsidR="008F791C" w:rsidRPr="00DD47BD" w:rsidRDefault="008F791C" w:rsidP="00D56568">
            <w:pPr>
              <w:pStyle w:val="TableText"/>
              <w:rPr>
                <w:rStyle w:val="Strong"/>
                <w:b w:val="0"/>
                <w:bCs w:val="0"/>
              </w:rPr>
            </w:pPr>
          </w:p>
        </w:tc>
        <w:tc>
          <w:tcPr>
            <w:tcW w:w="1422" w:type="dxa"/>
            <w:shd w:val="clear" w:color="auto" w:fill="auto"/>
          </w:tcPr>
          <w:p w14:paraId="23BF9543" w14:textId="77777777" w:rsidR="008F791C" w:rsidRDefault="008F791C" w:rsidP="00D56568">
            <w:pPr>
              <w:pStyle w:val="TableText"/>
            </w:pPr>
            <w:r>
              <w:t>2</w:t>
            </w:r>
          </w:p>
        </w:tc>
        <w:tc>
          <w:tcPr>
            <w:tcW w:w="1409" w:type="dxa"/>
            <w:shd w:val="clear" w:color="auto" w:fill="auto"/>
          </w:tcPr>
          <w:p w14:paraId="07CE0050" w14:textId="77777777" w:rsidR="008F791C" w:rsidRDefault="008F791C" w:rsidP="00D56568">
            <w:pPr>
              <w:pStyle w:val="TableText"/>
            </w:pPr>
            <w:r>
              <w:t>2</w:t>
            </w:r>
          </w:p>
        </w:tc>
        <w:tc>
          <w:tcPr>
            <w:tcW w:w="1414" w:type="dxa"/>
            <w:shd w:val="clear" w:color="auto" w:fill="auto"/>
          </w:tcPr>
          <w:p w14:paraId="04EEAFCB" w14:textId="77777777" w:rsidR="008F791C" w:rsidRDefault="008F791C" w:rsidP="00D56568">
            <w:pPr>
              <w:pStyle w:val="TableText"/>
            </w:pPr>
            <w:r>
              <w:t>4</w:t>
            </w:r>
          </w:p>
        </w:tc>
        <w:tc>
          <w:tcPr>
            <w:tcW w:w="3074" w:type="dxa"/>
            <w:shd w:val="clear" w:color="auto" w:fill="auto"/>
          </w:tcPr>
          <w:p w14:paraId="53DAB119" w14:textId="6AFFCDD1" w:rsidR="008F791C" w:rsidRDefault="008F791C" w:rsidP="00D56568">
            <w:pPr>
              <w:pStyle w:val="TableText"/>
            </w:pPr>
            <w:r>
              <w:t xml:space="preserve">There are two locations, based on the plausibility of two </w:t>
            </w:r>
            <w:r w:rsidR="009946EB">
              <w:t xml:space="preserve">feral </w:t>
            </w:r>
            <w:r>
              <w:t xml:space="preserve">goat herds impacting all known subpopulations.  </w:t>
            </w:r>
            <w:r w:rsidR="009946EB">
              <w:t xml:space="preserve">Feral </w:t>
            </w:r>
            <w:r>
              <w:t>goats may have home ranges of up to c. 400 to 600 km</w:t>
            </w:r>
            <w:r>
              <w:rPr>
                <w:vertAlign w:val="superscript"/>
              </w:rPr>
              <w:t>2</w:t>
            </w:r>
            <w:r>
              <w:t xml:space="preserve"> (DAF 2020; Agriculture Victoria 2021), though in higher rainfall areas with ample food and water, home ranges may be as little as 1 – 13.5 km</w:t>
            </w:r>
            <w:r>
              <w:rPr>
                <w:vertAlign w:val="superscript"/>
              </w:rPr>
              <w:t xml:space="preserve">2 </w:t>
            </w:r>
            <w:r>
              <w:t xml:space="preserve">(DPI 2021). The home ranges of herds in New England are unclear, but given the high rainfall of the area, it is unlikely that home ranges are very large.  </w:t>
            </w:r>
          </w:p>
          <w:p w14:paraId="07C8E853" w14:textId="7F5FE4B3" w:rsidR="008F791C" w:rsidRDefault="009946EB" w:rsidP="00D56568">
            <w:pPr>
              <w:pStyle w:val="TableText"/>
            </w:pPr>
            <w:r>
              <w:t xml:space="preserve">Feral </w:t>
            </w:r>
            <w:r w:rsidR="008F791C">
              <w:t xml:space="preserve">goats </w:t>
            </w:r>
            <w:r>
              <w:t>have been observed at</w:t>
            </w:r>
            <w:r w:rsidR="00966E48">
              <w:t xml:space="preserve"> </w:t>
            </w:r>
            <w:r w:rsidR="008F791C">
              <w:t>Apsley Falls (DPIE 2021),</w:t>
            </w:r>
            <w:r w:rsidR="008F791C" w:rsidRPr="00D6250C">
              <w:t xml:space="preserve"> </w:t>
            </w:r>
            <w:r w:rsidR="008F791C">
              <w:t>and, as</w:t>
            </w:r>
            <w:r w:rsidR="008F791C" w:rsidRPr="00D6250C">
              <w:t xml:space="preserve"> the distance between </w:t>
            </w:r>
            <w:r w:rsidR="008F791C">
              <w:t>this site and Steep Drop Falls is c. 20km,</w:t>
            </w:r>
            <w:r w:rsidR="008F791C" w:rsidRPr="00D6250C">
              <w:t xml:space="preserve"> it is possible that both these subpopulations could be impacted by a single </w:t>
            </w:r>
            <w:r>
              <w:t xml:space="preserve">feral </w:t>
            </w:r>
            <w:r w:rsidR="008F791C">
              <w:t>goat</w:t>
            </w:r>
            <w:r w:rsidR="008F791C" w:rsidRPr="00D6250C">
              <w:t xml:space="preserve"> </w:t>
            </w:r>
            <w:r w:rsidR="008F791C">
              <w:t>herd. B</w:t>
            </w:r>
            <w:r w:rsidR="008F791C" w:rsidRPr="00D6250C">
              <w:t>oth subpopulations are therefore considered a single location</w:t>
            </w:r>
            <w:r w:rsidR="008F791C">
              <w:t xml:space="preserve">. </w:t>
            </w:r>
          </w:p>
          <w:p w14:paraId="41855C45" w14:textId="1CD59ACB" w:rsidR="008F791C" w:rsidRDefault="2B13B67F" w:rsidP="00D56568">
            <w:pPr>
              <w:pStyle w:val="TableText"/>
            </w:pPr>
            <w:r>
              <w:t xml:space="preserve">Darkie Point and Point Lookout are c. 85 km from Apsley Falls. These subpopulations are likely to be impacted by separate herds of </w:t>
            </w:r>
            <w:r w:rsidR="009946EB">
              <w:t xml:space="preserve">feral </w:t>
            </w:r>
            <w:r>
              <w:t xml:space="preserve">goats, as most of the land between these sites is OWNRP, where </w:t>
            </w:r>
            <w:r w:rsidR="009946EB">
              <w:t>feral g</w:t>
            </w:r>
            <w:r>
              <w:t xml:space="preserve">oat numbers are controlled (DPIE 2005), and it is unlikely </w:t>
            </w:r>
            <w:r w:rsidR="009946EB">
              <w:t>feral g</w:t>
            </w:r>
            <w:r>
              <w:t xml:space="preserve">oat herds in the area would have such large home ranges considering the high rainfall and availability of food. It is therefore more likely that Point Lookout and Darkie Point (c. 5km apart) will be impacted by separate </w:t>
            </w:r>
            <w:r w:rsidR="009946EB">
              <w:t>feral goat</w:t>
            </w:r>
            <w:r>
              <w:t xml:space="preserve"> herds living on the edge of New England NP. Though it is unclear if these sites are currently impacted by </w:t>
            </w:r>
            <w:r w:rsidR="00105889">
              <w:t xml:space="preserve">feral </w:t>
            </w:r>
            <w:r>
              <w:t xml:space="preserve">goats, it is plausible that they are present or will spread to the sites within a 10-year period, given that </w:t>
            </w:r>
            <w:r w:rsidR="00105889">
              <w:t xml:space="preserve">feral </w:t>
            </w:r>
            <w:r>
              <w:t>goats are found throughout the Northern Tablelands (OEH 2012).</w:t>
            </w:r>
          </w:p>
          <w:p w14:paraId="34318BAC" w14:textId="77777777" w:rsidR="008F791C" w:rsidRDefault="008F791C" w:rsidP="00D56568">
            <w:pPr>
              <w:pStyle w:val="TableText"/>
            </w:pPr>
            <w:r>
              <w:t>Therefore, the most plausible number of locations is two, based on separate feral goat herds impacting Apsley Falls/Steep Drop Falls, and the Point Lookout/Darkie Point subpopulations.</w:t>
            </w:r>
          </w:p>
          <w:p w14:paraId="6BC81FB2" w14:textId="77777777" w:rsidR="008F791C" w:rsidRDefault="008F791C" w:rsidP="00D56568">
            <w:pPr>
              <w:pStyle w:val="TableText"/>
            </w:pPr>
            <w:r>
              <w:t xml:space="preserve">The maximum number of subpopulations is four, assuming that all sites may be impacted by four different site level events (e.g., escarpment collapse). </w:t>
            </w:r>
          </w:p>
        </w:tc>
      </w:tr>
      <w:tr w:rsidR="008F791C" w14:paraId="559DF178" w14:textId="77777777" w:rsidTr="12744716">
        <w:trPr>
          <w:cantSplit/>
        </w:trPr>
        <w:tc>
          <w:tcPr>
            <w:tcW w:w="1741" w:type="dxa"/>
          </w:tcPr>
          <w:p w14:paraId="5A627D92" w14:textId="77777777" w:rsidR="008F791C" w:rsidRPr="00D20C80" w:rsidRDefault="008F791C" w:rsidP="00D56568">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0F78212F" w14:textId="77777777" w:rsidR="008F791C" w:rsidRDefault="008F791C" w:rsidP="00D56568">
            <w:pPr>
              <w:pStyle w:val="TableText"/>
            </w:pPr>
            <w:r>
              <w:t>i</w:t>
            </w:r>
            <w:r w:rsidRPr="001277C5">
              <w:t>ncreasing</w:t>
            </w:r>
          </w:p>
        </w:tc>
        <w:tc>
          <w:tcPr>
            <w:tcW w:w="3074" w:type="dxa"/>
            <w:shd w:val="clear" w:color="auto" w:fill="auto"/>
          </w:tcPr>
          <w:p w14:paraId="0E9DC512" w14:textId="77777777" w:rsidR="008F791C" w:rsidRDefault="008F791C" w:rsidP="00D56568">
            <w:pPr>
              <w:pStyle w:val="TableText"/>
            </w:pPr>
            <w:r w:rsidRPr="00553C3B">
              <w:t>Due to th</w:t>
            </w:r>
            <w:r>
              <w:t xml:space="preserve">e inaccessibility of the species’ habitat, it is likely that other unknown subpopulations </w:t>
            </w:r>
            <w:r w:rsidRPr="00016874">
              <w:t>exist</w:t>
            </w:r>
            <w:r w:rsidRPr="001277C5">
              <w:t xml:space="preserve"> </w:t>
            </w:r>
            <w:r>
              <w:t>at other locations</w:t>
            </w:r>
            <w:r w:rsidRPr="001277C5">
              <w:t xml:space="preserve">. </w:t>
            </w:r>
          </w:p>
        </w:tc>
      </w:tr>
      <w:tr w:rsidR="008F791C" w14:paraId="3F7AFFAD" w14:textId="77777777" w:rsidTr="12744716">
        <w:trPr>
          <w:cantSplit/>
        </w:trPr>
        <w:tc>
          <w:tcPr>
            <w:tcW w:w="1741" w:type="dxa"/>
          </w:tcPr>
          <w:p w14:paraId="27456FB2" w14:textId="77777777" w:rsidR="008F791C" w:rsidRPr="00D20C80" w:rsidRDefault="008F791C" w:rsidP="00D56568">
            <w:pPr>
              <w:pStyle w:val="TableHeading"/>
              <w:keepNext w:val="0"/>
              <w:rPr>
                <w:rStyle w:val="Strong"/>
                <w:b/>
                <w:sz w:val="22"/>
              </w:rPr>
            </w:pPr>
            <w:bookmarkStart w:id="19" w:name="_Hlk51878889"/>
            <w:r w:rsidRPr="00D20C80">
              <w:rPr>
                <w:rStyle w:val="Strong"/>
                <w:b/>
                <w:bCs w:val="0"/>
              </w:rPr>
              <w:t>Basis of assessment of location number</w:t>
            </w:r>
            <w:bookmarkEnd w:id="19"/>
          </w:p>
        </w:tc>
        <w:tc>
          <w:tcPr>
            <w:tcW w:w="7319" w:type="dxa"/>
            <w:gridSpan w:val="4"/>
            <w:shd w:val="clear" w:color="auto" w:fill="auto"/>
          </w:tcPr>
          <w:p w14:paraId="2DDAD71B" w14:textId="2F628F87" w:rsidR="008F791C" w:rsidRDefault="00105889" w:rsidP="00D56568">
            <w:pPr>
              <w:pStyle w:val="TableText"/>
            </w:pPr>
            <w:r>
              <w:t>Feral g</w:t>
            </w:r>
            <w:r w:rsidR="2B13B67F">
              <w:t xml:space="preserve">oats are known to occur at Apsley Falls (DPIE 2021), and as the distance between this site and Steep Drop Falls is c. 20km, it is possible that both these subpopulations could be impacted by a single </w:t>
            </w:r>
            <w:r>
              <w:t>feral goat</w:t>
            </w:r>
            <w:r w:rsidR="2B13B67F">
              <w:t xml:space="preserve"> herd. It is also plausible that Point Lookout and Darkie Point (c. 5 km apart) will be impacted by a separate </w:t>
            </w:r>
            <w:r>
              <w:t>feral goat</w:t>
            </w:r>
            <w:r w:rsidR="2B13B67F">
              <w:t xml:space="preserve"> herd, resulting in two locations. </w:t>
            </w:r>
          </w:p>
        </w:tc>
      </w:tr>
      <w:tr w:rsidR="008F791C" w14:paraId="1297B06D" w14:textId="77777777" w:rsidTr="12744716">
        <w:trPr>
          <w:cantSplit/>
        </w:trPr>
        <w:tc>
          <w:tcPr>
            <w:tcW w:w="1741" w:type="dxa"/>
          </w:tcPr>
          <w:p w14:paraId="6CAF53A8" w14:textId="77777777" w:rsidR="008F791C" w:rsidRDefault="008F791C" w:rsidP="00D56568">
            <w:pPr>
              <w:pStyle w:val="TableHeading"/>
              <w:keepNext w:val="0"/>
              <w:rPr>
                <w:rStyle w:val="Strong"/>
                <w:b/>
                <w:bCs w:val="0"/>
              </w:rPr>
            </w:pPr>
            <w:r>
              <w:rPr>
                <w:rStyle w:val="Strong"/>
                <w:b/>
                <w:bCs w:val="0"/>
              </w:rPr>
              <w:t>S</w:t>
            </w:r>
            <w:r>
              <w:rPr>
                <w:rStyle w:val="Strong"/>
                <w:b/>
              </w:rPr>
              <w:t xml:space="preserve">evere </w:t>
            </w:r>
            <w:r w:rsidRPr="00D20C80">
              <w:rPr>
                <w:rStyle w:val="Strong"/>
                <w:b/>
                <w:bCs w:val="0"/>
              </w:rPr>
              <w:t>Fragmentation</w:t>
            </w:r>
          </w:p>
          <w:p w14:paraId="1D293CA2" w14:textId="77777777" w:rsidR="008F791C" w:rsidRPr="00D20C80" w:rsidRDefault="008F791C" w:rsidP="00D56568">
            <w:pPr>
              <w:pStyle w:val="TableText"/>
              <w:rPr>
                <w:rStyle w:val="Strong"/>
                <w:b w:val="0"/>
                <w:bCs w:val="0"/>
              </w:rPr>
            </w:pPr>
          </w:p>
        </w:tc>
        <w:tc>
          <w:tcPr>
            <w:tcW w:w="7319" w:type="dxa"/>
            <w:gridSpan w:val="4"/>
            <w:shd w:val="clear" w:color="auto" w:fill="auto"/>
          </w:tcPr>
          <w:p w14:paraId="5207DC35" w14:textId="77777777" w:rsidR="008F791C" w:rsidRDefault="008F791C" w:rsidP="00D56568">
            <w:pPr>
              <w:pStyle w:val="TableText"/>
            </w:pPr>
            <w:r>
              <w:t>Insufficient evidence. As data on subpopulation sizes are not available for all subpopulations, it is unclear if the species is severely fragmented</w:t>
            </w:r>
            <w:r w:rsidRPr="00C330AE">
              <w:t xml:space="preserve">. </w:t>
            </w:r>
            <w:r>
              <w:t>All known</w:t>
            </w:r>
            <w:r w:rsidRPr="00C330AE">
              <w:t xml:space="preserve"> subpopulations are located in medium to large sized national parks.</w:t>
            </w:r>
          </w:p>
        </w:tc>
      </w:tr>
      <w:tr w:rsidR="008F791C" w14:paraId="39F09174" w14:textId="77777777" w:rsidTr="12744716">
        <w:trPr>
          <w:cantSplit/>
        </w:trPr>
        <w:tc>
          <w:tcPr>
            <w:tcW w:w="1741" w:type="dxa"/>
          </w:tcPr>
          <w:p w14:paraId="605810E6" w14:textId="77777777" w:rsidR="008F791C" w:rsidRDefault="008F791C" w:rsidP="00D56568">
            <w:pPr>
              <w:pStyle w:val="TableHeading"/>
              <w:keepNext w:val="0"/>
              <w:rPr>
                <w:rStyle w:val="Strong"/>
                <w:b/>
                <w:sz w:val="22"/>
              </w:rPr>
            </w:pPr>
            <w:r w:rsidRPr="00D20C80">
              <w:rPr>
                <w:rStyle w:val="Strong"/>
                <w:b/>
                <w:bCs w:val="0"/>
              </w:rPr>
              <w:t>Fluctuations</w:t>
            </w:r>
          </w:p>
          <w:p w14:paraId="2D8D3673" w14:textId="77777777" w:rsidR="008F791C" w:rsidRPr="00D20C80" w:rsidRDefault="008F791C" w:rsidP="00D56568">
            <w:pPr>
              <w:pStyle w:val="TableText"/>
              <w:rPr>
                <w:rStyle w:val="Strong"/>
                <w:b w:val="0"/>
                <w:bCs w:val="0"/>
              </w:rPr>
            </w:pPr>
          </w:p>
        </w:tc>
        <w:tc>
          <w:tcPr>
            <w:tcW w:w="7319" w:type="dxa"/>
            <w:gridSpan w:val="4"/>
            <w:shd w:val="clear" w:color="auto" w:fill="auto"/>
          </w:tcPr>
          <w:p w14:paraId="1D6EAD06" w14:textId="77777777" w:rsidR="008F791C" w:rsidRDefault="008F791C" w:rsidP="00D56568">
            <w:pPr>
              <w:pStyle w:val="TableText"/>
            </w:pPr>
            <w:r w:rsidRPr="009D0DBB">
              <w:t xml:space="preserve">Not subject to extreme fluctuations in EOO, AOO, number of subpopulations, locations or mature </w:t>
            </w:r>
            <w:r>
              <w:t>individuals.</w:t>
            </w:r>
          </w:p>
        </w:tc>
      </w:tr>
      <w:bookmarkEnd w:id="18"/>
    </w:tbl>
    <w:p w14:paraId="26F7287C" w14:textId="60F01767" w:rsidR="006918E0" w:rsidRDefault="006918E0" w:rsidP="008F791C">
      <w:pPr>
        <w:pStyle w:val="Caption"/>
        <w:rPr>
          <w:lang w:eastAsia="ja-JP"/>
        </w:rPr>
      </w:pPr>
    </w:p>
    <w:p w14:paraId="06D227AB" w14:textId="77777777" w:rsidR="006918E0" w:rsidRDefault="006918E0" w:rsidP="008F791C">
      <w:pPr>
        <w:pStyle w:val="Caption"/>
        <w:rPr>
          <w:lang w:eastAsia="ja-JP"/>
        </w:rPr>
      </w:pPr>
    </w:p>
    <w:p w14:paraId="2A2159EA" w14:textId="77777777" w:rsidR="006918E0" w:rsidRDefault="006918E0" w:rsidP="008F791C">
      <w:pPr>
        <w:pStyle w:val="Caption"/>
        <w:rPr>
          <w:lang w:eastAsia="ja-JP"/>
        </w:rPr>
      </w:pPr>
    </w:p>
    <w:p w14:paraId="3229BA06" w14:textId="77777777" w:rsidR="006918E0" w:rsidRDefault="006918E0" w:rsidP="008F791C">
      <w:pPr>
        <w:pStyle w:val="Caption"/>
        <w:rPr>
          <w:lang w:eastAsia="ja-JP"/>
        </w:rPr>
      </w:pPr>
    </w:p>
    <w:p w14:paraId="5D08D38C" w14:textId="5C833F8C" w:rsidR="008F791C" w:rsidRDefault="008F791C" w:rsidP="008F791C">
      <w:pPr>
        <w:pStyle w:val="Caption"/>
        <w:rPr>
          <w:lang w:eastAsia="ja-JP"/>
        </w:rPr>
      </w:pPr>
      <w:r>
        <w:rPr>
          <w:lang w:eastAsia="ja-JP"/>
        </w:rPr>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8F791C" w:rsidRPr="00556843" w14:paraId="7D6F7C37" w14:textId="77777777" w:rsidTr="00E63F8D">
        <w:trPr>
          <w:cantSplit/>
          <w:trHeight w:val="606"/>
        </w:trPr>
        <w:tc>
          <w:tcPr>
            <w:tcW w:w="9975" w:type="dxa"/>
            <w:gridSpan w:val="6"/>
            <w:shd w:val="clear" w:color="auto" w:fill="595959" w:themeFill="text1" w:themeFillTint="A6"/>
            <w:vAlign w:val="center"/>
          </w:tcPr>
          <w:p w14:paraId="36A89BD8" w14:textId="77777777" w:rsidR="008F791C" w:rsidRPr="008B78CE" w:rsidRDefault="008F791C" w:rsidP="00D56568">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8F791C" w:rsidRPr="00556843" w14:paraId="67452B56" w14:textId="77777777" w:rsidTr="00E63F8D">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FD4683" w14:textId="77777777" w:rsidR="008F791C" w:rsidRPr="00556843" w:rsidRDefault="008F791C" w:rsidP="00D56568">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86E53B" w14:textId="77777777" w:rsidR="008F791C" w:rsidRPr="00936152" w:rsidRDefault="008F791C" w:rsidP="00D56568">
            <w:pPr>
              <w:pStyle w:val="TableText"/>
              <w:keepNext/>
              <w:rPr>
                <w:rStyle w:val="Strong"/>
              </w:rPr>
            </w:pPr>
            <w:r w:rsidRPr="00936152">
              <w:rPr>
                <w:rStyle w:val="Strong"/>
              </w:rPr>
              <w:t>Critically Endangered</w:t>
            </w:r>
          </w:p>
          <w:p w14:paraId="3D14F9E0" w14:textId="77777777" w:rsidR="008F791C" w:rsidRPr="00936152" w:rsidRDefault="008F791C" w:rsidP="00D5656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8C2E05D" w14:textId="77777777" w:rsidR="008F791C" w:rsidRPr="00936152" w:rsidRDefault="008F791C" w:rsidP="00D56568">
            <w:pPr>
              <w:pStyle w:val="TableText"/>
              <w:keepNext/>
              <w:rPr>
                <w:rStyle w:val="Strong"/>
              </w:rPr>
            </w:pPr>
            <w:r w:rsidRPr="00936152">
              <w:rPr>
                <w:rStyle w:val="Strong"/>
              </w:rPr>
              <w:t>Endangered</w:t>
            </w:r>
          </w:p>
          <w:p w14:paraId="17262F65" w14:textId="77777777" w:rsidR="008F791C" w:rsidRPr="00936152" w:rsidRDefault="008F791C" w:rsidP="00D5656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EF506D7" w14:textId="77777777" w:rsidR="008F791C" w:rsidRPr="00936152" w:rsidRDefault="008F791C" w:rsidP="00D56568">
            <w:pPr>
              <w:pStyle w:val="TableText"/>
              <w:keepNext/>
              <w:rPr>
                <w:rStyle w:val="Strong"/>
              </w:rPr>
            </w:pPr>
            <w:r w:rsidRPr="00936152">
              <w:rPr>
                <w:rStyle w:val="Strong"/>
              </w:rPr>
              <w:t>Vulnerable</w:t>
            </w:r>
          </w:p>
          <w:p w14:paraId="09143515" w14:textId="77777777" w:rsidR="008F791C" w:rsidRPr="00936152" w:rsidRDefault="008F791C" w:rsidP="00D56568">
            <w:pPr>
              <w:pStyle w:val="TableText"/>
              <w:keepNext/>
              <w:rPr>
                <w:rStyle w:val="Strong"/>
              </w:rPr>
            </w:pPr>
            <w:r w:rsidRPr="00936152">
              <w:rPr>
                <w:rStyle w:val="Strong"/>
              </w:rPr>
              <w:t>Substantial reduction</w:t>
            </w:r>
          </w:p>
        </w:tc>
      </w:tr>
      <w:tr w:rsidR="008F791C" w:rsidRPr="00556843" w14:paraId="5CBB107B" w14:textId="77777777" w:rsidTr="00E63F8D">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639C71BC" w14:textId="77777777" w:rsidR="008F791C" w:rsidRPr="00936152" w:rsidRDefault="008F791C" w:rsidP="00D5656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3C41DEE" w14:textId="77777777" w:rsidR="008F791C" w:rsidRPr="00556843" w:rsidRDefault="008F791C" w:rsidP="00D5656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5BCE4C4" w14:textId="77777777" w:rsidR="008F791C" w:rsidRPr="00556843" w:rsidRDefault="008F791C" w:rsidP="00D5656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0AA0FA9D" w14:textId="77777777" w:rsidR="008F791C" w:rsidRPr="00556843" w:rsidRDefault="008F791C" w:rsidP="00D56568">
            <w:pPr>
              <w:pStyle w:val="TableText"/>
              <w:keepNext/>
            </w:pPr>
            <w:r w:rsidRPr="00556843">
              <w:t>≥ 50%</w:t>
            </w:r>
          </w:p>
        </w:tc>
      </w:tr>
      <w:tr w:rsidR="008F791C" w:rsidRPr="00556843" w14:paraId="54EF7831" w14:textId="77777777" w:rsidTr="00E63F8D">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0F742869" w14:textId="77777777" w:rsidR="008F791C" w:rsidRPr="00936152" w:rsidRDefault="008F791C" w:rsidP="00D5656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763F02EE" w14:textId="77777777" w:rsidR="008F791C" w:rsidRPr="00556843" w:rsidRDefault="008F791C" w:rsidP="00D5656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A606CE7" w14:textId="77777777" w:rsidR="008F791C" w:rsidRPr="00556843" w:rsidRDefault="008F791C" w:rsidP="00D5656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103ED148" w14:textId="77777777" w:rsidR="008F791C" w:rsidRPr="00556843" w:rsidRDefault="008F791C" w:rsidP="00D56568">
            <w:pPr>
              <w:pStyle w:val="TableText"/>
              <w:keepNext/>
            </w:pPr>
            <w:r w:rsidRPr="00556843">
              <w:t>≥ 30%</w:t>
            </w:r>
          </w:p>
        </w:tc>
      </w:tr>
      <w:tr w:rsidR="008F791C" w:rsidRPr="00556843" w14:paraId="5FB3AA79" w14:textId="77777777" w:rsidTr="00E63F8D">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01E2E31F" w14:textId="77777777" w:rsidR="008F791C" w:rsidRPr="00556843" w:rsidRDefault="008F791C" w:rsidP="00D56568">
            <w:pPr>
              <w:pStyle w:val="TableText"/>
              <w:keepNext/>
              <w:spacing w:after="200" w:line="276" w:lineRule="auto"/>
              <w:ind w:left="493" w:hanging="493"/>
            </w:pPr>
            <w:r w:rsidRPr="00936152">
              <w:rPr>
                <w:rStyle w:val="Strong"/>
              </w:rPr>
              <w:t>A1</w:t>
            </w:r>
            <w:r w:rsidRPr="00556843">
              <w:tab/>
              <w:t>Population reduction observed, estimated, inferred or suspected in the past and the causes of the reduction are clearly reversible AND understood AND ceased.</w:t>
            </w:r>
          </w:p>
          <w:p w14:paraId="782FBE47" w14:textId="77777777" w:rsidR="008F791C" w:rsidRPr="00556843" w:rsidRDefault="008F791C" w:rsidP="00D56568">
            <w:pPr>
              <w:pStyle w:val="TableText"/>
              <w:keepNext/>
              <w:spacing w:after="200" w:line="276" w:lineRule="auto"/>
              <w:ind w:left="493" w:hanging="493"/>
            </w:pPr>
            <w:r w:rsidRPr="00936152">
              <w:rPr>
                <w:rStyle w:val="Strong"/>
              </w:rPr>
              <w:t>A2</w:t>
            </w:r>
            <w:r w:rsidRPr="00556843">
              <w:tab/>
              <w:t>Population reduction observed, estimated, inferred or suspected in the past where the causes of the reduction may not have ceased OR may not be understood OR may not be reversible.</w:t>
            </w:r>
          </w:p>
          <w:p w14:paraId="5AA39577" w14:textId="77777777" w:rsidR="008F791C" w:rsidRPr="00556843" w:rsidRDefault="008F791C" w:rsidP="00D56568">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0A9E7BF" w14:textId="77777777" w:rsidR="008F791C" w:rsidRPr="00556843" w:rsidRDefault="008F791C" w:rsidP="00D56568">
            <w:pPr>
              <w:pStyle w:val="TableText"/>
              <w:keepNext/>
              <w:spacing w:after="200" w:line="276" w:lineRule="auto"/>
              <w:ind w:left="493" w:hanging="493"/>
            </w:pPr>
            <w:r w:rsidRPr="00936152">
              <w:rPr>
                <w:rStyle w:val="Strong"/>
              </w:rPr>
              <w:t>A4</w:t>
            </w:r>
            <w:r w:rsidRPr="00556843">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12C6B59" w14:textId="77777777" w:rsidR="008F791C" w:rsidRPr="00556843" w:rsidRDefault="008F791C" w:rsidP="00D56568">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8240" behindDoc="0" locked="0" layoutInCell="1" allowOverlap="1" wp14:anchorId="1C36EA28" wp14:editId="01C1BC41">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D99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t>B</w:t>
            </w:r>
            <w:r w:rsidRPr="00CE7C59">
              <w:t>ased on any of the following</w:t>
            </w:r>
          </w:p>
        </w:tc>
        <w:tc>
          <w:tcPr>
            <w:tcW w:w="2664" w:type="dxa"/>
            <w:gridSpan w:val="2"/>
            <w:tcBorders>
              <w:top w:val="nil"/>
              <w:left w:val="nil"/>
            </w:tcBorders>
          </w:tcPr>
          <w:p w14:paraId="401EEA75" w14:textId="77777777" w:rsidR="008F791C" w:rsidRPr="00556843" w:rsidRDefault="008F791C" w:rsidP="00D56568">
            <w:pPr>
              <w:pStyle w:val="TableText"/>
              <w:ind w:left="312" w:hanging="312"/>
            </w:pPr>
            <w:r w:rsidRPr="00556843">
              <w:t>(a)</w:t>
            </w:r>
            <w:r w:rsidRPr="00556843">
              <w:tab/>
              <w:t>direct observation [</w:t>
            </w:r>
            <w:r w:rsidRPr="00266DC5">
              <w:t>except A3</w:t>
            </w:r>
            <w:r w:rsidRPr="00556843">
              <w:t>]</w:t>
            </w:r>
          </w:p>
          <w:p w14:paraId="7D155C06" w14:textId="77777777" w:rsidR="008F791C" w:rsidRDefault="008F791C" w:rsidP="00D56568">
            <w:pPr>
              <w:pStyle w:val="TableText"/>
              <w:ind w:left="312" w:hanging="312"/>
            </w:pPr>
            <w:r w:rsidRPr="00556843">
              <w:t>(b)</w:t>
            </w:r>
            <w:r w:rsidRPr="00556843">
              <w:tab/>
              <w:t>an index of abundance appropriate to the taxon</w:t>
            </w:r>
          </w:p>
          <w:p w14:paraId="377843FF" w14:textId="77777777" w:rsidR="008F791C" w:rsidRPr="00556843" w:rsidRDefault="008F791C" w:rsidP="00D56568">
            <w:pPr>
              <w:pStyle w:val="TableText"/>
              <w:ind w:left="312" w:hanging="312"/>
            </w:pPr>
            <w:r w:rsidRPr="00556843">
              <w:t>(c)</w:t>
            </w:r>
            <w:r w:rsidRPr="00556843">
              <w:tab/>
              <w:t>a decline in area of occupancy, extent of occurrence and/or quality of habitat</w:t>
            </w:r>
          </w:p>
          <w:p w14:paraId="1BD5642E" w14:textId="77777777" w:rsidR="008F791C" w:rsidRPr="00556843" w:rsidRDefault="008F791C" w:rsidP="00D56568">
            <w:pPr>
              <w:pStyle w:val="TableText"/>
              <w:ind w:left="312" w:hanging="312"/>
            </w:pPr>
            <w:r w:rsidRPr="00556843">
              <w:t>(d)</w:t>
            </w:r>
            <w:r w:rsidRPr="00556843">
              <w:tab/>
              <w:t>actual or potential levels of exploitation</w:t>
            </w:r>
          </w:p>
          <w:p w14:paraId="64710AAE" w14:textId="77777777" w:rsidR="008F791C" w:rsidRPr="00556843" w:rsidRDefault="008F791C" w:rsidP="00D56568">
            <w:pPr>
              <w:pStyle w:val="TableText"/>
              <w:ind w:left="312" w:hanging="312"/>
            </w:pPr>
            <w:r w:rsidRPr="00556843">
              <w:t>(e)</w:t>
            </w:r>
            <w:r w:rsidRPr="00556843">
              <w:tab/>
              <w:t>the effects of introduced taxa, hybridization, pathogens, pollutants, competitors or parasites</w:t>
            </w:r>
          </w:p>
        </w:tc>
      </w:tr>
    </w:tbl>
    <w:p w14:paraId="0A9FC811" w14:textId="77777777" w:rsidR="008F791C" w:rsidRDefault="008F791C" w:rsidP="008F791C">
      <w:pPr>
        <w:pStyle w:val="Heading3"/>
        <w:rPr>
          <w:lang w:eastAsia="ja-JP"/>
        </w:rPr>
      </w:pPr>
      <w:r>
        <w:rPr>
          <w:lang w:eastAsia="ja-JP"/>
        </w:rPr>
        <w:t>Criterion 1 evidence</w:t>
      </w:r>
    </w:p>
    <w:p w14:paraId="2ECADB11" w14:textId="77777777" w:rsidR="008F791C" w:rsidRDefault="008F791C" w:rsidP="008F791C">
      <w:pPr>
        <w:rPr>
          <w:lang w:eastAsia="ja-JP"/>
        </w:rPr>
      </w:pPr>
      <w:r w:rsidRPr="0060246C">
        <w:rPr>
          <w:b/>
          <w:bCs/>
          <w:lang w:eastAsia="ja-JP"/>
        </w:rPr>
        <w:t>Insufficient data to determine eligibility</w:t>
      </w:r>
      <w:r>
        <w:rPr>
          <w:lang w:eastAsia="ja-JP"/>
        </w:rPr>
        <w:t xml:space="preserve"> </w:t>
      </w:r>
    </w:p>
    <w:p w14:paraId="3742D911" w14:textId="77777777" w:rsidR="008F791C" w:rsidRDefault="008F791C" w:rsidP="008F791C">
      <w:pPr>
        <w:rPr>
          <w:i/>
          <w:iCs/>
        </w:rPr>
      </w:pPr>
      <w:r>
        <w:rPr>
          <w:i/>
          <w:iCs/>
        </w:rPr>
        <w:t>Generation length</w:t>
      </w:r>
    </w:p>
    <w:p w14:paraId="1A8E3C5E" w14:textId="53814C6D" w:rsidR="008F791C" w:rsidRDefault="008F791C" w:rsidP="008F791C">
      <w:r w:rsidRPr="0027172B">
        <w:lastRenderedPageBreak/>
        <w:t>The generation length of this species is not well understood.</w:t>
      </w:r>
      <w:r>
        <w:t xml:space="preserve"> It is estimated at approximately seven years based on estimates for</w:t>
      </w:r>
      <w:r w:rsidR="00B15564">
        <w:t xml:space="preserve"> an</w:t>
      </w:r>
      <w:r w:rsidR="005F07C2">
        <w:t xml:space="preserve"> ecologically similar </w:t>
      </w:r>
      <w:r w:rsidR="00B15564">
        <w:t>taxon</w:t>
      </w:r>
      <w:r w:rsidR="005F07C2">
        <w:t xml:space="preserve"> </w:t>
      </w:r>
      <w:r>
        <w:t xml:space="preserve">(Table 3). Therefore, three generations give a period of 21 years for this criterion. </w:t>
      </w:r>
    </w:p>
    <w:p w14:paraId="5DAE97CC" w14:textId="77777777" w:rsidR="008F791C" w:rsidRPr="00C71EA8" w:rsidRDefault="008F791C" w:rsidP="008F791C">
      <w:r>
        <w:rPr>
          <w:i/>
          <w:iCs/>
        </w:rPr>
        <w:t>Population reduction</w:t>
      </w:r>
    </w:p>
    <w:p w14:paraId="0E02490D" w14:textId="034742C0" w:rsidR="008F791C" w:rsidRDefault="2B13B67F" w:rsidP="008F791C">
      <w:r w:rsidRPr="12744716">
        <w:rPr>
          <w:i/>
          <w:iCs/>
        </w:rPr>
        <w:t>Rhodanthe</w:t>
      </w:r>
      <w:r>
        <w:t xml:space="preserve"> sp. Point Lookout is threatened by climate change, which may shorten the species’ flowering period, increase the severity and frequency of bushfires and stimulate landslides in the rocky cliffside areas </w:t>
      </w:r>
      <w:r w:rsidR="6BF013EE">
        <w:t xml:space="preserve">due to increased heavy rainfall </w:t>
      </w:r>
      <w:r>
        <w:t xml:space="preserve">where the species is found (Table 1). However, long-term monitoring of this species has not been undertaken, and there are no data on the extent of population reduction due to these factors. The 2019–20 fires impacted Steep Drop Falls at high severity, though post-fire surveys could not capture the impact of these fires due to poor conditions, and the number of mature individuals persisting at this site is unknown, as is the number of seedlings (DPIE 2021). Some population decline may have occurred due to drought conditions prior to the </w:t>
      </w:r>
      <w:r w:rsidR="3F304F0E">
        <w:t xml:space="preserve">2019-20 </w:t>
      </w:r>
      <w:r>
        <w:t>fires (Gallagher 2020), though there are no data on the extent of these declines. Similarly, though escarpment collapse has been observed at one site (DPIE 2021), there are no data on how many individuals were likely killed by this event.</w:t>
      </w:r>
    </w:p>
    <w:p w14:paraId="08B92655" w14:textId="0F8F7550" w:rsidR="008F791C" w:rsidRDefault="008F791C" w:rsidP="008F791C">
      <w:r>
        <w:t xml:space="preserve">The species may also be threatened by browsing and trampling by feral </w:t>
      </w:r>
      <w:r w:rsidR="00105889">
        <w:t>g</w:t>
      </w:r>
      <w:r>
        <w:t xml:space="preserve">oats (Table 1). However, feral goats are currently only known to be present at one site, and there is currently no evidence of browsing impacts (DPIE 2021). </w:t>
      </w:r>
    </w:p>
    <w:p w14:paraId="42003D9B" w14:textId="77777777" w:rsidR="008F791C" w:rsidRDefault="008F791C" w:rsidP="008F791C">
      <w:r>
        <w:t xml:space="preserve">There is insufficient evidence </w:t>
      </w:r>
      <w:r w:rsidRPr="00152B45">
        <w:t xml:space="preserve">to suggest the population </w:t>
      </w:r>
      <w:r>
        <w:t xml:space="preserve">has declined at a rate of over 30 percent in a three-generation period. Though known threats will likely continue to impact the species over the next 21 years, there are insufficient data from past declines to be able to project the level of population reduction that may occur. </w:t>
      </w:r>
    </w:p>
    <w:p w14:paraId="1E483C07" w14:textId="77777777" w:rsidR="008F791C" w:rsidRDefault="008F791C" w:rsidP="008F791C">
      <w:pPr>
        <w:rPr>
          <w:rFonts w:cs="Arial"/>
        </w:rPr>
      </w:pPr>
      <w:r>
        <w:rPr>
          <w:i/>
          <w:iCs/>
        </w:rPr>
        <w:t>Conclusion</w:t>
      </w:r>
      <w:r>
        <w:rPr>
          <w:i/>
          <w:iCs/>
        </w:rPr>
        <w:br/>
      </w:r>
      <w:r w:rsidRPr="00700C1A">
        <w:rPr>
          <w:rFonts w:cs="Arial"/>
        </w:rPr>
        <w:t>The data presented above appear to demonstrate t</w:t>
      </w:r>
      <w:r>
        <w:rPr>
          <w:rFonts w:cs="Arial"/>
        </w:rPr>
        <w:t>hat there is insufficient evidence to list the species</w:t>
      </w:r>
      <w:r w:rsidRPr="00700C1A">
        <w:rPr>
          <w:rFonts w:cs="Arial"/>
          <w:bCs/>
        </w:rPr>
        <w:t xml:space="preserve"> </w:t>
      </w:r>
      <w:r w:rsidRPr="00700C1A">
        <w:rPr>
          <w:rFonts w:cs="Arial"/>
        </w:rPr>
        <w:t xml:space="preserve">under this criterion. However, the purpose of this consultation document is to elicit additional information to better understand the </w:t>
      </w:r>
      <w:r>
        <w:rPr>
          <w:rFonts w:cs="Arial"/>
        </w:rPr>
        <w:t>sub</w:t>
      </w:r>
      <w:r w:rsidRPr="00700C1A">
        <w:rPr>
          <w:rFonts w:cs="Arial"/>
        </w:rPr>
        <w:t xml:space="preserve">species’ status. This conclusion should therefore be considered to be tentative at this stage, as it may be changed as a result of responses to this </w:t>
      </w:r>
      <w:r>
        <w:rPr>
          <w:rFonts w:cs="Arial"/>
        </w:rPr>
        <w:t>consultation process.</w:t>
      </w:r>
    </w:p>
    <w:p w14:paraId="54338E6A" w14:textId="77777777" w:rsidR="008F791C" w:rsidRDefault="008F791C" w:rsidP="008F791C"/>
    <w:p w14:paraId="58EB6959" w14:textId="77777777" w:rsidR="008F791C" w:rsidRDefault="008F791C" w:rsidP="008F791C">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8F791C" w:rsidRPr="00556843" w14:paraId="4E3BE630" w14:textId="77777777" w:rsidTr="00E63F8D">
        <w:trPr>
          <w:trHeight w:val="350"/>
        </w:trPr>
        <w:tc>
          <w:tcPr>
            <w:tcW w:w="10738" w:type="dxa"/>
            <w:gridSpan w:val="4"/>
            <w:tcBorders>
              <w:bottom w:val="nil"/>
            </w:tcBorders>
            <w:shd w:val="clear" w:color="auto" w:fill="595959" w:themeFill="text1" w:themeFillTint="A6"/>
            <w:vAlign w:val="center"/>
          </w:tcPr>
          <w:p w14:paraId="5A356A4D" w14:textId="77777777" w:rsidR="008F791C" w:rsidRPr="00556843" w:rsidRDefault="008F791C" w:rsidP="00D56568">
            <w:pPr>
              <w:keepNext/>
              <w:tabs>
                <w:tab w:val="left" w:pos="284"/>
              </w:tabs>
              <w:ind w:left="1452" w:hanging="1452"/>
              <w:rPr>
                <w:rFonts w:ascii="Arial" w:hAnsi="Arial" w:cs="Arial"/>
                <w:b/>
                <w:color w:val="FFFFFF" w:themeColor="background1"/>
              </w:rPr>
            </w:pPr>
          </w:p>
        </w:tc>
      </w:tr>
      <w:tr w:rsidR="008F791C" w:rsidRPr="00556843" w14:paraId="4B8ACF0A" w14:textId="77777777" w:rsidTr="00E63F8D">
        <w:tc>
          <w:tcPr>
            <w:tcW w:w="4111" w:type="dxa"/>
            <w:tcBorders>
              <w:top w:val="nil"/>
              <w:bottom w:val="nil"/>
              <w:right w:val="nil"/>
            </w:tcBorders>
          </w:tcPr>
          <w:p w14:paraId="6AFA8D96" w14:textId="77777777" w:rsidR="008F791C" w:rsidRPr="00556843" w:rsidRDefault="008F791C" w:rsidP="00D56568">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29169EA4" w14:textId="77777777" w:rsidR="008F791C" w:rsidRPr="00795F43" w:rsidRDefault="008F791C" w:rsidP="00D56568">
            <w:pPr>
              <w:pStyle w:val="TableText"/>
              <w:keepNext/>
              <w:rPr>
                <w:rStyle w:val="Strong"/>
              </w:rPr>
            </w:pPr>
            <w:r w:rsidRPr="00795F43">
              <w:rPr>
                <w:rStyle w:val="Strong"/>
              </w:rPr>
              <w:t>Critically Endangered</w:t>
            </w:r>
          </w:p>
          <w:p w14:paraId="63D0C9D3" w14:textId="77777777" w:rsidR="008F791C" w:rsidRPr="00556843" w:rsidRDefault="008F791C" w:rsidP="00D56568">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BDB9218" w14:textId="77777777" w:rsidR="008F791C" w:rsidRPr="00556843" w:rsidRDefault="008F791C" w:rsidP="00D56568">
            <w:pPr>
              <w:pStyle w:val="TableText"/>
              <w:keepNext/>
              <w:rPr>
                <w:b/>
              </w:rPr>
            </w:pPr>
            <w:r w:rsidRPr="00556843">
              <w:rPr>
                <w:b/>
              </w:rPr>
              <w:t>Endangered</w:t>
            </w:r>
          </w:p>
          <w:p w14:paraId="118098E2" w14:textId="77777777" w:rsidR="008F791C" w:rsidRPr="00556843" w:rsidRDefault="008F791C" w:rsidP="00D56568">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0D75DABD" w14:textId="77777777" w:rsidR="008F791C" w:rsidRPr="00556843" w:rsidRDefault="008F791C" w:rsidP="00D56568">
            <w:pPr>
              <w:pStyle w:val="TableText"/>
              <w:keepNext/>
              <w:rPr>
                <w:b/>
              </w:rPr>
            </w:pPr>
            <w:r w:rsidRPr="00556843">
              <w:rPr>
                <w:b/>
              </w:rPr>
              <w:t>Vulnerable</w:t>
            </w:r>
          </w:p>
          <w:p w14:paraId="7D5546D2" w14:textId="77777777" w:rsidR="008F791C" w:rsidRPr="00556843" w:rsidRDefault="008F791C" w:rsidP="00D56568">
            <w:pPr>
              <w:pStyle w:val="TableText"/>
              <w:keepNext/>
              <w:rPr>
                <w:b/>
              </w:rPr>
            </w:pPr>
            <w:r w:rsidRPr="00556843">
              <w:rPr>
                <w:b/>
              </w:rPr>
              <w:t>Limited</w:t>
            </w:r>
          </w:p>
        </w:tc>
      </w:tr>
      <w:tr w:rsidR="008F791C" w:rsidRPr="00556843" w14:paraId="7E15C0AC" w14:textId="77777777" w:rsidTr="00E63F8D">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27358A13" w14:textId="77777777" w:rsidR="008F791C" w:rsidRPr="00556843" w:rsidRDefault="008F791C" w:rsidP="00D56568">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BFED3C4" w14:textId="77777777" w:rsidR="008F791C" w:rsidRPr="00556843" w:rsidRDefault="008F791C" w:rsidP="00D56568">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0A0EF061" w14:textId="77777777" w:rsidR="008F791C" w:rsidRPr="00556843" w:rsidRDefault="008F791C" w:rsidP="00D56568">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7A287B79" w14:textId="77777777" w:rsidR="008F791C" w:rsidRPr="00556843" w:rsidRDefault="008F791C" w:rsidP="00D56568">
            <w:pPr>
              <w:pStyle w:val="TableText"/>
              <w:keepNext/>
            </w:pPr>
            <w:r w:rsidRPr="00556843">
              <w:rPr>
                <w:b/>
              </w:rPr>
              <w:t>&lt; 20,000 km</w:t>
            </w:r>
            <w:r w:rsidRPr="00556843">
              <w:rPr>
                <w:b/>
                <w:vertAlign w:val="superscript"/>
              </w:rPr>
              <w:t>2</w:t>
            </w:r>
          </w:p>
        </w:tc>
      </w:tr>
      <w:tr w:rsidR="008F791C" w:rsidRPr="00556843" w14:paraId="02125C1F" w14:textId="77777777" w:rsidTr="00E63F8D">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38D8018" w14:textId="77777777" w:rsidR="008F791C" w:rsidRPr="00556843" w:rsidRDefault="008F791C" w:rsidP="00D56568">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0677EB12" w14:textId="77777777" w:rsidR="008F791C" w:rsidRPr="00556843" w:rsidRDefault="008F791C" w:rsidP="00D56568">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181B68E" w14:textId="77777777" w:rsidR="008F791C" w:rsidRPr="00556843" w:rsidRDefault="008F791C" w:rsidP="00D56568">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28453516" w14:textId="77777777" w:rsidR="008F791C" w:rsidRPr="00556843" w:rsidRDefault="008F791C" w:rsidP="00D56568">
            <w:pPr>
              <w:pStyle w:val="TableText"/>
              <w:keepNext/>
            </w:pPr>
            <w:r w:rsidRPr="00556843">
              <w:rPr>
                <w:b/>
              </w:rPr>
              <w:t>&lt; 2,000 km</w:t>
            </w:r>
            <w:r w:rsidRPr="00556843">
              <w:rPr>
                <w:b/>
                <w:vertAlign w:val="superscript"/>
              </w:rPr>
              <w:t>2</w:t>
            </w:r>
          </w:p>
        </w:tc>
      </w:tr>
      <w:tr w:rsidR="008F791C" w:rsidRPr="00556843" w14:paraId="54C864C0" w14:textId="77777777" w:rsidTr="00E63F8D">
        <w:tc>
          <w:tcPr>
            <w:tcW w:w="10738" w:type="dxa"/>
            <w:gridSpan w:val="4"/>
            <w:tcBorders>
              <w:top w:val="nil"/>
              <w:bottom w:val="nil"/>
            </w:tcBorders>
          </w:tcPr>
          <w:p w14:paraId="1564BD8C" w14:textId="77777777" w:rsidR="008F791C" w:rsidRPr="00936152" w:rsidRDefault="008F791C" w:rsidP="00D56568">
            <w:pPr>
              <w:pStyle w:val="TableText"/>
              <w:keepNext/>
              <w:rPr>
                <w:rStyle w:val="Strong"/>
              </w:rPr>
            </w:pPr>
            <w:r w:rsidRPr="00936152">
              <w:rPr>
                <w:rStyle w:val="Strong"/>
              </w:rPr>
              <w:t>AND at least 2 of the following 3 conditions:</w:t>
            </w:r>
          </w:p>
        </w:tc>
      </w:tr>
      <w:tr w:rsidR="008F791C" w:rsidRPr="00556843" w14:paraId="3FCF0628" w14:textId="77777777" w:rsidTr="00E63F8D">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6CDEFC5" w14:textId="77777777" w:rsidR="008F791C" w:rsidRPr="00556843" w:rsidRDefault="008F791C" w:rsidP="00D56568">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574201F" w14:textId="77777777" w:rsidR="008F791C" w:rsidRPr="00556843" w:rsidRDefault="008F791C" w:rsidP="00D56568">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3013103" w14:textId="77777777" w:rsidR="008F791C" w:rsidRPr="00556843" w:rsidRDefault="008F791C" w:rsidP="00D56568">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FC1FB36" w14:textId="77777777" w:rsidR="008F791C" w:rsidRPr="00556843" w:rsidRDefault="008F791C" w:rsidP="00D56568">
            <w:pPr>
              <w:pStyle w:val="TableText"/>
              <w:keepNext/>
              <w:rPr>
                <w:b/>
              </w:rPr>
            </w:pPr>
            <w:r w:rsidRPr="00556843">
              <w:rPr>
                <w:b/>
              </w:rPr>
              <w:t>≤ 10</w:t>
            </w:r>
          </w:p>
        </w:tc>
      </w:tr>
      <w:tr w:rsidR="008F791C" w:rsidRPr="00556843" w14:paraId="282B3A1E" w14:textId="77777777" w:rsidTr="00E63F8D">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042C0793" w14:textId="77777777" w:rsidR="008F791C" w:rsidRPr="00556843" w:rsidRDefault="008F791C" w:rsidP="00D56568">
            <w:pPr>
              <w:pStyle w:val="TableText"/>
              <w:keepNext/>
              <w:ind w:left="492" w:hanging="492"/>
            </w:pPr>
            <w:r w:rsidRPr="00556843">
              <w:t>(b)</w:t>
            </w:r>
            <w:r w:rsidRPr="00556843">
              <w:tab/>
              <w:t>Continuing decline observed, estimated, inferred or projected in any of: (i) extent of occurrence; (ii) area of occupancy; (iii) area, extent and/or quality of habitat; (iv) number of locations or subpopulations; (v) number of mature individuals</w:t>
            </w:r>
          </w:p>
        </w:tc>
      </w:tr>
      <w:tr w:rsidR="008F791C" w:rsidRPr="00556843" w14:paraId="391596B3" w14:textId="77777777" w:rsidTr="00E63F8D">
        <w:tc>
          <w:tcPr>
            <w:tcW w:w="10738" w:type="dxa"/>
            <w:gridSpan w:val="4"/>
            <w:tcBorders>
              <w:top w:val="single" w:sz="4" w:space="0" w:color="FFFFFF" w:themeColor="background1"/>
            </w:tcBorders>
            <w:shd w:val="clear" w:color="auto" w:fill="BFBFBF" w:themeFill="background1" w:themeFillShade="BF"/>
          </w:tcPr>
          <w:p w14:paraId="1D614EB7" w14:textId="77777777" w:rsidR="008F791C" w:rsidRPr="00556843" w:rsidRDefault="008F791C" w:rsidP="00D56568">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0C43312A" w14:textId="77777777" w:rsidR="008F791C" w:rsidRPr="00B6264B" w:rsidRDefault="008F791C" w:rsidP="008F791C">
      <w:pPr>
        <w:pStyle w:val="Heading3"/>
        <w:spacing w:before="240"/>
        <w:ind w:left="964" w:hanging="964"/>
        <w:rPr>
          <w:lang w:eastAsia="ja-JP"/>
        </w:rPr>
      </w:pPr>
      <w:r>
        <w:rPr>
          <w:lang w:eastAsia="ja-JP"/>
        </w:rPr>
        <w:t>Criterion 2 e</w:t>
      </w:r>
      <w:r w:rsidRPr="00B6264B">
        <w:rPr>
          <w:lang w:eastAsia="ja-JP"/>
        </w:rPr>
        <w:t>vidence</w:t>
      </w:r>
    </w:p>
    <w:p w14:paraId="08C1CD76" w14:textId="77777777" w:rsidR="008F791C" w:rsidRDefault="008F791C" w:rsidP="008F791C">
      <w:pPr>
        <w:rPr>
          <w:b/>
          <w:bCs/>
          <w:lang w:eastAsia="ja-JP"/>
        </w:rPr>
      </w:pPr>
      <w:r w:rsidRPr="00F52D8A">
        <w:rPr>
          <w:rStyle w:val="Strong"/>
        </w:rPr>
        <w:t>Eligible under Criterion 2</w:t>
      </w:r>
      <w:r w:rsidRPr="00F52D8A">
        <w:rPr>
          <w:bCs/>
          <w:lang w:eastAsia="ja-JP"/>
        </w:rPr>
        <w:t xml:space="preserve"> </w:t>
      </w:r>
      <w:r w:rsidRPr="00F52D8A">
        <w:rPr>
          <w:b/>
          <w:lang w:eastAsia="ja-JP"/>
        </w:rPr>
        <w:t>B1ab(iii)+2ab(iii)</w:t>
      </w:r>
      <w:r w:rsidRPr="00F52D8A">
        <w:rPr>
          <w:bCs/>
          <w:lang w:eastAsia="ja-JP"/>
        </w:rPr>
        <w:t xml:space="preserve"> </w:t>
      </w:r>
      <w:r w:rsidRPr="00F52D8A">
        <w:rPr>
          <w:rStyle w:val="Strong"/>
        </w:rPr>
        <w:t>for listing as</w:t>
      </w:r>
      <w:r w:rsidRPr="00F52D8A">
        <w:rPr>
          <w:lang w:eastAsia="ja-JP"/>
        </w:rPr>
        <w:t xml:space="preserve"> </w:t>
      </w:r>
      <w:r>
        <w:rPr>
          <w:b/>
          <w:bCs/>
          <w:lang w:eastAsia="ja-JP"/>
        </w:rPr>
        <w:t>Endangered</w:t>
      </w:r>
      <w:r w:rsidRPr="00B6264B">
        <w:rPr>
          <w:b/>
          <w:bCs/>
          <w:lang w:eastAsia="ja-JP"/>
        </w:rPr>
        <w:t xml:space="preserve"> </w:t>
      </w:r>
    </w:p>
    <w:p w14:paraId="0DF3D9FF" w14:textId="4A019625" w:rsidR="008F791C" w:rsidRPr="002338C2" w:rsidRDefault="008F791C" w:rsidP="008F791C">
      <w:r w:rsidRPr="002338C2">
        <w:rPr>
          <w:i/>
          <w:iCs/>
        </w:rPr>
        <w:t>EOO and AOO</w:t>
      </w:r>
      <w:r w:rsidRPr="002338C2">
        <w:br/>
      </w:r>
      <w:r>
        <w:rPr>
          <w:i/>
          <w:iCs/>
        </w:rPr>
        <w:t xml:space="preserve">Rhodanthe </w:t>
      </w:r>
      <w:r>
        <w:t>sp. Point Lookout</w:t>
      </w:r>
      <w:r w:rsidRPr="002338C2">
        <w:t xml:space="preserve"> is known only from</w:t>
      </w:r>
      <w:r>
        <w:t xml:space="preserve"> four subpopulations</w:t>
      </w:r>
      <w:r w:rsidRPr="002338C2">
        <w:t xml:space="preserve">. The EOO of the known sites is estimated at </w:t>
      </w:r>
      <w:r>
        <w:t xml:space="preserve">approximately </w:t>
      </w:r>
      <w:r w:rsidR="005F07C2">
        <w:t xml:space="preserve">284 </w:t>
      </w:r>
      <w:r w:rsidRPr="008F791C">
        <w:t>km</w:t>
      </w:r>
      <w:r w:rsidRPr="008F791C">
        <w:rPr>
          <w:vertAlign w:val="superscript"/>
        </w:rPr>
        <w:t>2</w:t>
      </w:r>
      <w:r w:rsidRPr="002338C2">
        <w:rPr>
          <w:vertAlign w:val="superscript"/>
        </w:rPr>
        <w:t xml:space="preserve"> </w:t>
      </w:r>
      <w:r w:rsidRPr="002338C2">
        <w:t xml:space="preserve">and the AOO of known sites is </w:t>
      </w:r>
      <w:r w:rsidRPr="008F791C">
        <w:t>16 km</w:t>
      </w:r>
      <w:r w:rsidRPr="005F07C2">
        <w:rPr>
          <w:vertAlign w:val="superscript"/>
        </w:rPr>
        <w:t>2</w:t>
      </w:r>
      <w:r w:rsidRPr="005F07C2">
        <w:t xml:space="preserve">. </w:t>
      </w:r>
      <w:r w:rsidRPr="002338C2">
        <w:rPr>
          <w:lang w:eastAsia="ja-JP"/>
        </w:rPr>
        <w:t xml:space="preserve">The EOO was calculated using a minimum convex hull, </w:t>
      </w:r>
      <w:r>
        <w:rPr>
          <w:lang w:eastAsia="ja-JP"/>
        </w:rPr>
        <w:t>and the A</w:t>
      </w:r>
      <w:r w:rsidRPr="002338C2">
        <w:t>OO was calculated using the</w:t>
      </w:r>
      <w:r w:rsidRPr="002338C2">
        <w:rPr>
          <w:lang w:eastAsia="ja-JP"/>
        </w:rPr>
        <w:t xml:space="preserve"> 2x2 km grid cell method</w:t>
      </w:r>
      <w:r>
        <w:rPr>
          <w:lang w:eastAsia="ja-JP"/>
        </w:rPr>
        <w:t>,</w:t>
      </w:r>
      <w:r w:rsidRPr="002338C2">
        <w:rPr>
          <w:lang w:eastAsia="ja-JP"/>
        </w:rPr>
        <w:t xml:space="preserve"> </w:t>
      </w:r>
      <w:r w:rsidRPr="002338C2">
        <w:t xml:space="preserve">as outlined in the IUCN Guidelines </w:t>
      </w:r>
      <w:r w:rsidRPr="002338C2">
        <w:fldChar w:fldCharType="begin"/>
      </w:r>
      <w:r w:rsidRPr="002338C2">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Pr="002338C2">
        <w:fldChar w:fldCharType="separate"/>
      </w:r>
      <w:r w:rsidRPr="002338C2">
        <w:rPr>
          <w:noProof/>
        </w:rPr>
        <w:t>(IUCN 2019)</w:t>
      </w:r>
      <w:r w:rsidRPr="002338C2">
        <w:fldChar w:fldCharType="end"/>
      </w:r>
      <w:r w:rsidRPr="002338C2">
        <w:t xml:space="preserve">. </w:t>
      </w:r>
    </w:p>
    <w:p w14:paraId="5EFED2F8" w14:textId="77777777" w:rsidR="008F791C" w:rsidRPr="002338C2" w:rsidRDefault="008F791C" w:rsidP="008F791C">
      <w:r w:rsidRPr="002338C2">
        <w:t>Given that the AOO is less than 500 km</w:t>
      </w:r>
      <w:r w:rsidRPr="002338C2">
        <w:rPr>
          <w:vertAlign w:val="superscript"/>
        </w:rPr>
        <w:t>2</w:t>
      </w:r>
      <w:r w:rsidRPr="002338C2">
        <w:t xml:space="preserve"> and EOO is less than 5000 km</w:t>
      </w:r>
      <w:r w:rsidRPr="002338C2">
        <w:rPr>
          <w:vertAlign w:val="superscript"/>
        </w:rPr>
        <w:t>2</w:t>
      </w:r>
      <w:r w:rsidRPr="002338C2">
        <w:rPr>
          <w:vertAlign w:val="subscript"/>
        </w:rPr>
        <w:t>,</w:t>
      </w:r>
      <w:r w:rsidRPr="002338C2">
        <w:t xml:space="preserve"> the species meets the threshold for listing as Endangered under and </w:t>
      </w:r>
      <w:r>
        <w:t xml:space="preserve">sub-criterion B1 and </w:t>
      </w:r>
      <w:r w:rsidRPr="002338C2">
        <w:t>sub-criterion B2.</w:t>
      </w:r>
    </w:p>
    <w:p w14:paraId="70F04AEF" w14:textId="77777777" w:rsidR="008F791C" w:rsidRDefault="008F791C" w:rsidP="008F791C">
      <w:pPr>
        <w:rPr>
          <w:i/>
          <w:iCs/>
          <w:lang w:eastAsia="ja-JP"/>
        </w:rPr>
      </w:pPr>
      <w:r>
        <w:rPr>
          <w:i/>
          <w:iCs/>
          <w:lang w:eastAsia="ja-JP"/>
        </w:rPr>
        <w:t>Severely fragmented and n</w:t>
      </w:r>
      <w:r w:rsidRPr="003B401D">
        <w:rPr>
          <w:i/>
          <w:iCs/>
          <w:lang w:eastAsia="ja-JP"/>
        </w:rPr>
        <w:t>umber of locations</w:t>
      </w:r>
    </w:p>
    <w:p w14:paraId="4D77A0AB" w14:textId="77777777" w:rsidR="008F791C" w:rsidRPr="00F3259E" w:rsidRDefault="008F791C" w:rsidP="008F791C">
      <w:r>
        <w:t>To be eligible for severely fragmented, more than 50 percent of the AOO must be in subpopulations that are below minimal viable population size (IUCN 2019). Currently, it is unclear if known subpopulations are severely fragmented, as</w:t>
      </w:r>
      <w:r w:rsidRPr="00F3259E">
        <w:t xml:space="preserve"> data on subpopulation sizes are not available for all subpopulations. All known subpopulations are located in medium to large sized national parks.</w:t>
      </w:r>
    </w:p>
    <w:p w14:paraId="015BA50E" w14:textId="77777777" w:rsidR="008F791C" w:rsidRPr="00F52CF3" w:rsidRDefault="008F791C" w:rsidP="008F791C">
      <w:pPr>
        <w:rPr>
          <w:lang w:eastAsia="ja-JP"/>
        </w:rPr>
      </w:pPr>
      <w:r w:rsidRPr="00F52CF3">
        <w:rPr>
          <w:lang w:eastAsia="ja-JP"/>
        </w:rPr>
        <w:t xml:space="preserve">There are two locations, based on the plausibility of two </w:t>
      </w:r>
      <w:r>
        <w:rPr>
          <w:lang w:eastAsia="ja-JP"/>
        </w:rPr>
        <w:t>feral</w:t>
      </w:r>
      <w:r w:rsidRPr="00F52CF3">
        <w:rPr>
          <w:lang w:eastAsia="ja-JP"/>
        </w:rPr>
        <w:t xml:space="preserve"> goat herds impacting all known subpopulations. </w:t>
      </w:r>
      <w:r>
        <w:rPr>
          <w:lang w:eastAsia="ja-JP"/>
        </w:rPr>
        <w:t>Feral</w:t>
      </w:r>
      <w:r w:rsidRPr="00F52CF3">
        <w:rPr>
          <w:lang w:eastAsia="ja-JP"/>
        </w:rPr>
        <w:t xml:space="preserve"> goats are known to occur at Apsley Falls (DPIE 2021), and, as the distance between this site and Steep Drop Falls is c. 20</w:t>
      </w:r>
      <w:r>
        <w:rPr>
          <w:lang w:eastAsia="ja-JP"/>
        </w:rPr>
        <w:t xml:space="preserve"> </w:t>
      </w:r>
      <w:r w:rsidRPr="00F52CF3">
        <w:rPr>
          <w:lang w:eastAsia="ja-JP"/>
        </w:rPr>
        <w:t xml:space="preserve">km, it is possible that both these subpopulations could be impacted by a single </w:t>
      </w:r>
      <w:r>
        <w:rPr>
          <w:lang w:eastAsia="ja-JP"/>
        </w:rPr>
        <w:t>feral</w:t>
      </w:r>
      <w:r w:rsidRPr="00F52CF3">
        <w:rPr>
          <w:lang w:eastAsia="ja-JP"/>
        </w:rPr>
        <w:t xml:space="preserve"> goat herd. Both subpopulations are therefore considered a single location. </w:t>
      </w:r>
      <w:r>
        <w:rPr>
          <w:lang w:eastAsia="ja-JP"/>
        </w:rPr>
        <w:t xml:space="preserve"> </w:t>
      </w:r>
      <w:r w:rsidRPr="00F52CF3">
        <w:rPr>
          <w:lang w:eastAsia="ja-JP"/>
        </w:rPr>
        <w:t xml:space="preserve">Darkie Point and Point Lookout are c. 85 km from Apsley Falls. These subpopulations are likely to be impacted by a separate herd of </w:t>
      </w:r>
      <w:r>
        <w:rPr>
          <w:lang w:eastAsia="ja-JP"/>
        </w:rPr>
        <w:t>feral</w:t>
      </w:r>
      <w:r w:rsidRPr="00F52CF3">
        <w:rPr>
          <w:lang w:eastAsia="ja-JP"/>
        </w:rPr>
        <w:t xml:space="preserve"> goats, as most of the land between</w:t>
      </w:r>
      <w:r>
        <w:rPr>
          <w:lang w:eastAsia="ja-JP"/>
        </w:rPr>
        <w:t xml:space="preserve"> the other two sites and </w:t>
      </w:r>
      <w:r w:rsidRPr="00F52CF3">
        <w:rPr>
          <w:lang w:eastAsia="ja-JP"/>
        </w:rPr>
        <w:t xml:space="preserve">these sites is OWNRP, where </w:t>
      </w:r>
      <w:r>
        <w:rPr>
          <w:lang w:eastAsia="ja-JP"/>
        </w:rPr>
        <w:t>feral</w:t>
      </w:r>
      <w:r w:rsidRPr="00F52CF3">
        <w:rPr>
          <w:lang w:eastAsia="ja-JP"/>
        </w:rPr>
        <w:t xml:space="preserve"> </w:t>
      </w:r>
      <w:r>
        <w:rPr>
          <w:lang w:eastAsia="ja-JP"/>
        </w:rPr>
        <w:t>g</w:t>
      </w:r>
      <w:r w:rsidRPr="00F52CF3">
        <w:rPr>
          <w:lang w:eastAsia="ja-JP"/>
        </w:rPr>
        <w:t xml:space="preserve">oat numbers are controlled </w:t>
      </w:r>
      <w:r w:rsidRPr="00F52CF3">
        <w:rPr>
          <w:lang w:eastAsia="ja-JP"/>
        </w:rPr>
        <w:lastRenderedPageBreak/>
        <w:t xml:space="preserve">(DPIE 2005), and it is unlikely </w:t>
      </w:r>
      <w:r>
        <w:rPr>
          <w:lang w:eastAsia="ja-JP"/>
        </w:rPr>
        <w:t>feral</w:t>
      </w:r>
      <w:r w:rsidRPr="00F52CF3">
        <w:rPr>
          <w:lang w:eastAsia="ja-JP"/>
        </w:rPr>
        <w:t xml:space="preserve"> </w:t>
      </w:r>
      <w:r>
        <w:rPr>
          <w:lang w:eastAsia="ja-JP"/>
        </w:rPr>
        <w:t>g</w:t>
      </w:r>
      <w:r w:rsidRPr="00F52CF3">
        <w:rPr>
          <w:lang w:eastAsia="ja-JP"/>
        </w:rPr>
        <w:t>oat herds in the area would have such large home ranges considering the high rainfall and availability of food. It is therefore more likely that Point Lookout and Darkie Point (c. 5</w:t>
      </w:r>
      <w:r>
        <w:rPr>
          <w:lang w:eastAsia="ja-JP"/>
        </w:rPr>
        <w:t xml:space="preserve"> </w:t>
      </w:r>
      <w:r w:rsidRPr="00F52CF3">
        <w:rPr>
          <w:lang w:eastAsia="ja-JP"/>
        </w:rPr>
        <w:t xml:space="preserve">km apart) will be impacted by a separate </w:t>
      </w:r>
      <w:r>
        <w:rPr>
          <w:lang w:eastAsia="ja-JP"/>
        </w:rPr>
        <w:t>feral</w:t>
      </w:r>
      <w:r w:rsidRPr="00F52CF3">
        <w:rPr>
          <w:lang w:eastAsia="ja-JP"/>
        </w:rPr>
        <w:t xml:space="preserve"> </w:t>
      </w:r>
      <w:r>
        <w:rPr>
          <w:lang w:eastAsia="ja-JP"/>
        </w:rPr>
        <w:t>g</w:t>
      </w:r>
      <w:r w:rsidRPr="00F52CF3">
        <w:rPr>
          <w:lang w:eastAsia="ja-JP"/>
        </w:rPr>
        <w:t>oat herd living on the edge of New England NP</w:t>
      </w:r>
      <w:r>
        <w:rPr>
          <w:lang w:eastAsia="ja-JP"/>
        </w:rPr>
        <w:t>. This gives a total of two locations – Steep Drop Falls/Apsley Falls and Darkie Point/Point Lookout.</w:t>
      </w:r>
    </w:p>
    <w:p w14:paraId="33D7B0E6" w14:textId="3F8DF6DD" w:rsidR="008F791C" w:rsidRDefault="008F791C" w:rsidP="008F791C">
      <w:pPr>
        <w:rPr>
          <w:i/>
          <w:iCs/>
          <w:lang w:eastAsia="ja-JP"/>
        </w:rPr>
      </w:pPr>
      <w:r>
        <w:rPr>
          <w:i/>
          <w:iCs/>
          <w:lang w:eastAsia="ja-JP"/>
        </w:rPr>
        <w:t>Continuing decline</w:t>
      </w:r>
    </w:p>
    <w:p w14:paraId="74AA44D7" w14:textId="791D1B94" w:rsidR="008F791C" w:rsidRDefault="2B13B67F" w:rsidP="008F791C">
      <w:pPr>
        <w:rPr>
          <w:lang w:eastAsia="ja-JP"/>
        </w:rPr>
      </w:pPr>
      <w:r w:rsidRPr="12744716">
        <w:rPr>
          <w:lang w:eastAsia="ja-JP"/>
        </w:rPr>
        <w:t xml:space="preserve">There is an inferred and projected decline in </w:t>
      </w:r>
      <w:r w:rsidRPr="12744716">
        <w:rPr>
          <w:i/>
          <w:iCs/>
          <w:lang w:eastAsia="ja-JP"/>
        </w:rPr>
        <w:t xml:space="preserve">Rhodanthe </w:t>
      </w:r>
      <w:r w:rsidRPr="12744716">
        <w:rPr>
          <w:lang w:eastAsia="ja-JP"/>
        </w:rPr>
        <w:t>sp. Point Lookout habitat quality due to escarpment collapse</w:t>
      </w:r>
      <w:r w:rsidR="1A2CCE36" w:rsidRPr="12744716">
        <w:rPr>
          <w:lang w:eastAsia="ja-JP"/>
        </w:rPr>
        <w:t xml:space="preserve"> and</w:t>
      </w:r>
      <w:r w:rsidRPr="12744716">
        <w:rPr>
          <w:lang w:eastAsia="ja-JP"/>
        </w:rPr>
        <w:t xml:space="preserve"> bushfire events</w:t>
      </w:r>
      <w:r w:rsidR="1A2CCE36" w:rsidRPr="12744716">
        <w:rPr>
          <w:lang w:eastAsia="ja-JP"/>
        </w:rPr>
        <w:t xml:space="preserve"> fuelled by climate change</w:t>
      </w:r>
      <w:r w:rsidRPr="12744716">
        <w:rPr>
          <w:lang w:eastAsia="ja-JP"/>
        </w:rPr>
        <w:t xml:space="preserve">, and herbivory by feral goats. </w:t>
      </w:r>
    </w:p>
    <w:p w14:paraId="431FD6EA" w14:textId="237410BE" w:rsidR="008F791C" w:rsidRDefault="008F791C" w:rsidP="008F791C">
      <w:r>
        <w:t xml:space="preserve">Escarpment collapse at Apsley Falls caused by an extreme weather event has likely decreased </w:t>
      </w:r>
      <w:r>
        <w:rPr>
          <w:i/>
          <w:iCs/>
        </w:rPr>
        <w:t xml:space="preserve">Rhodanthe </w:t>
      </w:r>
      <w:r>
        <w:t xml:space="preserve">sp. Point Lookout habitat quality. The collapse of one section of the cliff face appears to have made this area unsuitable for </w:t>
      </w:r>
      <w:r>
        <w:rPr>
          <w:i/>
          <w:iCs/>
        </w:rPr>
        <w:t xml:space="preserve">Rhodanthe </w:t>
      </w:r>
      <w:r>
        <w:t xml:space="preserve">sp. Point Lookout plants, as there are no longer any crevices suitable for plant growth (DPIE 2021; Figure 1). At Steep Drop Falls, the 2019–20 bushfires likely reduced habitat quality through the loss of co-occurring plants and the facilitation of weed invasion (Milberg &amp; Lamont 1995; DPIPWE 2021). </w:t>
      </w:r>
      <w:r w:rsidR="005F07C2">
        <w:t>Both</w:t>
      </w:r>
      <w:r w:rsidR="005F07C2">
        <w:rPr>
          <w:lang w:eastAsia="ja-JP"/>
        </w:rPr>
        <w:t xml:space="preserve"> high severity bushfires and extreme weather events are expected to become more frequent in the mid-north of NSW due to climate change (OEH 2014; CSIRO &amp; Bureau of Meteorology 2015), suggesting that decline in habitat quality due to these factors will continue.</w:t>
      </w:r>
    </w:p>
    <w:p w14:paraId="3784B955" w14:textId="77777777" w:rsidR="008F791C" w:rsidRDefault="008F791C" w:rsidP="008F791C">
      <w:pPr>
        <w:rPr>
          <w:lang w:eastAsia="ja-JP"/>
        </w:rPr>
      </w:pPr>
      <w:r>
        <w:rPr>
          <w:lang w:eastAsia="ja-JP"/>
        </w:rPr>
        <w:t>Feral</w:t>
      </w:r>
      <w:r w:rsidRPr="00740D63">
        <w:rPr>
          <w:lang w:eastAsia="ja-JP"/>
        </w:rPr>
        <w:t xml:space="preserve"> goats</w:t>
      </w:r>
      <w:r>
        <w:rPr>
          <w:lang w:eastAsia="ja-JP"/>
        </w:rPr>
        <w:t xml:space="preserve"> are known to occur at Apsley Falls. Unlike many other feral species, feral goats are capable of browsing on cliffside habitat, and can</w:t>
      </w:r>
      <w:r w:rsidRPr="00740D63">
        <w:rPr>
          <w:lang w:eastAsia="ja-JP"/>
        </w:rPr>
        <w:t xml:space="preserve"> </w:t>
      </w:r>
      <w:r>
        <w:rPr>
          <w:lang w:eastAsia="ja-JP"/>
        </w:rPr>
        <w:t>h</w:t>
      </w:r>
      <w:r w:rsidRPr="00740D63">
        <w:rPr>
          <w:lang w:eastAsia="ja-JP"/>
        </w:rPr>
        <w:t>ave a major impact on native plants communities through soil damage and overgrazing of herbs, grasses, shrubs and trees</w:t>
      </w:r>
      <w:r>
        <w:rPr>
          <w:lang w:eastAsia="ja-JP"/>
        </w:rPr>
        <w:t xml:space="preserve"> (DEWHA 2008)</w:t>
      </w:r>
      <w:r w:rsidRPr="00740D63">
        <w:rPr>
          <w:lang w:eastAsia="ja-JP"/>
        </w:rPr>
        <w:t>.</w:t>
      </w:r>
      <w:r w:rsidRPr="00E14749">
        <w:rPr>
          <w:lang w:eastAsia="ja-JP"/>
        </w:rPr>
        <w:t xml:space="preserve"> </w:t>
      </w:r>
      <w:r w:rsidRPr="00740D63">
        <w:rPr>
          <w:lang w:eastAsia="ja-JP"/>
        </w:rPr>
        <w:t xml:space="preserve">This grazing can cause erosion and prevent regeneration. </w:t>
      </w:r>
      <w:r>
        <w:rPr>
          <w:lang w:eastAsia="ja-JP"/>
        </w:rPr>
        <w:t>Though there are no documented current browsing impacts on known subpopulations, (DPIE 2021) impacts may become more pronounced in the future, particularly if management effort is reduced. Feral</w:t>
      </w:r>
      <w:r w:rsidRPr="00740D63">
        <w:rPr>
          <w:lang w:eastAsia="ja-JP"/>
        </w:rPr>
        <w:t xml:space="preserve"> goats may also spread weeds</w:t>
      </w:r>
      <w:r>
        <w:rPr>
          <w:lang w:eastAsia="ja-JP"/>
        </w:rPr>
        <w:t xml:space="preserve"> to known sites</w:t>
      </w:r>
      <w:r w:rsidRPr="00740D63">
        <w:rPr>
          <w:lang w:eastAsia="ja-JP"/>
        </w:rPr>
        <w:t xml:space="preserve"> (Bayne et al. 2005; DEWHA 2008)</w:t>
      </w:r>
      <w:r>
        <w:rPr>
          <w:lang w:eastAsia="ja-JP"/>
        </w:rPr>
        <w:t>, further reducing habitat quality.</w:t>
      </w:r>
    </w:p>
    <w:p w14:paraId="79C6C20D" w14:textId="77777777" w:rsidR="008F791C" w:rsidRDefault="008F791C" w:rsidP="008F791C">
      <w:pPr>
        <w:rPr>
          <w:lang w:eastAsia="ja-JP"/>
        </w:rPr>
      </w:pPr>
      <w:r>
        <w:rPr>
          <w:i/>
          <w:iCs/>
          <w:lang w:eastAsia="ja-JP"/>
        </w:rPr>
        <w:t>Extreme fluctuations</w:t>
      </w:r>
    </w:p>
    <w:p w14:paraId="590F5433" w14:textId="77777777" w:rsidR="008F791C" w:rsidRPr="00C001FE" w:rsidRDefault="008F791C" w:rsidP="008F791C">
      <w:pPr>
        <w:rPr>
          <w:lang w:eastAsia="ja-JP"/>
        </w:rPr>
      </w:pPr>
      <w:r>
        <w:rPr>
          <w:lang w:eastAsia="ja-JP"/>
        </w:rPr>
        <w:t>The species is not known to undergo extreme fluctuations.</w:t>
      </w:r>
    </w:p>
    <w:p w14:paraId="3C1DFC86" w14:textId="77777777" w:rsidR="008F791C" w:rsidRPr="008155CB" w:rsidRDefault="008F791C" w:rsidP="008F791C">
      <w:pPr>
        <w:rPr>
          <w:bCs/>
          <w:lang w:eastAsia="ja-JP"/>
        </w:rPr>
      </w:pPr>
      <w:r w:rsidRPr="006C2173">
        <w:rPr>
          <w:bCs/>
          <w:i/>
          <w:iCs/>
          <w:lang w:eastAsia="ja-JP"/>
        </w:rPr>
        <w:t>Conclusion</w:t>
      </w:r>
      <w:r>
        <w:rPr>
          <w:bCs/>
          <w:lang w:eastAsia="ja-JP"/>
        </w:rPr>
        <w:br/>
      </w:r>
      <w:r w:rsidRPr="008155CB">
        <w:rPr>
          <w:lang w:eastAsia="ja-JP"/>
        </w:rPr>
        <w:t xml:space="preserve">The data presented above appear to demonstrate that the species is eligible for listing as </w:t>
      </w:r>
      <w:r w:rsidRPr="00AF0C22">
        <w:rPr>
          <w:lang w:eastAsia="ja-JP"/>
        </w:rPr>
        <w:t>Endangered</w:t>
      </w:r>
      <w:r w:rsidRPr="008155CB">
        <w:rPr>
          <w:lang w:eastAsia="ja-JP"/>
        </w:rPr>
        <w:t xml:space="preserve"> under this criterion. However, the purpose of this consultation document is to elicit additional information to better understand the species’ status. This conclusion should therefore be considered to be tentative at this stage, as it may be changed as a result of responses to this consultation process</w:t>
      </w:r>
      <w:r w:rsidRPr="008155CB">
        <w:rPr>
          <w:bCs/>
          <w:lang w:eastAsia="ja-JP"/>
        </w:rPr>
        <w:t>.</w:t>
      </w:r>
    </w:p>
    <w:p w14:paraId="656D6BE8" w14:textId="77777777" w:rsidR="008F791C" w:rsidRPr="008C531D" w:rsidRDefault="008F791C" w:rsidP="008F791C">
      <w:pPr>
        <w:pStyle w:val="Caption"/>
        <w:rPr>
          <w:lang w:eastAsia="ja-JP"/>
        </w:rPr>
      </w:pPr>
      <w:r w:rsidRPr="002B69E4">
        <w:rPr>
          <w:lang w:eastAsia="ja-JP"/>
        </w:rPr>
        <w:lastRenderedPageBreak/>
        <w:t>Criterion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8F791C" w:rsidRPr="00556843" w14:paraId="4ED6479F" w14:textId="77777777" w:rsidTr="00D56568">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31D18B35" w14:textId="77777777" w:rsidR="008F791C" w:rsidRPr="00556843" w:rsidRDefault="008F791C" w:rsidP="00D56568">
            <w:pPr>
              <w:keepNext/>
              <w:tabs>
                <w:tab w:val="left" w:pos="284"/>
              </w:tabs>
              <w:rPr>
                <w:rFonts w:ascii="Arial" w:hAnsi="Arial" w:cs="Arial"/>
                <w:b/>
                <w:color w:val="FFFFFF" w:themeColor="background1"/>
              </w:rPr>
            </w:pPr>
          </w:p>
        </w:tc>
      </w:tr>
      <w:tr w:rsidR="008F791C" w:rsidRPr="00556843" w14:paraId="5E52D58F" w14:textId="77777777" w:rsidTr="00D56568">
        <w:tc>
          <w:tcPr>
            <w:tcW w:w="3395" w:type="dxa"/>
            <w:gridSpan w:val="2"/>
            <w:tcBorders>
              <w:top w:val="nil"/>
              <w:left w:val="single" w:sz="4" w:space="0" w:color="auto"/>
              <w:bottom w:val="nil"/>
              <w:right w:val="nil"/>
            </w:tcBorders>
          </w:tcPr>
          <w:p w14:paraId="0D8670A9" w14:textId="77777777" w:rsidR="008F791C" w:rsidRPr="00AE31DA" w:rsidRDefault="008F791C" w:rsidP="00D5656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799CCB53" w14:textId="77777777" w:rsidR="008F791C" w:rsidRPr="00556843" w:rsidRDefault="008F791C" w:rsidP="00D56568">
            <w:pPr>
              <w:pStyle w:val="TableText"/>
              <w:keepNext/>
              <w:rPr>
                <w:b/>
              </w:rPr>
            </w:pPr>
            <w:r w:rsidRPr="00556843">
              <w:rPr>
                <w:b/>
              </w:rPr>
              <w:t>Critically Endangered</w:t>
            </w:r>
          </w:p>
          <w:p w14:paraId="0F311762" w14:textId="77777777" w:rsidR="008F791C" w:rsidRPr="00556843" w:rsidRDefault="008F791C" w:rsidP="00D5656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95AB130" w14:textId="77777777" w:rsidR="008F791C" w:rsidRPr="00556843" w:rsidRDefault="008F791C" w:rsidP="00D56568">
            <w:pPr>
              <w:pStyle w:val="TableText"/>
              <w:keepNext/>
              <w:rPr>
                <w:b/>
              </w:rPr>
            </w:pPr>
            <w:r w:rsidRPr="00556843">
              <w:rPr>
                <w:b/>
              </w:rPr>
              <w:t>Endangered</w:t>
            </w:r>
          </w:p>
          <w:p w14:paraId="574C6D2E" w14:textId="77777777" w:rsidR="008F791C" w:rsidRPr="00556843" w:rsidRDefault="008F791C" w:rsidP="00D5656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A056962" w14:textId="77777777" w:rsidR="008F791C" w:rsidRPr="00556843" w:rsidRDefault="008F791C" w:rsidP="00D56568">
            <w:pPr>
              <w:pStyle w:val="TableText"/>
              <w:keepNext/>
              <w:rPr>
                <w:b/>
              </w:rPr>
            </w:pPr>
            <w:r w:rsidRPr="00556843">
              <w:rPr>
                <w:b/>
              </w:rPr>
              <w:t>Vulnerable</w:t>
            </w:r>
          </w:p>
          <w:p w14:paraId="2CA8AF1E" w14:textId="77777777" w:rsidR="008F791C" w:rsidRPr="00556843" w:rsidRDefault="008F791C" w:rsidP="00D56568">
            <w:pPr>
              <w:pStyle w:val="TableText"/>
              <w:keepNext/>
              <w:rPr>
                <w:b/>
              </w:rPr>
            </w:pPr>
            <w:r w:rsidRPr="00556843">
              <w:rPr>
                <w:b/>
              </w:rPr>
              <w:t>Limited</w:t>
            </w:r>
          </w:p>
        </w:tc>
      </w:tr>
      <w:tr w:rsidR="008F791C" w:rsidRPr="00556843" w14:paraId="1677A2AC" w14:textId="77777777" w:rsidTr="00D56568">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2AD7A99D" w14:textId="77777777" w:rsidR="008F791C" w:rsidRPr="00556843" w:rsidRDefault="008F791C" w:rsidP="00D5656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2E92BDA2" w14:textId="77777777" w:rsidR="008F791C" w:rsidRPr="00556843" w:rsidRDefault="008F791C" w:rsidP="00D5656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4E81C246" w14:textId="77777777" w:rsidR="008F791C" w:rsidRPr="00556843" w:rsidRDefault="008F791C" w:rsidP="00D5656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6306C9C6" w14:textId="77777777" w:rsidR="008F791C" w:rsidRPr="00556843" w:rsidRDefault="008F791C" w:rsidP="00D56568">
            <w:pPr>
              <w:pStyle w:val="TableText"/>
              <w:keepNext/>
            </w:pPr>
            <w:r w:rsidRPr="00556843">
              <w:rPr>
                <w:b/>
              </w:rPr>
              <w:t xml:space="preserve">&lt; 10,000 </w:t>
            </w:r>
          </w:p>
        </w:tc>
      </w:tr>
      <w:tr w:rsidR="008F791C" w:rsidRPr="00556843" w14:paraId="0243788B" w14:textId="77777777" w:rsidTr="00D56568">
        <w:tc>
          <w:tcPr>
            <w:tcW w:w="3395" w:type="dxa"/>
            <w:gridSpan w:val="2"/>
            <w:tcBorders>
              <w:top w:val="nil"/>
              <w:left w:val="single" w:sz="4" w:space="0" w:color="auto"/>
              <w:bottom w:val="single" w:sz="4" w:space="0" w:color="FFFFFF" w:themeColor="background1"/>
              <w:right w:val="nil"/>
            </w:tcBorders>
            <w:shd w:val="clear" w:color="auto" w:fill="auto"/>
          </w:tcPr>
          <w:p w14:paraId="06A86FFD" w14:textId="77777777" w:rsidR="008F791C" w:rsidRPr="00556843" w:rsidRDefault="008F791C" w:rsidP="00D5656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06DCE5AD" w14:textId="77777777" w:rsidR="008F791C" w:rsidRPr="00556843" w:rsidRDefault="008F791C" w:rsidP="00D5656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6363CA21" w14:textId="77777777" w:rsidR="008F791C" w:rsidRPr="00556843" w:rsidRDefault="008F791C" w:rsidP="00D5656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64E3B3E" w14:textId="77777777" w:rsidR="008F791C" w:rsidRPr="00556843" w:rsidRDefault="008F791C" w:rsidP="00D56568">
            <w:pPr>
              <w:pStyle w:val="TableText"/>
              <w:keepNext/>
              <w:rPr>
                <w:b/>
              </w:rPr>
            </w:pPr>
          </w:p>
        </w:tc>
      </w:tr>
      <w:tr w:rsidR="008F791C" w:rsidRPr="00556843" w14:paraId="7C31934A" w14:textId="77777777" w:rsidTr="00D56568">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17416C1" w14:textId="77777777" w:rsidR="008F791C" w:rsidRPr="00556843" w:rsidRDefault="008F791C" w:rsidP="00D56568">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0D99D50B" w14:textId="77777777" w:rsidR="008F791C" w:rsidRPr="00556843" w:rsidRDefault="008F791C" w:rsidP="00D56568">
            <w:pPr>
              <w:pStyle w:val="TableText"/>
              <w:keepNext/>
              <w:rPr>
                <w:b/>
              </w:rPr>
            </w:pPr>
            <w:r w:rsidRPr="00556843">
              <w:rPr>
                <w:b/>
              </w:rPr>
              <w:t>Very high rate</w:t>
            </w:r>
          </w:p>
          <w:p w14:paraId="618EB2D4" w14:textId="77777777" w:rsidR="008F791C" w:rsidRPr="00556843" w:rsidRDefault="008F791C" w:rsidP="00D56568">
            <w:pPr>
              <w:pStyle w:val="TableText"/>
              <w:keepNext/>
              <w:rPr>
                <w:b/>
              </w:rPr>
            </w:pPr>
            <w:r w:rsidRPr="00556843">
              <w:rPr>
                <w:b/>
              </w:rPr>
              <w:t>25% in 3 years or 1 generation</w:t>
            </w:r>
          </w:p>
          <w:p w14:paraId="3A6F52D2" w14:textId="77777777" w:rsidR="008F791C" w:rsidRPr="00556843" w:rsidRDefault="008F791C" w:rsidP="00D5656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BC91A07" w14:textId="77777777" w:rsidR="008F791C" w:rsidRPr="00556843" w:rsidRDefault="008F791C" w:rsidP="00D56568">
            <w:pPr>
              <w:pStyle w:val="TableText"/>
              <w:keepNext/>
              <w:rPr>
                <w:b/>
              </w:rPr>
            </w:pPr>
            <w:r w:rsidRPr="00556843">
              <w:rPr>
                <w:b/>
              </w:rPr>
              <w:t>High rate</w:t>
            </w:r>
          </w:p>
          <w:p w14:paraId="4CF87348" w14:textId="77777777" w:rsidR="008F791C" w:rsidRPr="00556843" w:rsidRDefault="008F791C" w:rsidP="00D56568">
            <w:pPr>
              <w:pStyle w:val="TableText"/>
              <w:keepNext/>
              <w:rPr>
                <w:b/>
              </w:rPr>
            </w:pPr>
            <w:r w:rsidRPr="00556843">
              <w:rPr>
                <w:b/>
              </w:rPr>
              <w:t>20% in 5 years or 2 generation</w:t>
            </w:r>
          </w:p>
          <w:p w14:paraId="726B6AD8" w14:textId="77777777" w:rsidR="008F791C" w:rsidRPr="00556843" w:rsidRDefault="008F791C" w:rsidP="00D5656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1DEECA92" w14:textId="77777777" w:rsidR="008F791C" w:rsidRPr="00556843" w:rsidRDefault="008F791C" w:rsidP="00D56568">
            <w:pPr>
              <w:pStyle w:val="TableText"/>
              <w:keepNext/>
              <w:rPr>
                <w:b/>
              </w:rPr>
            </w:pPr>
            <w:r w:rsidRPr="00556843">
              <w:rPr>
                <w:b/>
              </w:rPr>
              <w:t>Substantial rate</w:t>
            </w:r>
          </w:p>
          <w:p w14:paraId="6CDDFE4E" w14:textId="77777777" w:rsidR="008F791C" w:rsidRPr="00556843" w:rsidRDefault="008F791C" w:rsidP="00D56568">
            <w:pPr>
              <w:pStyle w:val="TableText"/>
              <w:keepNext/>
              <w:rPr>
                <w:b/>
              </w:rPr>
            </w:pPr>
            <w:r w:rsidRPr="00556843">
              <w:rPr>
                <w:b/>
              </w:rPr>
              <w:t>10% in 10 years or 3 generations</w:t>
            </w:r>
          </w:p>
          <w:p w14:paraId="1B71EA2D" w14:textId="77777777" w:rsidR="008F791C" w:rsidRPr="00556843" w:rsidRDefault="008F791C" w:rsidP="00D56568">
            <w:pPr>
              <w:pStyle w:val="TableText"/>
              <w:keepNext/>
              <w:rPr>
                <w:b/>
              </w:rPr>
            </w:pPr>
            <w:r w:rsidRPr="00556843">
              <w:rPr>
                <w:b/>
              </w:rPr>
              <w:t>(whichever is longer)</w:t>
            </w:r>
          </w:p>
        </w:tc>
      </w:tr>
      <w:tr w:rsidR="008F791C" w:rsidRPr="00556843" w14:paraId="42FB8875" w14:textId="77777777" w:rsidTr="00D56568">
        <w:tc>
          <w:tcPr>
            <w:tcW w:w="3395" w:type="dxa"/>
            <w:gridSpan w:val="2"/>
            <w:tcBorders>
              <w:top w:val="nil"/>
              <w:left w:val="single" w:sz="4" w:space="0" w:color="auto"/>
              <w:bottom w:val="nil"/>
              <w:right w:val="nil"/>
            </w:tcBorders>
            <w:shd w:val="clear" w:color="auto" w:fill="BFBFBF" w:themeFill="background1" w:themeFillShade="BF"/>
          </w:tcPr>
          <w:p w14:paraId="14EC8103" w14:textId="77777777" w:rsidR="008F791C" w:rsidRPr="00556843" w:rsidRDefault="008F791C" w:rsidP="00D56568">
            <w:pPr>
              <w:pStyle w:val="TableText"/>
              <w:keepNext/>
              <w:ind w:left="336" w:hanging="336"/>
            </w:pPr>
            <w:r w:rsidRPr="00855316">
              <w:rPr>
                <w:rStyle w:val="Strong"/>
              </w:rPr>
              <w:t>C2</w:t>
            </w:r>
            <w:r>
              <w:rPr>
                <w:rStyle w:val="Strong"/>
              </w:rPr>
              <w:t>.</w:t>
            </w:r>
            <w:r w:rsidRPr="00556843">
              <w:tab/>
              <w:t>An observed, estimated, projected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01DFEC5" w14:textId="77777777" w:rsidR="008F791C" w:rsidRPr="00556843" w:rsidRDefault="008F791C" w:rsidP="00D56568">
            <w:pPr>
              <w:pStyle w:val="TableText"/>
              <w:keepNext/>
            </w:pPr>
          </w:p>
        </w:tc>
        <w:tc>
          <w:tcPr>
            <w:tcW w:w="1833" w:type="dxa"/>
            <w:tcBorders>
              <w:top w:val="nil"/>
              <w:left w:val="nil"/>
              <w:bottom w:val="nil"/>
              <w:right w:val="nil"/>
            </w:tcBorders>
          </w:tcPr>
          <w:p w14:paraId="29C3ABA0" w14:textId="77777777" w:rsidR="008F791C" w:rsidRPr="00556843" w:rsidRDefault="008F791C" w:rsidP="00D56568">
            <w:pPr>
              <w:pStyle w:val="TableText"/>
              <w:keepNext/>
            </w:pPr>
          </w:p>
        </w:tc>
        <w:tc>
          <w:tcPr>
            <w:tcW w:w="1902" w:type="dxa"/>
            <w:tcBorders>
              <w:top w:val="nil"/>
              <w:left w:val="nil"/>
              <w:bottom w:val="nil"/>
              <w:right w:val="single" w:sz="4" w:space="0" w:color="auto"/>
            </w:tcBorders>
          </w:tcPr>
          <w:p w14:paraId="529BEDB8" w14:textId="77777777" w:rsidR="008F791C" w:rsidRPr="00556843" w:rsidRDefault="008F791C" w:rsidP="00D56568">
            <w:pPr>
              <w:pStyle w:val="TableText"/>
              <w:keepNext/>
            </w:pPr>
          </w:p>
        </w:tc>
      </w:tr>
      <w:tr w:rsidR="008F791C" w:rsidRPr="00556843" w14:paraId="44EC230E" w14:textId="77777777" w:rsidTr="00D56568">
        <w:tc>
          <w:tcPr>
            <w:tcW w:w="419" w:type="dxa"/>
            <w:vMerge w:val="restart"/>
            <w:tcBorders>
              <w:top w:val="nil"/>
              <w:left w:val="single" w:sz="4" w:space="0" w:color="auto"/>
              <w:right w:val="nil"/>
            </w:tcBorders>
            <w:shd w:val="clear" w:color="auto" w:fill="D9D9D9" w:themeFill="background1" w:themeFillShade="D9"/>
            <w:vAlign w:val="center"/>
          </w:tcPr>
          <w:p w14:paraId="46AEB776" w14:textId="77777777" w:rsidR="008F791C" w:rsidRPr="00556843" w:rsidRDefault="008F791C" w:rsidP="00D5656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7C1043B" w14:textId="77777777" w:rsidR="008F791C" w:rsidRPr="00556843" w:rsidRDefault="008F791C" w:rsidP="00D5656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2CC2786" w14:textId="77777777" w:rsidR="008F791C" w:rsidRPr="00556843" w:rsidRDefault="008F791C" w:rsidP="00D5656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D14FC38" w14:textId="77777777" w:rsidR="008F791C" w:rsidRPr="00556843" w:rsidRDefault="008F791C" w:rsidP="00D5656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91CE78E" w14:textId="77777777" w:rsidR="008F791C" w:rsidRPr="00556843" w:rsidRDefault="008F791C" w:rsidP="00D56568">
            <w:pPr>
              <w:pStyle w:val="TableText"/>
              <w:keepNext/>
              <w:rPr>
                <w:b/>
              </w:rPr>
            </w:pPr>
            <w:r w:rsidRPr="00556843">
              <w:rPr>
                <w:b/>
              </w:rPr>
              <w:t>≤ 1,000</w:t>
            </w:r>
          </w:p>
        </w:tc>
      </w:tr>
      <w:tr w:rsidR="008F791C" w:rsidRPr="00556843" w14:paraId="34147D8A" w14:textId="77777777" w:rsidTr="00D56568">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32099C37" w14:textId="77777777" w:rsidR="008F791C" w:rsidRPr="00556843" w:rsidRDefault="008F791C" w:rsidP="00D5656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BAB270" w14:textId="77777777" w:rsidR="008F791C" w:rsidRPr="00556843" w:rsidRDefault="008F791C" w:rsidP="00D5656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65C3EF7" w14:textId="77777777" w:rsidR="008F791C" w:rsidRPr="00556843" w:rsidRDefault="008F791C" w:rsidP="00D5656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2BE86020" w14:textId="77777777" w:rsidR="008F791C" w:rsidRPr="00556843" w:rsidRDefault="008F791C" w:rsidP="00D5656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0CBC6FAA" w14:textId="77777777" w:rsidR="008F791C" w:rsidRPr="00556843" w:rsidRDefault="008F791C" w:rsidP="00D56568">
            <w:pPr>
              <w:pStyle w:val="TableText"/>
              <w:keepNext/>
              <w:rPr>
                <w:b/>
              </w:rPr>
            </w:pPr>
            <w:r w:rsidRPr="00556843">
              <w:rPr>
                <w:b/>
              </w:rPr>
              <w:t>100%</w:t>
            </w:r>
          </w:p>
        </w:tc>
      </w:tr>
      <w:tr w:rsidR="008F791C" w:rsidRPr="00556843" w14:paraId="58E953EB" w14:textId="77777777" w:rsidTr="00D56568">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120D421" w14:textId="77777777" w:rsidR="008F791C" w:rsidRPr="00556843" w:rsidRDefault="008F791C" w:rsidP="00D5656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3376A3EC" w14:textId="77777777" w:rsidR="008F791C" w:rsidRPr="00556843" w:rsidRDefault="008F791C" w:rsidP="00D56568">
            <w:pPr>
              <w:pStyle w:val="TableText"/>
              <w:keepNext/>
            </w:pPr>
          </w:p>
        </w:tc>
        <w:tc>
          <w:tcPr>
            <w:tcW w:w="1833" w:type="dxa"/>
            <w:tcBorders>
              <w:top w:val="single" w:sz="4" w:space="0" w:color="FFFFFF" w:themeColor="background1"/>
              <w:left w:val="nil"/>
              <w:right w:val="nil"/>
            </w:tcBorders>
            <w:shd w:val="clear" w:color="auto" w:fill="auto"/>
          </w:tcPr>
          <w:p w14:paraId="697B5578" w14:textId="77777777" w:rsidR="008F791C" w:rsidRPr="00556843" w:rsidRDefault="008F791C" w:rsidP="00D56568">
            <w:pPr>
              <w:pStyle w:val="TableText"/>
              <w:keepNext/>
            </w:pPr>
          </w:p>
        </w:tc>
        <w:tc>
          <w:tcPr>
            <w:tcW w:w="1902" w:type="dxa"/>
            <w:tcBorders>
              <w:top w:val="single" w:sz="4" w:space="0" w:color="FFFFFF" w:themeColor="background1"/>
              <w:left w:val="nil"/>
              <w:right w:val="single" w:sz="4" w:space="0" w:color="auto"/>
            </w:tcBorders>
            <w:shd w:val="clear" w:color="auto" w:fill="auto"/>
          </w:tcPr>
          <w:p w14:paraId="3B8ADA66" w14:textId="77777777" w:rsidR="008F791C" w:rsidRPr="00556843" w:rsidRDefault="008F791C" w:rsidP="00D56568">
            <w:pPr>
              <w:pStyle w:val="TableText"/>
              <w:keepNext/>
            </w:pPr>
          </w:p>
        </w:tc>
      </w:tr>
    </w:tbl>
    <w:p w14:paraId="0A45488C" w14:textId="77777777" w:rsidR="008F791C" w:rsidRPr="002B69E4" w:rsidRDefault="008F791C" w:rsidP="008F791C">
      <w:pPr>
        <w:pStyle w:val="Heading3"/>
        <w:spacing w:before="240"/>
        <w:ind w:left="964" w:hanging="964"/>
      </w:pPr>
      <w:r>
        <w:t>Criterion 3 e</w:t>
      </w:r>
      <w:r w:rsidRPr="002B69E4">
        <w:t>vidence</w:t>
      </w:r>
    </w:p>
    <w:p w14:paraId="1EFCE519" w14:textId="77777777" w:rsidR="008F791C" w:rsidRDefault="008F791C" w:rsidP="008F791C">
      <w:pPr>
        <w:rPr>
          <w:rStyle w:val="Strong"/>
        </w:rPr>
      </w:pPr>
      <w:r w:rsidRPr="004F5A8C">
        <w:rPr>
          <w:rStyle w:val="Strong"/>
        </w:rPr>
        <w:t>Insufficient data to determine eligibility</w:t>
      </w:r>
      <w:r w:rsidRPr="00AD2D38">
        <w:rPr>
          <w:rStyle w:val="Strong"/>
        </w:rPr>
        <w:t xml:space="preserve"> </w:t>
      </w:r>
    </w:p>
    <w:p w14:paraId="66EDB96F" w14:textId="77777777" w:rsidR="008F791C" w:rsidRDefault="008F791C" w:rsidP="008F791C">
      <w:pPr>
        <w:rPr>
          <w:b/>
        </w:rPr>
      </w:pPr>
      <w:r w:rsidRPr="00AE0DB6">
        <w:rPr>
          <w:rStyle w:val="Strong"/>
          <w:b w:val="0"/>
          <w:bCs w:val="0"/>
        </w:rPr>
        <w:t>The number of mature individuals is not known</w:t>
      </w:r>
      <w:r w:rsidRPr="00AE0DB6">
        <w:rPr>
          <w:rStyle w:val="Strong"/>
        </w:rPr>
        <w:t>.</w:t>
      </w:r>
      <w:r>
        <w:t xml:space="preserve"> Therefore, there appears to be </w:t>
      </w:r>
      <w:r w:rsidRPr="004F3921">
        <w:t>insufficient evidence to list the species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p>
    <w:p w14:paraId="48EFD0DC" w14:textId="77777777" w:rsidR="008F791C" w:rsidRDefault="008F791C" w:rsidP="008F791C">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8F791C" w:rsidRPr="00166185" w14:paraId="4681A09A" w14:textId="77777777" w:rsidTr="00D56568">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32C533A" w14:textId="77777777" w:rsidR="008F791C" w:rsidRPr="00166185" w:rsidRDefault="008F791C" w:rsidP="00D56568">
            <w:pPr>
              <w:pStyle w:val="TableText"/>
              <w:keepNext/>
            </w:pPr>
          </w:p>
        </w:tc>
      </w:tr>
      <w:tr w:rsidR="008F791C" w:rsidRPr="00166185" w14:paraId="47FBB44F" w14:textId="77777777" w:rsidTr="00D56568">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75FB0730" w14:textId="77777777" w:rsidR="008F791C" w:rsidRPr="00166185" w:rsidRDefault="008F791C" w:rsidP="00D56568">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3A4FB513" w14:textId="77777777" w:rsidR="008F791C" w:rsidRPr="009E3E71" w:rsidRDefault="008F791C" w:rsidP="00D56568">
            <w:pPr>
              <w:pStyle w:val="TableText"/>
              <w:keepNext/>
              <w:rPr>
                <w:rStyle w:val="Strong"/>
              </w:rPr>
            </w:pPr>
            <w:r w:rsidRPr="009E3E71">
              <w:rPr>
                <w:rStyle w:val="Strong"/>
              </w:rPr>
              <w:t>Critically Endangered</w:t>
            </w:r>
          </w:p>
          <w:p w14:paraId="1EE25E77" w14:textId="77777777" w:rsidR="008F791C" w:rsidRPr="009E3E71" w:rsidRDefault="008F791C" w:rsidP="00D56568">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6D4EB66C" w14:textId="77777777" w:rsidR="008F791C" w:rsidRPr="009E3E71" w:rsidRDefault="008F791C" w:rsidP="00D56568">
            <w:pPr>
              <w:pStyle w:val="TableText"/>
              <w:keepNext/>
              <w:rPr>
                <w:rStyle w:val="Strong"/>
              </w:rPr>
            </w:pPr>
            <w:r w:rsidRPr="009E3E71">
              <w:rPr>
                <w:rStyle w:val="Strong"/>
              </w:rPr>
              <w:t>Endangered</w:t>
            </w:r>
          </w:p>
          <w:p w14:paraId="7FB93A1A" w14:textId="77777777" w:rsidR="008F791C" w:rsidRPr="009E3E71" w:rsidRDefault="008F791C" w:rsidP="00D56568">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FF6F4CC" w14:textId="77777777" w:rsidR="008F791C" w:rsidRPr="009E3E71" w:rsidRDefault="008F791C" w:rsidP="00D56568">
            <w:pPr>
              <w:pStyle w:val="TableText"/>
              <w:keepNext/>
              <w:rPr>
                <w:rStyle w:val="Strong"/>
              </w:rPr>
            </w:pPr>
            <w:r w:rsidRPr="009E3E71">
              <w:rPr>
                <w:rStyle w:val="Strong"/>
              </w:rPr>
              <w:t>Vulnerable</w:t>
            </w:r>
          </w:p>
          <w:p w14:paraId="401A31F7" w14:textId="77777777" w:rsidR="008F791C" w:rsidRPr="009E3E71" w:rsidRDefault="008F791C" w:rsidP="00D56568">
            <w:pPr>
              <w:pStyle w:val="TableText"/>
              <w:keepNext/>
              <w:rPr>
                <w:rStyle w:val="Strong"/>
              </w:rPr>
            </w:pPr>
            <w:r w:rsidRPr="009E3E71">
              <w:rPr>
                <w:rStyle w:val="Strong"/>
              </w:rPr>
              <w:t>Low</w:t>
            </w:r>
          </w:p>
        </w:tc>
      </w:tr>
      <w:tr w:rsidR="008F791C" w:rsidRPr="00166185" w14:paraId="17C61015" w14:textId="77777777" w:rsidTr="00D56568">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E4123E7" w14:textId="77777777" w:rsidR="008F791C" w:rsidRPr="00166185" w:rsidRDefault="008F791C" w:rsidP="00D56568">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40B094B" w14:textId="77777777" w:rsidR="008F791C" w:rsidRPr="00166185" w:rsidRDefault="008F791C" w:rsidP="00D56568">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6705ACF" w14:textId="77777777" w:rsidR="008F791C" w:rsidRPr="00166185" w:rsidRDefault="008F791C" w:rsidP="00D56568">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4F58ABDD" w14:textId="77777777" w:rsidR="008F791C" w:rsidRPr="00166185" w:rsidRDefault="008F791C" w:rsidP="00D56568">
            <w:pPr>
              <w:pStyle w:val="TableText"/>
              <w:keepNext/>
              <w:rPr>
                <w:rFonts w:ascii="Times New Roman" w:hAnsi="Times New Roman" w:cs="Times New Roman"/>
                <w:szCs w:val="18"/>
              </w:rPr>
            </w:pPr>
            <w:r w:rsidRPr="00166185">
              <w:rPr>
                <w:szCs w:val="18"/>
              </w:rPr>
              <w:t>&lt; 1,000</w:t>
            </w:r>
          </w:p>
        </w:tc>
      </w:tr>
      <w:tr w:rsidR="008F791C" w:rsidRPr="00166185" w14:paraId="42F6BBDA" w14:textId="77777777" w:rsidTr="00D56568">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2463C475" w14:textId="77777777" w:rsidR="008F791C" w:rsidRPr="00166185" w:rsidRDefault="008F791C" w:rsidP="00D56568">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22747347" w14:textId="77777777" w:rsidR="008F791C" w:rsidRPr="00166185" w:rsidRDefault="008F791C" w:rsidP="00D56568">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8773C2A" w14:textId="77777777" w:rsidR="008F791C" w:rsidRPr="00A034C7" w:rsidRDefault="008F791C" w:rsidP="00D56568">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414BFB23" w14:textId="77777777" w:rsidR="008F791C" w:rsidRPr="00A034C7" w:rsidRDefault="008F791C" w:rsidP="00D56568">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1AEE4C6D" w14:textId="77777777" w:rsidR="008F791C" w:rsidRPr="00166185" w:rsidRDefault="008F791C" w:rsidP="00D56568">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0E917443" w14:textId="77777777" w:rsidR="008F791C" w:rsidRPr="00166185" w:rsidRDefault="008F791C" w:rsidP="008F791C">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7" w:history="1">
        <w:r w:rsidRPr="00166185">
          <w:rPr>
            <w:rStyle w:val="Hyperlink"/>
            <w:bCs/>
            <w:i/>
            <w:iCs/>
          </w:rPr>
          <w:t>common assessment method</w:t>
        </w:r>
      </w:hyperlink>
      <w:r w:rsidRPr="00166185">
        <w:t>.</w:t>
      </w:r>
    </w:p>
    <w:p w14:paraId="7D25EE8D" w14:textId="77777777" w:rsidR="008F791C" w:rsidRPr="00C2736A" w:rsidRDefault="008F791C" w:rsidP="008F791C">
      <w:pPr>
        <w:pStyle w:val="Heading3"/>
        <w:ind w:left="964" w:hanging="964"/>
      </w:pPr>
      <w:r>
        <w:t>Criterion 4 e</w:t>
      </w:r>
      <w:r w:rsidRPr="00BE530B">
        <w:t>vidence</w:t>
      </w:r>
    </w:p>
    <w:p w14:paraId="333D8A9D" w14:textId="77777777" w:rsidR="008F791C" w:rsidRDefault="008F791C" w:rsidP="008F791C">
      <w:pPr>
        <w:rPr>
          <w:rStyle w:val="Strong"/>
        </w:rPr>
      </w:pPr>
      <w:r w:rsidRPr="004F5A8C">
        <w:rPr>
          <w:rStyle w:val="Strong"/>
        </w:rPr>
        <w:t>Insufficient data to determine eligibility</w:t>
      </w:r>
      <w:r w:rsidRPr="00AD2D38">
        <w:rPr>
          <w:rStyle w:val="Strong"/>
        </w:rPr>
        <w:t xml:space="preserve"> </w:t>
      </w:r>
    </w:p>
    <w:p w14:paraId="5AFB7862" w14:textId="77777777" w:rsidR="008F791C" w:rsidRDefault="008F791C" w:rsidP="008F791C">
      <w:pPr>
        <w:rPr>
          <w:b/>
        </w:rPr>
      </w:pPr>
      <w:r w:rsidRPr="004F5A8C">
        <w:rPr>
          <w:rStyle w:val="Strong"/>
          <w:b w:val="0"/>
          <w:bCs w:val="0"/>
        </w:rPr>
        <w:t>The number of mature individuals is not known</w:t>
      </w:r>
      <w:r w:rsidRPr="00BD2D43">
        <w:rPr>
          <w:rStyle w:val="Strong"/>
          <w:b w:val="0"/>
        </w:rPr>
        <w:t>.</w:t>
      </w:r>
      <w:r w:rsidRPr="00BD2D43">
        <w:rPr>
          <w:rStyle w:val="Strong"/>
          <w:b w:val="0"/>
          <w:bCs w:val="0"/>
        </w:rPr>
        <w:t xml:space="preserve"> </w:t>
      </w:r>
      <w:r w:rsidRPr="00B8749E">
        <w:t>Therefore, there appears to be</w:t>
      </w:r>
      <w:r w:rsidRPr="004F3921">
        <w:t xml:space="preserve"> insufficient evidence to list the species under this criterion. However, the purpose of this consultation document is to elicit additional information to better understand the subspecies’ status. This conclusion should therefore be considered to be tentative at this stage, as it may be changed as a result of responses to this consultation process.</w:t>
      </w:r>
    </w:p>
    <w:p w14:paraId="7C462F26" w14:textId="77777777" w:rsidR="008F791C" w:rsidRDefault="008F791C" w:rsidP="008F791C">
      <w:pPr>
        <w:pStyle w:val="Caption"/>
      </w:pPr>
      <w:r w:rsidRPr="00AD2722">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8F791C" w:rsidRPr="00556843" w14:paraId="2C39EDAA" w14:textId="77777777" w:rsidTr="00D56568">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2B8BC60F" w14:textId="77777777" w:rsidR="008F791C" w:rsidRPr="00556843" w:rsidRDefault="008F791C" w:rsidP="00D56568">
            <w:pPr>
              <w:keepNext/>
              <w:tabs>
                <w:tab w:val="left" w:pos="284"/>
              </w:tabs>
              <w:rPr>
                <w:rFonts w:ascii="Arial" w:hAnsi="Arial" w:cs="Arial"/>
                <w:b/>
                <w:color w:val="FFFFFF" w:themeColor="background1"/>
              </w:rPr>
            </w:pPr>
          </w:p>
        </w:tc>
      </w:tr>
      <w:tr w:rsidR="008F791C" w:rsidRPr="00556843" w14:paraId="349359B7" w14:textId="77777777" w:rsidTr="00D56568">
        <w:trPr>
          <w:trHeight w:val="439"/>
        </w:trPr>
        <w:tc>
          <w:tcPr>
            <w:tcW w:w="4042" w:type="dxa"/>
            <w:tcBorders>
              <w:top w:val="nil"/>
              <w:left w:val="single" w:sz="4" w:space="0" w:color="auto"/>
              <w:bottom w:val="nil"/>
              <w:right w:val="nil"/>
            </w:tcBorders>
          </w:tcPr>
          <w:p w14:paraId="455F5FC9" w14:textId="77777777" w:rsidR="008F791C" w:rsidRPr="00556843" w:rsidRDefault="008F791C" w:rsidP="00D56568">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6EA715E" w14:textId="77777777" w:rsidR="008F791C" w:rsidRPr="009E3E71" w:rsidRDefault="008F791C" w:rsidP="00D56568">
            <w:pPr>
              <w:pStyle w:val="TableText"/>
              <w:keepNext/>
              <w:rPr>
                <w:rStyle w:val="Strong"/>
              </w:rPr>
            </w:pPr>
            <w:r w:rsidRPr="009E3E71">
              <w:rPr>
                <w:rStyle w:val="Strong"/>
              </w:rPr>
              <w:t>Critically Endangered</w:t>
            </w:r>
          </w:p>
          <w:p w14:paraId="1B0C0AB4" w14:textId="77777777" w:rsidR="008F791C" w:rsidRPr="00556843" w:rsidRDefault="008F791C" w:rsidP="00D56568">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38035011" w14:textId="77777777" w:rsidR="008F791C" w:rsidRPr="009E3E71" w:rsidRDefault="008F791C" w:rsidP="00D56568">
            <w:pPr>
              <w:pStyle w:val="TableText"/>
              <w:keepNext/>
              <w:rPr>
                <w:rStyle w:val="Strong"/>
              </w:rPr>
            </w:pPr>
            <w:r w:rsidRPr="009E3E71">
              <w:rPr>
                <w:rStyle w:val="Strong"/>
              </w:rPr>
              <w:t>Endangered</w:t>
            </w:r>
          </w:p>
          <w:p w14:paraId="72236A40" w14:textId="77777777" w:rsidR="008F791C" w:rsidRPr="009E3E71" w:rsidRDefault="008F791C" w:rsidP="00D56568">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3AFFD6E" w14:textId="77777777" w:rsidR="008F791C" w:rsidRPr="009E3E71" w:rsidRDefault="008F791C" w:rsidP="00D56568">
            <w:pPr>
              <w:pStyle w:val="TableText"/>
              <w:keepNext/>
              <w:rPr>
                <w:rStyle w:val="Strong"/>
              </w:rPr>
            </w:pPr>
            <w:r w:rsidRPr="009E3E71">
              <w:rPr>
                <w:rStyle w:val="Strong"/>
              </w:rPr>
              <w:t>Vulnerable</w:t>
            </w:r>
          </w:p>
          <w:p w14:paraId="219A3942" w14:textId="77777777" w:rsidR="008F791C" w:rsidRPr="009E3E71" w:rsidRDefault="008F791C" w:rsidP="00D56568">
            <w:pPr>
              <w:pStyle w:val="TableText"/>
              <w:keepNext/>
              <w:rPr>
                <w:rStyle w:val="Strong"/>
              </w:rPr>
            </w:pPr>
            <w:r w:rsidRPr="009E3E71">
              <w:rPr>
                <w:rStyle w:val="Strong"/>
              </w:rPr>
              <w:t>Medium-term future</w:t>
            </w:r>
          </w:p>
        </w:tc>
      </w:tr>
      <w:tr w:rsidR="008F791C" w:rsidRPr="004F5429" w14:paraId="2F6B2ED6" w14:textId="77777777" w:rsidTr="00D56568">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3E598ED" w14:textId="77777777" w:rsidR="008F791C" w:rsidRPr="004F5429" w:rsidRDefault="008F791C" w:rsidP="00D56568">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A286E99" w14:textId="77777777" w:rsidR="008F791C" w:rsidRPr="004F5429" w:rsidRDefault="008F791C" w:rsidP="00D56568">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2C27CDC2" w14:textId="77777777" w:rsidR="008F791C" w:rsidRPr="004F5429" w:rsidRDefault="008F791C" w:rsidP="00D56568">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E0D4DB7" w14:textId="77777777" w:rsidR="008F791C" w:rsidRPr="004F5429" w:rsidRDefault="008F791C" w:rsidP="00D56568">
            <w:pPr>
              <w:pStyle w:val="TableText"/>
              <w:rPr>
                <w:rStyle w:val="Strong"/>
                <w:b w:val="0"/>
                <w:bCs w:val="0"/>
              </w:rPr>
            </w:pPr>
            <w:r w:rsidRPr="004F5429">
              <w:rPr>
                <w:rStyle w:val="Strong"/>
                <w:b w:val="0"/>
                <w:bCs w:val="0"/>
              </w:rPr>
              <w:t xml:space="preserve">≥ 10% in 100 years </w:t>
            </w:r>
          </w:p>
        </w:tc>
      </w:tr>
    </w:tbl>
    <w:p w14:paraId="3DF09AEA" w14:textId="77777777" w:rsidR="008F791C" w:rsidRPr="00AD2722" w:rsidRDefault="008F791C" w:rsidP="008F791C">
      <w:pPr>
        <w:pStyle w:val="Heading3"/>
        <w:spacing w:before="240"/>
        <w:ind w:left="964" w:hanging="964"/>
      </w:pPr>
      <w:r>
        <w:t>Criterion 5 e</w:t>
      </w:r>
      <w:r w:rsidRPr="00AD2722">
        <w:t>vidence</w:t>
      </w:r>
    </w:p>
    <w:p w14:paraId="5273CE4F" w14:textId="77777777" w:rsidR="008F791C" w:rsidRPr="00A41058" w:rsidRDefault="008F791C" w:rsidP="008F791C">
      <w:pPr>
        <w:rPr>
          <w:rStyle w:val="Strong"/>
        </w:rPr>
      </w:pPr>
      <w:r w:rsidRPr="007A1EB7">
        <w:rPr>
          <w:rStyle w:val="Strong"/>
        </w:rPr>
        <w:t>Insufficient data to determine eligibility</w:t>
      </w:r>
      <w:r w:rsidRPr="00A41058">
        <w:rPr>
          <w:rStyle w:val="Strong"/>
        </w:rPr>
        <w:t xml:space="preserve"> </w:t>
      </w:r>
    </w:p>
    <w:p w14:paraId="3FBE9B98" w14:textId="77777777" w:rsidR="008F791C" w:rsidRDefault="008F791C" w:rsidP="008F791C">
      <w:pPr>
        <w:pStyle w:val="Caption"/>
        <w:spacing w:line="276" w:lineRule="auto"/>
        <w:rPr>
          <w:rFonts w:ascii="Cambria" w:hAnsi="Cambria"/>
          <w:b w:val="0"/>
          <w:sz w:val="22"/>
          <w:szCs w:val="22"/>
        </w:rPr>
      </w:pPr>
      <w:r w:rsidRPr="004F3921">
        <w:rPr>
          <w:rFonts w:ascii="Cambria" w:hAnsi="Cambria"/>
          <w:b w:val="0"/>
          <w:sz w:val="22"/>
          <w:szCs w:val="22"/>
        </w:rPr>
        <w:t xml:space="preserve">The data presented above appear to demonstrate that there is insufficient evidence to list the species under this criterion. However, the purpose of this consultation document is to elicit additional information to better understand the subspecies’ status. This conclusion should </w:t>
      </w:r>
      <w:r w:rsidRPr="004F3921">
        <w:rPr>
          <w:rFonts w:ascii="Cambria" w:hAnsi="Cambria"/>
          <w:b w:val="0"/>
          <w:sz w:val="22"/>
          <w:szCs w:val="22"/>
        </w:rPr>
        <w:lastRenderedPageBreak/>
        <w:t>therefore be considered to be tentative at this stage, as it may be changed as a result of responses to this consultation process.</w:t>
      </w:r>
    </w:p>
    <w:p w14:paraId="0E63E978" w14:textId="77777777" w:rsidR="008F791C" w:rsidRPr="00AD2722" w:rsidRDefault="008F791C" w:rsidP="008F791C">
      <w:pPr>
        <w:pStyle w:val="Heading3"/>
        <w:ind w:left="964" w:hanging="964"/>
      </w:pPr>
      <w:r w:rsidRPr="00AD2722">
        <w:t>Adequacy of survey</w:t>
      </w:r>
    </w:p>
    <w:p w14:paraId="2A004C81" w14:textId="77777777" w:rsidR="008F791C" w:rsidRDefault="008F791C" w:rsidP="008F791C">
      <w:r w:rsidRPr="00664155">
        <w:t>The survey effort has been considered adequate and there is sufficient scientific evidence to support the assessment.</w:t>
      </w:r>
    </w:p>
    <w:p w14:paraId="6883B545" w14:textId="77777777" w:rsidR="008F791C" w:rsidRDefault="008F791C" w:rsidP="008F791C">
      <w:pPr>
        <w:pStyle w:val="Normalsmall"/>
        <w:pageBreakBefore/>
      </w:pPr>
      <w:r>
        <w:lastRenderedPageBreak/>
        <w:t xml:space="preserve">© Commonwealth of Australia </w:t>
      </w:r>
      <w:r w:rsidRPr="00F03858">
        <w:t>2021</w:t>
      </w:r>
      <w:r>
        <w:t xml:space="preserve"> </w:t>
      </w:r>
      <w:r w:rsidRPr="00D431C8">
        <w:rPr>
          <w:noProof/>
        </w:rPr>
        <w:drawing>
          <wp:inline distT="0" distB="0" distL="0" distR="0" wp14:anchorId="005FB42D" wp14:editId="728FDC6B">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5166" cy="218731"/>
                    </a:xfrm>
                    <a:prstGeom prst="rect">
                      <a:avLst/>
                    </a:prstGeom>
                  </pic:spPr>
                </pic:pic>
              </a:graphicData>
            </a:graphic>
          </wp:inline>
        </w:drawing>
      </w:r>
    </w:p>
    <w:p w14:paraId="1FCE120D" w14:textId="77777777" w:rsidR="008F791C" w:rsidRDefault="008F791C" w:rsidP="008F791C">
      <w:pPr>
        <w:pStyle w:val="Normalsmall"/>
        <w:rPr>
          <w:rStyle w:val="Strong"/>
        </w:rPr>
      </w:pPr>
      <w:r>
        <w:rPr>
          <w:rStyle w:val="Strong"/>
        </w:rPr>
        <w:t>Ownership of intellectual property rights</w:t>
      </w:r>
    </w:p>
    <w:p w14:paraId="3F974B79" w14:textId="77777777" w:rsidR="008F791C" w:rsidRDefault="008F791C" w:rsidP="008F791C">
      <w:pPr>
        <w:pStyle w:val="Normalsmall"/>
      </w:pPr>
      <w:r>
        <w:t>Unless otherwise noted, copyright (and any other intellectual property rights) in this publication is owned by the Commonwealth of Australia (referred to as the Commonwealth).</w:t>
      </w:r>
    </w:p>
    <w:p w14:paraId="2A373720" w14:textId="77777777" w:rsidR="008F791C" w:rsidRDefault="008F791C" w:rsidP="008F791C">
      <w:pPr>
        <w:pStyle w:val="Normalsmall"/>
        <w:rPr>
          <w:rStyle w:val="Strong"/>
        </w:rPr>
      </w:pPr>
      <w:r>
        <w:rPr>
          <w:rStyle w:val="Strong"/>
        </w:rPr>
        <w:t>Creative Commons licence</w:t>
      </w:r>
    </w:p>
    <w:p w14:paraId="234A9C1F" w14:textId="77777777" w:rsidR="008F791C" w:rsidRDefault="008F791C" w:rsidP="008F791C">
      <w:pPr>
        <w:pStyle w:val="Normalsmall"/>
      </w:pPr>
      <w:r>
        <w:t xml:space="preserve">All material in this publication is licensed under a </w:t>
      </w:r>
      <w:hyperlink r:id="rId49" w:history="1">
        <w:r>
          <w:rPr>
            <w:rStyle w:val="Hyperlink"/>
          </w:rPr>
          <w:t>Creative Commons Attribution 4.0 International Licence</w:t>
        </w:r>
      </w:hyperlink>
      <w:r>
        <w:t xml:space="preserve"> except content supplied by third parties, logos and the Commonwealth Coat of Arms.</w:t>
      </w:r>
    </w:p>
    <w:p w14:paraId="00540E68" w14:textId="77777777" w:rsidR="008F791C" w:rsidRDefault="008F791C" w:rsidP="008F791C">
      <w:pPr>
        <w:pStyle w:val="Normalsmall"/>
      </w:pPr>
      <w:r>
        <w:t xml:space="preserve">Inquiries about the licence and any use of this document should be emailed to </w:t>
      </w:r>
      <w:hyperlink r:id="rId50" w:history="1">
        <w:r w:rsidRPr="00CD29E9">
          <w:rPr>
            <w:rStyle w:val="Hyperlink"/>
          </w:rPr>
          <w:t>copyright@awe.gov.au</w:t>
        </w:r>
      </w:hyperlink>
      <w:r>
        <w:t>.</w:t>
      </w:r>
    </w:p>
    <w:p w14:paraId="33B967A6" w14:textId="77777777" w:rsidR="008F791C" w:rsidRDefault="008F791C" w:rsidP="008F791C">
      <w:pPr>
        <w:pStyle w:val="Normalsmall"/>
        <w:rPr>
          <w:rStyle w:val="Strong"/>
        </w:rPr>
      </w:pPr>
      <w:r>
        <w:rPr>
          <w:rStyle w:val="Strong"/>
        </w:rPr>
        <w:t>Cataloguing data</w:t>
      </w:r>
    </w:p>
    <w:p w14:paraId="6ACA2A2A" w14:textId="77777777" w:rsidR="008F791C" w:rsidRDefault="008F791C" w:rsidP="008F791C">
      <w:pPr>
        <w:pStyle w:val="Normalsmall"/>
      </w:pPr>
      <w:r>
        <w:t xml:space="preserve">This publication (and any material sourced from it) should be attributed as: </w:t>
      </w:r>
      <w:r w:rsidRPr="00AD44EA">
        <w:t xml:space="preserve">Department of Agriculture, Water and the </w:t>
      </w:r>
      <w:r w:rsidRPr="001E4CBE">
        <w:t xml:space="preserve">Environment 2021, </w:t>
      </w:r>
      <w:r w:rsidRPr="001E4CBE">
        <w:rPr>
          <w:i/>
        </w:rPr>
        <w:t>Conservation</w:t>
      </w:r>
      <w:r>
        <w:rPr>
          <w:i/>
        </w:rPr>
        <w:t xml:space="preserve"> Advice for </w:t>
      </w:r>
      <w:r>
        <w:rPr>
          <w:iCs/>
        </w:rPr>
        <w:t xml:space="preserve">Rhodanthe </w:t>
      </w:r>
      <w:r>
        <w:rPr>
          <w:i/>
        </w:rPr>
        <w:t xml:space="preserve">sp. Point Lookout </w:t>
      </w:r>
      <w:r>
        <w:t xml:space="preserve">Canberra. </w:t>
      </w:r>
      <w:r w:rsidRPr="00D431C8">
        <w:rPr>
          <w:noProof/>
        </w:rPr>
        <w:drawing>
          <wp:inline distT="0" distB="0" distL="0" distR="0" wp14:anchorId="1407DCF2" wp14:editId="0CB3DEB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5166" cy="218731"/>
                    </a:xfrm>
                    <a:prstGeom prst="rect">
                      <a:avLst/>
                    </a:prstGeom>
                  </pic:spPr>
                </pic:pic>
              </a:graphicData>
            </a:graphic>
          </wp:inline>
        </w:drawing>
      </w:r>
    </w:p>
    <w:p w14:paraId="68C073D5" w14:textId="77777777" w:rsidR="008F791C" w:rsidRPr="001E4CBE" w:rsidRDefault="008F791C" w:rsidP="008F791C">
      <w:pPr>
        <w:pStyle w:val="Normalsmall"/>
        <w:rPr>
          <w:rStyle w:val="Hyperlink"/>
        </w:rPr>
      </w:pPr>
      <w:r>
        <w:t xml:space="preserve">This publication is </w:t>
      </w:r>
      <w:r w:rsidRPr="00E20810">
        <w:t>available at</w:t>
      </w:r>
      <w:r>
        <w:t xml:space="preserve"> the </w:t>
      </w:r>
      <w:r>
        <w:fldChar w:fldCharType="begin"/>
      </w:r>
      <w:r>
        <w:instrText xml:space="preserve"> HYPERLINK "http://www.environment.gov.au/cgi-bin/sprat/public/publicspecies.pl?taxon_id=91741" </w:instrText>
      </w:r>
      <w:r>
        <w:fldChar w:fldCharType="separate"/>
      </w:r>
      <w:r w:rsidRPr="001E4CBE">
        <w:rPr>
          <w:rStyle w:val="Hyperlink"/>
        </w:rPr>
        <w:t xml:space="preserve">SPRAT profile for </w:t>
      </w:r>
      <w:proofErr w:type="spellStart"/>
      <w:r w:rsidRPr="00F52CF3">
        <w:rPr>
          <w:rStyle w:val="Hyperlink"/>
          <w:i/>
        </w:rPr>
        <w:t>Rhodanthe</w:t>
      </w:r>
      <w:proofErr w:type="spellEnd"/>
      <w:r w:rsidRPr="001E4CBE">
        <w:rPr>
          <w:rStyle w:val="Hyperlink"/>
          <w:iCs/>
        </w:rPr>
        <w:t xml:space="preserve"> </w:t>
      </w:r>
      <w:r w:rsidRPr="00F52CF3">
        <w:rPr>
          <w:rStyle w:val="Hyperlink"/>
        </w:rPr>
        <w:t xml:space="preserve">sp. Point Lookout </w:t>
      </w:r>
    </w:p>
    <w:p w14:paraId="3A28A5D8" w14:textId="77777777" w:rsidR="008F791C" w:rsidRDefault="008F791C" w:rsidP="008F791C">
      <w:pPr>
        <w:pStyle w:val="Normalsmall"/>
        <w:spacing w:after="0"/>
      </w:pPr>
      <w:r>
        <w:fldChar w:fldCharType="end"/>
      </w:r>
      <w:r>
        <w:t xml:space="preserve">Department of Agriculture, </w:t>
      </w:r>
      <w:proofErr w:type="gramStart"/>
      <w:r>
        <w:t>Water</w:t>
      </w:r>
      <w:proofErr w:type="gramEnd"/>
      <w:r>
        <w:t xml:space="preserve"> and the Environment</w:t>
      </w:r>
    </w:p>
    <w:p w14:paraId="446F25C9" w14:textId="77777777" w:rsidR="008F791C" w:rsidRDefault="008F791C" w:rsidP="008F791C">
      <w:pPr>
        <w:pStyle w:val="Normalsmall"/>
        <w:spacing w:after="0"/>
      </w:pPr>
      <w:r>
        <w:t>GPO Box 858, Canberra ACT 2601</w:t>
      </w:r>
    </w:p>
    <w:p w14:paraId="77097372" w14:textId="77777777" w:rsidR="008F791C" w:rsidRDefault="008F791C" w:rsidP="008F791C">
      <w:pPr>
        <w:pStyle w:val="Normalsmall"/>
        <w:spacing w:after="0"/>
      </w:pPr>
      <w:r>
        <w:t xml:space="preserve">Telephone </w:t>
      </w:r>
      <w:r w:rsidRPr="00773056">
        <w:t>1800 900 090</w:t>
      </w:r>
    </w:p>
    <w:p w14:paraId="409EDE0A" w14:textId="77777777" w:rsidR="008F791C" w:rsidRDefault="008F791C" w:rsidP="008F791C">
      <w:pPr>
        <w:pStyle w:val="Normalsmall"/>
      </w:pPr>
      <w:r w:rsidRPr="00E20810">
        <w:t xml:space="preserve">Web </w:t>
      </w:r>
      <w:hyperlink r:id="rId51" w:history="1">
        <w:r w:rsidRPr="00E20810">
          <w:rPr>
            <w:rStyle w:val="Hyperlink"/>
          </w:rPr>
          <w:t>awe.gov.au</w:t>
        </w:r>
      </w:hyperlink>
    </w:p>
    <w:p w14:paraId="29B908C4" w14:textId="77777777" w:rsidR="008F791C" w:rsidRDefault="008F791C" w:rsidP="008F791C">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A920698" w14:textId="77777777" w:rsidR="008F791C" w:rsidRDefault="008F791C" w:rsidP="008F791C">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F791C" w14:paraId="4803BC6C" w14:textId="77777777" w:rsidTr="00D56568">
        <w:trPr>
          <w:cantSplit/>
          <w:tblHeader/>
        </w:trPr>
        <w:tc>
          <w:tcPr>
            <w:tcW w:w="3020" w:type="dxa"/>
            <w:tcBorders>
              <w:top w:val="single" w:sz="4" w:space="0" w:color="auto"/>
              <w:bottom w:val="single" w:sz="4" w:space="0" w:color="auto"/>
            </w:tcBorders>
          </w:tcPr>
          <w:p w14:paraId="0F13C253" w14:textId="77777777" w:rsidR="008F791C" w:rsidRDefault="008F791C" w:rsidP="00D56568">
            <w:pPr>
              <w:pStyle w:val="TableHeading"/>
            </w:pPr>
            <w:r>
              <w:t>Document type</w:t>
            </w:r>
          </w:p>
        </w:tc>
        <w:tc>
          <w:tcPr>
            <w:tcW w:w="3020" w:type="dxa"/>
            <w:tcBorders>
              <w:top w:val="single" w:sz="4" w:space="0" w:color="auto"/>
              <w:bottom w:val="single" w:sz="4" w:space="0" w:color="auto"/>
            </w:tcBorders>
          </w:tcPr>
          <w:p w14:paraId="04129A1C" w14:textId="77777777" w:rsidR="008F791C" w:rsidRDefault="008F791C" w:rsidP="00D56568">
            <w:pPr>
              <w:pStyle w:val="TableHeading"/>
            </w:pPr>
            <w:r>
              <w:t>Title</w:t>
            </w:r>
          </w:p>
        </w:tc>
        <w:tc>
          <w:tcPr>
            <w:tcW w:w="3020" w:type="dxa"/>
            <w:tcBorders>
              <w:top w:val="single" w:sz="4" w:space="0" w:color="auto"/>
              <w:bottom w:val="single" w:sz="4" w:space="0" w:color="auto"/>
            </w:tcBorders>
          </w:tcPr>
          <w:p w14:paraId="58AEE13D" w14:textId="77777777" w:rsidR="008F791C" w:rsidRDefault="008F791C" w:rsidP="00D56568">
            <w:pPr>
              <w:pStyle w:val="TableHeading"/>
            </w:pPr>
            <w:r>
              <w:t>Date [dd mm yyyy]</w:t>
            </w:r>
          </w:p>
        </w:tc>
      </w:tr>
      <w:tr w:rsidR="008F791C" w14:paraId="498CF5B5" w14:textId="77777777" w:rsidTr="00D56568">
        <w:tc>
          <w:tcPr>
            <w:tcW w:w="3020" w:type="dxa"/>
            <w:tcBorders>
              <w:top w:val="single" w:sz="4" w:space="0" w:color="auto"/>
            </w:tcBorders>
          </w:tcPr>
          <w:p w14:paraId="52605E37" w14:textId="77777777" w:rsidR="008F791C" w:rsidRDefault="008F791C" w:rsidP="00D56568">
            <w:pPr>
              <w:pStyle w:val="TableText"/>
            </w:pPr>
            <w:r>
              <w:t>–</w:t>
            </w:r>
          </w:p>
        </w:tc>
        <w:tc>
          <w:tcPr>
            <w:tcW w:w="3020" w:type="dxa"/>
            <w:tcBorders>
              <w:top w:val="single" w:sz="4" w:space="0" w:color="auto"/>
            </w:tcBorders>
          </w:tcPr>
          <w:p w14:paraId="560B3BCC" w14:textId="77777777" w:rsidR="008F791C" w:rsidRDefault="008F791C" w:rsidP="00D56568">
            <w:pPr>
              <w:pStyle w:val="TableText"/>
            </w:pPr>
            <w:r>
              <w:t>–</w:t>
            </w:r>
          </w:p>
        </w:tc>
        <w:tc>
          <w:tcPr>
            <w:tcW w:w="3020" w:type="dxa"/>
            <w:tcBorders>
              <w:top w:val="single" w:sz="4" w:space="0" w:color="auto"/>
            </w:tcBorders>
          </w:tcPr>
          <w:p w14:paraId="0801D675" w14:textId="77777777" w:rsidR="008F791C" w:rsidRDefault="008F791C" w:rsidP="00D56568">
            <w:pPr>
              <w:pStyle w:val="TableText"/>
            </w:pPr>
            <w:r>
              <w:t>–</w:t>
            </w:r>
          </w:p>
        </w:tc>
      </w:tr>
      <w:tr w:rsidR="008F791C" w14:paraId="30106D96" w14:textId="77777777" w:rsidTr="00D56568">
        <w:tc>
          <w:tcPr>
            <w:tcW w:w="3020" w:type="dxa"/>
          </w:tcPr>
          <w:p w14:paraId="3FBB0B3A" w14:textId="77777777" w:rsidR="008F791C" w:rsidRDefault="008F791C" w:rsidP="00D56568">
            <w:pPr>
              <w:pStyle w:val="TableText"/>
            </w:pPr>
            <w:r>
              <w:t>–</w:t>
            </w:r>
          </w:p>
        </w:tc>
        <w:tc>
          <w:tcPr>
            <w:tcW w:w="3020" w:type="dxa"/>
          </w:tcPr>
          <w:p w14:paraId="05AA8E2F" w14:textId="77777777" w:rsidR="008F791C" w:rsidRDefault="008F791C" w:rsidP="00D56568">
            <w:pPr>
              <w:pStyle w:val="TableText"/>
            </w:pPr>
            <w:r>
              <w:t>–</w:t>
            </w:r>
          </w:p>
        </w:tc>
        <w:tc>
          <w:tcPr>
            <w:tcW w:w="3020" w:type="dxa"/>
          </w:tcPr>
          <w:p w14:paraId="7B1D59F1" w14:textId="77777777" w:rsidR="008F791C" w:rsidRDefault="008F791C" w:rsidP="00D56568">
            <w:pPr>
              <w:pStyle w:val="TableText"/>
            </w:pPr>
            <w:r>
              <w:t>–</w:t>
            </w:r>
          </w:p>
        </w:tc>
      </w:tr>
    </w:tbl>
    <w:p w14:paraId="0148D0DD" w14:textId="77777777" w:rsidR="008F791C" w:rsidRPr="009E30E5" w:rsidRDefault="008F791C" w:rsidP="008F791C"/>
    <w:p w14:paraId="618158B1" w14:textId="77777777" w:rsidR="008F791C" w:rsidRDefault="008F791C" w:rsidP="008F791C"/>
    <w:p w14:paraId="47D7B42B" w14:textId="77777777" w:rsidR="00E8535F" w:rsidRPr="008F791C" w:rsidRDefault="00E8535F" w:rsidP="008F791C"/>
    <w:sectPr w:rsidR="00E8535F" w:rsidRPr="008F791C" w:rsidSect="002F232F">
      <w:headerReference w:type="even" r:id="rId52"/>
      <w:headerReference w:type="default" r:id="rId53"/>
      <w:headerReference w:type="first" r:id="rId54"/>
      <w:footerReference w:type="first" r:id="rId5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A5FC" w14:textId="77777777" w:rsidR="00424F7F" w:rsidRDefault="00424F7F">
      <w:pPr>
        <w:spacing w:after="0" w:line="240" w:lineRule="auto"/>
      </w:pPr>
      <w:r>
        <w:separator/>
      </w:r>
    </w:p>
  </w:endnote>
  <w:endnote w:type="continuationSeparator" w:id="0">
    <w:p w14:paraId="4E648718" w14:textId="77777777" w:rsidR="00424F7F" w:rsidRDefault="00424F7F">
      <w:pPr>
        <w:spacing w:after="0" w:line="240" w:lineRule="auto"/>
      </w:pPr>
      <w:r>
        <w:continuationSeparator/>
      </w:r>
    </w:p>
  </w:endnote>
  <w:endnote w:type="continuationNotice" w:id="1">
    <w:p w14:paraId="5EAC281A" w14:textId="77777777" w:rsidR="00424F7F" w:rsidRDefault="00424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B521" w14:textId="77777777" w:rsidR="008F791C" w:rsidRDefault="008F791C" w:rsidP="00E02D9C">
    <w:pPr>
      <w:pStyle w:val="Footer"/>
    </w:pPr>
    <w:r>
      <w:t>Threatened Species Scientific Committee</w:t>
    </w:r>
  </w:p>
  <w:p w14:paraId="452F6A96" w14:textId="77777777" w:rsidR="008F791C" w:rsidRDefault="008F791C"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C25" w14:textId="77777777" w:rsidR="008F791C" w:rsidRDefault="008F791C" w:rsidP="002F232F">
    <w:pPr>
      <w:pStyle w:val="Footer"/>
    </w:pPr>
    <w:r>
      <w:t>Department of Agriculture, Water and the Environment</w:t>
    </w:r>
  </w:p>
  <w:p w14:paraId="2357952E" w14:textId="77777777" w:rsidR="008F791C" w:rsidRDefault="008F791C"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463F" w14:textId="77777777" w:rsidR="00BD5ADE" w:rsidRDefault="002E5B36" w:rsidP="002F232F">
    <w:pPr>
      <w:pStyle w:val="Footer"/>
    </w:pPr>
    <w:r>
      <w:t>Threatened Species Scientific Committee</w:t>
    </w:r>
  </w:p>
  <w:p w14:paraId="71D49475" w14:textId="77777777" w:rsidR="00BD5ADE" w:rsidRDefault="002E5B36"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24C6" w14:textId="77777777" w:rsidR="00424F7F" w:rsidRDefault="00424F7F">
      <w:pPr>
        <w:spacing w:after="0" w:line="240" w:lineRule="auto"/>
      </w:pPr>
      <w:r>
        <w:separator/>
      </w:r>
    </w:p>
  </w:footnote>
  <w:footnote w:type="continuationSeparator" w:id="0">
    <w:p w14:paraId="207DE427" w14:textId="77777777" w:rsidR="00424F7F" w:rsidRDefault="00424F7F">
      <w:pPr>
        <w:spacing w:after="0" w:line="240" w:lineRule="auto"/>
      </w:pPr>
      <w:r>
        <w:continuationSeparator/>
      </w:r>
    </w:p>
  </w:footnote>
  <w:footnote w:type="continuationNotice" w:id="1">
    <w:p w14:paraId="4300767C" w14:textId="77777777" w:rsidR="00424F7F" w:rsidRDefault="00424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6229" w14:textId="77777777" w:rsidR="008F791C" w:rsidRDefault="006E2873">
    <w:pPr>
      <w:pStyle w:val="Header"/>
    </w:pPr>
    <w:r>
      <w:rPr>
        <w:noProof/>
      </w:rPr>
      <w:pict w14:anchorId="125D1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2056"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1E5EA5EC" w14:textId="77777777" w:rsidR="008F791C" w:rsidRDefault="008F7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113D" w14:textId="77777777" w:rsidR="008F791C" w:rsidRDefault="006E2873" w:rsidP="000202F4">
    <w:pPr>
      <w:pStyle w:val="Header"/>
    </w:pPr>
    <w:r>
      <w:rPr>
        <w:noProof/>
      </w:rPr>
      <w:pict w14:anchorId="19650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2057"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8F791C" w:rsidRPr="00FA5ABC">
      <w:rPr>
        <w:rStyle w:val="Emphasis"/>
        <w:color w:val="000000" w:themeColor="text1"/>
      </w:rPr>
      <w:t xml:space="preserve"> </w:t>
    </w:r>
    <w:r w:rsidR="008F791C" w:rsidRPr="007D11FF">
      <w:rPr>
        <w:rStyle w:val="Emphasis"/>
        <w:color w:val="000000" w:themeColor="text1"/>
      </w:rPr>
      <w:t xml:space="preserve">Rhodanthe </w:t>
    </w:r>
    <w:r w:rsidR="008F791C" w:rsidRPr="007D11FF">
      <w:rPr>
        <w:rStyle w:val="Emphasis"/>
        <w:i w:val="0"/>
        <w:iCs w:val="0"/>
        <w:color w:val="000000" w:themeColor="text1"/>
      </w:rPr>
      <w:t>sp. Point Lookout</w:t>
    </w:r>
    <w:r w:rsidR="008F791C" w:rsidRPr="007D11FF">
      <w:t xml:space="preserve"> </w:t>
    </w:r>
    <w:r w:rsidR="008F791C">
      <w:t>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B4C" w14:textId="77777777" w:rsidR="008F791C" w:rsidRDefault="006E2873" w:rsidP="00C37215">
    <w:pPr>
      <w:pStyle w:val="Header"/>
      <w:tabs>
        <w:tab w:val="clear" w:pos="4820"/>
        <w:tab w:val="left" w:pos="7992"/>
      </w:tabs>
      <w:jc w:val="left"/>
    </w:pPr>
    <w:r>
      <w:rPr>
        <w:noProof/>
      </w:rPr>
      <w:pict w14:anchorId="533F7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2055" type="#_x0000_t136" style="position:absolute;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8F791C">
      <w:rPr>
        <w:noProof/>
        <w:lang w:eastAsia="en-AU"/>
      </w:rPr>
      <w:drawing>
        <wp:inline distT="0" distB="0" distL="0" distR="0" wp14:anchorId="6EDD48B8" wp14:editId="3A3B9CA0">
          <wp:extent cx="2417064" cy="72542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9FFB" w14:textId="77777777" w:rsidR="00BD5ADE" w:rsidRDefault="006E2873">
    <w:pPr>
      <w:pStyle w:val="Header"/>
    </w:pPr>
    <w:r>
      <w:rPr>
        <w:noProof/>
      </w:rPr>
      <w:pict w14:anchorId="18C33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2053"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D148" w14:textId="08442E75" w:rsidR="00BD5ADE" w:rsidRDefault="006E2873" w:rsidP="008E7C80">
    <w:pPr>
      <w:pStyle w:val="Header"/>
    </w:pPr>
    <w:r>
      <w:rPr>
        <w:noProof/>
      </w:rPr>
      <w:pict w14:anchorId="135BF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2054"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DE0CAB">
      <w:rPr>
        <w:i/>
        <w:iCs/>
      </w:rPr>
      <w:t xml:space="preserve">Rhodanthe </w:t>
    </w:r>
    <w:r w:rsidR="00DE0CAB">
      <w:t>sp. Point Lookout</w:t>
    </w:r>
    <w:r w:rsidR="002E5B36">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06C" w14:textId="77777777" w:rsidR="00BD5ADE" w:rsidRPr="003E30FD" w:rsidRDefault="006E2873"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4A339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52"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2E5B36"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7CFBE36A" w14:textId="77777777" w:rsidR="00BD5ADE" w:rsidRPr="00D728A1" w:rsidRDefault="002E5B36"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665064F3" w14:textId="77777777" w:rsidR="00BD5ADE" w:rsidRDefault="002E5B36"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3C84D3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23887CA2"/>
    <w:numStyleLink w:val="List1"/>
  </w:abstractNum>
  <w:abstractNum w:abstractNumId="21" w15:restartNumberingAfterBreak="0">
    <w:nsid w:val="486800B4"/>
    <w:multiLevelType w:val="multilevel"/>
    <w:tmpl w:val="23887CA2"/>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3934B7"/>
    <w:multiLevelType w:val="multilevel"/>
    <w:tmpl w:val="23887CA2"/>
    <w:numStyleLink w:val="List1"/>
  </w:abstractNum>
  <w:num w:numId="1">
    <w:abstractNumId w:val="7"/>
  </w:num>
  <w:num w:numId="2">
    <w:abstractNumId w:val="21"/>
  </w:num>
  <w:num w:numId="3">
    <w:abstractNumId w:val="22"/>
  </w:num>
  <w:num w:numId="4">
    <w:abstractNumId w:val="12"/>
  </w:num>
  <w:num w:numId="5">
    <w:abstractNumId w:val="27"/>
  </w:num>
  <w:num w:numId="6">
    <w:abstractNumId w:val="28"/>
  </w:num>
  <w:num w:numId="7">
    <w:abstractNumId w:val="9"/>
  </w:num>
  <w:num w:numId="8">
    <w:abstractNumId w:val="15"/>
  </w:num>
  <w:num w:numId="9">
    <w:abstractNumId w:val="19"/>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3"/>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3"/>
  </w:num>
  <w:num w:numId="23">
    <w:abstractNumId w:val="30"/>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4"/>
  </w:num>
  <w:num w:numId="29">
    <w:abstractNumId w:val="26"/>
  </w:num>
  <w:num w:numId="30">
    <w:abstractNumId w:val="10"/>
  </w:num>
  <w:num w:numId="31">
    <w:abstractNumId w:val="5"/>
  </w:num>
  <w:num w:numId="32">
    <w:abstractNumId w:val="31"/>
  </w:num>
  <w:num w:numId="33">
    <w:abstractNumId w:val="18"/>
  </w:num>
  <w:num w:numId="34">
    <w:abstractNumId w:val="17"/>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0C"/>
    <w:rsid w:val="00002DBA"/>
    <w:rsid w:val="00002F5D"/>
    <w:rsid w:val="00004116"/>
    <w:rsid w:val="000041F3"/>
    <w:rsid w:val="00005C94"/>
    <w:rsid w:val="00005F5B"/>
    <w:rsid w:val="00006455"/>
    <w:rsid w:val="00006A59"/>
    <w:rsid w:val="00007BEC"/>
    <w:rsid w:val="00007D65"/>
    <w:rsid w:val="000131BB"/>
    <w:rsid w:val="00013558"/>
    <w:rsid w:val="0001684C"/>
    <w:rsid w:val="00017C41"/>
    <w:rsid w:val="00021628"/>
    <w:rsid w:val="0002597B"/>
    <w:rsid w:val="00041E61"/>
    <w:rsid w:val="00042B1F"/>
    <w:rsid w:val="00043B88"/>
    <w:rsid w:val="00043F40"/>
    <w:rsid w:val="000463A3"/>
    <w:rsid w:val="00047071"/>
    <w:rsid w:val="000505AE"/>
    <w:rsid w:val="000510F7"/>
    <w:rsid w:val="00055C34"/>
    <w:rsid w:val="000567A3"/>
    <w:rsid w:val="000611E5"/>
    <w:rsid w:val="0006620D"/>
    <w:rsid w:val="000721C5"/>
    <w:rsid w:val="00073B75"/>
    <w:rsid w:val="00074D4E"/>
    <w:rsid w:val="00080368"/>
    <w:rsid w:val="000806A7"/>
    <w:rsid w:val="00083B57"/>
    <w:rsid w:val="00083CF6"/>
    <w:rsid w:val="000952A5"/>
    <w:rsid w:val="0009591F"/>
    <w:rsid w:val="00095C19"/>
    <w:rsid w:val="000A5470"/>
    <w:rsid w:val="000A5484"/>
    <w:rsid w:val="000A5BC1"/>
    <w:rsid w:val="000A641E"/>
    <w:rsid w:val="000A6687"/>
    <w:rsid w:val="000A69C1"/>
    <w:rsid w:val="000A6A9C"/>
    <w:rsid w:val="000B0FC5"/>
    <w:rsid w:val="000B1268"/>
    <w:rsid w:val="000B21FF"/>
    <w:rsid w:val="000B242F"/>
    <w:rsid w:val="000B72D8"/>
    <w:rsid w:val="000C26CA"/>
    <w:rsid w:val="000D174F"/>
    <w:rsid w:val="000D2297"/>
    <w:rsid w:val="000D46E9"/>
    <w:rsid w:val="000D5CD3"/>
    <w:rsid w:val="000E0CEA"/>
    <w:rsid w:val="000E1836"/>
    <w:rsid w:val="000E3C9B"/>
    <w:rsid w:val="000E4F6F"/>
    <w:rsid w:val="000F1BFB"/>
    <w:rsid w:val="000F22BB"/>
    <w:rsid w:val="000F384F"/>
    <w:rsid w:val="000F423F"/>
    <w:rsid w:val="000F5F5F"/>
    <w:rsid w:val="00100D90"/>
    <w:rsid w:val="001020A0"/>
    <w:rsid w:val="00105889"/>
    <w:rsid w:val="00113779"/>
    <w:rsid w:val="00116797"/>
    <w:rsid w:val="001208CD"/>
    <w:rsid w:val="00123B90"/>
    <w:rsid w:val="00123D92"/>
    <w:rsid w:val="00130DB9"/>
    <w:rsid w:val="00133310"/>
    <w:rsid w:val="00136AE0"/>
    <w:rsid w:val="00137443"/>
    <w:rsid w:val="00141789"/>
    <w:rsid w:val="00143AD7"/>
    <w:rsid w:val="00145AA9"/>
    <w:rsid w:val="00152B45"/>
    <w:rsid w:val="001562A8"/>
    <w:rsid w:val="00157E00"/>
    <w:rsid w:val="00161A9E"/>
    <w:rsid w:val="001666D3"/>
    <w:rsid w:val="00171AD6"/>
    <w:rsid w:val="001760CA"/>
    <w:rsid w:val="00177E87"/>
    <w:rsid w:val="001801EF"/>
    <w:rsid w:val="00182ED7"/>
    <w:rsid w:val="001842DC"/>
    <w:rsid w:val="00191548"/>
    <w:rsid w:val="00193C96"/>
    <w:rsid w:val="00194938"/>
    <w:rsid w:val="0019534C"/>
    <w:rsid w:val="001A2857"/>
    <w:rsid w:val="001A45CA"/>
    <w:rsid w:val="001B007E"/>
    <w:rsid w:val="001B06CF"/>
    <w:rsid w:val="001B3168"/>
    <w:rsid w:val="001C050C"/>
    <w:rsid w:val="001C1DC5"/>
    <w:rsid w:val="001C5DB7"/>
    <w:rsid w:val="001D0098"/>
    <w:rsid w:val="001D0338"/>
    <w:rsid w:val="001D174B"/>
    <w:rsid w:val="001D3652"/>
    <w:rsid w:val="001D7C96"/>
    <w:rsid w:val="001E0147"/>
    <w:rsid w:val="001E0FFD"/>
    <w:rsid w:val="001E2D48"/>
    <w:rsid w:val="001E4CBE"/>
    <w:rsid w:val="001E61DE"/>
    <w:rsid w:val="001E729A"/>
    <w:rsid w:val="001F2538"/>
    <w:rsid w:val="001F2D40"/>
    <w:rsid w:val="001F4BEC"/>
    <w:rsid w:val="002069E4"/>
    <w:rsid w:val="00210F1F"/>
    <w:rsid w:val="00213E53"/>
    <w:rsid w:val="00214A05"/>
    <w:rsid w:val="00221D7B"/>
    <w:rsid w:val="00222B99"/>
    <w:rsid w:val="002259E9"/>
    <w:rsid w:val="00235729"/>
    <w:rsid w:val="002371B9"/>
    <w:rsid w:val="00243A4C"/>
    <w:rsid w:val="0024507A"/>
    <w:rsid w:val="00245737"/>
    <w:rsid w:val="00246A0D"/>
    <w:rsid w:val="00252BF7"/>
    <w:rsid w:val="00253EF5"/>
    <w:rsid w:val="00257DBC"/>
    <w:rsid w:val="00266298"/>
    <w:rsid w:val="0026727E"/>
    <w:rsid w:val="0027151B"/>
    <w:rsid w:val="00273D49"/>
    <w:rsid w:val="00274013"/>
    <w:rsid w:val="002824DA"/>
    <w:rsid w:val="00282575"/>
    <w:rsid w:val="002829B2"/>
    <w:rsid w:val="00282CA0"/>
    <w:rsid w:val="00284DBE"/>
    <w:rsid w:val="0029433D"/>
    <w:rsid w:val="00294A6A"/>
    <w:rsid w:val="002960D9"/>
    <w:rsid w:val="002A0B63"/>
    <w:rsid w:val="002A23C1"/>
    <w:rsid w:val="002A3151"/>
    <w:rsid w:val="002A3BB5"/>
    <w:rsid w:val="002A4508"/>
    <w:rsid w:val="002A5000"/>
    <w:rsid w:val="002B0D20"/>
    <w:rsid w:val="002B2D59"/>
    <w:rsid w:val="002B341A"/>
    <w:rsid w:val="002B37EB"/>
    <w:rsid w:val="002B5756"/>
    <w:rsid w:val="002B70D2"/>
    <w:rsid w:val="002C4700"/>
    <w:rsid w:val="002C4B2C"/>
    <w:rsid w:val="002C52B9"/>
    <w:rsid w:val="002C7272"/>
    <w:rsid w:val="002C78E2"/>
    <w:rsid w:val="002D6AED"/>
    <w:rsid w:val="002D6BC1"/>
    <w:rsid w:val="002D6DB7"/>
    <w:rsid w:val="002E0764"/>
    <w:rsid w:val="002E07D5"/>
    <w:rsid w:val="002E4413"/>
    <w:rsid w:val="002E4787"/>
    <w:rsid w:val="002E5B36"/>
    <w:rsid w:val="002E68AC"/>
    <w:rsid w:val="002E71B4"/>
    <w:rsid w:val="002F2095"/>
    <w:rsid w:val="002F2350"/>
    <w:rsid w:val="002F2479"/>
    <w:rsid w:val="002F2AD4"/>
    <w:rsid w:val="002F39EE"/>
    <w:rsid w:val="002F42F0"/>
    <w:rsid w:val="002F45C4"/>
    <w:rsid w:val="002F4D27"/>
    <w:rsid w:val="002F7E50"/>
    <w:rsid w:val="00300146"/>
    <w:rsid w:val="00311429"/>
    <w:rsid w:val="0031575B"/>
    <w:rsid w:val="0032024A"/>
    <w:rsid w:val="00321776"/>
    <w:rsid w:val="00322D80"/>
    <w:rsid w:val="00324710"/>
    <w:rsid w:val="003258B5"/>
    <w:rsid w:val="0033024B"/>
    <w:rsid w:val="00332E1D"/>
    <w:rsid w:val="00335911"/>
    <w:rsid w:val="0034356E"/>
    <w:rsid w:val="00346130"/>
    <w:rsid w:val="0034724D"/>
    <w:rsid w:val="00365982"/>
    <w:rsid w:val="00370B63"/>
    <w:rsid w:val="003767F8"/>
    <w:rsid w:val="003776A8"/>
    <w:rsid w:val="003809A6"/>
    <w:rsid w:val="0038366B"/>
    <w:rsid w:val="0038517F"/>
    <w:rsid w:val="003869BC"/>
    <w:rsid w:val="003928AE"/>
    <w:rsid w:val="0039497F"/>
    <w:rsid w:val="003961D9"/>
    <w:rsid w:val="003A25EC"/>
    <w:rsid w:val="003A4538"/>
    <w:rsid w:val="003A77CB"/>
    <w:rsid w:val="003B2E45"/>
    <w:rsid w:val="003B401D"/>
    <w:rsid w:val="003C3E67"/>
    <w:rsid w:val="003C600C"/>
    <w:rsid w:val="003C789E"/>
    <w:rsid w:val="003D1315"/>
    <w:rsid w:val="003D1B4D"/>
    <w:rsid w:val="003D2D25"/>
    <w:rsid w:val="003E08C0"/>
    <w:rsid w:val="003E2486"/>
    <w:rsid w:val="003E2E2D"/>
    <w:rsid w:val="003E36AB"/>
    <w:rsid w:val="003F099E"/>
    <w:rsid w:val="003F12EA"/>
    <w:rsid w:val="003F23C7"/>
    <w:rsid w:val="003F4000"/>
    <w:rsid w:val="003F4B57"/>
    <w:rsid w:val="003F7E6F"/>
    <w:rsid w:val="00401138"/>
    <w:rsid w:val="00406B4F"/>
    <w:rsid w:val="00413694"/>
    <w:rsid w:val="00414FB5"/>
    <w:rsid w:val="00416BE3"/>
    <w:rsid w:val="0041797C"/>
    <w:rsid w:val="00422BF5"/>
    <w:rsid w:val="00424D32"/>
    <w:rsid w:val="00424F7F"/>
    <w:rsid w:val="00432D7F"/>
    <w:rsid w:val="004338F4"/>
    <w:rsid w:val="00440101"/>
    <w:rsid w:val="004403C4"/>
    <w:rsid w:val="00443676"/>
    <w:rsid w:val="00450BF5"/>
    <w:rsid w:val="00453BEC"/>
    <w:rsid w:val="00456D78"/>
    <w:rsid w:val="004570C7"/>
    <w:rsid w:val="004623B4"/>
    <w:rsid w:val="004636C5"/>
    <w:rsid w:val="004639B5"/>
    <w:rsid w:val="00464493"/>
    <w:rsid w:val="00467ABA"/>
    <w:rsid w:val="00471CCB"/>
    <w:rsid w:val="00471DE1"/>
    <w:rsid w:val="00472CAF"/>
    <w:rsid w:val="00474830"/>
    <w:rsid w:val="0047672F"/>
    <w:rsid w:val="00476B41"/>
    <w:rsid w:val="00480A72"/>
    <w:rsid w:val="00482046"/>
    <w:rsid w:val="00482752"/>
    <w:rsid w:val="00482C1C"/>
    <w:rsid w:val="00484D6F"/>
    <w:rsid w:val="00492206"/>
    <w:rsid w:val="004923D6"/>
    <w:rsid w:val="00492A9E"/>
    <w:rsid w:val="00494434"/>
    <w:rsid w:val="0049550E"/>
    <w:rsid w:val="004A17C5"/>
    <w:rsid w:val="004A2E17"/>
    <w:rsid w:val="004A6C61"/>
    <w:rsid w:val="004A7CC6"/>
    <w:rsid w:val="004B002B"/>
    <w:rsid w:val="004B35B3"/>
    <w:rsid w:val="004B65FA"/>
    <w:rsid w:val="004C155D"/>
    <w:rsid w:val="004C184A"/>
    <w:rsid w:val="004C1CF6"/>
    <w:rsid w:val="004C2A9D"/>
    <w:rsid w:val="004C46D5"/>
    <w:rsid w:val="004C4782"/>
    <w:rsid w:val="004C75DE"/>
    <w:rsid w:val="004D5F01"/>
    <w:rsid w:val="004E212D"/>
    <w:rsid w:val="004E2772"/>
    <w:rsid w:val="004E5318"/>
    <w:rsid w:val="004F3478"/>
    <w:rsid w:val="004F35F4"/>
    <w:rsid w:val="004F3921"/>
    <w:rsid w:val="004F3EA9"/>
    <w:rsid w:val="004F42E4"/>
    <w:rsid w:val="004F5A8C"/>
    <w:rsid w:val="004F7214"/>
    <w:rsid w:val="00503D1D"/>
    <w:rsid w:val="00505A81"/>
    <w:rsid w:val="00505B18"/>
    <w:rsid w:val="0050622A"/>
    <w:rsid w:val="00506EC6"/>
    <w:rsid w:val="00515EE0"/>
    <w:rsid w:val="00515F3E"/>
    <w:rsid w:val="00517DE9"/>
    <w:rsid w:val="00517F78"/>
    <w:rsid w:val="00520E14"/>
    <w:rsid w:val="00524B84"/>
    <w:rsid w:val="00532938"/>
    <w:rsid w:val="00532977"/>
    <w:rsid w:val="005343D3"/>
    <w:rsid w:val="00544709"/>
    <w:rsid w:val="00545DE1"/>
    <w:rsid w:val="00561CFE"/>
    <w:rsid w:val="00565F5D"/>
    <w:rsid w:val="005661DE"/>
    <w:rsid w:val="00567110"/>
    <w:rsid w:val="0056723D"/>
    <w:rsid w:val="00572043"/>
    <w:rsid w:val="0057237F"/>
    <w:rsid w:val="005742CF"/>
    <w:rsid w:val="00576D07"/>
    <w:rsid w:val="00580BF7"/>
    <w:rsid w:val="00584440"/>
    <w:rsid w:val="00586B4D"/>
    <w:rsid w:val="005873F0"/>
    <w:rsid w:val="00590766"/>
    <w:rsid w:val="00592FB8"/>
    <w:rsid w:val="005955AF"/>
    <w:rsid w:val="005969F9"/>
    <w:rsid w:val="005A565D"/>
    <w:rsid w:val="005A5E25"/>
    <w:rsid w:val="005B5689"/>
    <w:rsid w:val="005B637F"/>
    <w:rsid w:val="005B71C6"/>
    <w:rsid w:val="005C02CC"/>
    <w:rsid w:val="005C1247"/>
    <w:rsid w:val="005C6BB1"/>
    <w:rsid w:val="005C7C4F"/>
    <w:rsid w:val="005D068B"/>
    <w:rsid w:val="005D3871"/>
    <w:rsid w:val="005D5F2E"/>
    <w:rsid w:val="005D669F"/>
    <w:rsid w:val="005D736A"/>
    <w:rsid w:val="005E40DF"/>
    <w:rsid w:val="005E53A2"/>
    <w:rsid w:val="005F07C2"/>
    <w:rsid w:val="005F3791"/>
    <w:rsid w:val="005F5370"/>
    <w:rsid w:val="005F550A"/>
    <w:rsid w:val="005F6BB0"/>
    <w:rsid w:val="006001A2"/>
    <w:rsid w:val="0060246C"/>
    <w:rsid w:val="0060773B"/>
    <w:rsid w:val="006108EF"/>
    <w:rsid w:val="00613720"/>
    <w:rsid w:val="00626EB0"/>
    <w:rsid w:val="00631BAD"/>
    <w:rsid w:val="00632CA4"/>
    <w:rsid w:val="006350DA"/>
    <w:rsid w:val="00635461"/>
    <w:rsid w:val="0063595D"/>
    <w:rsid w:val="006365B3"/>
    <w:rsid w:val="006376E3"/>
    <w:rsid w:val="006445AC"/>
    <w:rsid w:val="00645851"/>
    <w:rsid w:val="00645FFB"/>
    <w:rsid w:val="00647A78"/>
    <w:rsid w:val="00655F36"/>
    <w:rsid w:val="0065739E"/>
    <w:rsid w:val="00657E04"/>
    <w:rsid w:val="006605D8"/>
    <w:rsid w:val="00664155"/>
    <w:rsid w:val="00671609"/>
    <w:rsid w:val="00673538"/>
    <w:rsid w:val="006745A4"/>
    <w:rsid w:val="00675649"/>
    <w:rsid w:val="00675786"/>
    <w:rsid w:val="00675F9E"/>
    <w:rsid w:val="006818AC"/>
    <w:rsid w:val="00683891"/>
    <w:rsid w:val="00683D28"/>
    <w:rsid w:val="0068427E"/>
    <w:rsid w:val="006907A6"/>
    <w:rsid w:val="006918E0"/>
    <w:rsid w:val="00692109"/>
    <w:rsid w:val="006943F8"/>
    <w:rsid w:val="00695ADF"/>
    <w:rsid w:val="00697BCB"/>
    <w:rsid w:val="006A00DD"/>
    <w:rsid w:val="006A133C"/>
    <w:rsid w:val="006A21FE"/>
    <w:rsid w:val="006A3E13"/>
    <w:rsid w:val="006A5725"/>
    <w:rsid w:val="006A6311"/>
    <w:rsid w:val="006A6BA6"/>
    <w:rsid w:val="006B03BF"/>
    <w:rsid w:val="006B296F"/>
    <w:rsid w:val="006B38F2"/>
    <w:rsid w:val="006B4392"/>
    <w:rsid w:val="006B4EBD"/>
    <w:rsid w:val="006B6492"/>
    <w:rsid w:val="006C0CC9"/>
    <w:rsid w:val="006C1385"/>
    <w:rsid w:val="006C1AB8"/>
    <w:rsid w:val="006C5BD7"/>
    <w:rsid w:val="006C7621"/>
    <w:rsid w:val="006D0849"/>
    <w:rsid w:val="006D2D05"/>
    <w:rsid w:val="006D6008"/>
    <w:rsid w:val="006D6EB3"/>
    <w:rsid w:val="006D6F45"/>
    <w:rsid w:val="006E2873"/>
    <w:rsid w:val="006E3517"/>
    <w:rsid w:val="006E439F"/>
    <w:rsid w:val="006E5F36"/>
    <w:rsid w:val="006F7B33"/>
    <w:rsid w:val="007001A3"/>
    <w:rsid w:val="00700F36"/>
    <w:rsid w:val="007030F1"/>
    <w:rsid w:val="00703484"/>
    <w:rsid w:val="007045D1"/>
    <w:rsid w:val="00704A9C"/>
    <w:rsid w:val="007061B3"/>
    <w:rsid w:val="007063E5"/>
    <w:rsid w:val="0071016C"/>
    <w:rsid w:val="00710F5D"/>
    <w:rsid w:val="00712EA6"/>
    <w:rsid w:val="007140F6"/>
    <w:rsid w:val="00720777"/>
    <w:rsid w:val="007221B3"/>
    <w:rsid w:val="007225D8"/>
    <w:rsid w:val="00722A6D"/>
    <w:rsid w:val="00722E60"/>
    <w:rsid w:val="00724A97"/>
    <w:rsid w:val="00740D63"/>
    <w:rsid w:val="0074561C"/>
    <w:rsid w:val="00745868"/>
    <w:rsid w:val="007471F9"/>
    <w:rsid w:val="00747B08"/>
    <w:rsid w:val="00750AE7"/>
    <w:rsid w:val="00751F1A"/>
    <w:rsid w:val="00755707"/>
    <w:rsid w:val="00756404"/>
    <w:rsid w:val="007605A4"/>
    <w:rsid w:val="00760871"/>
    <w:rsid w:val="00760C8D"/>
    <w:rsid w:val="007622CF"/>
    <w:rsid w:val="007648D8"/>
    <w:rsid w:val="00766106"/>
    <w:rsid w:val="00767028"/>
    <w:rsid w:val="00767400"/>
    <w:rsid w:val="007708B7"/>
    <w:rsid w:val="007738EA"/>
    <w:rsid w:val="0077572E"/>
    <w:rsid w:val="00780FAF"/>
    <w:rsid w:val="00782387"/>
    <w:rsid w:val="00784613"/>
    <w:rsid w:val="00784C33"/>
    <w:rsid w:val="00786D51"/>
    <w:rsid w:val="0079333B"/>
    <w:rsid w:val="00796789"/>
    <w:rsid w:val="00797FE7"/>
    <w:rsid w:val="007A153A"/>
    <w:rsid w:val="007A1EB7"/>
    <w:rsid w:val="007B173D"/>
    <w:rsid w:val="007C4746"/>
    <w:rsid w:val="007C63A1"/>
    <w:rsid w:val="007D11FF"/>
    <w:rsid w:val="007D175E"/>
    <w:rsid w:val="007D3603"/>
    <w:rsid w:val="007D42EF"/>
    <w:rsid w:val="007D5176"/>
    <w:rsid w:val="007D5495"/>
    <w:rsid w:val="007E00C3"/>
    <w:rsid w:val="007E0AF4"/>
    <w:rsid w:val="007E1AAE"/>
    <w:rsid w:val="007F0B73"/>
    <w:rsid w:val="007F4EE8"/>
    <w:rsid w:val="007F50D6"/>
    <w:rsid w:val="007F5A59"/>
    <w:rsid w:val="00803132"/>
    <w:rsid w:val="00803789"/>
    <w:rsid w:val="00807B65"/>
    <w:rsid w:val="008107F3"/>
    <w:rsid w:val="00810B26"/>
    <w:rsid w:val="008115A7"/>
    <w:rsid w:val="008137E1"/>
    <w:rsid w:val="00814F3C"/>
    <w:rsid w:val="00820500"/>
    <w:rsid w:val="008208F9"/>
    <w:rsid w:val="008303B2"/>
    <w:rsid w:val="0083083A"/>
    <w:rsid w:val="00835072"/>
    <w:rsid w:val="00836673"/>
    <w:rsid w:val="00836E0E"/>
    <w:rsid w:val="00841E46"/>
    <w:rsid w:val="00845966"/>
    <w:rsid w:val="00850E21"/>
    <w:rsid w:val="0085380C"/>
    <w:rsid w:val="00855C11"/>
    <w:rsid w:val="00855DA9"/>
    <w:rsid w:val="00856088"/>
    <w:rsid w:val="00860CFE"/>
    <w:rsid w:val="00861091"/>
    <w:rsid w:val="00863AA5"/>
    <w:rsid w:val="00866771"/>
    <w:rsid w:val="008672F8"/>
    <w:rsid w:val="00871A68"/>
    <w:rsid w:val="00873D15"/>
    <w:rsid w:val="008842C3"/>
    <w:rsid w:val="00892F83"/>
    <w:rsid w:val="00892FF8"/>
    <w:rsid w:val="008933C7"/>
    <w:rsid w:val="008A0850"/>
    <w:rsid w:val="008B36CB"/>
    <w:rsid w:val="008B61F1"/>
    <w:rsid w:val="008C0EC3"/>
    <w:rsid w:val="008C1DA1"/>
    <w:rsid w:val="008C2A83"/>
    <w:rsid w:val="008C2D34"/>
    <w:rsid w:val="008C3ECC"/>
    <w:rsid w:val="008C59D8"/>
    <w:rsid w:val="008C71DE"/>
    <w:rsid w:val="008C7C3E"/>
    <w:rsid w:val="008D5BB5"/>
    <w:rsid w:val="008D5DEE"/>
    <w:rsid w:val="008D6B88"/>
    <w:rsid w:val="008E33E1"/>
    <w:rsid w:val="008E601F"/>
    <w:rsid w:val="008F1331"/>
    <w:rsid w:val="008F7312"/>
    <w:rsid w:val="008F77BB"/>
    <w:rsid w:val="008F791C"/>
    <w:rsid w:val="00900A58"/>
    <w:rsid w:val="009031EC"/>
    <w:rsid w:val="00904D4B"/>
    <w:rsid w:val="00906D85"/>
    <w:rsid w:val="009142C0"/>
    <w:rsid w:val="0091501C"/>
    <w:rsid w:val="009151F2"/>
    <w:rsid w:val="009175A5"/>
    <w:rsid w:val="00917A0A"/>
    <w:rsid w:val="00921747"/>
    <w:rsid w:val="00923B76"/>
    <w:rsid w:val="009244FB"/>
    <w:rsid w:val="0092569D"/>
    <w:rsid w:val="00930AC3"/>
    <w:rsid w:val="00934DB8"/>
    <w:rsid w:val="0093546A"/>
    <w:rsid w:val="00935E56"/>
    <w:rsid w:val="009436C5"/>
    <w:rsid w:val="00944049"/>
    <w:rsid w:val="009505E7"/>
    <w:rsid w:val="00952AAC"/>
    <w:rsid w:val="00954B02"/>
    <w:rsid w:val="009569F0"/>
    <w:rsid w:val="00960E28"/>
    <w:rsid w:val="009620D7"/>
    <w:rsid w:val="00962424"/>
    <w:rsid w:val="00965FD8"/>
    <w:rsid w:val="00966E48"/>
    <w:rsid w:val="00970B19"/>
    <w:rsid w:val="00972A5D"/>
    <w:rsid w:val="009741E5"/>
    <w:rsid w:val="00974A18"/>
    <w:rsid w:val="009752E5"/>
    <w:rsid w:val="0098157E"/>
    <w:rsid w:val="00983011"/>
    <w:rsid w:val="00984E98"/>
    <w:rsid w:val="00985A4C"/>
    <w:rsid w:val="00986DE2"/>
    <w:rsid w:val="00990C4A"/>
    <w:rsid w:val="00993C68"/>
    <w:rsid w:val="009946EB"/>
    <w:rsid w:val="00996EF3"/>
    <w:rsid w:val="009A008F"/>
    <w:rsid w:val="009A0FCE"/>
    <w:rsid w:val="009A2ACA"/>
    <w:rsid w:val="009A3C18"/>
    <w:rsid w:val="009A5671"/>
    <w:rsid w:val="009B6FF2"/>
    <w:rsid w:val="009C1935"/>
    <w:rsid w:val="009C2ECA"/>
    <w:rsid w:val="009C5633"/>
    <w:rsid w:val="009C5673"/>
    <w:rsid w:val="009C7B55"/>
    <w:rsid w:val="009D0DBB"/>
    <w:rsid w:val="009D229D"/>
    <w:rsid w:val="009D5563"/>
    <w:rsid w:val="009D683A"/>
    <w:rsid w:val="009D6DB7"/>
    <w:rsid w:val="009E1211"/>
    <w:rsid w:val="009E4467"/>
    <w:rsid w:val="009E48AF"/>
    <w:rsid w:val="009E4B21"/>
    <w:rsid w:val="009E548D"/>
    <w:rsid w:val="009E7CE5"/>
    <w:rsid w:val="009F05D8"/>
    <w:rsid w:val="009F5FBF"/>
    <w:rsid w:val="009F692B"/>
    <w:rsid w:val="00A0102D"/>
    <w:rsid w:val="00A0666C"/>
    <w:rsid w:val="00A068DB"/>
    <w:rsid w:val="00A07210"/>
    <w:rsid w:val="00A10E99"/>
    <w:rsid w:val="00A11374"/>
    <w:rsid w:val="00A1304E"/>
    <w:rsid w:val="00A158EC"/>
    <w:rsid w:val="00A30E18"/>
    <w:rsid w:val="00A31E83"/>
    <w:rsid w:val="00A32570"/>
    <w:rsid w:val="00A3437D"/>
    <w:rsid w:val="00A35585"/>
    <w:rsid w:val="00A41124"/>
    <w:rsid w:val="00A42DC6"/>
    <w:rsid w:val="00A43679"/>
    <w:rsid w:val="00A45FDD"/>
    <w:rsid w:val="00A47606"/>
    <w:rsid w:val="00A50610"/>
    <w:rsid w:val="00A506DE"/>
    <w:rsid w:val="00A51C1B"/>
    <w:rsid w:val="00A52580"/>
    <w:rsid w:val="00A54E90"/>
    <w:rsid w:val="00A559E4"/>
    <w:rsid w:val="00A60E9D"/>
    <w:rsid w:val="00A63B8A"/>
    <w:rsid w:val="00A641EB"/>
    <w:rsid w:val="00A66EA7"/>
    <w:rsid w:val="00A7425F"/>
    <w:rsid w:val="00A7516D"/>
    <w:rsid w:val="00A765FC"/>
    <w:rsid w:val="00A76E62"/>
    <w:rsid w:val="00A808F5"/>
    <w:rsid w:val="00A81798"/>
    <w:rsid w:val="00A84331"/>
    <w:rsid w:val="00A8464B"/>
    <w:rsid w:val="00A86E39"/>
    <w:rsid w:val="00A91C39"/>
    <w:rsid w:val="00A92922"/>
    <w:rsid w:val="00A9309A"/>
    <w:rsid w:val="00A933A1"/>
    <w:rsid w:val="00A94565"/>
    <w:rsid w:val="00A95239"/>
    <w:rsid w:val="00A979CB"/>
    <w:rsid w:val="00A97BF1"/>
    <w:rsid w:val="00AA11D7"/>
    <w:rsid w:val="00AA183F"/>
    <w:rsid w:val="00AA4731"/>
    <w:rsid w:val="00AA6095"/>
    <w:rsid w:val="00AA6E40"/>
    <w:rsid w:val="00AA74AB"/>
    <w:rsid w:val="00AA7976"/>
    <w:rsid w:val="00AB037C"/>
    <w:rsid w:val="00AB15FC"/>
    <w:rsid w:val="00AB3D6C"/>
    <w:rsid w:val="00AB633A"/>
    <w:rsid w:val="00AB642C"/>
    <w:rsid w:val="00AB7015"/>
    <w:rsid w:val="00AB7C7C"/>
    <w:rsid w:val="00AC2FF8"/>
    <w:rsid w:val="00AD12C9"/>
    <w:rsid w:val="00AD1C17"/>
    <w:rsid w:val="00AE0DB6"/>
    <w:rsid w:val="00AF0C22"/>
    <w:rsid w:val="00AF153A"/>
    <w:rsid w:val="00AF1A90"/>
    <w:rsid w:val="00AF5B89"/>
    <w:rsid w:val="00AF6378"/>
    <w:rsid w:val="00AF7737"/>
    <w:rsid w:val="00AF7914"/>
    <w:rsid w:val="00B15564"/>
    <w:rsid w:val="00B17185"/>
    <w:rsid w:val="00B226C4"/>
    <w:rsid w:val="00B26939"/>
    <w:rsid w:val="00B2700D"/>
    <w:rsid w:val="00B27D57"/>
    <w:rsid w:val="00B30582"/>
    <w:rsid w:val="00B34F18"/>
    <w:rsid w:val="00B36C54"/>
    <w:rsid w:val="00B40CF8"/>
    <w:rsid w:val="00B43C6C"/>
    <w:rsid w:val="00B47F05"/>
    <w:rsid w:val="00B52325"/>
    <w:rsid w:val="00B5274C"/>
    <w:rsid w:val="00B52914"/>
    <w:rsid w:val="00B52D86"/>
    <w:rsid w:val="00B55A1B"/>
    <w:rsid w:val="00B561DD"/>
    <w:rsid w:val="00B56C56"/>
    <w:rsid w:val="00B60109"/>
    <w:rsid w:val="00B6099B"/>
    <w:rsid w:val="00B61DD3"/>
    <w:rsid w:val="00B62036"/>
    <w:rsid w:val="00B63016"/>
    <w:rsid w:val="00B64BAA"/>
    <w:rsid w:val="00B66CB8"/>
    <w:rsid w:val="00B66DB4"/>
    <w:rsid w:val="00B67B85"/>
    <w:rsid w:val="00B67C76"/>
    <w:rsid w:val="00B76365"/>
    <w:rsid w:val="00B802D2"/>
    <w:rsid w:val="00B81AC8"/>
    <w:rsid w:val="00B81C29"/>
    <w:rsid w:val="00B8749E"/>
    <w:rsid w:val="00B87FD9"/>
    <w:rsid w:val="00B9182C"/>
    <w:rsid w:val="00B926DD"/>
    <w:rsid w:val="00B96396"/>
    <w:rsid w:val="00BA0D7F"/>
    <w:rsid w:val="00BA40C9"/>
    <w:rsid w:val="00BA52B5"/>
    <w:rsid w:val="00BB0677"/>
    <w:rsid w:val="00BB4973"/>
    <w:rsid w:val="00BB5E4E"/>
    <w:rsid w:val="00BC2262"/>
    <w:rsid w:val="00BD0ECB"/>
    <w:rsid w:val="00BD19A3"/>
    <w:rsid w:val="00BD2D43"/>
    <w:rsid w:val="00BD6EA9"/>
    <w:rsid w:val="00BE37AE"/>
    <w:rsid w:val="00BF0BFF"/>
    <w:rsid w:val="00BF11DA"/>
    <w:rsid w:val="00BF17F3"/>
    <w:rsid w:val="00BF4193"/>
    <w:rsid w:val="00BF5CEB"/>
    <w:rsid w:val="00C001FE"/>
    <w:rsid w:val="00C005A1"/>
    <w:rsid w:val="00C0287F"/>
    <w:rsid w:val="00C03A2D"/>
    <w:rsid w:val="00C041C4"/>
    <w:rsid w:val="00C04E7D"/>
    <w:rsid w:val="00C07EDA"/>
    <w:rsid w:val="00C10428"/>
    <w:rsid w:val="00C11775"/>
    <w:rsid w:val="00C13450"/>
    <w:rsid w:val="00C144E0"/>
    <w:rsid w:val="00C219B0"/>
    <w:rsid w:val="00C254DE"/>
    <w:rsid w:val="00C3026A"/>
    <w:rsid w:val="00C31328"/>
    <w:rsid w:val="00C3186E"/>
    <w:rsid w:val="00C35E2B"/>
    <w:rsid w:val="00C40745"/>
    <w:rsid w:val="00C42DA7"/>
    <w:rsid w:val="00C43001"/>
    <w:rsid w:val="00C43750"/>
    <w:rsid w:val="00C46B16"/>
    <w:rsid w:val="00C47457"/>
    <w:rsid w:val="00C50FDD"/>
    <w:rsid w:val="00C55096"/>
    <w:rsid w:val="00C57959"/>
    <w:rsid w:val="00C6167A"/>
    <w:rsid w:val="00C6552C"/>
    <w:rsid w:val="00C71EA8"/>
    <w:rsid w:val="00C72208"/>
    <w:rsid w:val="00C7560F"/>
    <w:rsid w:val="00C82DE2"/>
    <w:rsid w:val="00C85C4B"/>
    <w:rsid w:val="00C86FB8"/>
    <w:rsid w:val="00C874B7"/>
    <w:rsid w:val="00CB321E"/>
    <w:rsid w:val="00CB4AA1"/>
    <w:rsid w:val="00CB4DE5"/>
    <w:rsid w:val="00CC04EB"/>
    <w:rsid w:val="00CC28E1"/>
    <w:rsid w:val="00CC3E02"/>
    <w:rsid w:val="00CD271D"/>
    <w:rsid w:val="00CD2F60"/>
    <w:rsid w:val="00CE6161"/>
    <w:rsid w:val="00CF1400"/>
    <w:rsid w:val="00CF4ADC"/>
    <w:rsid w:val="00D07A57"/>
    <w:rsid w:val="00D1021E"/>
    <w:rsid w:val="00D10C9D"/>
    <w:rsid w:val="00D15BBE"/>
    <w:rsid w:val="00D22E65"/>
    <w:rsid w:val="00D233FC"/>
    <w:rsid w:val="00D24CF7"/>
    <w:rsid w:val="00D30B06"/>
    <w:rsid w:val="00D32144"/>
    <w:rsid w:val="00D356ED"/>
    <w:rsid w:val="00D36738"/>
    <w:rsid w:val="00D36CA5"/>
    <w:rsid w:val="00D37258"/>
    <w:rsid w:val="00D41549"/>
    <w:rsid w:val="00D432C1"/>
    <w:rsid w:val="00D45B1D"/>
    <w:rsid w:val="00D45EEF"/>
    <w:rsid w:val="00D5323D"/>
    <w:rsid w:val="00D53C1A"/>
    <w:rsid w:val="00D53D7D"/>
    <w:rsid w:val="00D55380"/>
    <w:rsid w:val="00D6250C"/>
    <w:rsid w:val="00D67306"/>
    <w:rsid w:val="00D7693B"/>
    <w:rsid w:val="00D77515"/>
    <w:rsid w:val="00D84BD3"/>
    <w:rsid w:val="00D90714"/>
    <w:rsid w:val="00D908E2"/>
    <w:rsid w:val="00DA5BAC"/>
    <w:rsid w:val="00DA6A30"/>
    <w:rsid w:val="00DB2D8A"/>
    <w:rsid w:val="00DB4BED"/>
    <w:rsid w:val="00DB6A3C"/>
    <w:rsid w:val="00DC29D5"/>
    <w:rsid w:val="00DC3C11"/>
    <w:rsid w:val="00DC547B"/>
    <w:rsid w:val="00DD4FB6"/>
    <w:rsid w:val="00DD558E"/>
    <w:rsid w:val="00DD7133"/>
    <w:rsid w:val="00DD7442"/>
    <w:rsid w:val="00DE0508"/>
    <w:rsid w:val="00DE0CAB"/>
    <w:rsid w:val="00DE1A59"/>
    <w:rsid w:val="00DE1FBF"/>
    <w:rsid w:val="00DE26EC"/>
    <w:rsid w:val="00DE4FE7"/>
    <w:rsid w:val="00DE6D90"/>
    <w:rsid w:val="00DF1F57"/>
    <w:rsid w:val="00DF28F0"/>
    <w:rsid w:val="00DF670F"/>
    <w:rsid w:val="00DF6F73"/>
    <w:rsid w:val="00E04D1D"/>
    <w:rsid w:val="00E05311"/>
    <w:rsid w:val="00E11E19"/>
    <w:rsid w:val="00E125E7"/>
    <w:rsid w:val="00E12F30"/>
    <w:rsid w:val="00E1394A"/>
    <w:rsid w:val="00E14749"/>
    <w:rsid w:val="00E17579"/>
    <w:rsid w:val="00E23BD1"/>
    <w:rsid w:val="00E24943"/>
    <w:rsid w:val="00E2653F"/>
    <w:rsid w:val="00E27A23"/>
    <w:rsid w:val="00E27BA8"/>
    <w:rsid w:val="00E31624"/>
    <w:rsid w:val="00E40154"/>
    <w:rsid w:val="00E42FAD"/>
    <w:rsid w:val="00E47782"/>
    <w:rsid w:val="00E539D7"/>
    <w:rsid w:val="00E53B3B"/>
    <w:rsid w:val="00E53FA1"/>
    <w:rsid w:val="00E56E92"/>
    <w:rsid w:val="00E61942"/>
    <w:rsid w:val="00E624BD"/>
    <w:rsid w:val="00E63F8D"/>
    <w:rsid w:val="00E64796"/>
    <w:rsid w:val="00E66B05"/>
    <w:rsid w:val="00E67618"/>
    <w:rsid w:val="00E73CF0"/>
    <w:rsid w:val="00E74CA0"/>
    <w:rsid w:val="00E77188"/>
    <w:rsid w:val="00E810EE"/>
    <w:rsid w:val="00E82975"/>
    <w:rsid w:val="00E8535F"/>
    <w:rsid w:val="00E85DB8"/>
    <w:rsid w:val="00E86E0C"/>
    <w:rsid w:val="00E9000C"/>
    <w:rsid w:val="00E90235"/>
    <w:rsid w:val="00E919C3"/>
    <w:rsid w:val="00E938E9"/>
    <w:rsid w:val="00E93C6B"/>
    <w:rsid w:val="00E94830"/>
    <w:rsid w:val="00E955A0"/>
    <w:rsid w:val="00E9569B"/>
    <w:rsid w:val="00E96DF9"/>
    <w:rsid w:val="00EA0381"/>
    <w:rsid w:val="00EA22CD"/>
    <w:rsid w:val="00EA2BD9"/>
    <w:rsid w:val="00EA63E0"/>
    <w:rsid w:val="00EA693C"/>
    <w:rsid w:val="00EA73EF"/>
    <w:rsid w:val="00EA7522"/>
    <w:rsid w:val="00EB3D82"/>
    <w:rsid w:val="00EB4184"/>
    <w:rsid w:val="00EB63DD"/>
    <w:rsid w:val="00EB79E2"/>
    <w:rsid w:val="00EC3445"/>
    <w:rsid w:val="00ED3E34"/>
    <w:rsid w:val="00ED7C46"/>
    <w:rsid w:val="00EE1185"/>
    <w:rsid w:val="00EE6E90"/>
    <w:rsid w:val="00EF3481"/>
    <w:rsid w:val="00EF58BF"/>
    <w:rsid w:val="00EF5B82"/>
    <w:rsid w:val="00EF6351"/>
    <w:rsid w:val="00EF6ADC"/>
    <w:rsid w:val="00F02831"/>
    <w:rsid w:val="00F03858"/>
    <w:rsid w:val="00F12831"/>
    <w:rsid w:val="00F12B61"/>
    <w:rsid w:val="00F13EFD"/>
    <w:rsid w:val="00F1735C"/>
    <w:rsid w:val="00F20141"/>
    <w:rsid w:val="00F25052"/>
    <w:rsid w:val="00F2762C"/>
    <w:rsid w:val="00F3259E"/>
    <w:rsid w:val="00F3359B"/>
    <w:rsid w:val="00F33D3C"/>
    <w:rsid w:val="00F378B4"/>
    <w:rsid w:val="00F37949"/>
    <w:rsid w:val="00F424B8"/>
    <w:rsid w:val="00F44CE6"/>
    <w:rsid w:val="00F46885"/>
    <w:rsid w:val="00F46F04"/>
    <w:rsid w:val="00F52CF3"/>
    <w:rsid w:val="00F52D8A"/>
    <w:rsid w:val="00F52FFE"/>
    <w:rsid w:val="00F563F7"/>
    <w:rsid w:val="00F60C2C"/>
    <w:rsid w:val="00F6150F"/>
    <w:rsid w:val="00F62685"/>
    <w:rsid w:val="00F66165"/>
    <w:rsid w:val="00F7051A"/>
    <w:rsid w:val="00F72B84"/>
    <w:rsid w:val="00F73B5A"/>
    <w:rsid w:val="00F741F1"/>
    <w:rsid w:val="00F77A13"/>
    <w:rsid w:val="00F83ADD"/>
    <w:rsid w:val="00F83DA0"/>
    <w:rsid w:val="00F8726A"/>
    <w:rsid w:val="00F902AC"/>
    <w:rsid w:val="00F9296C"/>
    <w:rsid w:val="00F95111"/>
    <w:rsid w:val="00F96613"/>
    <w:rsid w:val="00F973A8"/>
    <w:rsid w:val="00F97508"/>
    <w:rsid w:val="00FA00CD"/>
    <w:rsid w:val="00FA0651"/>
    <w:rsid w:val="00FA1671"/>
    <w:rsid w:val="00FA56BB"/>
    <w:rsid w:val="00FA573E"/>
    <w:rsid w:val="00FA5ABC"/>
    <w:rsid w:val="00FA793C"/>
    <w:rsid w:val="00FB1C29"/>
    <w:rsid w:val="00FB7743"/>
    <w:rsid w:val="00FC0B61"/>
    <w:rsid w:val="00FC685F"/>
    <w:rsid w:val="00FC68DF"/>
    <w:rsid w:val="00FC729A"/>
    <w:rsid w:val="00FD0291"/>
    <w:rsid w:val="00FD09C8"/>
    <w:rsid w:val="00FE055E"/>
    <w:rsid w:val="00FE39D0"/>
    <w:rsid w:val="00FF3BE8"/>
    <w:rsid w:val="00FF4DCF"/>
    <w:rsid w:val="00FF601A"/>
    <w:rsid w:val="00FF68EC"/>
    <w:rsid w:val="00FF6D14"/>
    <w:rsid w:val="00FF7E10"/>
    <w:rsid w:val="06A5D39C"/>
    <w:rsid w:val="0A5757AB"/>
    <w:rsid w:val="0FEEEC9B"/>
    <w:rsid w:val="11424093"/>
    <w:rsid w:val="1247ACF4"/>
    <w:rsid w:val="12744716"/>
    <w:rsid w:val="15B39756"/>
    <w:rsid w:val="1802DC7C"/>
    <w:rsid w:val="1A2CCE36"/>
    <w:rsid w:val="1B845AFB"/>
    <w:rsid w:val="1BC86541"/>
    <w:rsid w:val="1C3AB545"/>
    <w:rsid w:val="1F7195AA"/>
    <w:rsid w:val="1F9D457C"/>
    <w:rsid w:val="21DBA974"/>
    <w:rsid w:val="224D066D"/>
    <w:rsid w:val="22DF6D17"/>
    <w:rsid w:val="23A88A74"/>
    <w:rsid w:val="275DAE38"/>
    <w:rsid w:val="292AFF65"/>
    <w:rsid w:val="2B13B67F"/>
    <w:rsid w:val="2BA330C4"/>
    <w:rsid w:val="2C831855"/>
    <w:rsid w:val="2D4CB5F3"/>
    <w:rsid w:val="3B5C325C"/>
    <w:rsid w:val="3C96387E"/>
    <w:rsid w:val="3F1C05CB"/>
    <w:rsid w:val="3F304F0E"/>
    <w:rsid w:val="430330A8"/>
    <w:rsid w:val="4336A194"/>
    <w:rsid w:val="4967CE51"/>
    <w:rsid w:val="4E88C6F9"/>
    <w:rsid w:val="4FD11EE0"/>
    <w:rsid w:val="540D1765"/>
    <w:rsid w:val="59420A1A"/>
    <w:rsid w:val="5E2A2738"/>
    <w:rsid w:val="626B437C"/>
    <w:rsid w:val="65D90308"/>
    <w:rsid w:val="6BF013EE"/>
    <w:rsid w:val="6EEFA347"/>
    <w:rsid w:val="71A73BEF"/>
    <w:rsid w:val="728995FA"/>
    <w:rsid w:val="776DD88D"/>
    <w:rsid w:val="798A4880"/>
    <w:rsid w:val="79A1DC4B"/>
    <w:rsid w:val="7AB4EDBE"/>
    <w:rsid w:val="7CC7A6ED"/>
    <w:rsid w:val="7E602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8F5B0BB"/>
  <w15:chartTrackingRefBased/>
  <w15:docId w15:val="{B25F89D0-C176-48E9-9518-5A4B8BFA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0C"/>
    <w:pPr>
      <w:spacing w:after="200" w:line="276" w:lineRule="auto"/>
    </w:pPr>
    <w:rPr>
      <w:rFonts w:ascii="Cambria" w:hAnsi="Cambria"/>
    </w:rPr>
  </w:style>
  <w:style w:type="paragraph" w:styleId="Heading1">
    <w:name w:val="heading 1"/>
    <w:next w:val="Normal"/>
    <w:link w:val="Heading1Char"/>
    <w:uiPriority w:val="1"/>
    <w:qFormat/>
    <w:rsid w:val="00E86E0C"/>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E86E0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86E0C"/>
    <w:pPr>
      <w:keepNext/>
      <w:keepLines/>
      <w:spacing w:before="120" w:after="12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E86E0C"/>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E86E0C"/>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6E0C"/>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E86E0C"/>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E86E0C"/>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E86E0C"/>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E86E0C"/>
    <w:rPr>
      <w:rFonts w:ascii="Calibri" w:hAnsi="Calibri"/>
      <w:b/>
    </w:rPr>
  </w:style>
  <w:style w:type="paragraph" w:styleId="CommentText">
    <w:name w:val="annotation text"/>
    <w:basedOn w:val="Normal"/>
    <w:link w:val="CommentTextChar"/>
    <w:uiPriority w:val="99"/>
    <w:unhideWhenUsed/>
    <w:rsid w:val="00E86E0C"/>
    <w:rPr>
      <w:sz w:val="20"/>
      <w:szCs w:val="20"/>
    </w:rPr>
  </w:style>
  <w:style w:type="character" w:customStyle="1" w:styleId="CommentTextChar">
    <w:name w:val="Comment Text Char"/>
    <w:basedOn w:val="DefaultParagraphFont"/>
    <w:link w:val="CommentText"/>
    <w:uiPriority w:val="99"/>
    <w:rsid w:val="00E86E0C"/>
    <w:rPr>
      <w:rFonts w:ascii="Cambria" w:hAnsi="Cambria"/>
      <w:sz w:val="20"/>
      <w:szCs w:val="20"/>
    </w:rPr>
  </w:style>
  <w:style w:type="paragraph" w:styleId="Header">
    <w:name w:val="header"/>
    <w:basedOn w:val="Normal"/>
    <w:link w:val="HeaderChar"/>
    <w:uiPriority w:val="26"/>
    <w:rsid w:val="00E86E0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E86E0C"/>
    <w:rPr>
      <w:rFonts w:ascii="Calibri" w:hAnsi="Calibri"/>
      <w:sz w:val="20"/>
    </w:rPr>
  </w:style>
  <w:style w:type="paragraph" w:styleId="Footer">
    <w:name w:val="footer"/>
    <w:basedOn w:val="Normal"/>
    <w:link w:val="FooterChar"/>
    <w:uiPriority w:val="27"/>
    <w:rsid w:val="00E86E0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E86E0C"/>
    <w:rPr>
      <w:rFonts w:ascii="Calibri" w:hAnsi="Calibri"/>
      <w:sz w:val="20"/>
    </w:rPr>
  </w:style>
  <w:style w:type="character" w:styleId="CommentReference">
    <w:name w:val="annotation reference"/>
    <w:basedOn w:val="DefaultParagraphFont"/>
    <w:uiPriority w:val="99"/>
    <w:semiHidden/>
    <w:unhideWhenUsed/>
    <w:rsid w:val="00E86E0C"/>
    <w:rPr>
      <w:sz w:val="16"/>
      <w:szCs w:val="16"/>
    </w:rPr>
  </w:style>
  <w:style w:type="paragraph" w:styleId="CommentSubject">
    <w:name w:val="annotation subject"/>
    <w:basedOn w:val="CommentText"/>
    <w:next w:val="CommentText"/>
    <w:link w:val="CommentSubjectChar"/>
    <w:uiPriority w:val="99"/>
    <w:semiHidden/>
    <w:unhideWhenUsed/>
    <w:rsid w:val="00E86E0C"/>
    <w:rPr>
      <w:b/>
      <w:bCs/>
    </w:rPr>
  </w:style>
  <w:style w:type="character" w:customStyle="1" w:styleId="CommentSubjectChar">
    <w:name w:val="Comment Subject Char"/>
    <w:basedOn w:val="CommentTextChar"/>
    <w:link w:val="CommentSubject"/>
    <w:uiPriority w:val="99"/>
    <w:semiHidden/>
    <w:rsid w:val="00E86E0C"/>
    <w:rPr>
      <w:rFonts w:ascii="Cambria" w:hAnsi="Cambria"/>
      <w:b/>
      <w:bCs/>
      <w:sz w:val="20"/>
      <w:szCs w:val="20"/>
    </w:rPr>
  </w:style>
  <w:style w:type="paragraph" w:styleId="BalloonText">
    <w:name w:val="Balloon Text"/>
    <w:basedOn w:val="Normal"/>
    <w:link w:val="BalloonTextChar"/>
    <w:uiPriority w:val="99"/>
    <w:semiHidden/>
    <w:unhideWhenUsed/>
    <w:rsid w:val="00E86E0C"/>
    <w:rPr>
      <w:rFonts w:ascii="Calibri" w:hAnsi="Calibri"/>
      <w:sz w:val="18"/>
      <w:szCs w:val="18"/>
    </w:rPr>
  </w:style>
  <w:style w:type="character" w:customStyle="1" w:styleId="BalloonTextChar">
    <w:name w:val="Balloon Text Char"/>
    <w:basedOn w:val="DefaultParagraphFont"/>
    <w:link w:val="BalloonText"/>
    <w:uiPriority w:val="99"/>
    <w:semiHidden/>
    <w:rsid w:val="00E86E0C"/>
    <w:rPr>
      <w:rFonts w:ascii="Calibri" w:hAnsi="Calibri"/>
      <w:sz w:val="18"/>
      <w:szCs w:val="18"/>
    </w:rPr>
  </w:style>
  <w:style w:type="table" w:styleId="TableGrid">
    <w:name w:val="Table Grid"/>
    <w:basedOn w:val="TableNormal"/>
    <w:rsid w:val="00E86E0C"/>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86E0C"/>
    <w:rPr>
      <w:sz w:val="16"/>
    </w:rPr>
  </w:style>
  <w:style w:type="paragraph" w:styleId="Quote">
    <w:name w:val="Quote"/>
    <w:basedOn w:val="Normal"/>
    <w:next w:val="Normal"/>
    <w:link w:val="QuoteChar"/>
    <w:uiPriority w:val="18"/>
    <w:qFormat/>
    <w:rsid w:val="00E86E0C"/>
    <w:pPr>
      <w:ind w:left="709" w:right="567"/>
    </w:pPr>
    <w:rPr>
      <w:iCs/>
      <w:color w:val="000000"/>
    </w:rPr>
  </w:style>
  <w:style w:type="character" w:customStyle="1" w:styleId="QuoteChar">
    <w:name w:val="Quote Char"/>
    <w:basedOn w:val="DefaultParagraphFont"/>
    <w:link w:val="Quote"/>
    <w:uiPriority w:val="18"/>
    <w:rsid w:val="00E86E0C"/>
    <w:rPr>
      <w:rFonts w:ascii="Cambria" w:hAnsi="Cambria"/>
      <w:iCs/>
      <w:color w:val="000000"/>
    </w:rPr>
  </w:style>
  <w:style w:type="paragraph" w:customStyle="1" w:styleId="BoxText">
    <w:name w:val="Box Text"/>
    <w:basedOn w:val="Normal"/>
    <w:uiPriority w:val="19"/>
    <w:qFormat/>
    <w:rsid w:val="00E86E0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E86E0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E86E0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E86E0C"/>
    <w:pPr>
      <w:spacing w:before="120"/>
    </w:pPr>
    <w:rPr>
      <w:b w:val="0"/>
      <w:sz w:val="44"/>
      <w:szCs w:val="56"/>
    </w:rPr>
  </w:style>
  <w:style w:type="character" w:customStyle="1" w:styleId="SubtitleChar">
    <w:name w:val="Subtitle Char"/>
    <w:basedOn w:val="DefaultParagraphFont"/>
    <w:link w:val="Subtitle"/>
    <w:uiPriority w:val="23"/>
    <w:rsid w:val="00E86E0C"/>
    <w:rPr>
      <w:rFonts w:ascii="Calibri" w:hAnsi="Calibri"/>
      <w:bCs/>
      <w:color w:val="000000"/>
      <w:spacing w:val="5"/>
      <w:kern w:val="28"/>
      <w:sz w:val="44"/>
      <w:szCs w:val="56"/>
    </w:rPr>
  </w:style>
  <w:style w:type="paragraph" w:styleId="TOCHeading">
    <w:name w:val="TOC Heading"/>
    <w:next w:val="Normal"/>
    <w:uiPriority w:val="39"/>
    <w:qFormat/>
    <w:rsid w:val="00E86E0C"/>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E86E0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E86E0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E86E0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E86E0C"/>
    <w:rPr>
      <w:color w:val="165788"/>
      <w:u w:val="single"/>
    </w:rPr>
  </w:style>
  <w:style w:type="paragraph" w:styleId="ListBullet">
    <w:name w:val="List Bullet"/>
    <w:basedOn w:val="Normal"/>
    <w:uiPriority w:val="99"/>
    <w:qFormat/>
    <w:rsid w:val="00E86E0C"/>
    <w:pPr>
      <w:numPr>
        <w:numId w:val="5"/>
      </w:numPr>
      <w:spacing w:before="120" w:after="120"/>
    </w:pPr>
  </w:style>
  <w:style w:type="paragraph" w:styleId="TableofFigures">
    <w:name w:val="table of figures"/>
    <w:basedOn w:val="Normal"/>
    <w:next w:val="Normal"/>
    <w:uiPriority w:val="99"/>
    <w:rsid w:val="00E86E0C"/>
    <w:pPr>
      <w:spacing w:before="120" w:after="120" w:line="240" w:lineRule="auto"/>
    </w:pPr>
  </w:style>
  <w:style w:type="paragraph" w:styleId="ListBullet2">
    <w:name w:val="List Bullet 2"/>
    <w:basedOn w:val="Normal"/>
    <w:uiPriority w:val="8"/>
    <w:qFormat/>
    <w:rsid w:val="00E86E0C"/>
    <w:pPr>
      <w:numPr>
        <w:ilvl w:val="1"/>
        <w:numId w:val="5"/>
      </w:numPr>
      <w:spacing w:before="120" w:after="120"/>
      <w:contextualSpacing/>
    </w:pPr>
  </w:style>
  <w:style w:type="paragraph" w:styleId="ListNumber">
    <w:name w:val="List Number"/>
    <w:basedOn w:val="Normal"/>
    <w:uiPriority w:val="9"/>
    <w:qFormat/>
    <w:rsid w:val="00E86E0C"/>
    <w:pPr>
      <w:numPr>
        <w:numId w:val="24"/>
      </w:numPr>
      <w:tabs>
        <w:tab w:val="left" w:pos="142"/>
      </w:tabs>
      <w:spacing w:before="120" w:after="120"/>
    </w:pPr>
  </w:style>
  <w:style w:type="paragraph" w:styleId="ListNumber2">
    <w:name w:val="List Number 2"/>
    <w:uiPriority w:val="10"/>
    <w:qFormat/>
    <w:rsid w:val="00E86E0C"/>
    <w:pPr>
      <w:numPr>
        <w:ilvl w:val="1"/>
        <w:numId w:val="2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E86E0C"/>
    <w:pPr>
      <w:numPr>
        <w:ilvl w:val="2"/>
        <w:numId w:val="24"/>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E86E0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E86E0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E86E0C"/>
    <w:pPr>
      <w:spacing w:before="60" w:after="60" w:line="240" w:lineRule="auto"/>
    </w:pPr>
    <w:rPr>
      <w:sz w:val="18"/>
    </w:rPr>
  </w:style>
  <w:style w:type="table" w:styleId="TableGrid1">
    <w:name w:val="Table Grid 1"/>
    <w:basedOn w:val="TableNormal"/>
    <w:uiPriority w:val="99"/>
    <w:semiHidden/>
    <w:unhideWhenUsed/>
    <w:rsid w:val="00E86E0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E86E0C"/>
    <w:pPr>
      <w:keepNext/>
    </w:pPr>
    <w:rPr>
      <w:b/>
    </w:rPr>
  </w:style>
  <w:style w:type="character" w:styleId="PlaceholderText">
    <w:name w:val="Placeholder Text"/>
    <w:basedOn w:val="DefaultParagraphFont"/>
    <w:uiPriority w:val="99"/>
    <w:semiHidden/>
    <w:rsid w:val="00E86E0C"/>
    <w:rPr>
      <w:color w:val="808080"/>
    </w:rPr>
  </w:style>
  <w:style w:type="paragraph" w:customStyle="1" w:styleId="Author">
    <w:name w:val="Author"/>
    <w:basedOn w:val="Normal"/>
    <w:next w:val="Normal"/>
    <w:uiPriority w:val="24"/>
    <w:qFormat/>
    <w:rsid w:val="00E86E0C"/>
    <w:pPr>
      <w:spacing w:after="60"/>
    </w:pPr>
    <w:rPr>
      <w:b/>
      <w:sz w:val="24"/>
      <w:szCs w:val="28"/>
    </w:rPr>
  </w:style>
  <w:style w:type="paragraph" w:customStyle="1" w:styleId="AuthorOrganisationAffiliation">
    <w:name w:val="Author Organisation/Affiliation"/>
    <w:basedOn w:val="Normal"/>
    <w:next w:val="Normal"/>
    <w:uiPriority w:val="25"/>
    <w:qFormat/>
    <w:rsid w:val="00E86E0C"/>
  </w:style>
  <w:style w:type="character" w:styleId="Strong">
    <w:name w:val="Strong"/>
    <w:basedOn w:val="DefaultParagraphFont"/>
    <w:uiPriority w:val="99"/>
    <w:qFormat/>
    <w:rsid w:val="00E86E0C"/>
    <w:rPr>
      <w:b/>
      <w:bCs/>
    </w:rPr>
  </w:style>
  <w:style w:type="paragraph" w:customStyle="1" w:styleId="Glossary">
    <w:name w:val="Glossary"/>
    <w:basedOn w:val="Normal"/>
    <w:link w:val="GlossaryChar"/>
    <w:uiPriority w:val="28"/>
    <w:semiHidden/>
    <w:locked/>
    <w:rsid w:val="00E86E0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E86E0C"/>
    <w:rPr>
      <w:rFonts w:ascii="Cambria" w:eastAsia="Calibri" w:hAnsi="Cambria"/>
      <w:color w:val="000000"/>
    </w:rPr>
  </w:style>
  <w:style w:type="character" w:styleId="Emphasis">
    <w:name w:val="Emphasis"/>
    <w:basedOn w:val="DefaultParagraphFont"/>
    <w:uiPriority w:val="99"/>
    <w:qFormat/>
    <w:rsid w:val="00E86E0C"/>
    <w:rPr>
      <w:i/>
      <w:iCs/>
    </w:rPr>
  </w:style>
  <w:style w:type="paragraph" w:styleId="TOAHeading">
    <w:name w:val="toa heading"/>
    <w:basedOn w:val="Heading1"/>
    <w:next w:val="Normal"/>
    <w:uiPriority w:val="99"/>
    <w:semiHidden/>
    <w:unhideWhenUsed/>
    <w:rsid w:val="00E86E0C"/>
    <w:pPr>
      <w:spacing w:before="120"/>
    </w:pPr>
    <w:rPr>
      <w:bCs w:val="0"/>
      <w:sz w:val="24"/>
    </w:rPr>
  </w:style>
  <w:style w:type="paragraph" w:styleId="NormalWeb">
    <w:name w:val="Normal (Web)"/>
    <w:basedOn w:val="Normal"/>
    <w:uiPriority w:val="99"/>
    <w:semiHidden/>
    <w:unhideWhenUsed/>
    <w:rsid w:val="00E86E0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E86E0C"/>
    <w:pPr>
      <w:numPr>
        <w:numId w:val="3"/>
      </w:numPr>
      <w:ind w:left="357" w:hanging="357"/>
    </w:pPr>
  </w:style>
  <w:style w:type="paragraph" w:customStyle="1" w:styleId="TableBullet1">
    <w:name w:val="Table Bullet 1"/>
    <w:basedOn w:val="TableText"/>
    <w:uiPriority w:val="15"/>
    <w:qFormat/>
    <w:rsid w:val="00E86E0C"/>
    <w:pPr>
      <w:numPr>
        <w:numId w:val="4"/>
      </w:numPr>
      <w:ind w:left="284" w:hanging="284"/>
    </w:pPr>
  </w:style>
  <w:style w:type="paragraph" w:styleId="DocumentMap">
    <w:name w:val="Document Map"/>
    <w:basedOn w:val="Normal"/>
    <w:link w:val="DocumentMapChar"/>
    <w:uiPriority w:val="99"/>
    <w:semiHidden/>
    <w:unhideWhenUsed/>
    <w:rsid w:val="00E86E0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6E0C"/>
    <w:rPr>
      <w:rFonts w:ascii="Tahoma" w:hAnsi="Tahoma" w:cs="Tahoma"/>
      <w:sz w:val="16"/>
      <w:szCs w:val="16"/>
    </w:rPr>
  </w:style>
  <w:style w:type="paragraph" w:customStyle="1" w:styleId="BoxHeading">
    <w:name w:val="Box Heading"/>
    <w:basedOn w:val="BoxText"/>
    <w:uiPriority w:val="20"/>
    <w:qFormat/>
    <w:rsid w:val="00E86E0C"/>
    <w:pPr>
      <w:spacing w:line="240" w:lineRule="auto"/>
    </w:pPr>
    <w:rPr>
      <w:b/>
    </w:rPr>
  </w:style>
  <w:style w:type="paragraph" w:customStyle="1" w:styleId="Picture">
    <w:name w:val="Picture"/>
    <w:basedOn w:val="Normal"/>
    <w:uiPriority w:val="17"/>
    <w:qFormat/>
    <w:rsid w:val="00E86E0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E86E0C"/>
    <w:pPr>
      <w:spacing w:after="0"/>
    </w:pPr>
    <w:rPr>
      <w:b/>
      <w:color w:val="FF0000"/>
      <w:sz w:val="36"/>
      <w:szCs w:val="36"/>
    </w:rPr>
  </w:style>
  <w:style w:type="paragraph" w:customStyle="1" w:styleId="DisseminationLimitingMarker">
    <w:name w:val="Dissemination Limiting Marker"/>
    <w:basedOn w:val="Header"/>
    <w:next w:val="Header"/>
    <w:uiPriority w:val="27"/>
    <w:rsid w:val="00E86E0C"/>
    <w:pPr>
      <w:spacing w:after="0"/>
    </w:pPr>
    <w:rPr>
      <w:b/>
      <w:sz w:val="36"/>
      <w:szCs w:val="36"/>
    </w:rPr>
  </w:style>
  <w:style w:type="paragraph" w:styleId="FootnoteText">
    <w:name w:val="footnote text"/>
    <w:basedOn w:val="Normal"/>
    <w:link w:val="FootnoteTextChar"/>
    <w:unhideWhenUsed/>
    <w:rsid w:val="00E86E0C"/>
    <w:pPr>
      <w:spacing w:after="60" w:line="264" w:lineRule="auto"/>
    </w:pPr>
    <w:rPr>
      <w:sz w:val="20"/>
      <w:szCs w:val="20"/>
    </w:rPr>
  </w:style>
  <w:style w:type="character" w:customStyle="1" w:styleId="FootnoteTextChar">
    <w:name w:val="Footnote Text Char"/>
    <w:basedOn w:val="DefaultParagraphFont"/>
    <w:link w:val="FootnoteText"/>
    <w:rsid w:val="00E86E0C"/>
    <w:rPr>
      <w:rFonts w:ascii="Cambria" w:hAnsi="Cambria"/>
      <w:sz w:val="20"/>
      <w:szCs w:val="20"/>
    </w:rPr>
  </w:style>
  <w:style w:type="character" w:styleId="FootnoteReference">
    <w:name w:val="footnote reference"/>
    <w:basedOn w:val="DefaultParagraphFont"/>
    <w:semiHidden/>
    <w:unhideWhenUsed/>
    <w:rsid w:val="00E86E0C"/>
    <w:rPr>
      <w:vertAlign w:val="superscript"/>
    </w:rPr>
  </w:style>
  <w:style w:type="paragraph" w:styleId="EndnoteText">
    <w:name w:val="endnote text"/>
    <w:basedOn w:val="Normal"/>
    <w:link w:val="EndnoteTextChar"/>
    <w:uiPriority w:val="99"/>
    <w:unhideWhenUsed/>
    <w:rsid w:val="00E86E0C"/>
    <w:pPr>
      <w:spacing w:after="60" w:line="264" w:lineRule="auto"/>
    </w:pPr>
    <w:rPr>
      <w:sz w:val="20"/>
      <w:szCs w:val="20"/>
    </w:rPr>
  </w:style>
  <w:style w:type="character" w:customStyle="1" w:styleId="EndnoteTextChar">
    <w:name w:val="Endnote Text Char"/>
    <w:basedOn w:val="DefaultParagraphFont"/>
    <w:link w:val="EndnoteText"/>
    <w:uiPriority w:val="99"/>
    <w:rsid w:val="00E86E0C"/>
    <w:rPr>
      <w:rFonts w:ascii="Cambria" w:hAnsi="Cambria"/>
      <w:sz w:val="20"/>
      <w:szCs w:val="20"/>
    </w:rPr>
  </w:style>
  <w:style w:type="character" w:styleId="EndnoteReference">
    <w:name w:val="endnote reference"/>
    <w:basedOn w:val="DefaultParagraphFont"/>
    <w:uiPriority w:val="99"/>
    <w:semiHidden/>
    <w:unhideWhenUsed/>
    <w:rsid w:val="00E86E0C"/>
    <w:rPr>
      <w:vertAlign w:val="superscript"/>
    </w:rPr>
  </w:style>
  <w:style w:type="character" w:styleId="FollowedHyperlink">
    <w:name w:val="FollowedHyperlink"/>
    <w:basedOn w:val="DefaultParagraphFont"/>
    <w:uiPriority w:val="99"/>
    <w:semiHidden/>
    <w:unhideWhenUsed/>
    <w:rsid w:val="00E86E0C"/>
    <w:rPr>
      <w:color w:val="800080"/>
      <w:u w:val="single"/>
    </w:rPr>
  </w:style>
  <w:style w:type="paragraph" w:customStyle="1" w:styleId="BoxSource">
    <w:name w:val="Box Source"/>
    <w:basedOn w:val="FigureTableNoteSource"/>
    <w:uiPriority w:val="22"/>
    <w:qFormat/>
    <w:rsid w:val="00E86E0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E86E0C"/>
    <w:pPr>
      <w:numPr>
        <w:numId w:val="5"/>
      </w:numPr>
    </w:pPr>
  </w:style>
  <w:style w:type="paragraph" w:styleId="Title">
    <w:name w:val="Title"/>
    <w:basedOn w:val="Normal"/>
    <w:next w:val="Normal"/>
    <w:link w:val="TitleChar"/>
    <w:uiPriority w:val="10"/>
    <w:qFormat/>
    <w:rsid w:val="00E86E0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E86E0C"/>
    <w:rPr>
      <w:rFonts w:ascii="Cambria" w:eastAsiaTheme="majorEastAsia" w:hAnsi="Cambria" w:cstheme="majorBidi"/>
      <w:b/>
      <w:spacing w:val="5"/>
      <w:kern w:val="28"/>
      <w:sz w:val="72"/>
      <w:szCs w:val="52"/>
    </w:rPr>
  </w:style>
  <w:style w:type="paragraph" w:customStyle="1" w:styleId="TOCHeading2">
    <w:name w:val="TOC Heading 2"/>
    <w:next w:val="Normal"/>
    <w:qFormat/>
    <w:rsid w:val="00E86E0C"/>
    <w:pPr>
      <w:spacing w:after="0" w:line="240" w:lineRule="auto"/>
    </w:pPr>
    <w:rPr>
      <w:rFonts w:ascii="Calibri Light" w:hAnsi="Calibri Light"/>
      <w:sz w:val="36"/>
    </w:rPr>
  </w:style>
  <w:style w:type="numbering" w:customStyle="1" w:styleId="Numberlist">
    <w:name w:val="Number list"/>
    <w:uiPriority w:val="99"/>
    <w:rsid w:val="00E86E0C"/>
    <w:pPr>
      <w:numPr>
        <w:numId w:val="6"/>
      </w:numPr>
    </w:pPr>
  </w:style>
  <w:style w:type="numbering" w:customStyle="1" w:styleId="Headinglist">
    <w:name w:val="Heading list"/>
    <w:uiPriority w:val="99"/>
    <w:rsid w:val="00E86E0C"/>
    <w:pPr>
      <w:numPr>
        <w:numId w:val="8"/>
      </w:numPr>
    </w:pPr>
  </w:style>
  <w:style w:type="paragraph" w:customStyle="1" w:styleId="Normalsmall">
    <w:name w:val="Normal small"/>
    <w:qFormat/>
    <w:rsid w:val="00E86E0C"/>
    <w:pPr>
      <w:spacing w:after="120" w:line="276" w:lineRule="auto"/>
    </w:pPr>
    <w:rPr>
      <w:rFonts w:ascii="Cambria" w:hAnsi="Cambria"/>
      <w:sz w:val="18"/>
      <w:szCs w:val="18"/>
    </w:rPr>
  </w:style>
  <w:style w:type="paragraph" w:styleId="ListBullet3">
    <w:name w:val="List Bullet 3"/>
    <w:basedOn w:val="Normal"/>
    <w:uiPriority w:val="99"/>
    <w:rsid w:val="00E86E0C"/>
    <w:pPr>
      <w:numPr>
        <w:ilvl w:val="2"/>
        <w:numId w:val="5"/>
      </w:numPr>
      <w:spacing w:after="120"/>
      <w:contextualSpacing/>
    </w:pPr>
  </w:style>
  <w:style w:type="table" w:customStyle="1" w:styleId="ABARESTableleftrightalign">
    <w:name w:val="ABARES Table (left/right align)"/>
    <w:basedOn w:val="TableNormal"/>
    <w:uiPriority w:val="99"/>
    <w:rsid w:val="00E86E0C"/>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E86E0C"/>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E86E0C"/>
    <w:pPr>
      <w:numPr>
        <w:numId w:val="1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E86E0C"/>
    <w:rPr>
      <w:i/>
      <w:iCs/>
      <w:color w:val="4472C4" w:themeColor="accent1"/>
    </w:rPr>
  </w:style>
  <w:style w:type="paragraph" w:customStyle="1" w:styleId="TableBullet2">
    <w:name w:val="Table Bullet 2"/>
    <w:basedOn w:val="TableBullet1"/>
    <w:qFormat/>
    <w:rsid w:val="00E86E0C"/>
    <w:pPr>
      <w:numPr>
        <w:numId w:val="30"/>
      </w:numPr>
      <w:tabs>
        <w:tab w:val="num" w:pos="284"/>
      </w:tabs>
      <w:ind w:left="568" w:hanging="284"/>
    </w:pPr>
  </w:style>
  <w:style w:type="numbering" w:customStyle="1" w:styleId="TableBulletlist">
    <w:name w:val="Table Bullet list"/>
    <w:uiPriority w:val="99"/>
    <w:rsid w:val="00E86E0C"/>
    <w:pPr>
      <w:numPr>
        <w:numId w:val="28"/>
      </w:numPr>
    </w:pPr>
  </w:style>
  <w:style w:type="paragraph" w:styleId="Date">
    <w:name w:val="Date"/>
    <w:basedOn w:val="Normal"/>
    <w:next w:val="Normal"/>
    <w:link w:val="DateChar"/>
    <w:uiPriority w:val="99"/>
    <w:unhideWhenUsed/>
    <w:rsid w:val="00E86E0C"/>
    <w:pPr>
      <w:jc w:val="right"/>
    </w:pPr>
  </w:style>
  <w:style w:type="character" w:customStyle="1" w:styleId="DateChar">
    <w:name w:val="Date Char"/>
    <w:basedOn w:val="DefaultParagraphFont"/>
    <w:link w:val="Date"/>
    <w:uiPriority w:val="99"/>
    <w:rsid w:val="00E86E0C"/>
    <w:rPr>
      <w:rFonts w:ascii="Cambria" w:hAnsi="Cambria"/>
    </w:rPr>
  </w:style>
  <w:style w:type="paragraph" w:styleId="Revision">
    <w:name w:val="Revision"/>
    <w:hidden/>
    <w:uiPriority w:val="99"/>
    <w:semiHidden/>
    <w:rsid w:val="00E86E0C"/>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E86E0C"/>
    <w:rPr>
      <w:color w:val="605E5C"/>
      <w:shd w:val="clear" w:color="auto" w:fill="E1DFDD"/>
    </w:rPr>
  </w:style>
  <w:style w:type="paragraph" w:customStyle="1" w:styleId="Instructiontext">
    <w:name w:val="Instruction text"/>
    <w:basedOn w:val="Normal"/>
    <w:next w:val="Normal"/>
    <w:qFormat/>
    <w:rsid w:val="00E86E0C"/>
    <w:rPr>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E86E0C"/>
    <w:rPr>
      <w:color w:val="605E5C"/>
      <w:shd w:val="clear" w:color="auto" w:fill="E1DFDD"/>
    </w:rPr>
  </w:style>
  <w:style w:type="paragraph" w:customStyle="1" w:styleId="Tabletextinstruction">
    <w:name w:val="Table text instruction"/>
    <w:basedOn w:val="TableText"/>
    <w:qFormat/>
    <w:rsid w:val="00E86E0C"/>
    <w:pPr>
      <w:shd w:val="clear" w:color="auto" w:fill="D9D9D9" w:themeFill="background1" w:themeFillShade="D9"/>
    </w:pPr>
  </w:style>
  <w:style w:type="character" w:styleId="UnresolvedMention">
    <w:name w:val="Unresolved Mention"/>
    <w:basedOn w:val="DefaultParagraphFont"/>
    <w:uiPriority w:val="99"/>
    <w:semiHidden/>
    <w:unhideWhenUsed/>
    <w:rsid w:val="00E86E0C"/>
    <w:rPr>
      <w:color w:val="605E5C"/>
      <w:shd w:val="clear" w:color="auto" w:fill="E1DFDD"/>
    </w:rPr>
  </w:style>
  <w:style w:type="paragraph" w:styleId="ListParagraph">
    <w:name w:val="List Paragraph"/>
    <w:basedOn w:val="Normal"/>
    <w:uiPriority w:val="34"/>
    <w:qFormat/>
    <w:rsid w:val="00E86E0C"/>
    <w:pPr>
      <w:ind w:left="720"/>
      <w:contextualSpacing/>
    </w:pPr>
  </w:style>
  <w:style w:type="paragraph" w:customStyle="1" w:styleId="Consultationtext">
    <w:name w:val="Consultation text"/>
    <w:basedOn w:val="Normal"/>
    <w:qFormat/>
    <w:rsid w:val="00E86E0C"/>
    <w:rPr>
      <w:color w:val="FF0000"/>
    </w:rPr>
  </w:style>
  <w:style w:type="character" w:customStyle="1" w:styleId="TableTextChar">
    <w:name w:val="Table Text Char"/>
    <w:basedOn w:val="DefaultParagraphFont"/>
    <w:link w:val="TableText"/>
    <w:uiPriority w:val="13"/>
    <w:rsid w:val="007605A4"/>
    <w:rPr>
      <w:rFonts w:ascii="Cambria" w:hAnsi="Cambria"/>
      <w:sz w:val="18"/>
    </w:rPr>
  </w:style>
  <w:style w:type="character" w:customStyle="1" w:styleId="hlfld-contribauthor">
    <w:name w:val="hlfld-contribauthor"/>
    <w:basedOn w:val="DefaultParagraphFont"/>
    <w:rsid w:val="00246A0D"/>
  </w:style>
  <w:style w:type="character" w:customStyle="1" w:styleId="nlmgiven-names">
    <w:name w:val="nlm_given-names"/>
    <w:basedOn w:val="DefaultParagraphFont"/>
    <w:rsid w:val="00246A0D"/>
  </w:style>
  <w:style w:type="character" w:customStyle="1" w:styleId="nlmyear">
    <w:name w:val="nlm_year"/>
    <w:basedOn w:val="DefaultParagraphFont"/>
    <w:rsid w:val="00246A0D"/>
  </w:style>
  <w:style w:type="character" w:customStyle="1" w:styleId="nlmarticle-title">
    <w:name w:val="nlm_article-title"/>
    <w:basedOn w:val="DefaultParagraphFont"/>
    <w:rsid w:val="00246A0D"/>
  </w:style>
  <w:style w:type="character" w:customStyle="1" w:styleId="nlmfpage">
    <w:name w:val="nlm_fpage"/>
    <w:basedOn w:val="DefaultParagraphFont"/>
    <w:rsid w:val="00246A0D"/>
  </w:style>
  <w:style w:type="character" w:customStyle="1" w:styleId="nlmlpage">
    <w:name w:val="nlm_lpage"/>
    <w:basedOn w:val="DefaultParagraphFont"/>
    <w:rsid w:val="00246A0D"/>
  </w:style>
  <w:style w:type="paragraph" w:customStyle="1" w:styleId="TSSC">
    <w:name w:val="TSSC"/>
    <w:basedOn w:val="Normal"/>
    <w:qFormat/>
    <w:rsid w:val="00AB7015"/>
    <w:pPr>
      <w:numPr>
        <w:numId w:val="35"/>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9233">
      <w:bodyDiv w:val="1"/>
      <w:marLeft w:val="0"/>
      <w:marRight w:val="0"/>
      <w:marTop w:val="0"/>
      <w:marBottom w:val="0"/>
      <w:divBdr>
        <w:top w:val="none" w:sz="0" w:space="0" w:color="auto"/>
        <w:left w:val="none" w:sz="0" w:space="0" w:color="auto"/>
        <w:bottom w:val="none" w:sz="0" w:space="0" w:color="auto"/>
        <w:right w:val="none" w:sz="0" w:space="0" w:color="auto"/>
      </w:divBdr>
    </w:div>
    <w:div w:id="456996081">
      <w:bodyDiv w:val="1"/>
      <w:marLeft w:val="0"/>
      <w:marRight w:val="0"/>
      <w:marTop w:val="0"/>
      <w:marBottom w:val="0"/>
      <w:divBdr>
        <w:top w:val="none" w:sz="0" w:space="0" w:color="auto"/>
        <w:left w:val="none" w:sz="0" w:space="0" w:color="auto"/>
        <w:bottom w:val="none" w:sz="0" w:space="0" w:color="auto"/>
        <w:right w:val="none" w:sz="0" w:space="0" w:color="auto"/>
      </w:divBdr>
    </w:div>
    <w:div w:id="1405026956">
      <w:bodyDiv w:val="1"/>
      <w:marLeft w:val="0"/>
      <w:marRight w:val="0"/>
      <w:marTop w:val="0"/>
      <w:marBottom w:val="0"/>
      <w:divBdr>
        <w:top w:val="none" w:sz="0" w:space="0" w:color="auto"/>
        <w:left w:val="none" w:sz="0" w:space="0" w:color="auto"/>
        <w:bottom w:val="none" w:sz="0" w:space="0" w:color="auto"/>
        <w:right w:val="none" w:sz="0" w:space="0" w:color="auto"/>
      </w:divBdr>
    </w:div>
    <w:div w:id="1528106049">
      <w:bodyDiv w:val="1"/>
      <w:marLeft w:val="0"/>
      <w:marRight w:val="0"/>
      <w:marTop w:val="0"/>
      <w:marBottom w:val="0"/>
      <w:divBdr>
        <w:top w:val="none" w:sz="0" w:space="0" w:color="auto"/>
        <w:left w:val="none" w:sz="0" w:space="0" w:color="auto"/>
        <w:bottom w:val="none" w:sz="0" w:space="0" w:color="auto"/>
        <w:right w:val="none" w:sz="0" w:space="0" w:color="auto"/>
      </w:divBdr>
    </w:div>
    <w:div w:id="15286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environment/biodiversity/threatened/nominations" TargetMode="External"/><Relationship Id="rId18" Type="http://schemas.openxmlformats.org/officeDocument/2006/relationships/hyperlink" Target="http://www.environment.gov.au/cgi-bin/sprat/public/sprat.pl" TargetMode="External"/><Relationship Id="rId26" Type="http://schemas.openxmlformats.org/officeDocument/2006/relationships/hyperlink" Target="https://dpipwe.tas.gov.au/invasive-species/weeds/weed-publications-and-resources/weed-spread-after-fire" TargetMode="External"/><Relationship Id="rId39" Type="http://schemas.openxmlformats.org/officeDocument/2006/relationships/hyperlink" Target="http://www.visitwaterfallway.com.au/aboriginal/" TargetMode="External"/><Relationship Id="rId21" Type="http://schemas.openxmlformats.org/officeDocument/2006/relationships/hyperlink" Target="https://www.environment.gov.au/system/files/resources/2109c235-4e01-49f6-90d0-26e6cb58ff0b/files/tap-goat-report.pdf" TargetMode="External"/><Relationship Id="rId34" Type="http://schemas.openxmlformats.org/officeDocument/2006/relationships/hyperlink" Target="https://apps.lucidcentral.org/plants_se_nsw/text/entities/rhodanthe_anthemoides.htm" TargetMode="External"/><Relationship Id="rId42" Type="http://schemas.openxmlformats.org/officeDocument/2006/relationships/footer" Target="footer1.xml"/><Relationship Id="rId47" Type="http://schemas.openxmlformats.org/officeDocument/2006/relationships/hyperlink" Target="http://www.environment.gov.au/biodiversity/threatened/cam" TargetMode="External"/><Relationship Id="rId50" Type="http://schemas.openxmlformats.org/officeDocument/2006/relationships/hyperlink" Target="mailto:copyright@awe.gov.au" TargetMode="External"/><Relationship Id="rId55"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awe.gov.au/system/files/pages/d72dfd1a-f0d8-4699-8d43-5d95bbb02428/files/tssc-guidelines-assessing-species-2021.pdf" TargetMode="External"/><Relationship Id="rId17" Type="http://schemas.openxmlformats.org/officeDocument/2006/relationships/image" Target="media/image1.jpeg"/><Relationship Id="rId25" Type="http://schemas.openxmlformats.org/officeDocument/2006/relationships/hyperlink" Target="https://www.dpi.nsw.gov.au/biosecurity/vertebrate-pests/pest-animals-in-nsw/feral-goats/feral-goat-biology" TargetMode="External"/><Relationship Id="rId33" Type="http://schemas.openxmlformats.org/officeDocument/2006/relationships/hyperlink" Target="https://plantnet.rbgsyd.nsw.gov.au/cgi-bin/NSWfl.pl?page=nswfl&amp;lvl=sp&amp;name=Rhodanthe~anthemoides" TargetMode="External"/><Relationship Id="rId38" Type="http://schemas.openxmlformats.org/officeDocument/2006/relationships/hyperlink" Target="https://www.walcha.nsw.gov.au/about-the-shire/stats-facts/information-on-climate-and-geology.aspx" TargetMode="External"/><Relationship Id="rId46" Type="http://schemas.openxmlformats.org/officeDocument/2006/relationships/hyperlink" Target="https://nc.iucnredlist.org/redlist/content/attachment_files/RedListGuidelines.pdf" TargetMode="External"/><Relationship Id="rId2" Type="http://schemas.openxmlformats.org/officeDocument/2006/relationships/customXml" Target="../customXml/item2.xml"/><Relationship Id="rId16" Type="http://schemas.openxmlformats.org/officeDocument/2006/relationships/hyperlink" Target="https://www.awe.gov.au/about/commitment/privacy" TargetMode="External"/><Relationship Id="rId20" Type="http://schemas.openxmlformats.org/officeDocument/2006/relationships/hyperlink" Target="https://www.awe.gov.au/environment/environmental-information-data/databases-applications/snes" TargetMode="External"/><Relationship Id="rId29" Type="http://schemas.openxmlformats.org/officeDocument/2006/relationships/hyperlink" Target="http://www.iucnredlist.org/documents/RedListGuidelines.pdf" TargetMode="External"/><Relationship Id="rId41" Type="http://schemas.openxmlformats.org/officeDocument/2006/relationships/header" Target="header2.xm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we.gov.au/environment/biodiversity/threatened" TargetMode="External"/><Relationship Id="rId24" Type="http://schemas.openxmlformats.org/officeDocument/2006/relationships/hyperlink" Target="http://www.bom.gov.au/climate/averages/tables/cw_059140.shtml" TargetMode="External"/><Relationship Id="rId32" Type="http://schemas.openxmlformats.org/officeDocument/2006/relationships/hyperlink" Target="https://www.nationalparks.nsw.gov.au/visit-a-park/parks/new-england-national-park/learn-more" TargetMode="External"/><Relationship Id="rId37" Type="http://schemas.openxmlformats.org/officeDocument/2006/relationships/hyperlink" Target="https://www.walcha.nsw.gov.au/tourism/visit-walcha/apsley-stoney-creek-and-tia-falls.aspx" TargetMode="External"/><Relationship Id="rId40" Type="http://schemas.openxmlformats.org/officeDocument/2006/relationships/header" Target="header1.xml"/><Relationship Id="rId45" Type="http://schemas.openxmlformats.org/officeDocument/2006/relationships/hyperlink" Target="http://www.environment.gov.au/system/files/pages/d72dfd1a-f0d8-4699-8d43-5d95bbb02428/files/tssc-guidelines-assessing-species-2018.pdf"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we.gov.au/environment/biodiversity/threatened/cam" TargetMode="External"/><Relationship Id="rId23" Type="http://schemas.openxmlformats.org/officeDocument/2006/relationships/hyperlink" Target="http://www.bom.gov.au/climate/drought/knowledge-centre/previous-droughts.shtml" TargetMode="External"/><Relationship Id="rId28" Type="http://schemas.openxmlformats.org/officeDocument/2006/relationships/hyperlink" Target="https://www.greeningaustralia.org.au/wp-content/uploads/2017/11/FACT-SHEET_Leucochrysum_albicans.pdf" TargetMode="External"/><Relationship Id="rId36" Type="http://schemas.openxmlformats.org/officeDocument/2006/relationships/hyperlink" Target="https://c21ch.newcastle.edu.au/colonialmassacres/detail.php?r=582" TargetMode="External"/><Relationship Id="rId49" Type="http://schemas.openxmlformats.org/officeDocument/2006/relationships/hyperlink" Target="https://creativecommons.org/licenses/by/4.0/legalcode" TargetMode="External"/><Relationship Id="rId57" Type="http://schemas.openxmlformats.org/officeDocument/2006/relationships/glossaryDocument" Target="glossary/document.xml"/><Relationship Id="rId10" Type="http://schemas.openxmlformats.org/officeDocument/2006/relationships/hyperlink" Target="mailto:species.consultation@awe.gov.au" TargetMode="External"/><Relationship Id="rId19" Type="http://schemas.openxmlformats.org/officeDocument/2006/relationships/image" Target="media/image2.jpeg"/><Relationship Id="rId31" Type="http://schemas.openxmlformats.org/officeDocument/2006/relationships/hyperlink" Target="https://www.environment.nsw.gov.au/-/media/OEH/Corporate-Site/Documents/Parks-reserves-and-protected-areas/Parks-plans-of-management/oxley-wild-rivers-cunnawarra-georges-creek-parks-plan-of-management-050627.pdf" TargetMode="External"/><Relationship Id="rId44" Type="http://schemas.openxmlformats.org/officeDocument/2006/relationships/footer" Target="footer2.xml"/><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we.gov.au/environment/biodiversity/threatened/recovery-plans" TargetMode="External"/><Relationship Id="rId22" Type="http://schemas.openxmlformats.org/officeDocument/2006/relationships/hyperlink" Target="https://agriculture.vic.gov.au/biosecurity/pest-animals/invasive-animal-management/integrated-feral-goat-control" TargetMode="External"/><Relationship Id="rId27" Type="http://schemas.openxmlformats.org/officeDocument/2006/relationships/hyperlink" Target="http://www.environment.gov.au/biodiversity/bushfire-recovery/priority-plants" TargetMode="External"/><Relationship Id="rId30" Type="http://schemas.openxmlformats.org/officeDocument/2006/relationships/hyperlink" Target="https://geo.seed.nsw.gov.au/Public_Viewer/index.html?viewer=Public_Viewer&amp;locale=en-AU" TargetMode="External"/><Relationship Id="rId35" Type="http://schemas.openxmlformats.org/officeDocument/2006/relationships/hyperlink" Target="http://www.janelletrees.com/blog/2018/8/25/a-dunghutti-story" TargetMode="External"/><Relationship Id="rId43" Type="http://schemas.openxmlformats.org/officeDocument/2006/relationships/header" Target="header3.xml"/><Relationship Id="rId48" Type="http://schemas.openxmlformats.org/officeDocument/2006/relationships/image" Target="media/image4.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agriculture.gov.au/"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303BCEE9546B0AFA88874EFB9D2E0"/>
        <w:category>
          <w:name w:val="General"/>
          <w:gallery w:val="placeholder"/>
        </w:category>
        <w:types>
          <w:type w:val="bbPlcHdr"/>
        </w:types>
        <w:behaviors>
          <w:behavior w:val="content"/>
        </w:behaviors>
        <w:guid w:val="{E94FACEE-2692-49D6-8169-25F370EAEF46}"/>
      </w:docPartPr>
      <w:docPartBody>
        <w:p w:rsidR="00F83FDF" w:rsidRDefault="005B71C6" w:rsidP="005B71C6">
          <w:r w:rsidRPr="0045331C">
            <w:rPr>
              <w:rStyle w:val="PlaceholderText"/>
            </w:rPr>
            <w:t>Choose an item.</w:t>
          </w:r>
        </w:p>
      </w:docPartBody>
    </w:docPart>
    <w:docPart>
      <w:docPartPr>
        <w:name w:val="19D534473EBE4F18AD026B94712A5C04"/>
        <w:category>
          <w:name w:val="General"/>
          <w:gallery w:val="placeholder"/>
        </w:category>
        <w:types>
          <w:type w:val="bbPlcHdr"/>
        </w:types>
        <w:behaviors>
          <w:behavior w:val="content"/>
        </w:behaviors>
        <w:guid w:val="{876F1ED9-44E6-4753-AF8C-538AF90728F3}"/>
      </w:docPartPr>
      <w:docPartBody>
        <w:p w:rsidR="00F83FDF" w:rsidRDefault="005B71C6" w:rsidP="005B71C6">
          <w:r w:rsidRPr="0045331C">
            <w:rPr>
              <w:rStyle w:val="PlaceholderText"/>
            </w:rPr>
            <w:t>Choose an item.</w:t>
          </w:r>
        </w:p>
      </w:docPartBody>
    </w:docPart>
    <w:docPart>
      <w:docPartPr>
        <w:name w:val="5B13328B6A1C472BB97FAE59B07E316E"/>
        <w:category>
          <w:name w:val="General"/>
          <w:gallery w:val="placeholder"/>
        </w:category>
        <w:types>
          <w:type w:val="bbPlcHdr"/>
        </w:types>
        <w:behaviors>
          <w:behavior w:val="content"/>
        </w:behaviors>
        <w:guid w:val="{15DE2759-2577-4EB4-8084-F4ED33954080}"/>
      </w:docPartPr>
      <w:docPartBody>
        <w:p w:rsidR="00F83FDF" w:rsidRDefault="005B71C6" w:rsidP="005B71C6">
          <w:r w:rsidRPr="0045331C">
            <w:rPr>
              <w:rStyle w:val="PlaceholderText"/>
            </w:rPr>
            <w:t>Choose an item.</w:t>
          </w:r>
        </w:p>
      </w:docPartBody>
    </w:docPart>
    <w:docPart>
      <w:docPartPr>
        <w:name w:val="0E7E817408504F8BA6066B6A4A43F46F"/>
        <w:category>
          <w:name w:val="General"/>
          <w:gallery w:val="placeholder"/>
        </w:category>
        <w:types>
          <w:type w:val="bbPlcHdr"/>
        </w:types>
        <w:behaviors>
          <w:behavior w:val="content"/>
        </w:behaviors>
        <w:guid w:val="{8C23C1E9-048A-4658-B5B7-AA349C1E048A}"/>
      </w:docPartPr>
      <w:docPartBody>
        <w:p w:rsidR="00F83FDF" w:rsidRDefault="005B71C6" w:rsidP="005B71C6">
          <w:r w:rsidRPr="0045331C">
            <w:rPr>
              <w:rStyle w:val="PlaceholderText"/>
            </w:rPr>
            <w:t>Choose an item.</w:t>
          </w:r>
        </w:p>
      </w:docPartBody>
    </w:docPart>
    <w:docPart>
      <w:docPartPr>
        <w:name w:val="3ABFA85F45C44EFCBF22515A78843005"/>
        <w:category>
          <w:name w:val="General"/>
          <w:gallery w:val="placeholder"/>
        </w:category>
        <w:types>
          <w:type w:val="bbPlcHdr"/>
        </w:types>
        <w:behaviors>
          <w:behavior w:val="content"/>
        </w:behaviors>
        <w:guid w:val="{9C569E6A-8C99-4AA4-823D-871511864BC1}"/>
      </w:docPartPr>
      <w:docPartBody>
        <w:p w:rsidR="00F83FDF" w:rsidRDefault="005B71C6" w:rsidP="005B71C6">
          <w:r w:rsidRPr="0045331C">
            <w:rPr>
              <w:rStyle w:val="PlaceholderText"/>
            </w:rPr>
            <w:t>Choose an item.</w:t>
          </w:r>
        </w:p>
      </w:docPartBody>
    </w:docPart>
    <w:docPart>
      <w:docPartPr>
        <w:name w:val="122368A45A1D4D23B1F5637E26B7E266"/>
        <w:category>
          <w:name w:val="General"/>
          <w:gallery w:val="placeholder"/>
        </w:category>
        <w:types>
          <w:type w:val="bbPlcHdr"/>
        </w:types>
        <w:behaviors>
          <w:behavior w:val="content"/>
        </w:behaviors>
        <w:guid w:val="{1E715344-0667-4954-BFF6-2C3722FBD2A0}"/>
      </w:docPartPr>
      <w:docPartBody>
        <w:p w:rsidR="00F83FDF" w:rsidRDefault="005B71C6" w:rsidP="005B71C6">
          <w:r w:rsidRPr="0045331C">
            <w:rPr>
              <w:rStyle w:val="PlaceholderText"/>
            </w:rPr>
            <w:t>Choose an item.</w:t>
          </w:r>
        </w:p>
      </w:docPartBody>
    </w:docPart>
    <w:docPart>
      <w:docPartPr>
        <w:name w:val="8B8B9324D8CA473695A0221B10FECAB5"/>
        <w:category>
          <w:name w:val="General"/>
          <w:gallery w:val="placeholder"/>
        </w:category>
        <w:types>
          <w:type w:val="bbPlcHdr"/>
        </w:types>
        <w:behaviors>
          <w:behavior w:val="content"/>
        </w:behaviors>
        <w:guid w:val="{361A43B6-6614-43C5-BBE8-D90FB5C898B5}"/>
      </w:docPartPr>
      <w:docPartBody>
        <w:p w:rsidR="00F83FDF" w:rsidRDefault="005B71C6" w:rsidP="005B71C6">
          <w:r w:rsidRPr="0045331C">
            <w:rPr>
              <w:rStyle w:val="PlaceholderText"/>
            </w:rPr>
            <w:t>Choose an item.</w:t>
          </w:r>
        </w:p>
      </w:docPartBody>
    </w:docPart>
    <w:docPart>
      <w:docPartPr>
        <w:name w:val="025E8C273B27451B8864514B67778AC5"/>
        <w:category>
          <w:name w:val="General"/>
          <w:gallery w:val="placeholder"/>
        </w:category>
        <w:types>
          <w:type w:val="bbPlcHdr"/>
        </w:types>
        <w:behaviors>
          <w:behavior w:val="content"/>
        </w:behaviors>
        <w:guid w:val="{D9C648D6-F196-4EBF-A48A-A62BCB1DA5D0}"/>
      </w:docPartPr>
      <w:docPartBody>
        <w:p w:rsidR="00F83FDF" w:rsidRDefault="005B71C6" w:rsidP="005B71C6">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22"/>
    <w:rsid w:val="000B47D7"/>
    <w:rsid w:val="002E0140"/>
    <w:rsid w:val="002E7073"/>
    <w:rsid w:val="002F0B22"/>
    <w:rsid w:val="00414731"/>
    <w:rsid w:val="004A26C3"/>
    <w:rsid w:val="004D6D56"/>
    <w:rsid w:val="005B71C6"/>
    <w:rsid w:val="005E4028"/>
    <w:rsid w:val="006B624C"/>
    <w:rsid w:val="006D0C8A"/>
    <w:rsid w:val="00701CA9"/>
    <w:rsid w:val="007507A3"/>
    <w:rsid w:val="007F2F47"/>
    <w:rsid w:val="00883A69"/>
    <w:rsid w:val="00A33EC3"/>
    <w:rsid w:val="00C6045F"/>
    <w:rsid w:val="00F26EB6"/>
    <w:rsid w:val="00F33D1B"/>
    <w:rsid w:val="00F46B14"/>
    <w:rsid w:val="00F83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1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526DB-EB81-4DE0-B4B3-D8D2B3351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7e4a30-0d73-42a5-89d1-2d917289efa4"/>
    <ds:schemaRef ds:uri="http://purl.org/dc/elements/1.1/"/>
    <ds:schemaRef ds:uri="http://schemas.microsoft.com/office/2006/metadata/properties"/>
    <ds:schemaRef ds:uri="e1b10de6-1ace-45fd-bc8a-f3cd924495b3"/>
    <ds:schemaRef ds:uri="http://www.w3.org/XML/1998/namespace"/>
    <ds:schemaRef ds:uri="http://purl.org/dc/dcmitype/"/>
  </ds:schemaRefs>
</ds:datastoreItem>
</file>

<file path=customXml/itemProps2.xml><?xml version="1.0" encoding="utf-8"?>
<ds:datastoreItem xmlns:ds="http://schemas.openxmlformats.org/officeDocument/2006/customXml" ds:itemID="{00F5F0B4-E6FB-4443-B420-EE337F14E483}">
  <ds:schemaRefs>
    <ds:schemaRef ds:uri="http://schemas.microsoft.com/sharepoint/v3/contenttype/forms"/>
  </ds:schemaRefs>
</ds:datastoreItem>
</file>

<file path=customXml/itemProps3.xml><?xml version="1.0" encoding="utf-8"?>
<ds:datastoreItem xmlns:ds="http://schemas.openxmlformats.org/officeDocument/2006/customXml" ds:itemID="{A17D7D8B-1761-4CBB-B88B-D4310A487E87}"/>
</file>

<file path=docProps/app.xml><?xml version="1.0" encoding="utf-8"?>
<Properties xmlns="http://schemas.openxmlformats.org/officeDocument/2006/extended-properties" xmlns:vt="http://schemas.openxmlformats.org/officeDocument/2006/docPropsVTypes">
  <Template>Normal.dotm</Template>
  <TotalTime>1</TotalTime>
  <Pages>37</Pages>
  <Words>12577</Words>
  <Characters>71690</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Rhodanthe sp. Point Lookout</vt:lpstr>
    </vt:vector>
  </TitlesOfParts>
  <Company/>
  <LinksUpToDate>false</LinksUpToDate>
  <CharactersWithSpaces>84099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Rhodanthe sp. Point Lookout</dc:title>
  <dc:subject/>
  <dc:creator>Department of Agriculture, Water and the Environment</dc:creator>
  <cp:keywords/>
  <dc:description/>
  <cp:lastModifiedBy>Bec Durack</cp:lastModifiedBy>
  <cp:revision>2</cp:revision>
  <cp:lastPrinted>2022-01-11T01:03:00Z</cp:lastPrinted>
  <dcterms:created xsi:type="dcterms:W3CDTF">2022-01-12T01:22:00Z</dcterms:created>
  <dcterms:modified xsi:type="dcterms:W3CDTF">2022-01-12T01:22:00Z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{fc0557b9-69c6-4131-b8d9-f9ad969d077b}</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