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39F6" w14:textId="77777777" w:rsidR="00154576" w:rsidRPr="00AE7AEA" w:rsidRDefault="00154576" w:rsidP="00154576">
      <w:pPr>
        <w:jc w:val="center"/>
        <w:rPr>
          <w:rFonts w:ascii="Arial" w:hAnsi="Arial" w:cs="Arial"/>
          <w:b/>
          <w:sz w:val="28"/>
          <w:szCs w:val="28"/>
        </w:rPr>
      </w:pPr>
      <w:bookmarkStart w:id="0" w:name="_Hlk67394827"/>
      <w:r w:rsidRPr="003A6857">
        <w:rPr>
          <w:rFonts w:ascii="Arial" w:hAnsi="Arial" w:cs="Arial"/>
          <w:b/>
          <w:sz w:val="28"/>
          <w:szCs w:val="28"/>
        </w:rPr>
        <w:t>Consultation Document on Listing Eligibility and Conservation Actions</w:t>
      </w:r>
    </w:p>
    <w:p w14:paraId="20BC617E" w14:textId="14B0879C" w:rsidR="00154576" w:rsidRDefault="008132B0" w:rsidP="00154576">
      <w:pPr>
        <w:pStyle w:val="NormalWeb"/>
        <w:spacing w:before="120" w:after="240"/>
        <w:jc w:val="center"/>
        <w:rPr>
          <w:rFonts w:ascii="Arial" w:eastAsiaTheme="majorEastAsia" w:hAnsi="Arial" w:cs="Arial"/>
          <w:b/>
          <w:i/>
          <w:iCs/>
          <w:spacing w:val="5"/>
          <w:kern w:val="28"/>
          <w:sz w:val="22"/>
          <w:szCs w:val="22"/>
          <w:lang w:eastAsia="en-US"/>
        </w:rPr>
      </w:pPr>
      <w:proofErr w:type="spellStart"/>
      <w:r w:rsidRPr="008132B0">
        <w:rPr>
          <w:rFonts w:ascii="Arial" w:eastAsiaTheme="majorEastAsia" w:hAnsi="Arial" w:cs="Arial"/>
          <w:b/>
          <w:i/>
          <w:iCs/>
          <w:spacing w:val="5"/>
          <w:kern w:val="28"/>
          <w:sz w:val="22"/>
          <w:szCs w:val="22"/>
          <w:lang w:eastAsia="en-US"/>
        </w:rPr>
        <w:t>Stagonopleura</w:t>
      </w:r>
      <w:proofErr w:type="spellEnd"/>
      <w:r w:rsidRPr="008132B0">
        <w:rPr>
          <w:rFonts w:ascii="Arial" w:eastAsiaTheme="majorEastAsia" w:hAnsi="Arial" w:cs="Arial"/>
          <w:b/>
          <w:i/>
          <w:iCs/>
          <w:spacing w:val="5"/>
          <w:kern w:val="28"/>
          <w:sz w:val="22"/>
          <w:szCs w:val="22"/>
          <w:lang w:eastAsia="en-US"/>
        </w:rPr>
        <w:t xml:space="preserve"> guttata </w:t>
      </w:r>
      <w:r w:rsidR="00154576" w:rsidRPr="008F30CC">
        <w:rPr>
          <w:rFonts w:ascii="Arial" w:eastAsiaTheme="majorEastAsia" w:hAnsi="Arial" w:cs="Arial"/>
          <w:b/>
          <w:spacing w:val="5"/>
          <w:kern w:val="28"/>
          <w:sz w:val="22"/>
          <w:szCs w:val="22"/>
          <w:lang w:eastAsia="en-US"/>
        </w:rPr>
        <w:t>(</w:t>
      </w:r>
      <w:r>
        <w:rPr>
          <w:rFonts w:ascii="Arial" w:eastAsiaTheme="majorEastAsia" w:hAnsi="Arial" w:cs="Arial"/>
          <w:b/>
          <w:spacing w:val="5"/>
          <w:kern w:val="28"/>
          <w:sz w:val="22"/>
          <w:szCs w:val="22"/>
          <w:lang w:eastAsia="en-US"/>
        </w:rPr>
        <w:t>Diamond Firetail</w:t>
      </w:r>
      <w:r w:rsidR="00154576">
        <w:rPr>
          <w:rFonts w:ascii="Arial" w:eastAsiaTheme="majorEastAsia" w:hAnsi="Arial" w:cs="Arial"/>
          <w:b/>
          <w:spacing w:val="5"/>
          <w:kern w:val="28"/>
          <w:sz w:val="22"/>
          <w:szCs w:val="22"/>
          <w:lang w:eastAsia="en-US"/>
        </w:rPr>
        <w:t>)</w:t>
      </w:r>
    </w:p>
    <w:p w14:paraId="75F4F16B" w14:textId="77777777" w:rsidR="00154576" w:rsidRDefault="00154576" w:rsidP="00154576">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and supporting reasons related to:</w:t>
      </w:r>
    </w:p>
    <w:p w14:paraId="50DE7D1F" w14:textId="40E69F81" w:rsidR="00154576" w:rsidRDefault="00154576" w:rsidP="00154576">
      <w:pPr>
        <w:pStyle w:val="NormalWeb"/>
        <w:tabs>
          <w:tab w:val="left" w:pos="426"/>
        </w:tabs>
        <w:spacing w:before="120" w:after="240"/>
        <w:ind w:left="426" w:hanging="426"/>
        <w:rPr>
          <w:rFonts w:ascii="Arial" w:hAnsi="Arial" w:cs="Arial"/>
          <w:sz w:val="22"/>
          <w:szCs w:val="22"/>
        </w:rPr>
      </w:pPr>
      <w:r>
        <w:rPr>
          <w:rFonts w:ascii="Arial" w:hAnsi="Arial" w:cs="Arial"/>
          <w:sz w:val="22"/>
          <w:szCs w:val="22"/>
        </w:rPr>
        <w:t>1)</w:t>
      </w:r>
      <w:r>
        <w:rPr>
          <w:rFonts w:ascii="Arial" w:hAnsi="Arial" w:cs="Arial"/>
          <w:sz w:val="22"/>
          <w:szCs w:val="22"/>
        </w:rPr>
        <w:tab/>
        <w:t xml:space="preserve">the eligibility of </w:t>
      </w:r>
      <w:proofErr w:type="spellStart"/>
      <w:r w:rsidR="008132B0" w:rsidRPr="008132B0">
        <w:rPr>
          <w:rFonts w:ascii="Arial" w:hAnsi="Arial" w:cs="Arial"/>
          <w:i/>
          <w:iCs/>
          <w:sz w:val="22"/>
          <w:szCs w:val="22"/>
        </w:rPr>
        <w:t>Stagonopleura</w:t>
      </w:r>
      <w:proofErr w:type="spellEnd"/>
      <w:r w:rsidR="008132B0" w:rsidRPr="008132B0">
        <w:rPr>
          <w:rFonts w:ascii="Arial" w:hAnsi="Arial" w:cs="Arial"/>
          <w:i/>
          <w:iCs/>
          <w:sz w:val="22"/>
          <w:szCs w:val="22"/>
        </w:rPr>
        <w:t xml:space="preserve"> guttata </w:t>
      </w:r>
      <w:r w:rsidR="008132B0" w:rsidRPr="008132B0">
        <w:rPr>
          <w:rFonts w:ascii="Arial" w:hAnsi="Arial" w:cs="Arial"/>
          <w:sz w:val="22"/>
          <w:szCs w:val="22"/>
        </w:rPr>
        <w:t>(Diamond Firetail)</w:t>
      </w:r>
      <w:r w:rsidR="008132B0">
        <w:rPr>
          <w:rFonts w:ascii="Arial" w:hAnsi="Arial" w:cs="Arial"/>
          <w:i/>
          <w:iCs/>
          <w:sz w:val="22"/>
          <w:szCs w:val="22"/>
        </w:rPr>
        <w:t xml:space="preserve"> </w:t>
      </w:r>
      <w:r>
        <w:rPr>
          <w:rFonts w:ascii="Arial" w:hAnsi="Arial" w:cs="Arial"/>
          <w:sz w:val="22"/>
          <w:szCs w:val="22"/>
        </w:rPr>
        <w:t>for inclusion o</w:t>
      </w:r>
      <w:r w:rsidRPr="00B61DDB">
        <w:rPr>
          <w:rFonts w:ascii="Arial" w:hAnsi="Arial" w:cs="Arial"/>
          <w:sz w:val="22"/>
          <w:szCs w:val="22"/>
        </w:rPr>
        <w:t xml:space="preserve">n the </w:t>
      </w:r>
      <w:r w:rsidRPr="00B61DDB">
        <w:rPr>
          <w:rStyle w:val="HTMLAcronym"/>
          <w:rFonts w:ascii="Arial" w:hAnsi="Arial" w:cs="Arial"/>
          <w:sz w:val="22"/>
          <w:szCs w:val="22"/>
        </w:rPr>
        <w:t>EPBC</w:t>
      </w:r>
      <w:r w:rsidRPr="00B61DDB">
        <w:rPr>
          <w:rFonts w:ascii="Arial" w:hAnsi="Arial" w:cs="Arial"/>
          <w:sz w:val="22"/>
          <w:szCs w:val="22"/>
        </w:rPr>
        <w:t xml:space="preserve"> Act</w:t>
      </w:r>
      <w:r>
        <w:rPr>
          <w:rFonts w:ascii="Arial" w:hAnsi="Arial" w:cs="Arial"/>
          <w:sz w:val="22"/>
          <w:szCs w:val="22"/>
        </w:rPr>
        <w:t xml:space="preserve"> threatened species</w:t>
      </w:r>
      <w:r w:rsidRPr="00B61DDB">
        <w:rPr>
          <w:rFonts w:ascii="Arial" w:hAnsi="Arial" w:cs="Arial"/>
          <w:sz w:val="22"/>
          <w:szCs w:val="22"/>
        </w:rPr>
        <w:t xml:space="preserve"> list</w:t>
      </w:r>
      <w:r>
        <w:rPr>
          <w:rFonts w:ascii="Arial" w:hAnsi="Arial" w:cs="Arial"/>
          <w:sz w:val="22"/>
          <w:szCs w:val="22"/>
        </w:rPr>
        <w:t xml:space="preserve"> in the Vulnerable category; and </w:t>
      </w:r>
    </w:p>
    <w:p w14:paraId="0272F3CB" w14:textId="77777777" w:rsidR="00154576" w:rsidRDefault="00154576" w:rsidP="00154576">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0EFF6AF2" w14:textId="77777777" w:rsidR="00154576" w:rsidRDefault="00154576" w:rsidP="00154576">
      <w:pPr>
        <w:spacing w:before="120" w:after="240"/>
        <w:rPr>
          <w:rFonts w:ascii="Arial" w:hAnsi="Arial" w:cs="Arial"/>
        </w:rPr>
      </w:pPr>
      <w:r>
        <w:rPr>
          <w:rFonts w:ascii="Arial" w:hAnsi="Arial" w:cs="Arial"/>
        </w:rPr>
        <w:t>Evidence provided by</w:t>
      </w:r>
      <w:r w:rsidRPr="00616F58">
        <w:rPr>
          <w:rFonts w:ascii="Arial" w:hAnsi="Arial" w:cs="Arial"/>
        </w:rPr>
        <w:t xml:space="preserve"> experts, stak</w:t>
      </w:r>
      <w:r>
        <w:rPr>
          <w:rFonts w:ascii="Arial" w:hAnsi="Arial" w:cs="Arial"/>
        </w:rPr>
        <w:t xml:space="preserve">eholders and the </w:t>
      </w:r>
      <w:proofErr w:type="gramStart"/>
      <w:r>
        <w:rPr>
          <w:rFonts w:ascii="Arial" w:hAnsi="Arial" w:cs="Arial"/>
        </w:rPr>
        <w:t>general public</w:t>
      </w:r>
      <w:proofErr w:type="gramEnd"/>
      <w:r>
        <w:rPr>
          <w:rFonts w:ascii="Arial" w:hAnsi="Arial" w:cs="Arial"/>
        </w:rPr>
        <w:t xml:space="preserve"> are welcome. R</w:t>
      </w:r>
      <w:r w:rsidRPr="00616F58">
        <w:rPr>
          <w:rFonts w:ascii="Arial" w:hAnsi="Arial" w:cs="Arial"/>
        </w:rPr>
        <w:t xml:space="preserve">esponses can be </w:t>
      </w:r>
      <w:r>
        <w:rPr>
          <w:rFonts w:ascii="Arial" w:hAnsi="Arial" w:cs="Arial"/>
        </w:rPr>
        <w:t xml:space="preserve">provided by any interested person. </w:t>
      </w:r>
    </w:p>
    <w:p w14:paraId="77B6823B" w14:textId="77777777" w:rsidR="00154576" w:rsidRDefault="00154576" w:rsidP="00154576">
      <w:pPr>
        <w:rPr>
          <w:rFonts w:ascii="Arial" w:hAnsi="Arial" w:cs="Arial"/>
        </w:rPr>
      </w:pPr>
      <w:r w:rsidRPr="00616F58">
        <w:rPr>
          <w:rFonts w:ascii="Arial" w:hAnsi="Arial" w:cs="Arial"/>
        </w:rPr>
        <w:t xml:space="preserve">Anyone may nominate a native species, ecological </w:t>
      </w:r>
      <w:proofErr w:type="gramStart"/>
      <w:r w:rsidRPr="00616F58">
        <w:rPr>
          <w:rFonts w:ascii="Arial" w:hAnsi="Arial" w:cs="Arial"/>
        </w:rPr>
        <w:t>community</w:t>
      </w:r>
      <w:proofErr w:type="gramEnd"/>
      <w:r w:rsidRPr="00616F58">
        <w:rPr>
          <w:rFonts w:ascii="Arial" w:hAnsi="Arial" w:cs="Arial"/>
        </w:rPr>
        <w:t xml:space="preserve"> or threatening process for listing under the </w:t>
      </w:r>
      <w:r w:rsidRPr="00616F58">
        <w:rPr>
          <w:rFonts w:ascii="Arial" w:hAnsi="Arial" w:cs="Arial"/>
          <w:i/>
          <w:iCs/>
        </w:rPr>
        <w:t>Environment Protection and Biodiversity Conservation Act 1999</w:t>
      </w:r>
      <w:r w:rsidRPr="00616F58">
        <w:rPr>
          <w:rFonts w:ascii="Arial" w:hAnsi="Arial" w:cs="Arial"/>
        </w:rPr>
        <w:t xml:space="preserve"> (</w:t>
      </w:r>
      <w:r>
        <w:rPr>
          <w:rFonts w:ascii="Arial" w:hAnsi="Arial" w:cs="Arial"/>
        </w:rPr>
        <w:t>EPBC Act) or for a transfer of an item already on the list to a new listing category.</w:t>
      </w:r>
      <w:r w:rsidRPr="00B61DDB">
        <w:rPr>
          <w:rFonts w:ascii="Arial" w:hAnsi="Arial" w:cs="Arial"/>
        </w:rPr>
        <w:t xml:space="preserve"> The Threatened Species Scientific Committee (the Committee) undertakes the assessment of </w:t>
      </w:r>
      <w:r>
        <w:rPr>
          <w:rFonts w:ascii="Arial" w:hAnsi="Arial" w:cs="Arial"/>
        </w:rPr>
        <w:t>species to determine</w:t>
      </w:r>
      <w:r w:rsidRPr="00B61DDB">
        <w:rPr>
          <w:rFonts w:ascii="Arial" w:hAnsi="Arial" w:cs="Arial"/>
        </w:rPr>
        <w:t xml:space="preserve"> eligibility for inclusion in the list of threatened </w:t>
      </w:r>
      <w:r>
        <w:rPr>
          <w:rFonts w:ascii="Arial" w:hAnsi="Arial" w:cs="Arial"/>
        </w:rPr>
        <w:t>species</w:t>
      </w:r>
      <w:r w:rsidRPr="00B61DDB">
        <w:rPr>
          <w:rFonts w:ascii="Arial" w:hAnsi="Arial" w:cs="Arial"/>
        </w:rPr>
        <w:t xml:space="preserve"> and provides its recommendation to the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2FAF0ABE" w14:textId="77777777" w:rsidR="00154576" w:rsidRDefault="00154576" w:rsidP="00154576">
      <w:pPr>
        <w:rPr>
          <w:rFonts w:ascii="Arial" w:hAnsi="Arial" w:cs="Arial"/>
        </w:rPr>
      </w:pPr>
      <w:r>
        <w:rPr>
          <w:rFonts w:ascii="Arial" w:hAnsi="Arial" w:cs="Arial"/>
        </w:rPr>
        <w:t xml:space="preserve">Responses are to be </w:t>
      </w:r>
      <w:r w:rsidRPr="00616F58">
        <w:rPr>
          <w:rFonts w:ascii="Arial" w:hAnsi="Arial" w:cs="Arial"/>
        </w:rPr>
        <w:t xml:space="preserve">provided </w:t>
      </w:r>
      <w:r>
        <w:rPr>
          <w:rFonts w:ascii="Arial" w:hAnsi="Arial" w:cs="Arial"/>
        </w:rPr>
        <w:t xml:space="preserve">in writing either </w:t>
      </w:r>
      <w:r w:rsidRPr="00616F58">
        <w:rPr>
          <w:rFonts w:ascii="Arial" w:hAnsi="Arial" w:cs="Arial"/>
        </w:rPr>
        <w:t>by email to</w:t>
      </w:r>
      <w:r>
        <w:rPr>
          <w:rFonts w:ascii="Arial" w:hAnsi="Arial" w:cs="Arial"/>
        </w:rPr>
        <w:t xml:space="preserve">: </w:t>
      </w:r>
      <w:hyperlink r:id="rId13" w:history="1">
        <w:r w:rsidRPr="00616F58">
          <w:rPr>
            <w:rStyle w:val="Hyperlink"/>
            <w:rFonts w:ascii="Arial" w:hAnsi="Arial" w:cs="Arial"/>
          </w:rPr>
          <w:t>species.consultation@</w:t>
        </w:r>
        <w:r w:rsidRPr="004F6E9D">
          <w:rPr>
            <w:rStyle w:val="Hyperlink"/>
            <w:rFonts w:ascii="Arial" w:hAnsi="Arial" w:cs="Arial"/>
          </w:rPr>
          <w:t>environment</w:t>
        </w:r>
        <w:r w:rsidRPr="00616F58">
          <w:rPr>
            <w:rStyle w:val="Hyperlink"/>
            <w:rFonts w:ascii="Arial" w:hAnsi="Arial" w:cs="Arial"/>
          </w:rPr>
          <w:t>.gov.au</w:t>
        </w:r>
      </w:hyperlink>
      <w:r w:rsidRPr="00616F58">
        <w:rPr>
          <w:rFonts w:ascii="Arial" w:hAnsi="Arial" w:cs="Arial"/>
        </w:rPr>
        <w:t xml:space="preserve"> </w:t>
      </w:r>
    </w:p>
    <w:p w14:paraId="693BF7DB" w14:textId="77777777" w:rsidR="00154576" w:rsidRPr="00AE7AEA" w:rsidRDefault="00154576" w:rsidP="00154576">
      <w:pPr>
        <w:rPr>
          <w:rFonts w:ascii="Arial" w:hAnsi="Arial" w:cs="Arial"/>
        </w:rPr>
      </w:pPr>
      <w:r w:rsidRPr="00616F58">
        <w:rPr>
          <w:rFonts w:ascii="Arial" w:hAnsi="Arial" w:cs="Arial"/>
          <w:color w:val="000000"/>
        </w:rPr>
        <w:t>or by mail to</w:t>
      </w:r>
      <w:r>
        <w:rPr>
          <w:rFonts w:ascii="Arial" w:hAnsi="Arial" w:cs="Arial"/>
          <w:color w:val="000000"/>
        </w:rPr>
        <w:t>:</w:t>
      </w:r>
      <w:r w:rsidRPr="00616F58">
        <w:rPr>
          <w:rFonts w:ascii="Arial" w:hAnsi="Arial" w:cs="Arial"/>
          <w:color w:val="000000"/>
        </w:rPr>
        <w:t xml:space="preserve"> </w:t>
      </w:r>
    </w:p>
    <w:p w14:paraId="3CA08EC9" w14:textId="77777777" w:rsidR="00154576" w:rsidRPr="00665ED7" w:rsidRDefault="00154576" w:rsidP="00154576">
      <w:pPr>
        <w:spacing w:after="0"/>
        <w:ind w:left="426"/>
        <w:rPr>
          <w:rFonts w:ascii="Arial" w:hAnsi="Arial" w:cs="Arial"/>
        </w:rPr>
      </w:pPr>
      <w:r w:rsidRPr="00665ED7">
        <w:rPr>
          <w:rFonts w:ascii="Arial" w:hAnsi="Arial" w:cs="Arial"/>
        </w:rPr>
        <w:t>The Director</w:t>
      </w:r>
    </w:p>
    <w:p w14:paraId="76928304" w14:textId="77777777" w:rsidR="00154576" w:rsidRPr="00665ED7" w:rsidRDefault="00154576" w:rsidP="00154576">
      <w:pPr>
        <w:spacing w:after="0"/>
        <w:ind w:left="426"/>
        <w:rPr>
          <w:rFonts w:ascii="Arial" w:hAnsi="Arial" w:cs="Arial"/>
        </w:rPr>
      </w:pPr>
      <w:r w:rsidRPr="00665ED7">
        <w:rPr>
          <w:rFonts w:ascii="Arial" w:hAnsi="Arial" w:cs="Arial"/>
        </w:rPr>
        <w:t>Migratory Species Section</w:t>
      </w:r>
    </w:p>
    <w:p w14:paraId="6DB93406" w14:textId="77777777" w:rsidR="00154576" w:rsidRDefault="00154576" w:rsidP="00154576">
      <w:pPr>
        <w:spacing w:after="0"/>
        <w:ind w:left="426"/>
        <w:rPr>
          <w:rFonts w:ascii="Arial" w:hAnsi="Arial" w:cs="Arial"/>
          <w:color w:val="000000"/>
        </w:rPr>
      </w:pPr>
      <w:r>
        <w:rPr>
          <w:rFonts w:ascii="Arial" w:hAnsi="Arial" w:cs="Arial"/>
          <w:color w:val="000000"/>
        </w:rPr>
        <w:t>Biodiversity Conservation Division</w:t>
      </w:r>
    </w:p>
    <w:p w14:paraId="750DC8E1" w14:textId="77777777" w:rsidR="00154576" w:rsidRPr="00B61DDB" w:rsidRDefault="00154576" w:rsidP="00154576">
      <w:pPr>
        <w:spacing w:after="0"/>
        <w:ind w:left="426"/>
        <w:rPr>
          <w:rFonts w:ascii="Arial" w:hAnsi="Arial" w:cs="Arial"/>
          <w:color w:val="000000"/>
        </w:rPr>
      </w:pPr>
      <w:r>
        <w:rPr>
          <w:rFonts w:ascii="Arial" w:hAnsi="Arial" w:cs="Arial"/>
          <w:color w:val="000000"/>
        </w:rPr>
        <w:t xml:space="preserve">Department of Agriculture, </w:t>
      </w:r>
      <w:proofErr w:type="gramStart"/>
      <w:r>
        <w:rPr>
          <w:rFonts w:ascii="Arial" w:hAnsi="Arial" w:cs="Arial"/>
          <w:color w:val="000000"/>
        </w:rPr>
        <w:t>Water</w:t>
      </w:r>
      <w:proofErr w:type="gramEnd"/>
      <w:r>
        <w:rPr>
          <w:rFonts w:ascii="Arial" w:hAnsi="Arial" w:cs="Arial"/>
          <w:color w:val="000000"/>
        </w:rPr>
        <w:t xml:space="preserve"> and the Environment</w:t>
      </w:r>
    </w:p>
    <w:p w14:paraId="2CE065F0" w14:textId="77777777" w:rsidR="00154576" w:rsidRPr="00616F58" w:rsidRDefault="00154576" w:rsidP="00154576">
      <w:pPr>
        <w:spacing w:after="0"/>
        <w:ind w:left="426"/>
        <w:rPr>
          <w:rFonts w:ascii="Arial" w:hAnsi="Arial" w:cs="Arial"/>
          <w:color w:val="000000"/>
        </w:rPr>
      </w:pPr>
      <w:r w:rsidRPr="00B61DDB">
        <w:rPr>
          <w:rFonts w:ascii="Arial" w:hAnsi="Arial" w:cs="Arial"/>
          <w:color w:val="000000"/>
        </w:rPr>
        <w:t xml:space="preserve">PO Box </w:t>
      </w:r>
      <w:r>
        <w:rPr>
          <w:rFonts w:ascii="Arial" w:hAnsi="Arial" w:cs="Arial"/>
          <w:color w:val="000000"/>
        </w:rPr>
        <w:t>858</w:t>
      </w:r>
    </w:p>
    <w:p w14:paraId="37B367F4" w14:textId="77777777" w:rsidR="00154576" w:rsidRDefault="00154576" w:rsidP="00154576">
      <w:pPr>
        <w:ind w:left="426"/>
        <w:rPr>
          <w:rFonts w:ascii="Arial" w:hAnsi="Arial" w:cs="Arial"/>
          <w:color w:val="000000"/>
        </w:rPr>
      </w:pPr>
      <w:r w:rsidRPr="00616F58">
        <w:rPr>
          <w:rFonts w:ascii="Arial" w:hAnsi="Arial" w:cs="Arial"/>
          <w:color w:val="000000"/>
        </w:rPr>
        <w:t>Canberra ACT 2601</w:t>
      </w:r>
    </w:p>
    <w:p w14:paraId="78A7C538" w14:textId="2C1429B5" w:rsidR="00154576" w:rsidRDefault="00154576" w:rsidP="00154576">
      <w:pPr>
        <w:spacing w:after="120"/>
        <w:rPr>
          <w:rFonts w:ascii="Arial" w:hAnsi="Arial" w:cs="Arial"/>
          <w:color w:val="000000"/>
        </w:rPr>
      </w:pPr>
      <w:r w:rsidRPr="001C0C0C">
        <w:rPr>
          <w:rFonts w:ascii="Arial" w:hAnsi="Arial" w:cs="Arial"/>
          <w:b/>
        </w:rPr>
        <w:t>Responses are required to be submitted by</w:t>
      </w:r>
      <w:r w:rsidR="00413959">
        <w:rPr>
          <w:rFonts w:ascii="Arial" w:hAnsi="Arial" w:cs="Arial"/>
          <w:b/>
        </w:rPr>
        <w:t xml:space="preserve"> 18 March 2022.</w:t>
      </w:r>
    </w:p>
    <w:tbl>
      <w:tblPr>
        <w:tblW w:w="9854" w:type="dxa"/>
        <w:tblLayout w:type="fixed"/>
        <w:tblLook w:val="04A0" w:firstRow="1" w:lastRow="0" w:firstColumn="1" w:lastColumn="0" w:noHBand="0" w:noVBand="1"/>
      </w:tblPr>
      <w:tblGrid>
        <w:gridCol w:w="9039"/>
        <w:gridCol w:w="815"/>
      </w:tblGrid>
      <w:tr w:rsidR="00154576" w:rsidRPr="00CE5A35" w14:paraId="3CF062E0" w14:textId="77777777" w:rsidTr="00154576">
        <w:tc>
          <w:tcPr>
            <w:tcW w:w="9039" w:type="dxa"/>
            <w:tcBorders>
              <w:top w:val="single" w:sz="4" w:space="0" w:color="auto"/>
              <w:left w:val="single" w:sz="4" w:space="0" w:color="auto"/>
              <w:bottom w:val="single" w:sz="4" w:space="0" w:color="auto"/>
              <w:right w:val="single" w:sz="4" w:space="0" w:color="auto"/>
            </w:tcBorders>
            <w:shd w:val="pct15" w:color="auto" w:fill="auto"/>
          </w:tcPr>
          <w:p w14:paraId="5745DD6B" w14:textId="77777777" w:rsidR="00154576" w:rsidRPr="00E20C53" w:rsidRDefault="00154576" w:rsidP="00154576">
            <w:pPr>
              <w:rPr>
                <w:rFonts w:ascii="Arial" w:hAnsi="Arial" w:cs="Arial"/>
                <w:b/>
              </w:rPr>
            </w:pPr>
            <w:r w:rsidRPr="00D06A4A">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2E4C3740" w14:textId="77777777" w:rsidR="00154576" w:rsidRPr="00E20C53" w:rsidRDefault="00154576" w:rsidP="00154576">
            <w:pPr>
              <w:rPr>
                <w:rFonts w:ascii="Arial" w:hAnsi="Arial" w:cs="Arial"/>
                <w:b/>
                <w:bCs/>
              </w:rPr>
            </w:pPr>
            <w:r w:rsidRPr="00E20C53">
              <w:rPr>
                <w:rFonts w:ascii="Arial" w:hAnsi="Arial" w:cs="Arial"/>
                <w:b/>
                <w:bCs/>
              </w:rPr>
              <w:t>Page</w:t>
            </w:r>
          </w:p>
        </w:tc>
      </w:tr>
      <w:tr w:rsidR="00154576" w:rsidRPr="00CE5A35" w14:paraId="709BC742" w14:textId="77777777" w:rsidTr="00154576">
        <w:tc>
          <w:tcPr>
            <w:tcW w:w="9039" w:type="dxa"/>
            <w:tcBorders>
              <w:top w:val="single" w:sz="4" w:space="0" w:color="auto"/>
              <w:left w:val="single" w:sz="4" w:space="0" w:color="auto"/>
              <w:bottom w:val="single" w:sz="4" w:space="0" w:color="auto"/>
              <w:right w:val="single" w:sz="4" w:space="0" w:color="auto"/>
            </w:tcBorders>
          </w:tcPr>
          <w:p w14:paraId="6D0DEFEF" w14:textId="77777777" w:rsidR="00154576" w:rsidRPr="006E11B4" w:rsidRDefault="00154576" w:rsidP="00154576">
            <w:pPr>
              <w:rPr>
                <w:rFonts w:ascii="Arial" w:hAnsi="Arial" w:cs="Arial"/>
              </w:rPr>
            </w:pPr>
            <w:r w:rsidRPr="006E11B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4ABA8561" w14:textId="77777777" w:rsidR="00154576" w:rsidRPr="00413959" w:rsidRDefault="00154576" w:rsidP="00154576">
            <w:pPr>
              <w:jc w:val="center"/>
              <w:rPr>
                <w:rFonts w:ascii="Arial" w:hAnsi="Arial" w:cs="Arial"/>
              </w:rPr>
            </w:pPr>
            <w:r w:rsidRPr="00413959">
              <w:rPr>
                <w:rFonts w:ascii="Arial" w:hAnsi="Arial" w:cs="Arial"/>
              </w:rPr>
              <w:t>2</w:t>
            </w:r>
          </w:p>
        </w:tc>
      </w:tr>
      <w:tr w:rsidR="00154576" w:rsidRPr="00CE5A35" w14:paraId="56B953A4" w14:textId="77777777" w:rsidTr="00154576">
        <w:tc>
          <w:tcPr>
            <w:tcW w:w="9039" w:type="dxa"/>
            <w:tcBorders>
              <w:top w:val="single" w:sz="4" w:space="0" w:color="auto"/>
              <w:left w:val="single" w:sz="4" w:space="0" w:color="auto"/>
              <w:bottom w:val="single" w:sz="4" w:space="0" w:color="auto"/>
              <w:right w:val="single" w:sz="4" w:space="0" w:color="auto"/>
            </w:tcBorders>
          </w:tcPr>
          <w:p w14:paraId="233813D5" w14:textId="77777777" w:rsidR="00154576" w:rsidRPr="006E11B4" w:rsidRDefault="00154576" w:rsidP="00154576">
            <w:pPr>
              <w:rPr>
                <w:rFonts w:ascii="Arial" w:hAnsi="Arial" w:cs="Arial"/>
              </w:rPr>
            </w:pPr>
            <w:r w:rsidRPr="006E11B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395D98BD" w14:textId="77777777" w:rsidR="00154576" w:rsidRPr="00413959" w:rsidRDefault="00154576" w:rsidP="00154576">
            <w:pPr>
              <w:jc w:val="center"/>
              <w:rPr>
                <w:rFonts w:ascii="Arial" w:hAnsi="Arial" w:cs="Arial"/>
              </w:rPr>
            </w:pPr>
            <w:r w:rsidRPr="00413959">
              <w:rPr>
                <w:rFonts w:ascii="Arial" w:hAnsi="Arial" w:cs="Arial"/>
              </w:rPr>
              <w:t>3</w:t>
            </w:r>
          </w:p>
        </w:tc>
      </w:tr>
      <w:tr w:rsidR="00154576" w:rsidRPr="00CE5A35" w14:paraId="4DBDB47A" w14:textId="77777777" w:rsidTr="00154576">
        <w:tc>
          <w:tcPr>
            <w:tcW w:w="9039" w:type="dxa"/>
            <w:tcBorders>
              <w:top w:val="single" w:sz="4" w:space="0" w:color="auto"/>
              <w:left w:val="single" w:sz="4" w:space="0" w:color="auto"/>
              <w:bottom w:val="single" w:sz="4" w:space="0" w:color="auto"/>
              <w:right w:val="single" w:sz="4" w:space="0" w:color="auto"/>
            </w:tcBorders>
          </w:tcPr>
          <w:p w14:paraId="1ECA9146" w14:textId="2F5B63D5" w:rsidR="00154576" w:rsidRPr="00CE5A35" w:rsidRDefault="00154576" w:rsidP="00154576">
            <w:pPr>
              <w:rPr>
                <w:rFonts w:ascii="Arial" w:hAnsi="Arial" w:cs="Arial"/>
              </w:rPr>
            </w:pPr>
            <w:r w:rsidRPr="00CE5A35">
              <w:rPr>
                <w:rFonts w:ascii="Arial" w:hAnsi="Arial" w:cs="Arial"/>
              </w:rPr>
              <w:t xml:space="preserve">Draft information </w:t>
            </w:r>
            <w:r w:rsidRPr="00F929C0">
              <w:rPr>
                <w:rFonts w:ascii="Arial" w:hAnsi="Arial" w:cs="Arial"/>
              </w:rPr>
              <w:t xml:space="preserve">about </w:t>
            </w:r>
            <w:r>
              <w:rPr>
                <w:rFonts w:ascii="Arial" w:hAnsi="Arial" w:cs="Arial"/>
                <w:iCs/>
              </w:rPr>
              <w:t xml:space="preserve">the </w:t>
            </w:r>
            <w:r w:rsidR="00390503" w:rsidRPr="00390503">
              <w:rPr>
                <w:rFonts w:ascii="Arial" w:hAnsi="Arial" w:cs="Arial"/>
              </w:rPr>
              <w:t xml:space="preserve">Diamond Firetail </w:t>
            </w:r>
            <w:r w:rsidRPr="00F929C0">
              <w:rPr>
                <w:rFonts w:ascii="Arial" w:hAnsi="Arial" w:cs="Arial"/>
              </w:rPr>
              <w:t>and its eligibility</w:t>
            </w:r>
            <w:r>
              <w:rPr>
                <w:rFonts w:ascii="Arial" w:hAnsi="Arial" w:cs="Arial"/>
              </w:rPr>
              <w:t xml:space="preserve"> for listing</w:t>
            </w:r>
          </w:p>
        </w:tc>
        <w:tc>
          <w:tcPr>
            <w:tcW w:w="815" w:type="dxa"/>
            <w:tcBorders>
              <w:top w:val="single" w:sz="4" w:space="0" w:color="auto"/>
              <w:left w:val="single" w:sz="4" w:space="0" w:color="auto"/>
              <w:bottom w:val="single" w:sz="4" w:space="0" w:color="auto"/>
              <w:right w:val="single" w:sz="4" w:space="0" w:color="auto"/>
            </w:tcBorders>
          </w:tcPr>
          <w:p w14:paraId="5C33E3F9" w14:textId="77777777" w:rsidR="00154576" w:rsidRPr="00413959" w:rsidRDefault="00154576" w:rsidP="00154576">
            <w:pPr>
              <w:jc w:val="center"/>
              <w:rPr>
                <w:rFonts w:ascii="Arial" w:hAnsi="Arial" w:cs="Arial"/>
              </w:rPr>
            </w:pPr>
            <w:r w:rsidRPr="00413959">
              <w:rPr>
                <w:rFonts w:ascii="Arial" w:hAnsi="Arial" w:cs="Arial"/>
              </w:rPr>
              <w:t>4</w:t>
            </w:r>
          </w:p>
        </w:tc>
      </w:tr>
      <w:tr w:rsidR="00154576" w:rsidRPr="00CE5A35" w14:paraId="4ED8F5FF" w14:textId="77777777" w:rsidTr="00154576">
        <w:tc>
          <w:tcPr>
            <w:tcW w:w="9039" w:type="dxa"/>
            <w:tcBorders>
              <w:top w:val="single" w:sz="4" w:space="0" w:color="auto"/>
              <w:left w:val="single" w:sz="4" w:space="0" w:color="auto"/>
              <w:bottom w:val="single" w:sz="4" w:space="0" w:color="auto"/>
              <w:right w:val="single" w:sz="4" w:space="0" w:color="auto"/>
            </w:tcBorders>
          </w:tcPr>
          <w:p w14:paraId="01C1912E" w14:textId="77777777" w:rsidR="00154576" w:rsidRPr="00AE557F" w:rsidRDefault="00154576" w:rsidP="00154576">
            <w:pPr>
              <w:rPr>
                <w:rFonts w:ascii="Arial" w:hAnsi="Arial" w:cs="Arial"/>
              </w:rPr>
            </w:pPr>
            <w:r w:rsidRPr="00AE557F">
              <w:rPr>
                <w:rFonts w:ascii="Arial" w:hAnsi="Arial" w:cs="Arial"/>
              </w:rPr>
              <w:t xml:space="preserve">Conservation actions for </w:t>
            </w:r>
            <w:r>
              <w:rPr>
                <w:rFonts w:ascii="Arial" w:hAnsi="Arial" w:cs="Arial"/>
              </w:rPr>
              <w:t>the</w:t>
            </w:r>
            <w:r w:rsidRPr="00AE557F">
              <w:rPr>
                <w:rFonts w:ascii="Arial" w:hAnsi="Arial" w:cs="Arial"/>
              </w:rPr>
              <w:t xml:space="preserve"> species</w:t>
            </w:r>
          </w:p>
        </w:tc>
        <w:tc>
          <w:tcPr>
            <w:tcW w:w="815" w:type="dxa"/>
            <w:tcBorders>
              <w:top w:val="single" w:sz="4" w:space="0" w:color="auto"/>
              <w:left w:val="single" w:sz="4" w:space="0" w:color="auto"/>
              <w:bottom w:val="single" w:sz="4" w:space="0" w:color="auto"/>
              <w:right w:val="single" w:sz="4" w:space="0" w:color="auto"/>
            </w:tcBorders>
          </w:tcPr>
          <w:p w14:paraId="79EB318D" w14:textId="77777777" w:rsidR="00154576" w:rsidRPr="00413959" w:rsidRDefault="00154576" w:rsidP="00154576">
            <w:pPr>
              <w:jc w:val="center"/>
              <w:rPr>
                <w:rFonts w:ascii="Arial" w:hAnsi="Arial" w:cs="Arial"/>
              </w:rPr>
            </w:pPr>
            <w:r w:rsidRPr="00413959">
              <w:rPr>
                <w:rFonts w:ascii="Arial" w:hAnsi="Arial" w:cs="Arial"/>
              </w:rPr>
              <w:t>10</w:t>
            </w:r>
          </w:p>
        </w:tc>
      </w:tr>
      <w:tr w:rsidR="00154576" w:rsidRPr="00CE5A35" w14:paraId="745916AE" w14:textId="77777777" w:rsidTr="00154576">
        <w:tc>
          <w:tcPr>
            <w:tcW w:w="9039" w:type="dxa"/>
            <w:tcBorders>
              <w:top w:val="single" w:sz="4" w:space="0" w:color="auto"/>
              <w:left w:val="single" w:sz="4" w:space="0" w:color="auto"/>
              <w:bottom w:val="single" w:sz="4" w:space="0" w:color="auto"/>
              <w:right w:val="single" w:sz="4" w:space="0" w:color="auto"/>
            </w:tcBorders>
          </w:tcPr>
          <w:p w14:paraId="74620748" w14:textId="77777777" w:rsidR="00154576" w:rsidRPr="00AE557F" w:rsidRDefault="00154576" w:rsidP="00154576">
            <w:pPr>
              <w:rPr>
                <w:rFonts w:ascii="Arial" w:hAnsi="Arial" w:cs="Arial"/>
              </w:rPr>
            </w:pPr>
            <w:r w:rsidRPr="00AE557F">
              <w:rPr>
                <w:rFonts w:ascii="Arial" w:hAnsi="Arial" w:cs="Arial"/>
              </w:rPr>
              <w:t xml:space="preserve">References cited </w:t>
            </w:r>
          </w:p>
        </w:tc>
        <w:tc>
          <w:tcPr>
            <w:tcW w:w="815" w:type="dxa"/>
            <w:tcBorders>
              <w:top w:val="single" w:sz="4" w:space="0" w:color="auto"/>
              <w:left w:val="single" w:sz="4" w:space="0" w:color="auto"/>
              <w:bottom w:val="single" w:sz="4" w:space="0" w:color="auto"/>
              <w:right w:val="single" w:sz="4" w:space="0" w:color="auto"/>
            </w:tcBorders>
          </w:tcPr>
          <w:p w14:paraId="6FBE5894" w14:textId="77777777" w:rsidR="00154576" w:rsidRPr="00413959" w:rsidRDefault="00154576" w:rsidP="00154576">
            <w:pPr>
              <w:jc w:val="center"/>
              <w:rPr>
                <w:rFonts w:ascii="Arial" w:hAnsi="Arial" w:cs="Arial"/>
              </w:rPr>
            </w:pPr>
            <w:r w:rsidRPr="00413959">
              <w:rPr>
                <w:rFonts w:ascii="Arial" w:hAnsi="Arial" w:cs="Arial"/>
              </w:rPr>
              <w:t>12</w:t>
            </w:r>
          </w:p>
        </w:tc>
      </w:tr>
      <w:tr w:rsidR="00154576" w:rsidRPr="00CE5A35" w14:paraId="7A7619D6" w14:textId="77777777" w:rsidTr="00154576">
        <w:tc>
          <w:tcPr>
            <w:tcW w:w="9039" w:type="dxa"/>
            <w:tcBorders>
              <w:top w:val="single" w:sz="4" w:space="0" w:color="auto"/>
              <w:left w:val="single" w:sz="4" w:space="0" w:color="auto"/>
              <w:bottom w:val="single" w:sz="4" w:space="0" w:color="auto"/>
              <w:right w:val="single" w:sz="4" w:space="0" w:color="auto"/>
            </w:tcBorders>
          </w:tcPr>
          <w:p w14:paraId="18C8073A" w14:textId="77777777" w:rsidR="00154576" w:rsidRPr="00AE557F" w:rsidRDefault="00154576" w:rsidP="00154576">
            <w:pPr>
              <w:rPr>
                <w:rFonts w:ascii="Arial" w:hAnsi="Arial" w:cs="Arial"/>
              </w:rPr>
            </w:pPr>
            <w:r w:rsidRPr="00AE557F">
              <w:rPr>
                <w:rFonts w:ascii="Arial" w:hAnsi="Arial" w:cs="Arial"/>
              </w:rPr>
              <w:t>Collective list of questions – your views</w:t>
            </w:r>
          </w:p>
        </w:tc>
        <w:tc>
          <w:tcPr>
            <w:tcW w:w="815" w:type="dxa"/>
            <w:tcBorders>
              <w:top w:val="single" w:sz="4" w:space="0" w:color="auto"/>
              <w:left w:val="single" w:sz="4" w:space="0" w:color="auto"/>
              <w:bottom w:val="single" w:sz="4" w:space="0" w:color="auto"/>
              <w:right w:val="single" w:sz="4" w:space="0" w:color="auto"/>
            </w:tcBorders>
          </w:tcPr>
          <w:p w14:paraId="4CC9F2D8" w14:textId="77777777" w:rsidR="00154576" w:rsidRPr="00413959" w:rsidRDefault="00154576" w:rsidP="00154576">
            <w:pPr>
              <w:jc w:val="center"/>
              <w:rPr>
                <w:rFonts w:ascii="Arial" w:hAnsi="Arial" w:cs="Arial"/>
              </w:rPr>
            </w:pPr>
            <w:r w:rsidRPr="00413959">
              <w:rPr>
                <w:rFonts w:ascii="Arial" w:hAnsi="Arial" w:cs="Arial"/>
              </w:rPr>
              <w:t>22</w:t>
            </w:r>
          </w:p>
        </w:tc>
      </w:tr>
    </w:tbl>
    <w:p w14:paraId="1FCA30FD" w14:textId="77777777" w:rsidR="00154576" w:rsidRPr="00BA49B4" w:rsidRDefault="00154576" w:rsidP="00154576">
      <w:pPr>
        <w:rPr>
          <w:rFonts w:ascii="Arial" w:hAnsi="Arial" w:cs="Arial"/>
          <w:b/>
        </w:rPr>
      </w:pPr>
      <w:r w:rsidRPr="00A16DF6">
        <w:rPr>
          <w:rFonts w:ascii="Arial" w:hAnsi="Arial" w:cs="Arial"/>
        </w:rPr>
        <w:br w:type="page"/>
      </w:r>
      <w:r>
        <w:rPr>
          <w:rFonts w:ascii="Arial" w:hAnsi="Arial" w:cs="Arial"/>
          <w:b/>
        </w:rPr>
        <w:lastRenderedPageBreak/>
        <w:t>General background information</w:t>
      </w:r>
      <w:r w:rsidRPr="00732E63">
        <w:rPr>
          <w:rFonts w:ascii="Arial" w:hAnsi="Arial" w:cs="Arial"/>
          <w:b/>
        </w:rPr>
        <w:t xml:space="preserve"> about </w:t>
      </w:r>
      <w:r w:rsidRPr="00331826">
        <w:rPr>
          <w:rFonts w:ascii="Arial" w:hAnsi="Arial" w:cs="Arial"/>
          <w:b/>
        </w:rPr>
        <w:t>listing threatened species</w:t>
      </w:r>
    </w:p>
    <w:p w14:paraId="2AC61255" w14:textId="77777777" w:rsidR="00154576" w:rsidRDefault="00154576" w:rsidP="00154576">
      <w:pPr>
        <w:rPr>
          <w:rFonts w:ascii="Arial" w:hAnsi="Arial" w:cs="Arial"/>
        </w:rPr>
      </w:pPr>
      <w:r w:rsidRPr="007D3CBD">
        <w:rPr>
          <w:rFonts w:ascii="Arial" w:hAnsi="Arial" w:cs="Arial"/>
        </w:rPr>
        <w:t xml:space="preserve">The Australian Government helps protect species at risk </w:t>
      </w:r>
      <w:r>
        <w:rPr>
          <w:rFonts w:ascii="Arial" w:hAnsi="Arial" w:cs="Arial"/>
        </w:rPr>
        <w:t xml:space="preserve">of extinction </w:t>
      </w:r>
      <w:r w:rsidRPr="007D3CBD">
        <w:rPr>
          <w:rFonts w:ascii="Arial" w:hAnsi="Arial" w:cs="Arial"/>
        </w:rPr>
        <w:t>by listing them as threatened under Part 13 of the EPBC Act. Once listed</w:t>
      </w:r>
      <w:r>
        <w:rPr>
          <w:rFonts w:ascii="Arial" w:hAnsi="Arial" w:cs="Arial"/>
        </w:rPr>
        <w:t xml:space="preserve"> under the EPBC Act</w:t>
      </w:r>
      <w:r w:rsidRPr="007D3CBD">
        <w:rPr>
          <w:rFonts w:ascii="Arial" w:hAnsi="Arial" w:cs="Arial"/>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rPr>
        <w:t xml:space="preserve">More information about </w:t>
      </w:r>
      <w:r>
        <w:rPr>
          <w:rFonts w:ascii="Arial" w:hAnsi="Arial" w:cs="Arial"/>
        </w:rPr>
        <w:t>threatened species</w:t>
      </w:r>
      <w:r w:rsidRPr="00FD5B5C">
        <w:rPr>
          <w:rFonts w:ascii="Arial" w:hAnsi="Arial" w:cs="Arial"/>
        </w:rPr>
        <w:t xml:space="preserve"> is available on the department’s website at: </w:t>
      </w:r>
      <w:hyperlink r:id="rId14" w:history="1">
        <w:r w:rsidRPr="001A7A83">
          <w:rPr>
            <w:rStyle w:val="Hyperlink"/>
            <w:rFonts w:ascii="Arial" w:hAnsi="Arial" w:cs="Arial"/>
          </w:rPr>
          <w:t>http://www.environment.gov.au/biodiversity/threatened/index.html</w:t>
        </w:r>
      </w:hyperlink>
      <w:r>
        <w:rPr>
          <w:rFonts w:ascii="Arial" w:hAnsi="Arial" w:cs="Arial"/>
        </w:rPr>
        <w:t>.</w:t>
      </w:r>
    </w:p>
    <w:p w14:paraId="0BBA181B" w14:textId="77777777" w:rsidR="00154576" w:rsidRPr="00650D63" w:rsidRDefault="00154576" w:rsidP="00154576">
      <w:pPr>
        <w:rPr>
          <w:color w:val="1F497D"/>
        </w:rPr>
      </w:pPr>
      <w:r w:rsidRPr="00FD5B5C">
        <w:rPr>
          <w:rFonts w:ascii="Arial" w:hAnsi="Arial" w:cs="Arial"/>
        </w:rPr>
        <w:t xml:space="preserve">Public nominations to list </w:t>
      </w:r>
      <w:r>
        <w:rPr>
          <w:rFonts w:ascii="Arial" w:hAnsi="Arial" w:cs="Arial"/>
        </w:rPr>
        <w:t>threatened species</w:t>
      </w:r>
      <w:r w:rsidRPr="00FD5B5C">
        <w:rPr>
          <w:rFonts w:ascii="Arial" w:hAnsi="Arial" w:cs="Arial"/>
        </w:rPr>
        <w:t xml:space="preserve"> under the EPBC Act are rece</w:t>
      </w:r>
      <w:r>
        <w:rPr>
          <w:rFonts w:ascii="Arial" w:hAnsi="Arial" w:cs="Arial"/>
        </w:rPr>
        <w:t>ived annually by the Department</w:t>
      </w:r>
      <w:r w:rsidRPr="00FD5B5C">
        <w:rPr>
          <w:rFonts w:ascii="Arial" w:hAnsi="Arial" w:cs="Arial"/>
        </w:rPr>
        <w:t xml:space="preserve">. </w:t>
      </w:r>
      <w:proofErr w:type="gramStart"/>
      <w:r w:rsidRPr="00616F58">
        <w:rPr>
          <w:rFonts w:ascii="Arial" w:hAnsi="Arial" w:cs="Arial"/>
        </w:rPr>
        <w:t>In order to</w:t>
      </w:r>
      <w:proofErr w:type="gramEnd"/>
      <w:r w:rsidRPr="00616F58">
        <w:rPr>
          <w:rFonts w:ascii="Arial" w:hAnsi="Arial" w:cs="Arial"/>
        </w:rPr>
        <w:t xml:space="preserve"> determine if a species is eligible for listing</w:t>
      </w:r>
      <w:r>
        <w:rPr>
          <w:rFonts w:ascii="Arial" w:hAnsi="Arial" w:cs="Arial"/>
        </w:rPr>
        <w:t xml:space="preserve"> as threatened</w:t>
      </w:r>
      <w:r w:rsidRPr="00616F58">
        <w:rPr>
          <w:rFonts w:ascii="Arial" w:hAnsi="Arial" w:cs="Arial"/>
        </w:rPr>
        <w:t xml:space="preserve"> under the EPBC Act, the </w:t>
      </w:r>
      <w:r>
        <w:rPr>
          <w:rFonts w:ascii="Arial" w:hAnsi="Arial" w:cs="Arial"/>
        </w:rPr>
        <w:t xml:space="preserve">Threatened Species Scientific </w:t>
      </w:r>
      <w:r w:rsidRPr="00616F58">
        <w:rPr>
          <w:rFonts w:ascii="Arial" w:hAnsi="Arial" w:cs="Arial"/>
        </w:rPr>
        <w:t>Committee</w:t>
      </w:r>
      <w:r>
        <w:rPr>
          <w:rFonts w:ascii="Arial" w:hAnsi="Arial" w:cs="Arial"/>
        </w:rPr>
        <w:t xml:space="preserve"> (the Committee) undertakes</w:t>
      </w:r>
      <w:r w:rsidRPr="00616F58">
        <w:rPr>
          <w:rFonts w:ascii="Arial" w:hAnsi="Arial" w:cs="Arial"/>
        </w:rPr>
        <w:t xml:space="preserve"> a rigorous scientific assessment of its </w:t>
      </w:r>
      <w:r>
        <w:rPr>
          <w:rFonts w:ascii="Arial" w:hAnsi="Arial" w:cs="Arial"/>
        </w:rPr>
        <w:t xml:space="preserve">status </w:t>
      </w:r>
      <w:r w:rsidRPr="00616F58">
        <w:rPr>
          <w:rFonts w:ascii="Arial" w:hAnsi="Arial" w:cs="Arial"/>
        </w:rPr>
        <w:t xml:space="preserve">to determine if </w:t>
      </w:r>
      <w:r>
        <w:rPr>
          <w:rFonts w:ascii="Arial" w:hAnsi="Arial" w:cs="Arial"/>
        </w:rPr>
        <w:t xml:space="preserve">the species </w:t>
      </w:r>
      <w:r w:rsidRPr="00616F58">
        <w:rPr>
          <w:rFonts w:ascii="Arial" w:hAnsi="Arial" w:cs="Arial"/>
        </w:rPr>
        <w:t>is eligible for listing against a set of criteria</w:t>
      </w:r>
      <w:r>
        <w:rPr>
          <w:rFonts w:ascii="Arial" w:hAnsi="Arial" w:cs="Arial"/>
        </w:rPr>
        <w:t xml:space="preserve">. These </w:t>
      </w:r>
      <w:r w:rsidRPr="00616F58">
        <w:rPr>
          <w:rFonts w:ascii="Arial" w:hAnsi="Arial" w:cs="Arial"/>
        </w:rPr>
        <w:t>criteria</w:t>
      </w:r>
      <w:r>
        <w:rPr>
          <w:rFonts w:ascii="Arial" w:hAnsi="Arial" w:cs="Arial"/>
        </w:rPr>
        <w:t xml:space="preserve"> are </w:t>
      </w:r>
      <w:r w:rsidRPr="00616F58">
        <w:rPr>
          <w:rFonts w:ascii="Arial" w:hAnsi="Arial" w:cs="Arial"/>
        </w:rPr>
        <w:t>available</w:t>
      </w:r>
      <w:r>
        <w:rPr>
          <w:rFonts w:ascii="Arial" w:hAnsi="Arial" w:cs="Arial"/>
        </w:rPr>
        <w:t xml:space="preserve"> on the Department’s website</w:t>
      </w:r>
      <w:r w:rsidRPr="00616F58">
        <w:rPr>
          <w:rFonts w:ascii="Arial" w:hAnsi="Arial" w:cs="Arial"/>
        </w:rPr>
        <w:t xml:space="preserve"> at:</w:t>
      </w:r>
      <w:r>
        <w:rPr>
          <w:rFonts w:ascii="Arial" w:hAnsi="Arial" w:cs="Arial"/>
        </w:rPr>
        <w:t xml:space="preserve"> </w:t>
      </w:r>
      <w:hyperlink r:id="rId15" w:history="1">
        <w:r w:rsidRPr="001A7A83">
          <w:rPr>
            <w:rStyle w:val="Hyperlink"/>
            <w:rFonts w:ascii="Arial" w:hAnsi="Arial" w:cs="Arial"/>
          </w:rPr>
          <w:t>http://www.environment.gov.au/system/files/pages/d72dfd1a-f0d8-4699-8d43-5d95bbb02428/files/tssc-guidelines-assessing-species-2018.pdf</w:t>
        </w:r>
      </w:hyperlink>
      <w:r w:rsidRPr="00FB2C14">
        <w:rPr>
          <w:color w:val="1F497D"/>
        </w:rPr>
        <w:t>.</w:t>
      </w:r>
    </w:p>
    <w:p w14:paraId="7D3B7362" w14:textId="77777777" w:rsidR="00154576" w:rsidRDefault="00154576" w:rsidP="00154576">
      <w:pPr>
        <w:rPr>
          <w:rFonts w:ascii="Arial" w:hAnsi="Arial" w:cs="Arial"/>
        </w:rPr>
      </w:pPr>
      <w:r w:rsidRPr="00FD5B5C">
        <w:rPr>
          <w:rFonts w:ascii="Arial" w:hAnsi="Arial" w:cs="Arial"/>
        </w:rPr>
        <w:t xml:space="preserve">As part of the assessment process, the Committee consults with the public and stakeholders to obtain specific details </w:t>
      </w:r>
      <w:r>
        <w:rPr>
          <w:rFonts w:ascii="Arial" w:hAnsi="Arial" w:cs="Arial"/>
        </w:rPr>
        <w:t>about</w:t>
      </w:r>
      <w:r w:rsidRPr="00FD5B5C">
        <w:rPr>
          <w:rFonts w:ascii="Arial" w:hAnsi="Arial" w:cs="Arial"/>
        </w:rPr>
        <w:t xml:space="preserve"> the </w:t>
      </w:r>
      <w:r>
        <w:rPr>
          <w:rFonts w:ascii="Arial" w:hAnsi="Arial" w:cs="Arial"/>
        </w:rPr>
        <w:t>species</w:t>
      </w:r>
      <w:r w:rsidRPr="00FD5B5C">
        <w:rPr>
          <w:rFonts w:ascii="Arial" w:hAnsi="Arial" w:cs="Arial"/>
        </w:rPr>
        <w:t xml:space="preserve">, as well as advice on what </w:t>
      </w:r>
      <w:r>
        <w:rPr>
          <w:rFonts w:ascii="Arial" w:hAnsi="Arial" w:cs="Arial"/>
        </w:rPr>
        <w:t>conservation</w:t>
      </w:r>
      <w:r w:rsidRPr="00FD5B5C">
        <w:rPr>
          <w:rFonts w:ascii="Arial" w:hAnsi="Arial" w:cs="Arial"/>
        </w:rPr>
        <w:t xml:space="preserve"> actions might be appropriate. Information provided through the consultation process is considered by the Committee in its assessment. </w:t>
      </w:r>
      <w:r>
        <w:rPr>
          <w:rFonts w:ascii="Arial" w:hAnsi="Arial" w:cs="Arial"/>
        </w:rPr>
        <w:t>The Committee provides its advice on the assessment (together with comments received) to</w:t>
      </w:r>
      <w:r w:rsidRPr="00FD5B5C">
        <w:rPr>
          <w:rFonts w:ascii="Arial" w:hAnsi="Arial" w:cs="Arial"/>
        </w:rPr>
        <w:t xml:space="preserve"> the Minister regarding the eligibility of the </w:t>
      </w:r>
      <w:r>
        <w:rPr>
          <w:rFonts w:ascii="Arial" w:hAnsi="Arial" w:cs="Arial"/>
        </w:rPr>
        <w:t>species</w:t>
      </w:r>
      <w:r w:rsidRPr="00FD5B5C">
        <w:rPr>
          <w:rFonts w:ascii="Arial" w:hAnsi="Arial" w:cs="Arial"/>
        </w:rPr>
        <w:t xml:space="preserve"> for listing</w:t>
      </w:r>
      <w:r>
        <w:rPr>
          <w:rFonts w:ascii="Arial" w:hAnsi="Arial" w:cs="Arial"/>
        </w:rPr>
        <w:t xml:space="preserve"> under a particular category</w:t>
      </w:r>
      <w:r w:rsidRPr="00FD5B5C">
        <w:rPr>
          <w:rFonts w:ascii="Arial" w:hAnsi="Arial" w:cs="Arial"/>
        </w:rPr>
        <w:t xml:space="preserve"> and what </w:t>
      </w:r>
      <w:r>
        <w:rPr>
          <w:rFonts w:ascii="Arial" w:hAnsi="Arial" w:cs="Arial"/>
        </w:rPr>
        <w:t>conservation</w:t>
      </w:r>
      <w:r w:rsidRPr="00FD5B5C">
        <w:rPr>
          <w:rFonts w:ascii="Arial" w:hAnsi="Arial" w:cs="Arial"/>
        </w:rPr>
        <w:t xml:space="preserve"> actions might be appropriate. The Minister decides to add, or not to add, </w:t>
      </w:r>
      <w:r>
        <w:rPr>
          <w:rFonts w:ascii="Arial" w:hAnsi="Arial" w:cs="Arial"/>
        </w:rPr>
        <w:t>the species to the list of threatened species</w:t>
      </w:r>
      <w:r w:rsidRPr="00FD5B5C">
        <w:rPr>
          <w:rFonts w:ascii="Arial" w:hAnsi="Arial" w:cs="Arial"/>
        </w:rPr>
        <w:t xml:space="preserve"> under the EPBC Act.</w:t>
      </w:r>
      <w:r w:rsidRPr="00E04B1E">
        <w:rPr>
          <w:rFonts w:ascii="Arial" w:hAnsi="Arial" w:cs="Arial"/>
        </w:rPr>
        <w:t xml:space="preserve"> </w:t>
      </w:r>
      <w:r w:rsidRPr="007D3CBD">
        <w:rPr>
          <w:rFonts w:ascii="Arial" w:hAnsi="Arial" w:cs="Arial"/>
        </w:rPr>
        <w:t>More detailed information about the</w:t>
      </w:r>
      <w:r>
        <w:rPr>
          <w:rFonts w:ascii="Arial" w:hAnsi="Arial" w:cs="Arial"/>
        </w:rPr>
        <w:t xml:space="preserve"> listing process is at: </w:t>
      </w:r>
      <w:hyperlink r:id="rId16" w:history="1">
        <w:r w:rsidRPr="007C4BD5">
          <w:rPr>
            <w:rStyle w:val="Hyperlink"/>
            <w:rFonts w:ascii="Arial" w:hAnsi="Arial" w:cs="Arial"/>
          </w:rPr>
          <w:t>http://www.environment.gov.au/biodiversity/threatened/nominations.html</w:t>
        </w:r>
      </w:hyperlink>
      <w:r>
        <w:rPr>
          <w:rFonts w:ascii="Arial" w:hAnsi="Arial" w:cs="Arial"/>
        </w:rPr>
        <w:t>.</w:t>
      </w:r>
    </w:p>
    <w:p w14:paraId="6CC683EA" w14:textId="77777777" w:rsidR="00154576" w:rsidRDefault="00154576" w:rsidP="00154576">
      <w:pPr>
        <w:rPr>
          <w:rFonts w:ascii="Arial" w:hAnsi="Arial" w:cs="Arial"/>
        </w:rPr>
      </w:pPr>
      <w:r w:rsidRPr="007D3CBD">
        <w:rPr>
          <w:rFonts w:ascii="Arial" w:hAnsi="Arial" w:cs="Arial"/>
        </w:rPr>
        <w:t xml:space="preserve">To promote the recovery of listed threatened species and ecological communities, conservation </w:t>
      </w:r>
      <w:proofErr w:type="gramStart"/>
      <w:r w:rsidRPr="007D3CBD">
        <w:rPr>
          <w:rFonts w:ascii="Arial" w:hAnsi="Arial" w:cs="Arial"/>
        </w:rPr>
        <w:t>advices</w:t>
      </w:r>
      <w:proofErr w:type="gramEnd"/>
      <w:r w:rsidRPr="007D3CBD">
        <w:rPr>
          <w:rFonts w:ascii="Arial" w:hAnsi="Arial" w:cs="Arial"/>
        </w:rPr>
        <w:t xml:space="preserve"> and</w:t>
      </w:r>
      <w:r>
        <w:rPr>
          <w:rFonts w:ascii="Arial" w:hAnsi="Arial" w:cs="Arial"/>
        </w:rPr>
        <w:t xml:space="preserve"> where required,</w:t>
      </w:r>
      <w:r w:rsidRPr="007D3CBD">
        <w:rPr>
          <w:rFonts w:ascii="Arial" w:hAnsi="Arial" w:cs="Arial"/>
        </w:rPr>
        <w:t xml:space="preserve"> recovery plans are made or adopted in accordance with Part 13 of the EPBC Act. Conservation </w:t>
      </w:r>
      <w:proofErr w:type="gramStart"/>
      <w:r w:rsidRPr="007D3CBD">
        <w:rPr>
          <w:rFonts w:ascii="Arial" w:hAnsi="Arial" w:cs="Arial"/>
        </w:rPr>
        <w:t>advices</w:t>
      </w:r>
      <w:proofErr w:type="gramEnd"/>
      <w:r w:rsidRPr="007D3CBD">
        <w:rPr>
          <w:rFonts w:ascii="Arial"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rPr>
        <w:t>I</w:t>
      </w:r>
      <w:r w:rsidRPr="007D3CBD">
        <w:rPr>
          <w:rFonts w:ascii="Arial" w:hAnsi="Arial" w:cs="Arial"/>
        </w:rPr>
        <w:t xml:space="preserve">nformation about recovery plans is available on the department’s website at: </w:t>
      </w:r>
      <w:hyperlink r:id="rId17" w:history="1">
        <w:r w:rsidRPr="00806CE6">
          <w:rPr>
            <w:rStyle w:val="Hyperlink"/>
            <w:rFonts w:ascii="Arial" w:hAnsi="Arial" w:cs="Arial"/>
          </w:rPr>
          <w:t>http://www.environment.gov.au/biodiversity/threatened/recovery.html</w:t>
        </w:r>
      </w:hyperlink>
      <w:r>
        <w:rPr>
          <w:rFonts w:ascii="Arial" w:hAnsi="Arial" w:cs="Arial"/>
        </w:rPr>
        <w:t>.</w:t>
      </w:r>
    </w:p>
    <w:p w14:paraId="16BF9807" w14:textId="77777777" w:rsidR="00154576" w:rsidRPr="001111B2" w:rsidRDefault="00154576" w:rsidP="00154576">
      <w:pPr>
        <w:rPr>
          <w:rFonts w:ascii="Arial" w:hAnsi="Arial" w:cs="Arial"/>
          <w:b/>
        </w:rPr>
      </w:pPr>
      <w:r w:rsidRPr="001111B2">
        <w:rPr>
          <w:rFonts w:ascii="Arial" w:hAnsi="Arial" w:cs="Arial"/>
          <w:b/>
        </w:rPr>
        <w:t>Privacy notice</w:t>
      </w:r>
    </w:p>
    <w:p w14:paraId="4F380D4C" w14:textId="77777777" w:rsidR="00154576" w:rsidRPr="001111B2" w:rsidRDefault="00154576" w:rsidP="00154576">
      <w:pPr>
        <w:rPr>
          <w:rFonts w:ascii="Arial" w:hAnsi="Arial" w:cs="Arial"/>
        </w:rPr>
      </w:pPr>
      <w:r w:rsidRPr="001111B2">
        <w:rPr>
          <w:rFonts w:ascii="Arial" w:hAnsi="Arial" w:cs="Arial"/>
        </w:rPr>
        <w:t xml:space="preserve">The Department will collect, use, store and disclose the personal information you provide in a manner consistent with the Department’s obligations under the </w:t>
      </w:r>
      <w:r w:rsidRPr="00986028">
        <w:rPr>
          <w:rFonts w:ascii="Arial" w:hAnsi="Arial" w:cs="Arial"/>
          <w:i/>
        </w:rPr>
        <w:t>Privacy Act 1988</w:t>
      </w:r>
      <w:r w:rsidRPr="001111B2">
        <w:rPr>
          <w:rFonts w:ascii="Arial" w:hAnsi="Arial" w:cs="Arial"/>
        </w:rPr>
        <w:t xml:space="preserve"> (</w:t>
      </w:r>
      <w:proofErr w:type="spellStart"/>
      <w:r w:rsidRPr="001111B2">
        <w:rPr>
          <w:rFonts w:ascii="Arial" w:hAnsi="Arial" w:cs="Arial"/>
        </w:rPr>
        <w:t>Cwth</w:t>
      </w:r>
      <w:proofErr w:type="spellEnd"/>
      <w:r w:rsidRPr="001111B2">
        <w:rPr>
          <w:rFonts w:ascii="Arial" w:hAnsi="Arial" w:cs="Arial"/>
        </w:rPr>
        <w:t>) and the Department’s Privacy Policy.</w:t>
      </w:r>
    </w:p>
    <w:p w14:paraId="346304C3" w14:textId="77777777" w:rsidR="00154576" w:rsidRPr="001111B2" w:rsidRDefault="00154576" w:rsidP="00154576">
      <w:pPr>
        <w:rPr>
          <w:rFonts w:ascii="Arial" w:hAnsi="Arial" w:cs="Arial"/>
        </w:rPr>
      </w:pPr>
      <w:r w:rsidRPr="001111B2">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5BA72BF" w14:textId="77777777" w:rsidR="00154576" w:rsidRPr="001111B2" w:rsidRDefault="00154576" w:rsidP="00154576">
      <w:pPr>
        <w:rPr>
          <w:rFonts w:ascii="Arial" w:hAnsi="Arial" w:cs="Arial"/>
        </w:rPr>
      </w:pPr>
      <w:r w:rsidRPr="001111B2">
        <w:rPr>
          <w:rFonts w:ascii="Arial"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1111B2">
        <w:rPr>
          <w:rFonts w:ascii="Arial" w:hAnsi="Arial" w:cs="Arial"/>
        </w:rPr>
        <w:t>making a decision</w:t>
      </w:r>
      <w:proofErr w:type="gramEnd"/>
      <w:r w:rsidRPr="001111B2">
        <w:rPr>
          <w:rFonts w:ascii="Arial" w:hAnsi="Arial" w:cs="Arial"/>
        </w:rPr>
        <w:t xml:space="preserve"> on </w:t>
      </w:r>
      <w:r w:rsidRPr="001111B2">
        <w:rPr>
          <w:rFonts w:ascii="Arial" w:hAnsi="Arial" w:cs="Arial"/>
        </w:rPr>
        <w:lastRenderedPageBreak/>
        <w:t xml:space="preserve">the status of a potentially threatened species. This is also known as the </w:t>
      </w:r>
      <w:hyperlink r:id="rId18" w:history="1">
        <w:r w:rsidRPr="001111B2">
          <w:rPr>
            <w:rStyle w:val="Hyperlink"/>
            <w:rFonts w:ascii="Arial" w:hAnsi="Arial" w:cs="Arial"/>
          </w:rPr>
          <w:t>‘common assessment method’</w:t>
        </w:r>
      </w:hyperlink>
      <w:r w:rsidRPr="001111B2">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6CD0F548" w14:textId="77777777" w:rsidR="00154576" w:rsidRPr="00BA49B4" w:rsidRDefault="00154576" w:rsidP="00154576">
      <w:pPr>
        <w:rPr>
          <w:rFonts w:ascii="Arial" w:hAnsi="Arial" w:cs="Arial"/>
        </w:rPr>
      </w:pPr>
      <w:r w:rsidRPr="001111B2">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sidRPr="00667AE5">
          <w:rPr>
            <w:rStyle w:val="Hyperlink"/>
            <w:rFonts w:ascii="Arial" w:hAnsi="Arial" w:cs="Arial"/>
          </w:rPr>
          <w:t>http://environment.gov.au/privacy-policy</w:t>
        </w:r>
      </w:hyperlink>
      <w:r>
        <w:rPr>
          <w:rFonts w:ascii="Arial" w:hAnsi="Arial" w:cs="Arial"/>
        </w:rPr>
        <w:t xml:space="preserve"> .</w:t>
      </w:r>
    </w:p>
    <w:p w14:paraId="275EBA94" w14:textId="77777777" w:rsidR="00154576" w:rsidRPr="00BA49B4" w:rsidRDefault="00154576" w:rsidP="00154576">
      <w:pPr>
        <w:rPr>
          <w:rFonts w:ascii="Arial" w:hAnsi="Arial" w:cs="Arial"/>
          <w:b/>
        </w:rPr>
      </w:pPr>
      <w:r>
        <w:rPr>
          <w:rFonts w:ascii="Arial" w:hAnsi="Arial" w:cs="Arial"/>
          <w:b/>
        </w:rPr>
        <w:t xml:space="preserve">Information about this </w:t>
      </w:r>
      <w:r w:rsidRPr="00D06A4A">
        <w:rPr>
          <w:rFonts w:ascii="Arial" w:hAnsi="Arial" w:cs="Arial"/>
          <w:b/>
        </w:rPr>
        <w:t>consultation</w:t>
      </w:r>
      <w:r>
        <w:rPr>
          <w:rFonts w:ascii="Arial" w:hAnsi="Arial" w:cs="Arial"/>
          <w:b/>
        </w:rPr>
        <w:t xml:space="preserve"> process</w:t>
      </w:r>
    </w:p>
    <w:p w14:paraId="78287722" w14:textId="77777777" w:rsidR="00154576" w:rsidRDefault="00154576" w:rsidP="00154576">
      <w:pPr>
        <w:rPr>
          <w:rFonts w:ascii="Arial" w:hAnsi="Arial" w:cs="Arial"/>
        </w:rPr>
      </w:pPr>
      <w:r>
        <w:rPr>
          <w:rFonts w:ascii="Arial" w:hAnsi="Arial" w:cs="Arial"/>
        </w:rPr>
        <w:t>R</w:t>
      </w:r>
      <w:r w:rsidRPr="00616F58">
        <w:rPr>
          <w:rFonts w:ascii="Arial" w:hAnsi="Arial" w:cs="Arial"/>
        </w:rPr>
        <w:t xml:space="preserve">esponses to this consultation </w:t>
      </w:r>
      <w:r>
        <w:rPr>
          <w:rFonts w:ascii="Arial" w:hAnsi="Arial" w:cs="Arial"/>
        </w:rPr>
        <w:t xml:space="preserve">can be provided electronically or in hard copy to the contact addresses provided on Page 1. All responses received </w:t>
      </w:r>
      <w:r w:rsidRPr="00616F58">
        <w:rPr>
          <w:rFonts w:ascii="Arial" w:hAnsi="Arial" w:cs="Arial"/>
        </w:rPr>
        <w:t>will be provided in full to the</w:t>
      </w:r>
      <w:r>
        <w:rPr>
          <w:rFonts w:ascii="Arial" w:hAnsi="Arial" w:cs="Arial"/>
        </w:rPr>
        <w:t xml:space="preserve"> Committee and then to the</w:t>
      </w:r>
      <w:r w:rsidRPr="00616F58">
        <w:rPr>
          <w:rFonts w:ascii="Arial" w:hAnsi="Arial" w:cs="Arial"/>
        </w:rPr>
        <w:t xml:space="preserv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436F5C78" w14:textId="77777777" w:rsidR="00154576" w:rsidRPr="00616F58" w:rsidRDefault="00154576" w:rsidP="00154576">
      <w:pPr>
        <w:rPr>
          <w:rFonts w:ascii="Arial" w:hAnsi="Arial" w:cs="Arial"/>
        </w:rPr>
      </w:pPr>
      <w:r w:rsidRPr="00616F58">
        <w:rPr>
          <w:rFonts w:ascii="Arial" w:hAnsi="Arial" w:cs="Arial"/>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rPr>
        <w:t xml:space="preserve">a </w:t>
      </w:r>
      <w:r w:rsidRPr="00616F58">
        <w:rPr>
          <w:rFonts w:ascii="Arial" w:hAnsi="Arial" w:cs="Arial"/>
        </w:rPr>
        <w:t>‘personal communication’ unless you provide references or otherwise attribute this information</w:t>
      </w:r>
      <w:r>
        <w:rPr>
          <w:rFonts w:ascii="Arial" w:hAnsi="Arial" w:cs="Arial"/>
        </w:rPr>
        <w:t xml:space="preserve"> (please specify if your organisation requires that this information is attributed to your organisation instead of yourself)</w:t>
      </w:r>
      <w:r w:rsidRPr="00616F58">
        <w:rPr>
          <w:rFonts w:ascii="Arial" w:hAnsi="Arial" w:cs="Arial"/>
        </w:rPr>
        <w:t>.</w:t>
      </w:r>
      <w:r>
        <w:rPr>
          <w:rFonts w:ascii="Arial" w:hAnsi="Arial" w:cs="Arial"/>
        </w:rPr>
        <w:t xml:space="preserve"> </w:t>
      </w:r>
      <w:r w:rsidRPr="00616F58">
        <w:rPr>
          <w:rFonts w:ascii="Arial" w:hAnsi="Arial" w:cs="Arial"/>
        </w:rPr>
        <w:t xml:space="preserve">The final advice </w:t>
      </w:r>
      <w:r>
        <w:rPr>
          <w:rFonts w:ascii="Arial" w:hAnsi="Arial" w:cs="Arial"/>
        </w:rPr>
        <w:t xml:space="preserve">by the Committee </w:t>
      </w:r>
      <w:r w:rsidRPr="00616F58">
        <w:rPr>
          <w:rFonts w:ascii="Arial" w:hAnsi="Arial" w:cs="Arial"/>
        </w:rPr>
        <w:t xml:space="preserve">will be published on the department’s website </w:t>
      </w:r>
      <w:r>
        <w:rPr>
          <w:rFonts w:ascii="Arial" w:hAnsi="Arial" w:cs="Arial"/>
        </w:rPr>
        <w:t>following the listing</w:t>
      </w:r>
      <w:r w:rsidRPr="00616F58">
        <w:rPr>
          <w:rFonts w:ascii="Arial" w:hAnsi="Arial" w:cs="Arial"/>
        </w:rPr>
        <w:t xml:space="preserve"> decision </w:t>
      </w:r>
      <w:r>
        <w:rPr>
          <w:rFonts w:ascii="Arial" w:hAnsi="Arial" w:cs="Arial"/>
        </w:rPr>
        <w:t>by the Minister.</w:t>
      </w:r>
    </w:p>
    <w:p w14:paraId="2A9AB1CD" w14:textId="6A8173D3" w:rsidR="00154576" w:rsidRPr="004F4A8C" w:rsidRDefault="00154576" w:rsidP="004F4A8C">
      <w:pPr>
        <w:rPr>
          <w:rFonts w:ascii="Arial" w:hAnsi="Arial" w:cs="Arial"/>
        </w:rPr>
      </w:pPr>
      <w:r w:rsidRPr="00616F58">
        <w:rPr>
          <w:rFonts w:ascii="Arial" w:hAnsi="Arial" w:cs="Arial"/>
        </w:rPr>
        <w:t>Information provided through consultation may be subject to freedom of information legislation and court processes. It is also important to note that under the EPBC Act,</w:t>
      </w:r>
      <w:r w:rsidRPr="00616F58">
        <w:rPr>
          <w:rFonts w:ascii="Arial" w:hAnsi="Arial" w:cs="Arial"/>
          <w:i/>
        </w:rPr>
        <w:t xml:space="preserve"> </w:t>
      </w:r>
      <w:r w:rsidRPr="00616F58">
        <w:rPr>
          <w:rFonts w:ascii="Arial" w:hAnsi="Arial" w:cs="Arial"/>
        </w:rPr>
        <w:t>the deliberations and recommendations of the Committee are confidential until the Minister has made a final decision on the nomination, unless otherwise determined by the Minister</w:t>
      </w:r>
      <w:bookmarkEnd w:id="0"/>
      <w:r w:rsidR="004F4A8C">
        <w:rPr>
          <w:rFonts w:ascii="Arial" w:hAnsi="Arial" w:cs="Arial"/>
        </w:rPr>
        <w:t>.</w:t>
      </w:r>
    </w:p>
    <w:p w14:paraId="0C15A558" w14:textId="77777777" w:rsidR="004F4A8C" w:rsidRDefault="004F4A8C" w:rsidP="003113EE">
      <w:pPr>
        <w:pStyle w:val="Heading1"/>
        <w:sectPr w:rsidR="004F4A8C" w:rsidSect="005208A6">
          <w:headerReference w:type="even" r:id="rId20"/>
          <w:headerReference w:type="default" r:id="rId21"/>
          <w:footerReference w:type="default" r:id="rId22"/>
          <w:headerReference w:type="first" r:id="rId23"/>
          <w:footerReference w:type="first" r:id="rId24"/>
          <w:pgSz w:w="11906" w:h="16838"/>
          <w:pgMar w:top="1418" w:right="1418" w:bottom="1418" w:left="1418" w:header="567" w:footer="284" w:gutter="0"/>
          <w:cols w:space="708"/>
          <w:titlePg/>
          <w:docGrid w:linePitch="360"/>
        </w:sectPr>
      </w:pPr>
    </w:p>
    <w:p w14:paraId="56667D40" w14:textId="40976BF6" w:rsidR="003113EE" w:rsidRPr="003113EE" w:rsidRDefault="008132B0" w:rsidP="003113EE">
      <w:pPr>
        <w:pStyle w:val="Heading1"/>
      </w:pPr>
      <w:r>
        <w:lastRenderedPageBreak/>
        <w:t>Consultation Document</w:t>
      </w:r>
      <w:r w:rsidR="00460C44">
        <w:t xml:space="preserve"> for </w:t>
      </w:r>
      <w:r w:rsidR="00B16806">
        <w:br/>
      </w:r>
      <w:proofErr w:type="spellStart"/>
      <w:r w:rsidRPr="008132B0">
        <w:rPr>
          <w:rStyle w:val="Emphasis"/>
        </w:rPr>
        <w:t>Stagonopleura</w:t>
      </w:r>
      <w:proofErr w:type="spellEnd"/>
      <w:r w:rsidRPr="008132B0">
        <w:rPr>
          <w:rStyle w:val="Emphasis"/>
        </w:rPr>
        <w:t xml:space="preserve"> guttata </w:t>
      </w:r>
      <w:r w:rsidRPr="008132B0">
        <w:rPr>
          <w:rStyle w:val="Emphasis"/>
          <w:i w:val="0"/>
          <w:iCs w:val="0"/>
        </w:rPr>
        <w:t>(Diamond Firetail)</w:t>
      </w:r>
    </w:p>
    <w:p w14:paraId="4013CCAE" w14:textId="5E93DFE5" w:rsidR="00726C57" w:rsidRDefault="00726C57" w:rsidP="00726C57">
      <w:pPr>
        <w:pStyle w:val="FigureTableNoteSource"/>
        <w:jc w:val="center"/>
        <w:rPr>
          <w:color w:val="C00000"/>
          <w:highlight w:val="yellow"/>
        </w:rPr>
      </w:pPr>
      <w:bookmarkStart w:id="1" w:name="_Hlk46319602"/>
      <w:r>
        <w:rPr>
          <w:noProof/>
          <w:color w:val="C00000"/>
        </w:rPr>
        <w:drawing>
          <wp:inline distT="0" distB="0" distL="0" distR="0" wp14:anchorId="6A01481A" wp14:editId="3A4C2D07">
            <wp:extent cx="5758636" cy="3506526"/>
            <wp:effectExtent l="0" t="0" r="0" b="0"/>
            <wp:docPr id="2" name="Picture 2" descr="A picture containing bird, outdoor, groun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ird, outdoor, ground, standing&#10;&#10;Description automatically generated"/>
                    <pic:cNvPicPr/>
                  </pic:nvPicPr>
                  <pic:blipFill rotWithShape="1">
                    <a:blip r:embed="rId25" cstate="print">
                      <a:extLst>
                        <a:ext uri="{28A0092B-C50C-407E-A947-70E740481C1C}">
                          <a14:useLocalDpi xmlns:a14="http://schemas.microsoft.com/office/drawing/2010/main" val="0"/>
                        </a:ext>
                      </a:extLst>
                    </a:blip>
                    <a:srcRect t="14173" b="4644"/>
                    <a:stretch/>
                  </pic:blipFill>
                  <pic:spPr bwMode="auto">
                    <a:xfrm>
                      <a:off x="0" y="0"/>
                      <a:ext cx="5759450" cy="3507022"/>
                    </a:xfrm>
                    <a:prstGeom prst="rect">
                      <a:avLst/>
                    </a:prstGeom>
                    <a:ln>
                      <a:noFill/>
                    </a:ln>
                    <a:extLst>
                      <a:ext uri="{53640926-AAD7-44D8-BBD7-CCE9431645EC}">
                        <a14:shadowObscured xmlns:a14="http://schemas.microsoft.com/office/drawing/2010/main"/>
                      </a:ext>
                    </a:extLst>
                  </pic:spPr>
                </pic:pic>
              </a:graphicData>
            </a:graphic>
          </wp:inline>
        </w:drawing>
      </w:r>
    </w:p>
    <w:p w14:paraId="2BF0493E" w14:textId="530B6FDE" w:rsidR="000A6133" w:rsidRPr="004F4A8C" w:rsidRDefault="004F4A8C" w:rsidP="004F4A8C">
      <w:pPr>
        <w:pStyle w:val="FigureTableNoteSource"/>
      </w:pPr>
      <w:r w:rsidRPr="004F4A8C">
        <w:t>Diamond Firetail (</w:t>
      </w:r>
      <w:proofErr w:type="spellStart"/>
      <w:r w:rsidRPr="004F4A8C">
        <w:rPr>
          <w:i/>
          <w:iCs/>
        </w:rPr>
        <w:t>Stagonopleura</w:t>
      </w:r>
      <w:proofErr w:type="spellEnd"/>
      <w:r w:rsidRPr="004F4A8C">
        <w:rPr>
          <w:i/>
          <w:iCs/>
        </w:rPr>
        <w:t xml:space="preserve"> guttata</w:t>
      </w:r>
      <w:r w:rsidRPr="004F4A8C">
        <w:t xml:space="preserve">) </w:t>
      </w:r>
      <w:r w:rsidR="00A81027" w:rsidRPr="004F4A8C">
        <w:t>©</w:t>
      </w:r>
      <w:r w:rsidR="000A6133" w:rsidRPr="004F4A8C">
        <w:t xml:space="preserve"> Copyright,</w:t>
      </w:r>
      <w:r w:rsidRPr="004F4A8C">
        <w:t xml:space="preserve"> Dennis Jacobsen</w:t>
      </w:r>
      <w:r w:rsidR="000A6133" w:rsidRPr="004F4A8C">
        <w:t xml:space="preserve"> (</w:t>
      </w:r>
      <w:r w:rsidR="00E64903">
        <w:t xml:space="preserve">from </w:t>
      </w:r>
      <w:r w:rsidRPr="004F4A8C">
        <w:t>Shutterstock</w:t>
      </w:r>
      <w:r w:rsidR="000A6133" w:rsidRPr="004F4A8C">
        <w:t xml:space="preserve">) </w:t>
      </w:r>
    </w:p>
    <w:bookmarkEnd w:id="1"/>
    <w:p w14:paraId="60289CE8" w14:textId="049296E6" w:rsidR="006D3581" w:rsidRDefault="006D3581" w:rsidP="006D3581">
      <w:pPr>
        <w:pStyle w:val="Heading2"/>
        <w:ind w:left="720" w:hanging="720"/>
      </w:pPr>
      <w:r>
        <w:t>Conservation status</w:t>
      </w:r>
    </w:p>
    <w:p w14:paraId="06B397F3" w14:textId="4B670D9B" w:rsidR="008132B0" w:rsidRPr="008132B0" w:rsidRDefault="008132B0" w:rsidP="008132B0">
      <w:pPr>
        <w:rPr>
          <w:lang w:eastAsia="ja-JP"/>
        </w:rPr>
      </w:pPr>
      <w:proofErr w:type="spellStart"/>
      <w:r w:rsidRPr="008132B0">
        <w:rPr>
          <w:i/>
          <w:iCs/>
        </w:rPr>
        <w:t>Stagonopleura</w:t>
      </w:r>
      <w:proofErr w:type="spellEnd"/>
      <w:r w:rsidRPr="008132B0">
        <w:rPr>
          <w:i/>
          <w:iCs/>
        </w:rPr>
        <w:t xml:space="preserve"> guttata</w:t>
      </w:r>
      <w:r w:rsidRPr="008132B0">
        <w:t xml:space="preserve"> (Diamond Firetail)</w:t>
      </w:r>
      <w:r>
        <w:t xml:space="preserve"> is being</w:t>
      </w:r>
      <w:r w:rsidRPr="008615F4">
        <w:t xml:space="preserve"> assessed by the Threatened Species Scientific Committee to be eligible for listing </w:t>
      </w:r>
      <w:r w:rsidRPr="00E37B1D">
        <w:t>under the EPBC Act. The Committee’s preliminary assessment is at Attachment A. The Committee’s preliminary assessmen</w:t>
      </w:r>
      <w:r w:rsidRPr="008615F4">
        <w:t>t of the species’ eligibility against each of the listing criteria is:</w:t>
      </w:r>
    </w:p>
    <w:p w14:paraId="4B74EDD6" w14:textId="04BBC3D1" w:rsidR="004D2790" w:rsidRDefault="004D2790" w:rsidP="004D2790">
      <w:pPr>
        <w:pStyle w:val="ListBullet"/>
      </w:pPr>
      <w:r>
        <w:t>Criterion 1: A2</w:t>
      </w:r>
      <w:r w:rsidR="008A6F13">
        <w:t>bc</w:t>
      </w:r>
      <w:r w:rsidR="008132B0">
        <w:t>e</w:t>
      </w:r>
      <w:r w:rsidR="00903833">
        <w:t>+</w:t>
      </w:r>
      <w:r>
        <w:t>3</w:t>
      </w:r>
      <w:r w:rsidR="008A6F13">
        <w:t>ce</w:t>
      </w:r>
      <w:r w:rsidR="00903833">
        <w:t>+</w:t>
      </w:r>
      <w:r>
        <w:t xml:space="preserve">4bce: </w:t>
      </w:r>
      <w:sdt>
        <w:sdtPr>
          <w:id w:val="77107183"/>
          <w:placeholder>
            <w:docPart w:val="FBDD99FE0561433789195F5D645CA0F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E556E">
            <w:t>Vulnerable</w:t>
          </w:r>
        </w:sdtContent>
      </w:sdt>
    </w:p>
    <w:p w14:paraId="5FD50674" w14:textId="77A8A395" w:rsidR="004D2790" w:rsidRDefault="004D2790" w:rsidP="004D2790">
      <w:pPr>
        <w:pStyle w:val="ListBullet"/>
      </w:pPr>
      <w:r>
        <w:t xml:space="preserve">Criterion 2: </w:t>
      </w:r>
      <w:r w:rsidR="008132B0">
        <w:t>Not eligible</w:t>
      </w:r>
    </w:p>
    <w:p w14:paraId="0A657692" w14:textId="568747B3" w:rsidR="004D2790" w:rsidRDefault="004D2790" w:rsidP="004D2790">
      <w:pPr>
        <w:pStyle w:val="ListBullet"/>
      </w:pPr>
      <w:r>
        <w:t xml:space="preserve">Criterion 3: </w:t>
      </w:r>
      <w:r w:rsidR="008132B0">
        <w:t>Not eligible</w:t>
      </w:r>
    </w:p>
    <w:p w14:paraId="76DE35F5" w14:textId="2445B6E2" w:rsidR="002E32CA" w:rsidRDefault="004D2790" w:rsidP="004D2790">
      <w:pPr>
        <w:pStyle w:val="ListBullet"/>
      </w:pPr>
      <w:r>
        <w:t xml:space="preserve">Criterion 4: </w:t>
      </w:r>
      <w:r w:rsidR="008132B0">
        <w:t>Not eligible</w:t>
      </w:r>
    </w:p>
    <w:p w14:paraId="433A9160" w14:textId="242B8A38" w:rsidR="005306BA" w:rsidRDefault="004D2790" w:rsidP="003A06CA">
      <w:pPr>
        <w:pStyle w:val="ListBullet"/>
      </w:pPr>
      <w:r>
        <w:t xml:space="preserve">Criterion 5: </w:t>
      </w:r>
      <w:sdt>
        <w:sdtPr>
          <w:id w:val="1205373663"/>
          <w:placeholder>
            <w:docPart w:val="512EE983CED14C46848387C7EB105B7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E556E">
            <w:t>Insufficient data</w:t>
          </w:r>
        </w:sdtContent>
      </w:sdt>
    </w:p>
    <w:p w14:paraId="3F12C0FD" w14:textId="18306197" w:rsidR="00893E37" w:rsidRDefault="004D2790" w:rsidP="00893E37">
      <w:r>
        <w:t xml:space="preserve">The main factor that </w:t>
      </w:r>
      <w:r w:rsidR="008132B0">
        <w:t>appear</w:t>
      </w:r>
      <w:r w:rsidR="006E4DAB">
        <w:t>s</w:t>
      </w:r>
      <w:r w:rsidR="008132B0">
        <w:t xml:space="preserve"> to </w:t>
      </w:r>
      <w:r>
        <w:t xml:space="preserve">make the species eligible for listing in the </w:t>
      </w:r>
      <w:sdt>
        <w:sdtPr>
          <w:id w:val="-775248640"/>
          <w:placeholder>
            <w:docPart w:val="D93F4A59AF604739A5E78E54F3A0C6C8"/>
          </w:placeholder>
          <w:dropDownList>
            <w:listItem w:displayText="Critically Endangered" w:value="Critically Endangered"/>
            <w:listItem w:displayText="Endangered" w:value="Endangered"/>
            <w:listItem w:displayText="Vulnerable" w:value="Vulnerable"/>
          </w:dropDownList>
        </w:sdtPr>
        <w:sdtEndPr/>
        <w:sdtContent>
          <w:r w:rsidR="00EE556E">
            <w:t>Vulnerable</w:t>
          </w:r>
        </w:sdtContent>
      </w:sdt>
      <w:r w:rsidR="00624A10">
        <w:t xml:space="preserve"> </w:t>
      </w:r>
      <w:r>
        <w:t xml:space="preserve">category </w:t>
      </w:r>
      <w:r w:rsidR="0052493F">
        <w:t xml:space="preserve">is that the population has declined by an estimated </w:t>
      </w:r>
      <w:r w:rsidR="00023959">
        <w:t>3</w:t>
      </w:r>
      <w:r w:rsidR="00234B2E">
        <w:t>0–50</w:t>
      </w:r>
      <w:r w:rsidR="007D7EBC">
        <w:t>%</w:t>
      </w:r>
      <w:r w:rsidR="0052493F">
        <w:t xml:space="preserve"> </w:t>
      </w:r>
      <w:r w:rsidR="00E91652">
        <w:t xml:space="preserve">over </w:t>
      </w:r>
      <w:r w:rsidR="006E4DAB">
        <w:t xml:space="preserve">the last </w:t>
      </w:r>
      <w:r w:rsidR="00E91652">
        <w:t>ten years (one generation 2.2 years)</w:t>
      </w:r>
      <w:r w:rsidR="00893E37">
        <w:t>,</w:t>
      </w:r>
      <w:r w:rsidR="00E91652">
        <w:t xml:space="preserve"> with a high probability of declines continuing (Hodder et al. 2021)</w:t>
      </w:r>
      <w:r w:rsidR="0052493F">
        <w:t xml:space="preserve">. </w:t>
      </w:r>
      <w:r w:rsidR="00893E37" w:rsidRPr="00E91652">
        <w:t>The</w:t>
      </w:r>
      <w:r w:rsidR="00893E37">
        <w:t>re are currently estimated to be 136,000 (range 68,000–272,000)</w:t>
      </w:r>
      <w:r w:rsidR="00893E37" w:rsidRPr="00E91652">
        <w:t xml:space="preserve"> mature </w:t>
      </w:r>
      <w:r w:rsidR="00443F35">
        <w:t>individuals</w:t>
      </w:r>
      <w:r w:rsidR="00893E37" w:rsidRPr="00E91652">
        <w:t xml:space="preserve"> </w:t>
      </w:r>
      <w:r w:rsidR="00893E37">
        <w:t>in the wild</w:t>
      </w:r>
      <w:r w:rsidR="002B6291">
        <w:t xml:space="preserve">, </w:t>
      </w:r>
      <w:r w:rsidR="002B6291">
        <w:lastRenderedPageBreak/>
        <w:t xml:space="preserve">however the reliability of this estimate is low </w:t>
      </w:r>
      <w:r w:rsidR="00FA2351">
        <w:t>(Hodder et al. 2021</w:t>
      </w:r>
      <w:r w:rsidR="00394AB0">
        <w:t>; S Garnett pers. comms. 9 Nov 2021</w:t>
      </w:r>
      <w:r w:rsidR="00FA2351">
        <w:t>)</w:t>
      </w:r>
      <w:r w:rsidR="00893E37">
        <w:t>. The</w:t>
      </w:r>
      <w:r w:rsidR="00893E37" w:rsidRPr="00E91652">
        <w:t xml:space="preserve"> extent of occurrence (EOO) </w:t>
      </w:r>
      <w:r w:rsidR="00893E37">
        <w:t>is</w:t>
      </w:r>
      <w:r w:rsidR="00893E37" w:rsidRPr="00E91652">
        <w:t xml:space="preserve"> estimated </w:t>
      </w:r>
      <w:r w:rsidR="00893E37">
        <w:t>at 1,500,000</w:t>
      </w:r>
      <w:r w:rsidR="00893E37" w:rsidRPr="00E91652">
        <w:t xml:space="preserve"> km</w:t>
      </w:r>
      <w:r w:rsidR="00893E37" w:rsidRPr="00E91652">
        <w:rPr>
          <w:vertAlign w:val="superscript"/>
        </w:rPr>
        <w:t xml:space="preserve">2 </w:t>
      </w:r>
      <w:r w:rsidR="00893E37">
        <w:t>(range 1,4000,000–1,600,000 km</w:t>
      </w:r>
      <w:r w:rsidR="00893E37" w:rsidRPr="00E91652">
        <w:rPr>
          <w:vertAlign w:val="superscript"/>
        </w:rPr>
        <w:t>2</w:t>
      </w:r>
      <w:r w:rsidR="00893E37" w:rsidRPr="00E91652">
        <w:t xml:space="preserve">), </w:t>
      </w:r>
      <w:r w:rsidR="00893E37">
        <w:t xml:space="preserve">and </w:t>
      </w:r>
      <w:r w:rsidR="00B07F7E">
        <w:t xml:space="preserve">the </w:t>
      </w:r>
      <w:r w:rsidR="00893E37" w:rsidRPr="00E91652">
        <w:t>area of occupancy (AOO)</w:t>
      </w:r>
      <w:r w:rsidR="00B07F7E">
        <w:t xml:space="preserve"> is estimated at</w:t>
      </w:r>
      <w:r w:rsidR="00893E37" w:rsidRPr="00E91652">
        <w:t xml:space="preserve"> </w:t>
      </w:r>
      <w:r w:rsidR="00893E37">
        <w:t>25,000</w:t>
      </w:r>
      <w:r w:rsidR="00893E37" w:rsidRPr="00E91652">
        <w:t xml:space="preserve"> km</w:t>
      </w:r>
      <w:r w:rsidR="00893E37" w:rsidRPr="00E91652">
        <w:rPr>
          <w:vertAlign w:val="superscript"/>
        </w:rPr>
        <w:t>2</w:t>
      </w:r>
      <w:r w:rsidR="00893E37">
        <w:t xml:space="preserve"> (range 12,500–50,000 km</w:t>
      </w:r>
      <w:r w:rsidR="00893E37" w:rsidRPr="00E91652">
        <w:rPr>
          <w:vertAlign w:val="superscript"/>
        </w:rPr>
        <w:t>2</w:t>
      </w:r>
      <w:r w:rsidR="00893E37">
        <w:t>)</w:t>
      </w:r>
      <w:r w:rsidR="00893E37" w:rsidRPr="00E91652">
        <w:t xml:space="preserve">. </w:t>
      </w:r>
      <w:r w:rsidR="00893E37">
        <w:t>Both the EOO and AOO have contracting trends (high reliability)</w:t>
      </w:r>
      <w:r w:rsidR="00FA2351">
        <w:t xml:space="preserve"> (Hodder et al. 2021)</w:t>
      </w:r>
      <w:r w:rsidR="00893E37">
        <w:t xml:space="preserve">. </w:t>
      </w:r>
    </w:p>
    <w:p w14:paraId="5E140AD1" w14:textId="550AAFA9" w:rsidR="00C116F9" w:rsidRDefault="00893E37" w:rsidP="00975378">
      <w:r>
        <w:t>Local declines, particularly in the south and east of the species’ range (Map 1), are now evident based on reporting rate trends</w:t>
      </w:r>
      <w:r w:rsidR="00FA2351">
        <w:t xml:space="preserve"> (Hodder et al. 2021)</w:t>
      </w:r>
      <w:r>
        <w:t xml:space="preserve">. </w:t>
      </w:r>
      <w:r w:rsidR="00A90BC3">
        <w:t>T</w:t>
      </w:r>
      <w:r w:rsidR="00A90BC3" w:rsidRPr="00A90BC3">
        <w:t>he underlying reason for the decline of the species</w:t>
      </w:r>
      <w:r w:rsidR="00A90BC3">
        <w:t xml:space="preserve"> is the ongoing c</w:t>
      </w:r>
      <w:r w:rsidR="00A90BC3" w:rsidRPr="00A90BC3">
        <w:t>learance of native vegetation</w:t>
      </w:r>
      <w:r w:rsidR="00A90BC3">
        <w:t xml:space="preserve"> for large scale agriculture which has reduced the size and quality of important nesting and breeding habitats</w:t>
      </w:r>
      <w:r w:rsidR="00FA2351">
        <w:t xml:space="preserve"> (Hodder et al. 2021)</w:t>
      </w:r>
      <w:r w:rsidR="00A90BC3">
        <w:t>. W</w:t>
      </w:r>
      <w:r w:rsidR="00A90BC3" w:rsidRPr="00A90BC3">
        <w:t>idespread</w:t>
      </w:r>
      <w:r w:rsidR="00A90BC3">
        <w:t xml:space="preserve"> habitat</w:t>
      </w:r>
      <w:r w:rsidR="00A90BC3" w:rsidRPr="00A90BC3">
        <w:t xml:space="preserve"> degradation </w:t>
      </w:r>
      <w:r w:rsidR="00A90BC3">
        <w:t>caused by overgrazing has also negatively impacted the species</w:t>
      </w:r>
      <w:r w:rsidR="00B07F7E">
        <w:t xml:space="preserve"> by</w:t>
      </w:r>
      <w:r w:rsidR="00A90BC3">
        <w:t xml:space="preserve"> </w:t>
      </w:r>
      <w:r w:rsidR="00FB0E52">
        <w:t>causing</w:t>
      </w:r>
      <w:r w:rsidR="00A90BC3">
        <w:t xml:space="preserve"> the replacement of native perennial</w:t>
      </w:r>
      <w:r w:rsidR="00975378">
        <w:t xml:space="preserve"> </w:t>
      </w:r>
      <w:r w:rsidR="00A90BC3">
        <w:t>grasses with exotic annual grasses</w:t>
      </w:r>
      <w:r w:rsidR="00FB0E52">
        <w:t>. This has resulted</w:t>
      </w:r>
      <w:r w:rsidR="00A90BC3">
        <w:t xml:space="preserve"> in</w:t>
      </w:r>
      <w:r w:rsidR="00FB0E52">
        <w:t xml:space="preserve"> the</w:t>
      </w:r>
      <w:r w:rsidR="00A90BC3">
        <w:t xml:space="preserve"> starvation of </w:t>
      </w:r>
      <w:r w:rsidR="00975378">
        <w:t>Diamond Firetails</w:t>
      </w:r>
      <w:r w:rsidR="00A90BC3">
        <w:t xml:space="preserve"> during periods when exotic annual grass seed</w:t>
      </w:r>
      <w:r w:rsidR="00975378">
        <w:t xml:space="preserve"> </w:t>
      </w:r>
      <w:r w:rsidR="00A90BC3">
        <w:t xml:space="preserve">germinates in autumn and winter </w:t>
      </w:r>
      <w:r w:rsidR="00402785">
        <w:t xml:space="preserve">(if no alternative seed sources exist) </w:t>
      </w:r>
      <w:r w:rsidR="00A90BC3">
        <w:t xml:space="preserve">(Higgins et al. 2007; Hodder 2019). </w:t>
      </w:r>
      <w:r w:rsidR="00975378">
        <w:t>Habitat patches are also degraded by grazing stock</w:t>
      </w:r>
      <w:r w:rsidR="00FA2351">
        <w:t xml:space="preserve"> and</w:t>
      </w:r>
      <w:r w:rsidR="00975378">
        <w:t xml:space="preserve"> </w:t>
      </w:r>
      <w:r w:rsidR="00FA2351">
        <w:t xml:space="preserve">invasive species such as </w:t>
      </w:r>
      <w:r w:rsidR="00975378">
        <w:t xml:space="preserve">rabbits </w:t>
      </w:r>
      <w:r w:rsidR="00385876">
        <w:t>(</w:t>
      </w:r>
      <w:r w:rsidR="00975378" w:rsidRPr="00FA2351">
        <w:rPr>
          <w:i/>
          <w:iCs/>
        </w:rPr>
        <w:t>Oryctolagus cuniculus</w:t>
      </w:r>
      <w:r w:rsidR="00385876">
        <w:t>)</w:t>
      </w:r>
      <w:r w:rsidR="00FA2351">
        <w:t xml:space="preserve"> </w:t>
      </w:r>
      <w:r w:rsidR="00975378">
        <w:t>that remove the shrub layer (Barrett et al. 2002).</w:t>
      </w:r>
    </w:p>
    <w:p w14:paraId="3EF58D0D" w14:textId="5D215146"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6" w:history="1">
        <w:r w:rsidR="00624A10" w:rsidRPr="00624A10">
          <w:rPr>
            <w:rStyle w:val="Hyperlink"/>
          </w:rPr>
          <w:t>Species Profile and Threat Database</w:t>
        </w:r>
      </w:hyperlink>
      <w:r w:rsidR="00624A10">
        <w:t>.</w:t>
      </w:r>
    </w:p>
    <w:p w14:paraId="1C311306" w14:textId="2CE84D89" w:rsidR="006D3581" w:rsidRDefault="006D3581" w:rsidP="006D3581">
      <w:pPr>
        <w:pStyle w:val="Heading2"/>
        <w:ind w:left="720" w:hanging="720"/>
      </w:pPr>
      <w:r>
        <w:t>Species information</w:t>
      </w:r>
    </w:p>
    <w:p w14:paraId="2ECDEC20" w14:textId="66F3464D" w:rsidR="006D3581" w:rsidRDefault="006D3581" w:rsidP="00476948">
      <w:pPr>
        <w:pStyle w:val="Heading3"/>
      </w:pPr>
      <w:r>
        <w:t>Taxonomy</w:t>
      </w:r>
    </w:p>
    <w:p w14:paraId="21E399A8" w14:textId="1F0F9D5A" w:rsidR="006D3581" w:rsidRDefault="006D3581" w:rsidP="006D3581">
      <w:bookmarkStart w:id="2" w:name="_Hlk46319676"/>
      <w:r>
        <w:t xml:space="preserve">Conventionally accepted as </w:t>
      </w:r>
      <w:proofErr w:type="spellStart"/>
      <w:r w:rsidR="008132B0" w:rsidRPr="008132B0">
        <w:rPr>
          <w:i/>
          <w:iCs/>
        </w:rPr>
        <w:t>Stagonopleura</w:t>
      </w:r>
      <w:proofErr w:type="spellEnd"/>
      <w:r w:rsidR="008132B0" w:rsidRPr="008132B0">
        <w:rPr>
          <w:i/>
          <w:iCs/>
        </w:rPr>
        <w:t xml:space="preserve"> guttata</w:t>
      </w:r>
      <w:r w:rsidR="008132B0" w:rsidRPr="008132B0">
        <w:t xml:space="preserve"> </w:t>
      </w:r>
      <w:r w:rsidRPr="008132B0">
        <w:t>(</w:t>
      </w:r>
      <w:r w:rsidR="008132B0" w:rsidRPr="008132B0">
        <w:t>Shaw 1796</w:t>
      </w:r>
      <w:r w:rsidRPr="008132B0">
        <w:t>).</w:t>
      </w:r>
    </w:p>
    <w:p w14:paraId="4191DE45" w14:textId="77777777" w:rsidR="008064B3" w:rsidRPr="008064B3" w:rsidRDefault="008064B3" w:rsidP="008064B3">
      <w:pPr>
        <w:pStyle w:val="Heading3"/>
      </w:pPr>
      <w:bookmarkStart w:id="3" w:name="_Ref445985062"/>
      <w:bookmarkStart w:id="4" w:name="_Toc409769199"/>
      <w:bookmarkStart w:id="5" w:name="_Toc454439316"/>
      <w:bookmarkEnd w:id="2"/>
      <w:r w:rsidRPr="008064B3">
        <w:t>Description</w:t>
      </w:r>
    </w:p>
    <w:p w14:paraId="3C321D9F" w14:textId="73E7DEAD" w:rsidR="001A3C77" w:rsidRPr="001A3C77" w:rsidRDefault="005214B1" w:rsidP="00DE4A49">
      <w:r w:rsidRPr="005214B1">
        <w:t xml:space="preserve">The Diamond Firetail is a large (length 10 to 12 cm, weight 17 grams), striking finch with a bright red bill, and red eyes and rump. </w:t>
      </w:r>
      <w:r w:rsidR="00FD6C09">
        <w:t>T</w:t>
      </w:r>
      <w:r w:rsidR="00FD6C09" w:rsidRPr="00FD6C09">
        <w:t>he white throat and lower breast are separated by a broad black breast-band that extends into the strongly white-spotted, black flanks. It has a grey back and head, and ashy-brown wings.</w:t>
      </w:r>
      <w:r w:rsidR="00FD6C09">
        <w:t xml:space="preserve"> </w:t>
      </w:r>
      <w:r w:rsidR="00DE4A49" w:rsidRPr="00DE4A49">
        <w:t xml:space="preserve">The female is </w:t>
      </w:r>
      <w:proofErr w:type="gramStart"/>
      <w:r w:rsidR="00DE4A49" w:rsidRPr="00DE4A49">
        <w:t>similar to</w:t>
      </w:r>
      <w:proofErr w:type="gramEnd"/>
      <w:r w:rsidR="00DE4A49" w:rsidRPr="00DE4A49">
        <w:t xml:space="preserve"> the male although sometimes smaller. The juvenile Diamond Firetail has a black bill and is duller in colour. </w:t>
      </w:r>
    </w:p>
    <w:p w14:paraId="314EDDC8" w14:textId="77777777" w:rsidR="008064B3" w:rsidRPr="008064B3" w:rsidRDefault="008064B3" w:rsidP="008064B3">
      <w:pPr>
        <w:pStyle w:val="Heading3"/>
      </w:pPr>
      <w:r w:rsidRPr="008064B3">
        <w:t>Distribution</w:t>
      </w:r>
    </w:p>
    <w:p w14:paraId="790AA98C" w14:textId="0FB8A5FF" w:rsidR="008132B0" w:rsidRDefault="008132B0" w:rsidP="008132B0">
      <w:r>
        <w:t>Diamond Firetails occur on the south‐east mainland of Australia from south‐east Queensland to Eyre Peninsula, South Australia</w:t>
      </w:r>
      <w:r w:rsidR="00F1133F">
        <w:t>,</w:t>
      </w:r>
      <w:r>
        <w:t xml:space="preserve"> and about 300 km inland from the sea (Higgins et al. 2007). Their range once extended to north Queensland inland from </w:t>
      </w:r>
      <w:r w:rsidR="00066E30">
        <w:t>Cardwell,</w:t>
      </w:r>
      <w:r>
        <w:t xml:space="preserve"> but they now occur only in the very south of the state</w:t>
      </w:r>
      <w:r w:rsidR="00066E30">
        <w:t xml:space="preserve"> (Hodder et al. 2021)</w:t>
      </w:r>
      <w:r>
        <w:t>. They have disappeared from many of the more settled parts of New South Wales</w:t>
      </w:r>
      <w:r w:rsidR="00443F35">
        <w:t>, ACT</w:t>
      </w:r>
      <w:r>
        <w:t xml:space="preserve"> and Victoria, and birds in South Australia appear to have been separated into three isolated subpopulations (Eyre Peninsula, Mt Lofty to Southern Flinders Ranges, and the south‐east) (Higgins et al. 2007), with few records from a fourth (Yorke Peninsula) in the last decade</w:t>
      </w:r>
      <w:r w:rsidR="00066E30">
        <w:t xml:space="preserve"> (Hodder et al. 2021)</w:t>
      </w:r>
      <w:r>
        <w:t>.</w:t>
      </w:r>
    </w:p>
    <w:p w14:paraId="76A88D7E" w14:textId="4491819A" w:rsidR="00E362EF" w:rsidRPr="009669DC" w:rsidRDefault="007C5B94" w:rsidP="008064B3">
      <w:pPr>
        <w:pStyle w:val="Caption"/>
      </w:pPr>
      <w:r w:rsidRPr="009669DC">
        <w:lastRenderedPageBreak/>
        <w:t xml:space="preserve">Map </w:t>
      </w:r>
      <w:r w:rsidRPr="009669DC">
        <w:rPr>
          <w:noProof/>
        </w:rPr>
        <w:fldChar w:fldCharType="begin"/>
      </w:r>
      <w:r w:rsidRPr="009669DC">
        <w:rPr>
          <w:noProof/>
        </w:rPr>
        <w:instrText xml:space="preserve"> SEQ Map \* ARABIC </w:instrText>
      </w:r>
      <w:r w:rsidRPr="009669DC">
        <w:rPr>
          <w:noProof/>
        </w:rPr>
        <w:fldChar w:fldCharType="separate"/>
      </w:r>
      <w:r w:rsidR="007804CC">
        <w:rPr>
          <w:noProof/>
        </w:rPr>
        <w:t>1</w:t>
      </w:r>
      <w:r w:rsidRPr="009669DC">
        <w:rPr>
          <w:noProof/>
        </w:rPr>
        <w:fldChar w:fldCharType="end"/>
      </w:r>
      <w:bookmarkEnd w:id="3"/>
      <w:r w:rsidRPr="009669DC">
        <w:t xml:space="preserve"> </w:t>
      </w:r>
      <w:bookmarkEnd w:id="4"/>
      <w:bookmarkEnd w:id="5"/>
      <w:r w:rsidR="008064B3" w:rsidRPr="009669DC">
        <w:t xml:space="preserve">Modelled distribution </w:t>
      </w:r>
      <w:r w:rsidR="004C7F78" w:rsidRPr="009669DC">
        <w:t xml:space="preserve">of </w:t>
      </w:r>
      <w:r w:rsidR="008132B0" w:rsidRPr="009669DC">
        <w:t>Diamond Firetail</w:t>
      </w:r>
    </w:p>
    <w:p w14:paraId="718A8BD9" w14:textId="7AE749FA" w:rsidR="009669DC" w:rsidRPr="009669DC" w:rsidRDefault="009669DC" w:rsidP="009669DC">
      <w:pPr>
        <w:pStyle w:val="FigureTableNoteSource"/>
        <w:jc w:val="center"/>
      </w:pPr>
      <w:r w:rsidRPr="009669DC">
        <w:rPr>
          <w:noProof/>
        </w:rPr>
        <w:drawing>
          <wp:inline distT="0" distB="0" distL="0" distR="0" wp14:anchorId="160DE4A6" wp14:editId="452B4EAC">
            <wp:extent cx="5759450" cy="406400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59450" cy="4064000"/>
                    </a:xfrm>
                    <a:prstGeom prst="rect">
                      <a:avLst/>
                    </a:prstGeom>
                  </pic:spPr>
                </pic:pic>
              </a:graphicData>
            </a:graphic>
          </wp:inline>
        </w:drawing>
      </w:r>
    </w:p>
    <w:p w14:paraId="7C66741E" w14:textId="06F7F54F" w:rsidR="00E362EF" w:rsidRPr="00D40E04" w:rsidRDefault="007C5B94">
      <w:pPr>
        <w:pStyle w:val="FigureTableNoteSource"/>
      </w:pPr>
      <w:r w:rsidRPr="009669DC">
        <w:t xml:space="preserve">Source: </w:t>
      </w:r>
      <w:r w:rsidR="00A12094" w:rsidRPr="009669DC">
        <w:t xml:space="preserve">Base map </w:t>
      </w:r>
      <w:r w:rsidR="008064B3" w:rsidRPr="009669DC">
        <w:t xml:space="preserve">Geoscience Australia; </w:t>
      </w:r>
      <w:r w:rsidR="00A12094" w:rsidRPr="009669DC">
        <w:t xml:space="preserve">species distribution data </w:t>
      </w:r>
      <w:hyperlink r:id="rId28" w:history="1">
        <w:r w:rsidR="008064B3" w:rsidRPr="009669DC">
          <w:rPr>
            <w:rStyle w:val="Hyperlink"/>
            <w:color w:val="auto"/>
          </w:rPr>
          <w:t>Species of National Environmental Significance</w:t>
        </w:r>
      </w:hyperlink>
      <w:r w:rsidR="008064B3" w:rsidRPr="009669DC">
        <w:t xml:space="preserve"> database.</w:t>
      </w:r>
    </w:p>
    <w:p w14:paraId="27651BAA" w14:textId="27BBC53B" w:rsidR="00C304AA" w:rsidRDefault="00C304AA" w:rsidP="00C304AA">
      <w:pPr>
        <w:pStyle w:val="Heading3"/>
        <w:ind w:left="964" w:hanging="964"/>
      </w:pPr>
      <w:r>
        <w:t>Cultural and community significance</w:t>
      </w:r>
    </w:p>
    <w:p w14:paraId="0614B49B" w14:textId="0ADC5DFE" w:rsidR="00120CED" w:rsidRPr="001A3C77" w:rsidRDefault="008132B0" w:rsidP="008132B0">
      <w:r>
        <w:t xml:space="preserve">Diamond Firetails are known to occur on the lands of at least the following Indigenous Peoples: Adnyamathanha, </w:t>
      </w:r>
      <w:proofErr w:type="spellStart"/>
      <w:r>
        <w:t>Anaiwan</w:t>
      </w:r>
      <w:proofErr w:type="spellEnd"/>
      <w:r>
        <w:t xml:space="preserve">, </w:t>
      </w:r>
      <w:proofErr w:type="spellStart"/>
      <w:r>
        <w:t>Barap</w:t>
      </w:r>
      <w:proofErr w:type="spellEnd"/>
      <w:r>
        <w:t xml:space="preserve"> </w:t>
      </w:r>
      <w:proofErr w:type="spellStart"/>
      <w:r>
        <w:t>Barap</w:t>
      </w:r>
      <w:proofErr w:type="spellEnd"/>
      <w:r>
        <w:t xml:space="preserve">, </w:t>
      </w:r>
      <w:proofErr w:type="spellStart"/>
      <w:r>
        <w:t>Barkindji</w:t>
      </w:r>
      <w:proofErr w:type="spellEnd"/>
      <w:r>
        <w:t xml:space="preserve">, </w:t>
      </w:r>
      <w:proofErr w:type="spellStart"/>
      <w:r>
        <w:t>Barngarla</w:t>
      </w:r>
      <w:proofErr w:type="spellEnd"/>
      <w:r>
        <w:t xml:space="preserve">, </w:t>
      </w:r>
      <w:proofErr w:type="spellStart"/>
      <w:r>
        <w:t>Bigambul</w:t>
      </w:r>
      <w:proofErr w:type="spellEnd"/>
      <w:r>
        <w:t xml:space="preserve">, </w:t>
      </w:r>
      <w:proofErr w:type="spellStart"/>
      <w:r>
        <w:t>Birpai</w:t>
      </w:r>
      <w:proofErr w:type="spellEnd"/>
      <w:r>
        <w:t xml:space="preserve">, Bundjalung, Darkinjung, </w:t>
      </w:r>
      <w:proofErr w:type="spellStart"/>
      <w:r>
        <w:t>Dharug</w:t>
      </w:r>
      <w:proofErr w:type="spellEnd"/>
      <w:r>
        <w:t xml:space="preserve">, </w:t>
      </w:r>
      <w:proofErr w:type="spellStart"/>
      <w:r>
        <w:t>Dhudhuroa</w:t>
      </w:r>
      <w:proofErr w:type="spellEnd"/>
      <w:r>
        <w:t xml:space="preserve">, </w:t>
      </w:r>
      <w:proofErr w:type="spellStart"/>
      <w:r>
        <w:t>Dja</w:t>
      </w:r>
      <w:proofErr w:type="spellEnd"/>
      <w:r>
        <w:t xml:space="preserve"> </w:t>
      </w:r>
      <w:proofErr w:type="spellStart"/>
      <w:r>
        <w:t>Dja</w:t>
      </w:r>
      <w:proofErr w:type="spellEnd"/>
      <w:r>
        <w:t xml:space="preserve"> Wurrung, </w:t>
      </w:r>
      <w:proofErr w:type="spellStart"/>
      <w:r>
        <w:t>Dunghutti</w:t>
      </w:r>
      <w:proofErr w:type="spellEnd"/>
      <w:r>
        <w:t xml:space="preserve">, Eastern Maar, Euahlayi, Gamilaraay, Githabul, </w:t>
      </w:r>
      <w:proofErr w:type="spellStart"/>
      <w:r>
        <w:t>Gumbaynggirr</w:t>
      </w:r>
      <w:proofErr w:type="spellEnd"/>
      <w:r>
        <w:t xml:space="preserve">, </w:t>
      </w:r>
      <w:proofErr w:type="spellStart"/>
      <w:r>
        <w:t>Gunaikurnai</w:t>
      </w:r>
      <w:proofErr w:type="spellEnd"/>
      <w:r>
        <w:t xml:space="preserve">, </w:t>
      </w:r>
      <w:proofErr w:type="spellStart"/>
      <w:r>
        <w:t>Gunditjimara</w:t>
      </w:r>
      <w:proofErr w:type="spellEnd"/>
      <w:r>
        <w:t xml:space="preserve">, </w:t>
      </w:r>
      <w:proofErr w:type="spellStart"/>
      <w:r>
        <w:t>Gundungurra</w:t>
      </w:r>
      <w:proofErr w:type="spellEnd"/>
      <w:r>
        <w:t xml:space="preserve">, </w:t>
      </w:r>
      <w:proofErr w:type="spellStart"/>
      <w:r>
        <w:t>Jaadwa</w:t>
      </w:r>
      <w:proofErr w:type="spellEnd"/>
      <w:r>
        <w:t xml:space="preserve">, </w:t>
      </w:r>
      <w:proofErr w:type="spellStart"/>
      <w:r>
        <w:t>Jadawadjali</w:t>
      </w:r>
      <w:proofErr w:type="spellEnd"/>
      <w:r>
        <w:t xml:space="preserve">, </w:t>
      </w:r>
      <w:proofErr w:type="spellStart"/>
      <w:r>
        <w:t>Jaithmathang</w:t>
      </w:r>
      <w:proofErr w:type="spellEnd"/>
      <w:r>
        <w:t xml:space="preserve">, </w:t>
      </w:r>
      <w:proofErr w:type="spellStart"/>
      <w:r>
        <w:t>Jarowair</w:t>
      </w:r>
      <w:proofErr w:type="spellEnd"/>
      <w:r>
        <w:t xml:space="preserve">, </w:t>
      </w:r>
      <w:proofErr w:type="spellStart"/>
      <w:r>
        <w:t>Jupagulk</w:t>
      </w:r>
      <w:proofErr w:type="spellEnd"/>
      <w:r>
        <w:t xml:space="preserve">, Kamilaroi, Kaurna, </w:t>
      </w:r>
      <w:proofErr w:type="spellStart"/>
      <w:r>
        <w:t>Kooma</w:t>
      </w:r>
      <w:proofErr w:type="spellEnd"/>
      <w:r>
        <w:t xml:space="preserve">, </w:t>
      </w:r>
      <w:proofErr w:type="spellStart"/>
      <w:r>
        <w:t>Mandandangi</w:t>
      </w:r>
      <w:proofErr w:type="spellEnd"/>
      <w:r>
        <w:t xml:space="preserve">, </w:t>
      </w:r>
      <w:proofErr w:type="spellStart"/>
      <w:r>
        <w:t>Mulwaree</w:t>
      </w:r>
      <w:proofErr w:type="spellEnd"/>
      <w:r>
        <w:t xml:space="preserve">, Nari </w:t>
      </w:r>
      <w:proofErr w:type="spellStart"/>
      <w:r>
        <w:t>Nari</w:t>
      </w:r>
      <w:proofErr w:type="spellEnd"/>
      <w:r>
        <w:t xml:space="preserve">, </w:t>
      </w:r>
      <w:proofErr w:type="spellStart"/>
      <w:r>
        <w:t>Narungga</w:t>
      </w:r>
      <w:proofErr w:type="spellEnd"/>
      <w:r>
        <w:t xml:space="preserve">, </w:t>
      </w:r>
      <w:proofErr w:type="spellStart"/>
      <w:r>
        <w:t>Nauo</w:t>
      </w:r>
      <w:proofErr w:type="spellEnd"/>
      <w:r>
        <w:t xml:space="preserve">, </w:t>
      </w:r>
      <w:proofErr w:type="spellStart"/>
      <w:r>
        <w:t>Ngadjuri</w:t>
      </w:r>
      <w:proofErr w:type="spellEnd"/>
      <w:r>
        <w:t xml:space="preserve">, </w:t>
      </w:r>
      <w:proofErr w:type="spellStart"/>
      <w:r>
        <w:t>Ngambri</w:t>
      </w:r>
      <w:proofErr w:type="spellEnd"/>
      <w:r>
        <w:t xml:space="preserve">, Ngarrindjeri, Ngunnawal, </w:t>
      </w:r>
      <w:proofErr w:type="spellStart"/>
      <w:r>
        <w:t>Perrepa</w:t>
      </w:r>
      <w:proofErr w:type="spellEnd"/>
      <w:r>
        <w:t xml:space="preserve"> </w:t>
      </w:r>
      <w:proofErr w:type="spellStart"/>
      <w:r>
        <w:t>Perrepa</w:t>
      </w:r>
      <w:proofErr w:type="spellEnd"/>
      <w:r>
        <w:t xml:space="preserve">, </w:t>
      </w:r>
      <w:proofErr w:type="spellStart"/>
      <w:r>
        <w:t>Taungurun</w:t>
      </w:r>
      <w:proofErr w:type="spellEnd"/>
      <w:r>
        <w:t xml:space="preserve">, </w:t>
      </w:r>
      <w:proofErr w:type="spellStart"/>
      <w:r>
        <w:t>Wadawurrung</w:t>
      </w:r>
      <w:proofErr w:type="spellEnd"/>
      <w:r>
        <w:t xml:space="preserve">, Wadi </w:t>
      </w:r>
      <w:proofErr w:type="spellStart"/>
      <w:r>
        <w:t>Wadi</w:t>
      </w:r>
      <w:proofErr w:type="spellEnd"/>
      <w:r>
        <w:t xml:space="preserve">, Waka </w:t>
      </w:r>
      <w:proofErr w:type="spellStart"/>
      <w:r>
        <w:t>Waka</w:t>
      </w:r>
      <w:proofErr w:type="spellEnd"/>
      <w:r>
        <w:t xml:space="preserve">, Wamba </w:t>
      </w:r>
      <w:proofErr w:type="spellStart"/>
      <w:r>
        <w:t>Wamba</w:t>
      </w:r>
      <w:proofErr w:type="spellEnd"/>
      <w:r>
        <w:t xml:space="preserve">, </w:t>
      </w:r>
      <w:proofErr w:type="spellStart"/>
      <w:r>
        <w:t>Warrabinga</w:t>
      </w:r>
      <w:proofErr w:type="spellEnd"/>
      <w:r>
        <w:t xml:space="preserve">, </w:t>
      </w:r>
      <w:proofErr w:type="spellStart"/>
      <w:r>
        <w:t>Waveroo</w:t>
      </w:r>
      <w:proofErr w:type="spellEnd"/>
      <w:r>
        <w:t xml:space="preserve">, </w:t>
      </w:r>
      <w:proofErr w:type="spellStart"/>
      <w:r>
        <w:t>Wemba</w:t>
      </w:r>
      <w:proofErr w:type="spellEnd"/>
      <w:r>
        <w:t xml:space="preserve"> </w:t>
      </w:r>
      <w:proofErr w:type="spellStart"/>
      <w:r>
        <w:t>Wemba</w:t>
      </w:r>
      <w:proofErr w:type="spellEnd"/>
      <w:r>
        <w:t xml:space="preserve">, </w:t>
      </w:r>
      <w:proofErr w:type="spellStart"/>
      <w:r>
        <w:t>Wergaia</w:t>
      </w:r>
      <w:proofErr w:type="spellEnd"/>
      <w:r>
        <w:t xml:space="preserve">, </w:t>
      </w:r>
      <w:proofErr w:type="spellStart"/>
      <w:r>
        <w:t>Wilyakali</w:t>
      </w:r>
      <w:proofErr w:type="spellEnd"/>
      <w:r>
        <w:t xml:space="preserve">, Wiradjuri, </w:t>
      </w:r>
      <w:proofErr w:type="spellStart"/>
      <w:r>
        <w:t>Wongaibon</w:t>
      </w:r>
      <w:proofErr w:type="spellEnd"/>
      <w:r>
        <w:t xml:space="preserve">, </w:t>
      </w:r>
      <w:proofErr w:type="spellStart"/>
      <w:r>
        <w:t>Wonnarua</w:t>
      </w:r>
      <w:proofErr w:type="spellEnd"/>
      <w:r>
        <w:t xml:space="preserve">, </w:t>
      </w:r>
      <w:proofErr w:type="spellStart"/>
      <w:r>
        <w:t>Worimi</w:t>
      </w:r>
      <w:proofErr w:type="spellEnd"/>
      <w:r>
        <w:t xml:space="preserve">, </w:t>
      </w:r>
      <w:proofErr w:type="spellStart"/>
      <w:r>
        <w:t>Wotjobaluk</w:t>
      </w:r>
      <w:proofErr w:type="spellEnd"/>
      <w:r>
        <w:t xml:space="preserve">, Wurundjeri, Yorta </w:t>
      </w:r>
      <w:proofErr w:type="spellStart"/>
      <w:r>
        <w:t>Yorta</w:t>
      </w:r>
      <w:proofErr w:type="spellEnd"/>
      <w:r>
        <w:t xml:space="preserve"> and </w:t>
      </w:r>
      <w:proofErr w:type="spellStart"/>
      <w:r>
        <w:t>Yuwaalaraay</w:t>
      </w:r>
      <w:proofErr w:type="spellEnd"/>
      <w:r w:rsidR="00962740">
        <w:t xml:space="preserve"> (Hodder et al. 2021)</w:t>
      </w:r>
      <w:r>
        <w:t xml:space="preserve">. </w:t>
      </w:r>
      <w:r w:rsidRPr="008132B0">
        <w:t>The cultural and community significance of the species is not known. Further research into the subject area may benefit the conservation of the subspecies by providing insights about traditional land management.</w:t>
      </w:r>
    </w:p>
    <w:p w14:paraId="5F76E77A" w14:textId="558942CC" w:rsidR="00C304AA" w:rsidRDefault="00C304AA" w:rsidP="00C304AA">
      <w:pPr>
        <w:pStyle w:val="Heading3"/>
        <w:ind w:left="964" w:hanging="964"/>
      </w:pPr>
      <w:r>
        <w:t>Relevant biology and ecology</w:t>
      </w:r>
    </w:p>
    <w:p w14:paraId="47042C51" w14:textId="3E81671E" w:rsidR="008132B0" w:rsidRDefault="008132B0" w:rsidP="008132B0">
      <w:r>
        <w:t xml:space="preserve">Diamond Firetails occur in eucalypt, acacia or casuarina woodlands, open </w:t>
      </w:r>
      <w:proofErr w:type="gramStart"/>
      <w:r>
        <w:t>forests</w:t>
      </w:r>
      <w:proofErr w:type="gramEnd"/>
      <w:r>
        <w:t xml:space="preserve"> and other lightly timbered habitats, including farmland and grassland with scattered trees (Higgins et al. 2007)</w:t>
      </w:r>
      <w:r w:rsidR="00F1133F">
        <w:t>.</w:t>
      </w:r>
      <w:r>
        <w:t xml:space="preserve"> </w:t>
      </w:r>
      <w:r w:rsidR="00F1133F">
        <w:t>T</w:t>
      </w:r>
      <w:r>
        <w:t>hey prefer areas with relatively low tree density, few large logs</w:t>
      </w:r>
      <w:r w:rsidR="0005740D">
        <w:t>,</w:t>
      </w:r>
      <w:r>
        <w:t xml:space="preserve"> and little litter cover but high grass cover (</w:t>
      </w:r>
      <w:proofErr w:type="spellStart"/>
      <w:r>
        <w:t>Antos</w:t>
      </w:r>
      <w:proofErr w:type="spellEnd"/>
      <w:r>
        <w:t xml:space="preserve"> et al. 2008). </w:t>
      </w:r>
      <w:r w:rsidR="0005740D">
        <w:t>Diamond Firetail</w:t>
      </w:r>
      <w:r w:rsidR="006F7251">
        <w:t>s</w:t>
      </w:r>
      <w:r w:rsidR="0005740D">
        <w:t xml:space="preserve"> usually occur</w:t>
      </w:r>
      <w:r w:rsidR="00FD6C09" w:rsidRPr="00FD6C09">
        <w:t xml:space="preserve"> in flocks of between 5 to 40, </w:t>
      </w:r>
      <w:r w:rsidR="00FD6C09">
        <w:t xml:space="preserve">and </w:t>
      </w:r>
      <w:r w:rsidR="00FD6C09" w:rsidRPr="00FD6C09">
        <w:t xml:space="preserve">occasionally more. </w:t>
      </w:r>
      <w:r w:rsidR="00FD6C09">
        <w:t>The species a</w:t>
      </w:r>
      <w:r w:rsidR="00FD6C09" w:rsidRPr="00FD6C09">
        <w:t>ppears to be sedentary, though some populations move locally</w:t>
      </w:r>
      <w:r w:rsidR="00FD6C09">
        <w:t xml:space="preserve">. </w:t>
      </w:r>
      <w:r w:rsidR="006F7251">
        <w:t>Their f</w:t>
      </w:r>
      <w:r w:rsidR="006F7251" w:rsidRPr="00FD6C09">
        <w:t xml:space="preserve">light </w:t>
      </w:r>
      <w:r w:rsidR="00FD6C09" w:rsidRPr="00FD6C09">
        <w:t>is</w:t>
      </w:r>
      <w:r w:rsidR="00FD6C09">
        <w:t xml:space="preserve"> described as</w:t>
      </w:r>
      <w:r w:rsidR="00FD6C09" w:rsidRPr="00FD6C09">
        <w:t xml:space="preserve"> low and direct</w:t>
      </w:r>
      <w:r w:rsidR="00FD6C09">
        <w:t xml:space="preserve"> in long lines</w:t>
      </w:r>
      <w:r w:rsidR="00FD6C09" w:rsidRPr="00FD6C09">
        <w:t xml:space="preserve"> with slight undulations.</w:t>
      </w:r>
      <w:r w:rsidR="005624F4" w:rsidRPr="005624F4">
        <w:t xml:space="preserve"> Birds roost in dense shrubs or in smaller nests built especially for roosting</w:t>
      </w:r>
      <w:r w:rsidR="005624F4">
        <w:t>.</w:t>
      </w:r>
    </w:p>
    <w:p w14:paraId="6C2211F2" w14:textId="27F60690" w:rsidR="00FD6C09" w:rsidRDefault="00FD6C09" w:rsidP="00FD6C09">
      <w:r w:rsidRPr="00DE4A49">
        <w:lastRenderedPageBreak/>
        <w:t xml:space="preserve">Diamond Firetails </w:t>
      </w:r>
      <w:r w:rsidR="005624F4">
        <w:t xml:space="preserve">feed </w:t>
      </w:r>
      <w:r w:rsidR="005624F4" w:rsidRPr="005624F4">
        <w:t xml:space="preserve">exclusively </w:t>
      </w:r>
      <w:r w:rsidR="00443F35">
        <w:t xml:space="preserve">at </w:t>
      </w:r>
      <w:r w:rsidR="00443F35" w:rsidRPr="005624F4">
        <w:t>ground</w:t>
      </w:r>
      <w:r w:rsidR="00F712F3">
        <w:t xml:space="preserve"> level</w:t>
      </w:r>
      <w:r w:rsidR="005624F4" w:rsidRPr="005624F4">
        <w:t xml:space="preserve">, on ripe and </w:t>
      </w:r>
      <w:proofErr w:type="gramStart"/>
      <w:r w:rsidR="005624F4" w:rsidRPr="005624F4">
        <w:t>partly-ripe</w:t>
      </w:r>
      <w:proofErr w:type="gramEnd"/>
      <w:r w:rsidR="005624F4" w:rsidRPr="005624F4">
        <w:t xml:space="preserve"> grass and herb seeds and green leaves, and on insects (especially </w:t>
      </w:r>
      <w:r w:rsidR="005624F4">
        <w:t>during</w:t>
      </w:r>
      <w:r w:rsidR="005624F4" w:rsidRPr="005624F4">
        <w:t xml:space="preserve"> the breeding season)</w:t>
      </w:r>
      <w:r w:rsidR="000E789A">
        <w:t xml:space="preserve"> (</w:t>
      </w:r>
      <w:proofErr w:type="spellStart"/>
      <w:r w:rsidR="000E789A" w:rsidRPr="000E789A">
        <w:t>Blakers</w:t>
      </w:r>
      <w:proofErr w:type="spellEnd"/>
      <w:r w:rsidR="000E789A" w:rsidRPr="000E789A">
        <w:t xml:space="preserve"> et al. 1984</w:t>
      </w:r>
      <w:r w:rsidR="000E789A">
        <w:t>;</w:t>
      </w:r>
      <w:r w:rsidR="000E789A" w:rsidRPr="000E789A">
        <w:t xml:space="preserve"> Read 1994</w:t>
      </w:r>
      <w:r w:rsidR="000E789A">
        <w:t>)</w:t>
      </w:r>
      <w:r w:rsidR="005624F4" w:rsidRPr="005624F4">
        <w:t>.</w:t>
      </w:r>
      <w:r w:rsidR="005624F4">
        <w:t xml:space="preserve"> As such, birds are often observed</w:t>
      </w:r>
      <w:r>
        <w:t xml:space="preserve"> </w:t>
      </w:r>
      <w:r w:rsidRPr="00DE4A49">
        <w:t>hopping around on the ground</w:t>
      </w:r>
      <w:r w:rsidR="005624F4">
        <w:t xml:space="preserve"> </w:t>
      </w:r>
      <w:r>
        <w:t>(Higgins et al. 2007)</w:t>
      </w:r>
      <w:r w:rsidRPr="00DE4A49">
        <w:t xml:space="preserve">. </w:t>
      </w:r>
      <w:r>
        <w:t xml:space="preserve">In the Mt Lofty Ranges, birds also rely on seeds of Drooping She‐oak </w:t>
      </w:r>
      <w:proofErr w:type="spellStart"/>
      <w:r w:rsidRPr="008132B0">
        <w:rPr>
          <w:i/>
          <w:iCs/>
        </w:rPr>
        <w:t>Allocasuarina</w:t>
      </w:r>
      <w:proofErr w:type="spellEnd"/>
      <w:r w:rsidRPr="008132B0">
        <w:rPr>
          <w:i/>
          <w:iCs/>
        </w:rPr>
        <w:t xml:space="preserve"> </w:t>
      </w:r>
      <w:proofErr w:type="spellStart"/>
      <w:r w:rsidRPr="008132B0">
        <w:rPr>
          <w:i/>
          <w:iCs/>
        </w:rPr>
        <w:t>verticillata</w:t>
      </w:r>
      <w:proofErr w:type="spellEnd"/>
      <w:r>
        <w:t xml:space="preserve"> in winter in areas where perennial grasses have been replaced by exotic annuals (Hodder 2019).</w:t>
      </w:r>
    </w:p>
    <w:p w14:paraId="323940F4" w14:textId="5675F75C" w:rsidR="00FD6C09" w:rsidRDefault="00FD6C09" w:rsidP="00FD6C09">
      <w:r>
        <w:t>B</w:t>
      </w:r>
      <w:r w:rsidRPr="00FD6C09">
        <w:t>etween August and January</w:t>
      </w:r>
      <w:r>
        <w:t>,</w:t>
      </w:r>
      <w:r w:rsidRPr="00FD6C09">
        <w:t xml:space="preserve"> </w:t>
      </w:r>
      <w:r>
        <w:t>g</w:t>
      </w:r>
      <w:r w:rsidRPr="00FD6C09">
        <w:t xml:space="preserve">roups separate into small colonies to breed. </w:t>
      </w:r>
      <w:r w:rsidR="005624F4">
        <w:t>Nests are</w:t>
      </w:r>
      <w:r>
        <w:t xml:space="preserve"> bottle‐shaped</w:t>
      </w:r>
      <w:r w:rsidR="005624F4">
        <w:t xml:space="preserve"> and are </w:t>
      </w:r>
      <w:r>
        <w:t>made of</w:t>
      </w:r>
      <w:r w:rsidRPr="00DE4A49">
        <w:t xml:space="preserve"> green grass blades and stems</w:t>
      </w:r>
      <w:r>
        <w:t xml:space="preserve"> lined </w:t>
      </w:r>
      <w:r w:rsidRPr="00DE4A49">
        <w:t>with fine grasses and feathers</w:t>
      </w:r>
      <w:r>
        <w:t xml:space="preserve">. </w:t>
      </w:r>
      <w:r w:rsidR="00F1133F" w:rsidRPr="00DE4A49">
        <w:t>To safeguard their eggs and nestlings, Diamond Firetails often build their nests into the base of the large stick-nest of a bird of prey such as a Whistling Kite</w:t>
      </w:r>
      <w:r w:rsidR="000E2A4A">
        <w:t xml:space="preserve"> (</w:t>
      </w:r>
      <w:proofErr w:type="spellStart"/>
      <w:r w:rsidR="000E2A4A" w:rsidRPr="000E2A4A">
        <w:rPr>
          <w:i/>
          <w:iCs/>
        </w:rPr>
        <w:t>Haliastur</w:t>
      </w:r>
      <w:proofErr w:type="spellEnd"/>
      <w:r w:rsidR="000E2A4A" w:rsidRPr="000E2A4A">
        <w:rPr>
          <w:i/>
          <w:iCs/>
        </w:rPr>
        <w:t xml:space="preserve"> </w:t>
      </w:r>
      <w:proofErr w:type="spellStart"/>
      <w:r w:rsidR="000E2A4A" w:rsidRPr="000E2A4A">
        <w:rPr>
          <w:i/>
          <w:iCs/>
        </w:rPr>
        <w:t>sphenurus</w:t>
      </w:r>
      <w:proofErr w:type="spellEnd"/>
      <w:r w:rsidR="000E2A4A">
        <w:t>)</w:t>
      </w:r>
      <w:r w:rsidR="00F1133F" w:rsidRPr="00DE4A49">
        <w:t>, White-bellied Sea-Eagle</w:t>
      </w:r>
      <w:r w:rsidR="000E2A4A">
        <w:t xml:space="preserve"> (</w:t>
      </w:r>
      <w:r w:rsidR="000E2A4A" w:rsidRPr="000E2A4A">
        <w:rPr>
          <w:i/>
          <w:iCs/>
        </w:rPr>
        <w:t xml:space="preserve">Haliaeetus </w:t>
      </w:r>
      <w:proofErr w:type="spellStart"/>
      <w:r w:rsidR="000E2A4A" w:rsidRPr="000E2A4A">
        <w:rPr>
          <w:i/>
          <w:iCs/>
        </w:rPr>
        <w:t>leucogaster</w:t>
      </w:r>
      <w:proofErr w:type="spellEnd"/>
      <w:r w:rsidR="000E2A4A">
        <w:t>)</w:t>
      </w:r>
      <w:r w:rsidR="00F1133F" w:rsidRPr="00DE4A49">
        <w:t>, Wedge-tailed Eagle</w:t>
      </w:r>
      <w:r w:rsidR="000E2A4A">
        <w:t xml:space="preserve"> (</w:t>
      </w:r>
      <w:r w:rsidR="000E2A4A" w:rsidRPr="000E2A4A">
        <w:rPr>
          <w:i/>
          <w:iCs/>
        </w:rPr>
        <w:t>Aquila audax</w:t>
      </w:r>
      <w:r w:rsidR="000E2A4A">
        <w:t>)</w:t>
      </w:r>
      <w:r w:rsidR="00F1133F" w:rsidRPr="00DE4A49">
        <w:t>, Brown Falcon</w:t>
      </w:r>
      <w:r w:rsidR="000E2A4A">
        <w:t xml:space="preserve"> (</w:t>
      </w:r>
      <w:r w:rsidR="000E2A4A" w:rsidRPr="000E2A4A">
        <w:rPr>
          <w:i/>
          <w:iCs/>
        </w:rPr>
        <w:t>Falco berigora</w:t>
      </w:r>
      <w:r w:rsidR="000E2A4A" w:rsidRPr="00385876">
        <w:t>)</w:t>
      </w:r>
      <w:r w:rsidR="00F1133F" w:rsidRPr="000E2A4A">
        <w:rPr>
          <w:i/>
          <w:iCs/>
        </w:rPr>
        <w:t xml:space="preserve">, </w:t>
      </w:r>
      <w:r w:rsidR="00F1133F" w:rsidRPr="00DE4A49">
        <w:t xml:space="preserve">Nankeen Kestrel </w:t>
      </w:r>
      <w:r w:rsidR="000E2A4A">
        <w:t>(</w:t>
      </w:r>
      <w:r w:rsidR="000E2A4A" w:rsidRPr="000E2A4A">
        <w:rPr>
          <w:i/>
          <w:iCs/>
        </w:rPr>
        <w:t xml:space="preserve">Falco </w:t>
      </w:r>
      <w:proofErr w:type="spellStart"/>
      <w:r w:rsidR="000E2A4A" w:rsidRPr="000E2A4A">
        <w:rPr>
          <w:i/>
          <w:iCs/>
        </w:rPr>
        <w:t>cenchroides</w:t>
      </w:r>
      <w:proofErr w:type="spellEnd"/>
      <w:r w:rsidR="000E2A4A">
        <w:t xml:space="preserve">) </w:t>
      </w:r>
      <w:r w:rsidR="00F1133F" w:rsidRPr="00DE4A49">
        <w:t>or a Square-tailed Kite</w:t>
      </w:r>
      <w:r w:rsidR="000E2A4A">
        <w:t xml:space="preserve"> (</w:t>
      </w:r>
      <w:proofErr w:type="spellStart"/>
      <w:r w:rsidR="000E2A4A" w:rsidRPr="000E2A4A">
        <w:rPr>
          <w:i/>
          <w:iCs/>
        </w:rPr>
        <w:t>Lophoictinia</w:t>
      </w:r>
      <w:proofErr w:type="spellEnd"/>
      <w:r w:rsidR="000E2A4A" w:rsidRPr="000E2A4A">
        <w:rPr>
          <w:i/>
          <w:iCs/>
        </w:rPr>
        <w:t xml:space="preserve"> </w:t>
      </w:r>
      <w:proofErr w:type="spellStart"/>
      <w:r w:rsidR="000E2A4A" w:rsidRPr="000E2A4A">
        <w:rPr>
          <w:i/>
          <w:iCs/>
        </w:rPr>
        <w:t>isura</w:t>
      </w:r>
      <w:proofErr w:type="spellEnd"/>
      <w:r w:rsidR="000E2A4A">
        <w:t>)</w:t>
      </w:r>
      <w:r w:rsidR="00F1133F" w:rsidRPr="00DE4A49">
        <w:t xml:space="preserve">. Others choose to build their nests among the prickly foliage of shrubs such as hakeas, rose bushes, </w:t>
      </w:r>
      <w:proofErr w:type="gramStart"/>
      <w:r w:rsidR="00F1133F" w:rsidRPr="00DE4A49">
        <w:t>boxthorn</w:t>
      </w:r>
      <w:proofErr w:type="gramEnd"/>
      <w:r w:rsidR="00F1133F" w:rsidRPr="00DE4A49">
        <w:t xml:space="preserve"> and the Sea Urchin Hakea</w:t>
      </w:r>
      <w:r w:rsidR="00B4190E">
        <w:t xml:space="preserve"> (</w:t>
      </w:r>
      <w:r w:rsidR="00B4190E" w:rsidRPr="00B4190E">
        <w:rPr>
          <w:i/>
          <w:iCs/>
        </w:rPr>
        <w:t xml:space="preserve">Hakea </w:t>
      </w:r>
      <w:proofErr w:type="spellStart"/>
      <w:r w:rsidR="00B4190E" w:rsidRPr="00B4190E">
        <w:rPr>
          <w:i/>
          <w:iCs/>
        </w:rPr>
        <w:t>petiolaris</w:t>
      </w:r>
      <w:proofErr w:type="spellEnd"/>
      <w:r w:rsidR="00B4190E">
        <w:t>)</w:t>
      </w:r>
      <w:r w:rsidR="00F1133F" w:rsidRPr="00DE4A49">
        <w:t>.</w:t>
      </w:r>
      <w:r w:rsidR="00F1133F">
        <w:t xml:space="preserve"> B</w:t>
      </w:r>
      <w:r w:rsidR="005624F4" w:rsidRPr="00DE4A49">
        <w:t xml:space="preserve">oth partners </w:t>
      </w:r>
      <w:r w:rsidR="00F1133F" w:rsidRPr="00DE4A49">
        <w:t>buil</w:t>
      </w:r>
      <w:r w:rsidR="00F1133F">
        <w:t>d the nest, h</w:t>
      </w:r>
      <w:r w:rsidR="005624F4">
        <w:t>owever,</w:t>
      </w:r>
      <w:r w:rsidR="005624F4" w:rsidRPr="00DE4A49">
        <w:t xml:space="preserve"> only the female does the weaving</w:t>
      </w:r>
      <w:r w:rsidR="005624F4">
        <w:t>.</w:t>
      </w:r>
      <w:r w:rsidR="005624F4" w:rsidRPr="00DE4A49">
        <w:t xml:space="preserve"> </w:t>
      </w:r>
      <w:r w:rsidRPr="00DE4A49">
        <w:t>Both partners incubate the eggs and care for the young. Usually only one clutch is laid per season.</w:t>
      </w:r>
      <w:r w:rsidR="005624F4">
        <w:t xml:space="preserve"> </w:t>
      </w:r>
      <w:r>
        <w:t xml:space="preserve">A clutch size of 4–5 eggs </w:t>
      </w:r>
      <w:r w:rsidR="005624F4">
        <w:t xml:space="preserve">is normal </w:t>
      </w:r>
      <w:r>
        <w:t>(Higgins et al. 2007).</w:t>
      </w:r>
    </w:p>
    <w:p w14:paraId="0732922C" w14:textId="5628BA1F" w:rsidR="00C304AA" w:rsidRDefault="00C304AA" w:rsidP="00C304AA">
      <w:pPr>
        <w:pStyle w:val="Heading3"/>
        <w:ind w:left="964" w:hanging="964"/>
      </w:pPr>
      <w:r>
        <w:t>Habitat critical to the survival</w:t>
      </w:r>
    </w:p>
    <w:p w14:paraId="725D968D" w14:textId="77777777" w:rsidR="00D34DCD" w:rsidRPr="00B019AE" w:rsidRDefault="00D34DCD" w:rsidP="00D34DCD">
      <w:r w:rsidRPr="00B019AE">
        <w:t>Habitat critical to the survival or important habitats of a species or ecological community refers to areas that are necessary:</w:t>
      </w:r>
    </w:p>
    <w:p w14:paraId="0B65A486" w14:textId="77777777" w:rsidR="00D34DCD" w:rsidRPr="00B019AE" w:rsidRDefault="00D34DCD" w:rsidP="00D34DCD">
      <w:pPr>
        <w:pStyle w:val="ListBullet"/>
      </w:pPr>
      <w:r w:rsidRPr="00B019AE">
        <w:t xml:space="preserve">for activities such as foraging, breeding, roosting, or </w:t>
      </w:r>
      <w:proofErr w:type="gramStart"/>
      <w:r w:rsidRPr="00B019AE">
        <w:t>dispersal;</w:t>
      </w:r>
      <w:proofErr w:type="gramEnd"/>
    </w:p>
    <w:p w14:paraId="5565618D" w14:textId="77777777" w:rsidR="00D34DCD" w:rsidRPr="00B019AE" w:rsidRDefault="00D34DCD" w:rsidP="00D34DCD">
      <w:pPr>
        <w:pStyle w:val="ListBullet"/>
      </w:pPr>
      <w:r w:rsidRPr="00B019AE">
        <w:t>for the long-term maintenance of the species or ecological community (including the maintenance of species essential to the survival of the species or ecological community, such as pollinators</w:t>
      </w:r>
      <w:proofErr w:type="gramStart"/>
      <w:r w:rsidRPr="00B019AE">
        <w:t>);</w:t>
      </w:r>
      <w:proofErr w:type="gramEnd"/>
    </w:p>
    <w:p w14:paraId="2D5C32E5" w14:textId="77777777" w:rsidR="00D34DCD" w:rsidRPr="00B019AE" w:rsidRDefault="00D34DCD" w:rsidP="00D34DCD">
      <w:pPr>
        <w:pStyle w:val="ListBullet"/>
      </w:pPr>
      <w:r w:rsidRPr="00B019AE">
        <w:t>to maintain genetic diversity and long-term evolutionary development; or</w:t>
      </w:r>
    </w:p>
    <w:p w14:paraId="45193868" w14:textId="77777777" w:rsidR="00D34DCD" w:rsidRPr="00B019AE" w:rsidRDefault="00D34DCD" w:rsidP="00D34DCD">
      <w:pPr>
        <w:pStyle w:val="ListBullet"/>
      </w:pPr>
      <w:r w:rsidRPr="00B019AE">
        <w:t>for the reintroduction of populations or recovery of the species or ecological community.</w:t>
      </w:r>
    </w:p>
    <w:p w14:paraId="3936BE43" w14:textId="05FD2448" w:rsidR="005E0550" w:rsidRDefault="004326C4" w:rsidP="00583E52">
      <w:pPr>
        <w:pStyle w:val="ListBullet"/>
        <w:numPr>
          <w:ilvl w:val="0"/>
          <w:numId w:val="0"/>
        </w:numPr>
      </w:pPr>
      <w:r>
        <w:t xml:space="preserve">Habitat critical to the survival of the </w:t>
      </w:r>
      <w:r w:rsidR="00D34DCD">
        <w:t>Diamond Firetail includes</w:t>
      </w:r>
      <w:r w:rsidR="00615210">
        <w:t xml:space="preserve"> areas of</w:t>
      </w:r>
      <w:r w:rsidR="00D34DCD">
        <w:t>:</w:t>
      </w:r>
      <w:r>
        <w:t xml:space="preserve"> </w:t>
      </w:r>
    </w:p>
    <w:p w14:paraId="5FFFB969" w14:textId="10C055A6" w:rsidR="005E0550" w:rsidRDefault="00583E52" w:rsidP="005E0550">
      <w:pPr>
        <w:pStyle w:val="ListBullet"/>
      </w:pPr>
      <w:r>
        <w:t xml:space="preserve">Eucalypt, acacia or casuarina woodlands, open forests and other lightly timbered </w:t>
      </w:r>
      <w:proofErr w:type="gramStart"/>
      <w:r>
        <w:t>habitats</w:t>
      </w:r>
      <w:r w:rsidR="005E0550">
        <w:t>;</w:t>
      </w:r>
      <w:proofErr w:type="gramEnd"/>
      <w:r>
        <w:t xml:space="preserve"> </w:t>
      </w:r>
    </w:p>
    <w:p w14:paraId="19C01C8C" w14:textId="5D5EA6DB" w:rsidR="005E0550" w:rsidRDefault="00583E52" w:rsidP="005E0550">
      <w:pPr>
        <w:pStyle w:val="ListBullet"/>
      </w:pPr>
      <w:r>
        <w:t xml:space="preserve">low tree density, few large logs, and little litter cover but high grass cover </w:t>
      </w:r>
      <w:r w:rsidR="005E0550">
        <w:t xml:space="preserve">for </w:t>
      </w:r>
      <w:r w:rsidR="00020F2A">
        <w:t xml:space="preserve">foraging, roosting and </w:t>
      </w:r>
      <w:proofErr w:type="gramStart"/>
      <w:r w:rsidR="00020F2A">
        <w:t>breeding</w:t>
      </w:r>
      <w:r w:rsidR="005E0550">
        <w:t>;</w:t>
      </w:r>
      <w:proofErr w:type="gramEnd"/>
    </w:p>
    <w:p w14:paraId="7D22B72F" w14:textId="603AC14C" w:rsidR="005E0550" w:rsidRDefault="00462A89" w:rsidP="00462A89">
      <w:pPr>
        <w:pStyle w:val="ListBullet"/>
      </w:pPr>
      <w:r>
        <w:t xml:space="preserve">Drooping She‐oak </w:t>
      </w:r>
      <w:r w:rsidR="00385876">
        <w:t>(</w:t>
      </w:r>
      <w:proofErr w:type="spellStart"/>
      <w:r w:rsidRPr="008132B0">
        <w:rPr>
          <w:i/>
          <w:iCs/>
        </w:rPr>
        <w:t>Allocasuarina</w:t>
      </w:r>
      <w:proofErr w:type="spellEnd"/>
      <w:r w:rsidRPr="008132B0">
        <w:rPr>
          <w:i/>
          <w:iCs/>
        </w:rPr>
        <w:t xml:space="preserve"> </w:t>
      </w:r>
      <w:proofErr w:type="spellStart"/>
      <w:r w:rsidRPr="008132B0">
        <w:rPr>
          <w:i/>
          <w:iCs/>
        </w:rPr>
        <w:t>verticillata</w:t>
      </w:r>
      <w:proofErr w:type="spellEnd"/>
      <w:r w:rsidR="00385876">
        <w:t>)</w:t>
      </w:r>
      <w:r>
        <w:rPr>
          <w:i/>
          <w:iCs/>
        </w:rPr>
        <w:t xml:space="preserve"> </w:t>
      </w:r>
      <w:r>
        <w:t>within the Mt Lofty Ranges.</w:t>
      </w:r>
    </w:p>
    <w:p w14:paraId="1D46CEEE" w14:textId="77777777" w:rsidR="00D34DCD" w:rsidRDefault="00D34DCD" w:rsidP="00D34DCD">
      <w:pPr>
        <w:pStyle w:val="ListBullet"/>
        <w:numPr>
          <w:ilvl w:val="0"/>
          <w:numId w:val="0"/>
        </w:numPr>
      </w:pPr>
      <w:r w:rsidRPr="008B5DAD">
        <w:t xml:space="preserve">Any known or likely habitat </w:t>
      </w:r>
      <w:r>
        <w:t xml:space="preserve">(Map 1) </w:t>
      </w:r>
      <w:r w:rsidRPr="008B5DAD">
        <w:t xml:space="preserve">should be considered as habitat critical to the survival of the species. </w:t>
      </w:r>
      <w:r w:rsidRPr="009A2AE8">
        <w:t>Additionally, areas that are not currently occupied by the species due to recent disturbance (</w:t>
      </w:r>
      <w:proofErr w:type="gramStart"/>
      <w:r w:rsidRPr="009A2AE8">
        <w:t>e.g.</w:t>
      </w:r>
      <w:proofErr w:type="gramEnd"/>
      <w:r w:rsidRPr="009A2AE8">
        <w:t xml:space="preserve"> fire, grazing or human activity), but should became suitable again in the future, should also be considered habitat critical to the survival of the species</w:t>
      </w:r>
      <w:r>
        <w:t>.</w:t>
      </w:r>
    </w:p>
    <w:p w14:paraId="388A3A6C" w14:textId="77777777" w:rsidR="00615210" w:rsidRDefault="00615210" w:rsidP="004326C4">
      <w:r w:rsidRPr="008A18B0">
        <w:t>No Critical Habitat as defined under section 207A of the EPBC Act has been identified or included in the Register of Critical Habitat.</w:t>
      </w:r>
    </w:p>
    <w:p w14:paraId="53055EA5" w14:textId="7941C3A9" w:rsidR="005E0550" w:rsidRDefault="004326C4" w:rsidP="004326C4">
      <w:r>
        <w:t xml:space="preserve">Diamond Firetail habitat also occurs in a wide range of land </w:t>
      </w:r>
      <w:r w:rsidR="00615210">
        <w:t xml:space="preserve">tenures and </w:t>
      </w:r>
      <w:r>
        <w:t xml:space="preserve">ownership arrangements, including on private land, travelling stock routes and reserves, state forests and </w:t>
      </w:r>
      <w:r>
        <w:lastRenderedPageBreak/>
        <w:t>state reserves, and National Parks. It is essential that the highest level of protection is provided to these areas and that enhancement and protection measures target these productive sites.</w:t>
      </w:r>
      <w:r w:rsidRPr="004326C4">
        <w:t xml:space="preserve"> </w:t>
      </w:r>
    </w:p>
    <w:p w14:paraId="6AB8A9AF" w14:textId="2802C2F3" w:rsidR="00D34DCD" w:rsidRDefault="00107CD4" w:rsidP="00D34DCD">
      <w:pPr>
        <w:pStyle w:val="ListBullet"/>
        <w:numPr>
          <w:ilvl w:val="0"/>
          <w:numId w:val="0"/>
        </w:numPr>
      </w:pPr>
      <w:r>
        <w:t xml:space="preserve">Habitat critical to the survival should not be cleared, </w:t>
      </w:r>
      <w:proofErr w:type="gramStart"/>
      <w:r>
        <w:t>fragmented</w:t>
      </w:r>
      <w:proofErr w:type="gramEnd"/>
      <w:r>
        <w:t xml:space="preserve"> or degraded. If removal of habitat critical to the survival cannot be avoided or mitigated, then an offset should be provided.  </w:t>
      </w:r>
      <w:r w:rsidR="001C340A">
        <w:t>A</w:t>
      </w:r>
      <w:r w:rsidR="00D34DCD">
        <w:t>ctions identified in this document may form suitable offsets.</w:t>
      </w:r>
    </w:p>
    <w:p w14:paraId="317B8450" w14:textId="77777777" w:rsidR="00C304AA" w:rsidRDefault="00C304AA" w:rsidP="001E5131">
      <w:pPr>
        <w:pStyle w:val="Heading3"/>
        <w:ind w:left="964" w:hanging="964"/>
      </w:pPr>
      <w:r>
        <w:t>Threats</w:t>
      </w:r>
    </w:p>
    <w:p w14:paraId="3AA11C10" w14:textId="618A4A26" w:rsidR="00C304AA" w:rsidRPr="00AF6941" w:rsidRDefault="00E06F97" w:rsidP="008132B0">
      <w:r>
        <w:t>Ongoing c</w:t>
      </w:r>
      <w:r w:rsidR="008132B0">
        <w:t>lear</w:t>
      </w:r>
      <w:r>
        <w:t>ing</w:t>
      </w:r>
      <w:r w:rsidR="008132B0">
        <w:t xml:space="preserve"> of native vegetation</w:t>
      </w:r>
      <w:r>
        <w:t xml:space="preserve"> </w:t>
      </w:r>
      <w:r w:rsidR="008132B0">
        <w:t>is the underlying reason for the decline of the species. There is also widespread degradation of habitat that remains (Ford 2011) which has led to the replacement of native perennial grasses with exotic annual grasses</w:t>
      </w:r>
      <w:r w:rsidR="006170E2">
        <w:t>. This has</w:t>
      </w:r>
      <w:r w:rsidR="008132B0">
        <w:t xml:space="preserve"> </w:t>
      </w:r>
      <w:r w:rsidR="006170E2">
        <w:t xml:space="preserve">resulted </w:t>
      </w:r>
      <w:r w:rsidR="008132B0">
        <w:t xml:space="preserve">in </w:t>
      </w:r>
      <w:r w:rsidR="006170E2">
        <w:t xml:space="preserve">the </w:t>
      </w:r>
      <w:r w:rsidR="008132B0">
        <w:t>starvation of firetails during periods when exotic annual grass seed</w:t>
      </w:r>
      <w:r w:rsidR="00276235">
        <w:t xml:space="preserve"> </w:t>
      </w:r>
      <w:r w:rsidR="008132B0">
        <w:t xml:space="preserve">germinates in autumn and winter </w:t>
      </w:r>
      <w:r w:rsidR="00EF184D">
        <w:t>(</w:t>
      </w:r>
      <w:r w:rsidR="008132B0">
        <w:t>if no alternative seed sources</w:t>
      </w:r>
      <w:r w:rsidR="00402785">
        <w:t xml:space="preserve"> exist</w:t>
      </w:r>
      <w:r w:rsidR="00EF184D">
        <w:t>)</w:t>
      </w:r>
      <w:r w:rsidR="008132B0">
        <w:t xml:space="preserve"> (Higgins et al. 2007; Hodder 2019). Habitat patches are also degraded by grazing stock, rabbits </w:t>
      </w:r>
      <w:r w:rsidR="00385876">
        <w:t>(</w:t>
      </w:r>
      <w:r w:rsidR="008132B0" w:rsidRPr="34C0BC08">
        <w:rPr>
          <w:i/>
          <w:iCs/>
        </w:rPr>
        <w:t>Oryctolagus cuniculus</w:t>
      </w:r>
      <w:r w:rsidR="00385876">
        <w:t>)</w:t>
      </w:r>
      <w:r w:rsidR="006170E2">
        <w:t>,</w:t>
      </w:r>
      <w:r w:rsidR="008132B0">
        <w:t xml:space="preserve"> and </w:t>
      </w:r>
      <w:r w:rsidR="00D2695B">
        <w:t xml:space="preserve">overabundant </w:t>
      </w:r>
      <w:r w:rsidR="008132B0">
        <w:t xml:space="preserve">kangaroos </w:t>
      </w:r>
      <w:r w:rsidR="00385876">
        <w:t>(</w:t>
      </w:r>
      <w:r w:rsidR="008132B0" w:rsidRPr="34C0BC08">
        <w:rPr>
          <w:i/>
          <w:iCs/>
        </w:rPr>
        <w:t>Macropus</w:t>
      </w:r>
      <w:r w:rsidR="008132B0">
        <w:t xml:space="preserve"> spp.</w:t>
      </w:r>
      <w:r w:rsidR="00385876">
        <w:t>)</w:t>
      </w:r>
      <w:r w:rsidR="008132B0">
        <w:t xml:space="preserve"> that remove the shrub layer (Barrett et al. 2002). The agricultural matrix matters too</w:t>
      </w:r>
      <w:r w:rsidR="00402785">
        <w:t xml:space="preserve"> as</w:t>
      </w:r>
      <w:r w:rsidR="001A6AFB">
        <w:t>;</w:t>
      </w:r>
      <w:r w:rsidR="006170E2">
        <w:t xml:space="preserve"> </w:t>
      </w:r>
      <w:r w:rsidR="001A6AFB">
        <w:t xml:space="preserve">firetails </w:t>
      </w:r>
      <w:r w:rsidR="006170E2">
        <w:t xml:space="preserve">are </w:t>
      </w:r>
      <w:r w:rsidR="008132B0">
        <w:t>more likely to persist in a matrix of sheep grazing</w:t>
      </w:r>
      <w:r w:rsidR="006170E2">
        <w:t xml:space="preserve"> -</w:t>
      </w:r>
      <w:r w:rsidR="008132B0">
        <w:t xml:space="preserve"> a land‐use that has been declining (ABARES 2020)</w:t>
      </w:r>
      <w:r w:rsidR="006170E2">
        <w:t xml:space="preserve"> -</w:t>
      </w:r>
      <w:r w:rsidR="008132B0">
        <w:t xml:space="preserve"> than </w:t>
      </w:r>
      <w:r w:rsidR="006170E2">
        <w:t xml:space="preserve">in matrixes </w:t>
      </w:r>
      <w:r w:rsidR="008132B0">
        <w:t>where surrounding areas are grazed by cattle or sown to grain crops (Barrett et al. 2002).</w:t>
      </w:r>
    </w:p>
    <w:p w14:paraId="2DC62AEF" w14:textId="5BDD8758" w:rsidR="00957A21" w:rsidRDefault="00957A21" w:rsidP="009502E2">
      <w:pPr>
        <w:pStyle w:val="Caption"/>
      </w:pPr>
      <w:bookmarkStart w:id="6" w:name="_Ref40886856"/>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7804CC">
        <w:rPr>
          <w:noProof/>
        </w:rPr>
        <w:t>1</w:t>
      </w:r>
      <w:r w:rsidR="003A06CA">
        <w:rPr>
          <w:noProof/>
        </w:rPr>
        <w:fldChar w:fldCharType="end"/>
      </w:r>
      <w:bookmarkEnd w:id="6"/>
      <w:r>
        <w:t xml:space="preserve"> Threats impacting </w:t>
      </w:r>
      <w:r w:rsidR="008132B0">
        <w:t>Diamond Firetail</w:t>
      </w:r>
    </w:p>
    <w:tbl>
      <w:tblPr>
        <w:tblStyle w:val="TableGrid"/>
        <w:tblW w:w="0" w:type="auto"/>
        <w:tblLayout w:type="fixed"/>
        <w:tblLook w:val="04A0" w:firstRow="1" w:lastRow="0" w:firstColumn="1" w:lastColumn="0" w:noHBand="0" w:noVBand="1"/>
      </w:tblPr>
      <w:tblGrid>
        <w:gridCol w:w="3020"/>
        <w:gridCol w:w="3020"/>
        <w:gridCol w:w="3020"/>
      </w:tblGrid>
      <w:tr w:rsidR="00957A21" w14:paraId="078C9F1A" w14:textId="77777777" w:rsidTr="04909832">
        <w:trPr>
          <w:cantSplit/>
          <w:tblHeader/>
        </w:trPr>
        <w:tc>
          <w:tcPr>
            <w:tcW w:w="3020" w:type="dxa"/>
          </w:tcPr>
          <w:p w14:paraId="494D8524" w14:textId="155E55D1" w:rsidR="00957A21" w:rsidRDefault="00957A21" w:rsidP="00D945A0">
            <w:pPr>
              <w:pStyle w:val="TableHeading"/>
            </w:pPr>
            <w:r>
              <w:t xml:space="preserve">Threat </w:t>
            </w:r>
          </w:p>
        </w:tc>
        <w:tc>
          <w:tcPr>
            <w:tcW w:w="3020" w:type="dxa"/>
          </w:tcPr>
          <w:p w14:paraId="3DF9A4AC" w14:textId="5C531070" w:rsidR="00957A21" w:rsidRDefault="00935CDF" w:rsidP="00D945A0">
            <w:pPr>
              <w:pStyle w:val="TableHeading"/>
            </w:pPr>
            <w:r>
              <w:t>S</w:t>
            </w:r>
            <w:r w:rsidR="00957A21">
              <w:t xml:space="preserve">tatus and severity </w:t>
            </w:r>
            <w:r w:rsidR="00957A21" w:rsidRPr="006E5CC3">
              <w:rPr>
                <w:rStyle w:val="Strong"/>
                <w:vertAlign w:val="superscript"/>
              </w:rPr>
              <w:t>a</w:t>
            </w:r>
          </w:p>
        </w:tc>
        <w:tc>
          <w:tcPr>
            <w:tcW w:w="3020" w:type="dxa"/>
          </w:tcPr>
          <w:p w14:paraId="2D2F3839" w14:textId="79AA86D4" w:rsidR="00957A21" w:rsidRDefault="00957A21" w:rsidP="00D945A0">
            <w:pPr>
              <w:pStyle w:val="TableHeading"/>
            </w:pPr>
            <w:r>
              <w:t xml:space="preserve">Evidence </w:t>
            </w:r>
          </w:p>
        </w:tc>
      </w:tr>
      <w:tr w:rsidR="00AC049E" w:rsidRPr="008A24A1" w14:paraId="59A4856E" w14:textId="77777777" w:rsidTr="04909832">
        <w:tc>
          <w:tcPr>
            <w:tcW w:w="9060" w:type="dxa"/>
            <w:gridSpan w:val="3"/>
          </w:tcPr>
          <w:p w14:paraId="36A7ACFF" w14:textId="512172C9" w:rsidR="008A24A1" w:rsidRPr="008132B0" w:rsidRDefault="008132B0" w:rsidP="008132B0">
            <w:pPr>
              <w:pStyle w:val="TableText"/>
            </w:pPr>
            <w:r w:rsidRPr="008132B0">
              <w:t xml:space="preserve">Habitat loss, </w:t>
            </w:r>
            <w:proofErr w:type="gramStart"/>
            <w:r w:rsidRPr="008132B0">
              <w:t>degradation</w:t>
            </w:r>
            <w:proofErr w:type="gramEnd"/>
            <w:r w:rsidRPr="008132B0">
              <w:t xml:space="preserve"> and </w:t>
            </w:r>
            <w:r w:rsidR="000F4173">
              <w:t>fragmentation</w:t>
            </w:r>
          </w:p>
        </w:tc>
      </w:tr>
      <w:tr w:rsidR="00323FCB" w14:paraId="20BECFD2" w14:textId="77777777" w:rsidTr="04909832">
        <w:tc>
          <w:tcPr>
            <w:tcW w:w="3020" w:type="dxa"/>
          </w:tcPr>
          <w:p w14:paraId="10609E34" w14:textId="2C03BA16" w:rsidR="00323FCB" w:rsidRPr="008132B0" w:rsidRDefault="00323FCB" w:rsidP="00323FCB">
            <w:pPr>
              <w:pStyle w:val="TableText"/>
            </w:pPr>
            <w:r w:rsidRPr="008132B0">
              <w:t>Habitat loss caused by clearing for large scale agriculture</w:t>
            </w:r>
          </w:p>
        </w:tc>
        <w:tc>
          <w:tcPr>
            <w:tcW w:w="3020" w:type="dxa"/>
          </w:tcPr>
          <w:p w14:paraId="3C6A7CF0" w14:textId="59A270E4" w:rsidR="00323FCB" w:rsidRPr="008349ED" w:rsidRDefault="00323FCB" w:rsidP="00323FCB">
            <w:pPr>
              <w:pStyle w:val="TableBullet1"/>
              <w:keepNext/>
            </w:pPr>
            <w:r>
              <w:t xml:space="preserve">Status: </w:t>
            </w:r>
            <w:r w:rsidRPr="008349ED">
              <w:t>historical</w:t>
            </w:r>
            <w:r w:rsidR="00482AD7">
              <w:t xml:space="preserve">, </w:t>
            </w:r>
            <w:r w:rsidRPr="008349ED">
              <w:t>current</w:t>
            </w:r>
            <w:r w:rsidR="00482AD7">
              <w:t xml:space="preserve"> &amp; </w:t>
            </w:r>
            <w:r w:rsidRPr="008349ED">
              <w:t>future</w:t>
            </w:r>
          </w:p>
          <w:p w14:paraId="5C47E1AC" w14:textId="77777777" w:rsidR="00323FCB" w:rsidRPr="008349ED" w:rsidRDefault="00323FCB" w:rsidP="00323FCB">
            <w:pPr>
              <w:pStyle w:val="TableBullet1"/>
              <w:keepNext/>
            </w:pPr>
            <w:r w:rsidRPr="008349ED">
              <w:t>Confidence: known</w:t>
            </w:r>
          </w:p>
          <w:p w14:paraId="4CA95F32" w14:textId="0BCCA637" w:rsidR="00323FCB" w:rsidRPr="008349ED" w:rsidRDefault="00323FCB" w:rsidP="00323FCB">
            <w:pPr>
              <w:pStyle w:val="TableBullet1"/>
              <w:keepNext/>
            </w:pPr>
            <w:r w:rsidRPr="008349ED">
              <w:t xml:space="preserve">Consequence: </w:t>
            </w:r>
            <w:r w:rsidR="00482AD7">
              <w:t>severe</w:t>
            </w:r>
          </w:p>
          <w:p w14:paraId="18B5E798" w14:textId="060352F6" w:rsidR="00323FCB" w:rsidRPr="008349ED" w:rsidRDefault="00323FCB" w:rsidP="00323FCB">
            <w:pPr>
              <w:pStyle w:val="TableBullet1"/>
              <w:keepNext/>
            </w:pPr>
            <w:r w:rsidRPr="008349ED">
              <w:t xml:space="preserve">Trend: </w:t>
            </w:r>
            <w:r w:rsidR="00482AD7">
              <w:t>increasing</w:t>
            </w:r>
          </w:p>
          <w:p w14:paraId="65A1E0D8" w14:textId="15827150" w:rsidR="00323FCB" w:rsidRDefault="00323FCB" w:rsidP="00323FCB">
            <w:pPr>
              <w:pStyle w:val="TableBullet1"/>
            </w:pPr>
            <w:r w:rsidRPr="008349ED">
              <w:t>Extent: across part of its range</w:t>
            </w:r>
          </w:p>
        </w:tc>
        <w:tc>
          <w:tcPr>
            <w:tcW w:w="3020" w:type="dxa"/>
          </w:tcPr>
          <w:p w14:paraId="1CBAECB0" w14:textId="58FE0DE3" w:rsidR="00323FCB" w:rsidRDefault="00323FCB" w:rsidP="00323FCB">
            <w:pPr>
              <w:pStyle w:val="TableText"/>
            </w:pPr>
            <w:r w:rsidRPr="007B4BF6">
              <w:t xml:space="preserve">The main threats to bird survival in agricultural areas is habitat loss caused by over-clearing of native vegetation and subsequent degradation of </w:t>
            </w:r>
            <w:r w:rsidR="00537EBA">
              <w:t>remnant habitat patches</w:t>
            </w:r>
            <w:r>
              <w:t xml:space="preserve"> (Stevens 2001)</w:t>
            </w:r>
            <w:r w:rsidRPr="007B4BF6">
              <w:t xml:space="preserve">. </w:t>
            </w:r>
            <w:r>
              <w:t>Since European settlement</w:t>
            </w:r>
            <w:r w:rsidR="00537EBA">
              <w:t>,</w:t>
            </w:r>
            <w:r>
              <w:t xml:space="preserve"> over 80</w:t>
            </w:r>
            <w:r w:rsidR="007D7EBC">
              <w:t>%</w:t>
            </w:r>
            <w:r>
              <w:t xml:space="preserve"> of woodlands in south-east Australia have been cleared (Bradshaw 2012). Remaining remnants are generally isolated and small, and often below the critical size needed to sustain healthy populations of many bird species (Olsen et al. 2005).</w:t>
            </w:r>
            <w:r w:rsidR="00537EBA">
              <w:t xml:space="preserve"> </w:t>
            </w:r>
            <w:r w:rsidR="00537EBA" w:rsidRPr="00537EBA">
              <w:t>Populations appear unable to persist in areas which lack remnants of native vegetation larger than 200 hectares (N. Schrader, pers. comm. cited in NSW Scientific Committee 2000).</w:t>
            </w:r>
          </w:p>
          <w:p w14:paraId="0E3BA1E7" w14:textId="7536EA13" w:rsidR="00323FCB" w:rsidRPr="006E5CC3" w:rsidRDefault="00323FCB" w:rsidP="008849BF">
            <w:pPr>
              <w:pStyle w:val="TableText"/>
            </w:pPr>
            <w:r w:rsidRPr="00E65A59">
              <w:t>A</w:t>
            </w:r>
            <w:r>
              <w:t>dditionally, as</w:t>
            </w:r>
            <w:r w:rsidRPr="00E65A59">
              <w:t xml:space="preserve"> habitats become increasingly fragmented</w:t>
            </w:r>
            <w:r>
              <w:t xml:space="preserve"> due to clearing</w:t>
            </w:r>
            <w:r w:rsidRPr="00E65A59">
              <w:t xml:space="preserve">, native </w:t>
            </w:r>
            <w:r>
              <w:t>birds</w:t>
            </w:r>
            <w:r w:rsidRPr="00E65A59">
              <w:t xml:space="preserve"> become more vulnerable to the other threats such as predation by feral species and destructive fires</w:t>
            </w:r>
            <w:r w:rsidR="00072F05">
              <w:t>. The species may also</w:t>
            </w:r>
            <w:r w:rsidRPr="00E65A59">
              <w:t xml:space="preserve"> lose the ability to recolonise </w:t>
            </w:r>
            <w:r w:rsidR="00072F05">
              <w:t xml:space="preserve">previously </w:t>
            </w:r>
            <w:r w:rsidRPr="00E65A59">
              <w:t>suitable habitat</w:t>
            </w:r>
            <w:r>
              <w:t xml:space="preserve"> (Olsen et al. 2005)</w:t>
            </w:r>
            <w:r w:rsidRPr="00E65A59">
              <w:t>.</w:t>
            </w:r>
            <w:r>
              <w:t xml:space="preserve"> </w:t>
            </w:r>
          </w:p>
        </w:tc>
      </w:tr>
      <w:tr w:rsidR="00276235" w14:paraId="21FC2E87" w14:textId="77777777" w:rsidTr="04909832">
        <w:tc>
          <w:tcPr>
            <w:tcW w:w="3020" w:type="dxa"/>
          </w:tcPr>
          <w:p w14:paraId="519BF94B" w14:textId="091225D9" w:rsidR="00276235" w:rsidRPr="00323FCB" w:rsidRDefault="0070750E" w:rsidP="0070750E">
            <w:pPr>
              <w:pStyle w:val="TableText"/>
            </w:pPr>
            <w:r>
              <w:t>Weeds, particularly exotic annual grasses, altering habitat</w:t>
            </w:r>
          </w:p>
        </w:tc>
        <w:tc>
          <w:tcPr>
            <w:tcW w:w="3020" w:type="dxa"/>
          </w:tcPr>
          <w:p w14:paraId="279563A7" w14:textId="45C645B7" w:rsidR="00276235" w:rsidRPr="007D0D64" w:rsidRDefault="00276235" w:rsidP="00276235">
            <w:pPr>
              <w:pStyle w:val="TableBullet1"/>
            </w:pPr>
            <w:r>
              <w:t xml:space="preserve">Status: </w:t>
            </w:r>
            <w:r w:rsidR="00D05A54">
              <w:t xml:space="preserve">historical, </w:t>
            </w:r>
            <w:r w:rsidRPr="007D0D64">
              <w:t>current</w:t>
            </w:r>
            <w:r w:rsidR="007D0D64" w:rsidRPr="007D0D64">
              <w:t xml:space="preserve"> &amp; </w:t>
            </w:r>
            <w:r w:rsidRPr="007D0D64">
              <w:t>future</w:t>
            </w:r>
          </w:p>
          <w:p w14:paraId="291CD6C2" w14:textId="4ACAD83E" w:rsidR="00276235" w:rsidRPr="007D0D64" w:rsidRDefault="00276235" w:rsidP="00276235">
            <w:pPr>
              <w:pStyle w:val="TableBullet1"/>
            </w:pPr>
            <w:r w:rsidRPr="007D0D64">
              <w:t>Confidence: known</w:t>
            </w:r>
          </w:p>
          <w:p w14:paraId="5267A931" w14:textId="7E3C726A" w:rsidR="00276235" w:rsidRPr="007D0D64" w:rsidRDefault="00276235" w:rsidP="00276235">
            <w:pPr>
              <w:pStyle w:val="TableBullet1"/>
            </w:pPr>
            <w:r w:rsidRPr="007D0D64">
              <w:t>Consequence: severe</w:t>
            </w:r>
          </w:p>
          <w:p w14:paraId="6DD29909" w14:textId="65A4C6AB" w:rsidR="00276235" w:rsidRPr="007D0D64" w:rsidRDefault="00276235" w:rsidP="00276235">
            <w:pPr>
              <w:pStyle w:val="TableBullet1"/>
            </w:pPr>
            <w:r w:rsidRPr="007D0D64">
              <w:lastRenderedPageBreak/>
              <w:t xml:space="preserve">Trend: </w:t>
            </w:r>
            <w:r w:rsidR="00482AD7">
              <w:t>increasing</w:t>
            </w:r>
          </w:p>
          <w:p w14:paraId="67B792AD" w14:textId="07FF5A21" w:rsidR="00276235" w:rsidRDefault="00276235" w:rsidP="00276235">
            <w:pPr>
              <w:pStyle w:val="TableBullet1"/>
              <w:keepNext/>
            </w:pPr>
            <w:r w:rsidRPr="007D0D64">
              <w:t>Extent: across the entire range</w:t>
            </w:r>
          </w:p>
        </w:tc>
        <w:tc>
          <w:tcPr>
            <w:tcW w:w="3020" w:type="dxa"/>
          </w:tcPr>
          <w:p w14:paraId="0882EE49" w14:textId="004FBB70" w:rsidR="00276235" w:rsidRPr="00982D5F" w:rsidRDefault="00276235" w:rsidP="00276235">
            <w:pPr>
              <w:pStyle w:val="TableText"/>
            </w:pPr>
            <w:r>
              <w:lastRenderedPageBreak/>
              <w:t xml:space="preserve">Invasive weeds </w:t>
            </w:r>
            <w:proofErr w:type="gramStart"/>
            <w:r>
              <w:t>have the ability to</w:t>
            </w:r>
            <w:proofErr w:type="gramEnd"/>
            <w:r>
              <w:t xml:space="preserve"> change the floristic and structural characteristics of habitat, thereby changing resource availability</w:t>
            </w:r>
            <w:r w:rsidR="594CA987">
              <w:t xml:space="preserve"> for native birds</w:t>
            </w:r>
            <w:r>
              <w:t xml:space="preserve"> (French &amp; </w:t>
            </w:r>
            <w:proofErr w:type="spellStart"/>
            <w:r>
              <w:t>Zubovic</w:t>
            </w:r>
            <w:proofErr w:type="spellEnd"/>
            <w:r>
              <w:t xml:space="preserve"> </w:t>
            </w:r>
            <w:r>
              <w:lastRenderedPageBreak/>
              <w:t xml:space="preserve">1997). </w:t>
            </w:r>
            <w:r w:rsidR="594CA987">
              <w:t>The replacement of native perennial grasses with exotic annual grasses</w:t>
            </w:r>
            <w:r w:rsidR="00422576">
              <w:t xml:space="preserve"> (</w:t>
            </w:r>
            <w:proofErr w:type="gramStart"/>
            <w:r w:rsidR="00422576">
              <w:t>e.g.</w:t>
            </w:r>
            <w:proofErr w:type="gramEnd"/>
            <w:r w:rsidR="00422576">
              <w:t xml:space="preserve"> </w:t>
            </w:r>
            <w:r w:rsidR="00422576" w:rsidRPr="00422576">
              <w:t>African lovegrass</w:t>
            </w:r>
            <w:r w:rsidR="00422576">
              <w:t xml:space="preserve"> </w:t>
            </w:r>
            <w:proofErr w:type="spellStart"/>
            <w:r w:rsidR="00422576" w:rsidRPr="00422576">
              <w:rPr>
                <w:i/>
                <w:iCs/>
              </w:rPr>
              <w:t>Eragrostis</w:t>
            </w:r>
            <w:proofErr w:type="spellEnd"/>
            <w:r w:rsidR="00422576" w:rsidRPr="00422576">
              <w:rPr>
                <w:i/>
                <w:iCs/>
              </w:rPr>
              <w:t xml:space="preserve"> </w:t>
            </w:r>
            <w:proofErr w:type="spellStart"/>
            <w:r w:rsidR="00422576" w:rsidRPr="00422576">
              <w:rPr>
                <w:i/>
                <w:iCs/>
              </w:rPr>
              <w:t>curvula</w:t>
            </w:r>
            <w:proofErr w:type="spellEnd"/>
            <w:r w:rsidR="00422576">
              <w:t>)</w:t>
            </w:r>
            <w:r w:rsidR="594CA987">
              <w:t xml:space="preserve"> has resulted in the starvation of Diamond Firetails during periods when exotic annual grass seed germinates (during autumn and winter) if there are no alternative seed sources (Higgins et al. 2007; Hodder 2019). </w:t>
            </w:r>
            <w:r>
              <w:t>Some weeds may also increase the flammability of habitat, amplifying bushfire risk (Salvo Aires 2014).</w:t>
            </w:r>
          </w:p>
        </w:tc>
      </w:tr>
      <w:tr w:rsidR="00D2695B" w14:paraId="0A74AFE3" w14:textId="77777777" w:rsidTr="04909832">
        <w:tc>
          <w:tcPr>
            <w:tcW w:w="3020" w:type="dxa"/>
          </w:tcPr>
          <w:p w14:paraId="704B8141" w14:textId="4F3B0070" w:rsidR="00D2695B" w:rsidRDefault="00D2695B" w:rsidP="00D2695B">
            <w:pPr>
              <w:pStyle w:val="TableText"/>
            </w:pPr>
            <w:r>
              <w:lastRenderedPageBreak/>
              <w:t xml:space="preserve">Habitat degradation caused by domestic </w:t>
            </w:r>
            <w:r w:rsidR="008A3296">
              <w:t>live</w:t>
            </w:r>
            <w:r>
              <w:t>stock grazing</w:t>
            </w:r>
          </w:p>
        </w:tc>
        <w:tc>
          <w:tcPr>
            <w:tcW w:w="3020" w:type="dxa"/>
          </w:tcPr>
          <w:p w14:paraId="2EC8C714" w14:textId="77777777" w:rsidR="00D2695B" w:rsidRPr="00966DC8" w:rsidRDefault="00D2695B" w:rsidP="00D2695B">
            <w:pPr>
              <w:pStyle w:val="TableBullet1"/>
              <w:keepNext/>
            </w:pPr>
            <w:r>
              <w:t xml:space="preserve">Status: historical, </w:t>
            </w:r>
            <w:r w:rsidRPr="00966DC8">
              <w:t>current</w:t>
            </w:r>
            <w:r>
              <w:t xml:space="preserve"> &amp; </w:t>
            </w:r>
            <w:r w:rsidRPr="00966DC8">
              <w:t>future</w:t>
            </w:r>
          </w:p>
          <w:p w14:paraId="678A05D5" w14:textId="77777777" w:rsidR="00D2695B" w:rsidRPr="00966DC8" w:rsidRDefault="00D2695B" w:rsidP="00D2695B">
            <w:pPr>
              <w:pStyle w:val="TableBullet1"/>
              <w:keepNext/>
            </w:pPr>
            <w:r w:rsidRPr="00966DC8">
              <w:t>Confidence: known</w:t>
            </w:r>
          </w:p>
          <w:p w14:paraId="350EA5BB" w14:textId="77777777" w:rsidR="00D2695B" w:rsidRPr="00966DC8" w:rsidRDefault="00D2695B" w:rsidP="00D2695B">
            <w:pPr>
              <w:pStyle w:val="TableBullet1"/>
              <w:keepNext/>
            </w:pPr>
            <w:r w:rsidRPr="00966DC8">
              <w:t xml:space="preserve">Consequence: </w:t>
            </w:r>
            <w:r>
              <w:t>severe</w:t>
            </w:r>
          </w:p>
          <w:p w14:paraId="0DF8B940" w14:textId="77777777" w:rsidR="00D2695B" w:rsidRPr="00966DC8" w:rsidRDefault="00D2695B" w:rsidP="00D2695B">
            <w:pPr>
              <w:pStyle w:val="TableBullet1"/>
              <w:keepNext/>
            </w:pPr>
            <w:r w:rsidRPr="00966DC8">
              <w:t>Trend: increasing</w:t>
            </w:r>
          </w:p>
          <w:p w14:paraId="1BAA93DA" w14:textId="19E77636" w:rsidR="00D2695B" w:rsidRDefault="00D2695B" w:rsidP="00D2695B">
            <w:pPr>
              <w:pStyle w:val="TableBullet1"/>
            </w:pPr>
            <w:r w:rsidRPr="00966DC8">
              <w:t>Extent: across part of its range</w:t>
            </w:r>
          </w:p>
        </w:tc>
        <w:tc>
          <w:tcPr>
            <w:tcW w:w="3020" w:type="dxa"/>
          </w:tcPr>
          <w:p w14:paraId="5FAEC4AA" w14:textId="22AD26EC" w:rsidR="00D2695B" w:rsidRDefault="00D2695B" w:rsidP="00D2695B">
            <w:pPr>
              <w:pStyle w:val="TableText"/>
            </w:pPr>
            <w:r>
              <w:t xml:space="preserve">Native tree and shrub seedlings and grassy woodland groundcover species are highly susceptible to domestic </w:t>
            </w:r>
            <w:r w:rsidR="008A3296">
              <w:t>live</w:t>
            </w:r>
            <w:r>
              <w:t xml:space="preserve">stock grazing (Barrett et al. 2002). Unlike native herbivores, most domestic stock </w:t>
            </w:r>
            <w:proofErr w:type="gramStart"/>
            <w:r>
              <w:t>are</w:t>
            </w:r>
            <w:proofErr w:type="gramEnd"/>
            <w:r>
              <w:t xml:space="preserve"> hard-hoofed and cause significantly more damage to soil structure from compaction, and damage to native plants by trampling (Barrett et al. 2002). The reduction or removal of understorey habitat (e.g., native shrubs, </w:t>
            </w:r>
            <w:proofErr w:type="gramStart"/>
            <w:r>
              <w:t>herbs</w:t>
            </w:r>
            <w:proofErr w:type="gramEnd"/>
            <w:r>
              <w:t xml:space="preserve"> and grasses) can reduce foraging and nesting site availability, reduce shelter, and subsequently increase the risk of predation (Olsen et al. 2005).</w:t>
            </w:r>
          </w:p>
          <w:p w14:paraId="79F6C1C6" w14:textId="4EBB9FCC" w:rsidR="00D2695B" w:rsidRPr="00323FCB" w:rsidRDefault="00D2695B" w:rsidP="00D2695B">
            <w:pPr>
              <w:pStyle w:val="TableText"/>
            </w:pPr>
            <w:r>
              <w:t>The other major influence of livestock grazing is its interaction with weed invasion (Martine &amp; Alan 2005). Livestock grazing can exacerbate weed spread through seed dispersal, soil and vegetation disturbance, and nutrient enrichment (Martine &amp; Alan 2005).</w:t>
            </w:r>
          </w:p>
        </w:tc>
      </w:tr>
      <w:tr w:rsidR="00D2695B" w14:paraId="14F009A0" w14:textId="77777777" w:rsidTr="04909832">
        <w:tc>
          <w:tcPr>
            <w:tcW w:w="3020" w:type="dxa"/>
          </w:tcPr>
          <w:p w14:paraId="52149DAB" w14:textId="22A67EFE" w:rsidR="00D2695B" w:rsidRDefault="00320954" w:rsidP="00D2695B">
            <w:pPr>
              <w:pStyle w:val="TableText"/>
            </w:pPr>
            <w:r>
              <w:t>Habitat degradation caused by r</w:t>
            </w:r>
            <w:r w:rsidR="00D2695B">
              <w:t xml:space="preserve">abbit </w:t>
            </w:r>
            <w:r>
              <w:t xml:space="preserve">and overabundant </w:t>
            </w:r>
            <w:r w:rsidRPr="00320954">
              <w:t>kangaroo</w:t>
            </w:r>
            <w:r w:rsidR="00385876">
              <w:t xml:space="preserve"> grazing</w:t>
            </w:r>
          </w:p>
        </w:tc>
        <w:tc>
          <w:tcPr>
            <w:tcW w:w="3020" w:type="dxa"/>
          </w:tcPr>
          <w:p w14:paraId="764EC384" w14:textId="77777777" w:rsidR="00D2695B" w:rsidRPr="0050723A" w:rsidRDefault="00D2695B" w:rsidP="00D2695B">
            <w:pPr>
              <w:pStyle w:val="TableBullet1"/>
            </w:pPr>
            <w:r>
              <w:t xml:space="preserve">Status: </w:t>
            </w:r>
            <w:r w:rsidRPr="0050723A">
              <w:t>current &amp; future</w:t>
            </w:r>
          </w:p>
          <w:p w14:paraId="46AF9C75" w14:textId="77777777" w:rsidR="00D2695B" w:rsidRPr="0050723A" w:rsidRDefault="00D2695B" w:rsidP="00D2695B">
            <w:pPr>
              <w:pStyle w:val="TableBullet1"/>
            </w:pPr>
            <w:r w:rsidRPr="0050723A">
              <w:t xml:space="preserve">Confidence: </w:t>
            </w:r>
            <w:r>
              <w:t>low</w:t>
            </w:r>
          </w:p>
          <w:p w14:paraId="5A1217EF" w14:textId="77777777" w:rsidR="00D2695B" w:rsidRPr="0050723A" w:rsidRDefault="00D2695B" w:rsidP="00D2695B">
            <w:pPr>
              <w:pStyle w:val="TableBullet1"/>
            </w:pPr>
            <w:r w:rsidRPr="0050723A">
              <w:t>Consequence: moderate</w:t>
            </w:r>
          </w:p>
          <w:p w14:paraId="032D0717" w14:textId="77777777" w:rsidR="00D2695B" w:rsidRPr="0050723A" w:rsidRDefault="00D2695B" w:rsidP="00D2695B">
            <w:pPr>
              <w:pStyle w:val="TableBullet1"/>
            </w:pPr>
            <w:r w:rsidRPr="0050723A">
              <w:t>Trend: static</w:t>
            </w:r>
          </w:p>
          <w:p w14:paraId="7BF18E32" w14:textId="7175B9F8" w:rsidR="00D2695B" w:rsidRDefault="00D2695B" w:rsidP="00D2695B">
            <w:pPr>
              <w:pStyle w:val="TableBullet1"/>
            </w:pPr>
            <w:r w:rsidRPr="0050723A">
              <w:t xml:space="preserve">Extent: </w:t>
            </w:r>
            <w:r>
              <w:t>unknown</w:t>
            </w:r>
          </w:p>
        </w:tc>
        <w:tc>
          <w:tcPr>
            <w:tcW w:w="3020" w:type="dxa"/>
          </w:tcPr>
          <w:p w14:paraId="53A4BD8F" w14:textId="2BDCD76C" w:rsidR="00320954" w:rsidRDefault="00320954" w:rsidP="004479F1">
            <w:pPr>
              <w:pStyle w:val="TableText"/>
            </w:pPr>
            <w:r>
              <w:t>Reduction of seed in heavily grazed grasslands likely reduce food availability for Diamond Firetail</w:t>
            </w:r>
            <w:r w:rsidR="004479F1">
              <w:t>.</w:t>
            </w:r>
            <w:r>
              <w:t xml:space="preserve"> </w:t>
            </w:r>
          </w:p>
          <w:p w14:paraId="157C8FC1" w14:textId="54DA3EB6" w:rsidR="00D2695B" w:rsidRPr="00B604B1" w:rsidRDefault="00D2695B" w:rsidP="00D2695B">
            <w:pPr>
              <w:pStyle w:val="TableText"/>
            </w:pPr>
            <w:r w:rsidRPr="00323FCB">
              <w:t xml:space="preserve">There </w:t>
            </w:r>
            <w:r w:rsidRPr="00B604B1">
              <w:t>is evidence that feral rabbits (</w:t>
            </w:r>
            <w:r w:rsidRPr="00B604B1">
              <w:rPr>
                <w:i/>
                <w:iCs/>
              </w:rPr>
              <w:t>Oryctolagus cuniculus</w:t>
            </w:r>
            <w:r w:rsidRPr="00B604B1">
              <w:t xml:space="preserve">) negatively impact native species via competition for resources, alteration of the structure and composition of vegetation, and land degradation (Barrett et al. 2002; Commonwealth of Australia 2016a, 2016b). Grazing pressure by rabbits has reduced the capacity of woodlands to regenerate, consequently reducing Diamond Firetail nesting, </w:t>
            </w:r>
            <w:proofErr w:type="gramStart"/>
            <w:r w:rsidRPr="00B604B1">
              <w:t>feeding</w:t>
            </w:r>
            <w:proofErr w:type="gramEnd"/>
            <w:r w:rsidRPr="00B604B1">
              <w:t xml:space="preserve"> and foraging habitat quality.</w:t>
            </w:r>
          </w:p>
          <w:p w14:paraId="7CE915A3" w14:textId="541C183A" w:rsidR="00320954" w:rsidRPr="00323FCB" w:rsidRDefault="00320954" w:rsidP="00D2695B">
            <w:pPr>
              <w:pStyle w:val="TableText"/>
            </w:pPr>
            <w:r w:rsidRPr="00B604B1">
              <w:t>Overabundant kangaroos</w:t>
            </w:r>
            <w:r>
              <w:t xml:space="preserve"> </w:t>
            </w:r>
            <w:r w:rsidRPr="00284D99">
              <w:rPr>
                <w:i/>
                <w:iCs/>
              </w:rPr>
              <w:t>Macropus</w:t>
            </w:r>
            <w:r>
              <w:t xml:space="preserve"> spp. grazing pressure can also negatively affect the subspecies by preventing regeneration (</w:t>
            </w:r>
            <w:proofErr w:type="spellStart"/>
            <w:r>
              <w:t>Willson</w:t>
            </w:r>
            <w:proofErr w:type="spellEnd"/>
            <w:r>
              <w:t xml:space="preserve"> &amp; </w:t>
            </w:r>
            <w:proofErr w:type="spellStart"/>
            <w:r>
              <w:t>Bignall</w:t>
            </w:r>
            <w:proofErr w:type="spellEnd"/>
            <w:r>
              <w:t xml:space="preserve"> 2009).</w:t>
            </w:r>
          </w:p>
        </w:tc>
      </w:tr>
      <w:tr w:rsidR="00D2695B" w14:paraId="7864F6E0" w14:textId="77777777" w:rsidTr="04909832">
        <w:tc>
          <w:tcPr>
            <w:tcW w:w="9060" w:type="dxa"/>
            <w:gridSpan w:val="3"/>
          </w:tcPr>
          <w:p w14:paraId="04096B45" w14:textId="27AAAF16" w:rsidR="00D2695B" w:rsidRDefault="00D2695B" w:rsidP="00D2695B">
            <w:pPr>
              <w:pStyle w:val="TableText"/>
              <w:rPr>
                <w:color w:val="1F497D" w:themeColor="text2"/>
                <w:highlight w:val="lightGray"/>
              </w:rPr>
            </w:pPr>
            <w:r>
              <w:t>Fire</w:t>
            </w:r>
          </w:p>
        </w:tc>
      </w:tr>
      <w:tr w:rsidR="00D2695B" w14:paraId="1F63A5DD" w14:textId="77777777" w:rsidTr="04909832">
        <w:tc>
          <w:tcPr>
            <w:tcW w:w="3020" w:type="dxa"/>
          </w:tcPr>
          <w:p w14:paraId="545FF426" w14:textId="701C1268" w:rsidR="00D2695B" w:rsidRPr="008132B0" w:rsidRDefault="00D2695B" w:rsidP="00D2695B">
            <w:pPr>
              <w:pStyle w:val="TableText"/>
            </w:pPr>
            <w:r w:rsidRPr="00323FCB">
              <w:lastRenderedPageBreak/>
              <w:t>Increase in frequency, scale</w:t>
            </w:r>
            <w:r>
              <w:t>,</w:t>
            </w:r>
            <w:r w:rsidRPr="00323FCB">
              <w:t xml:space="preserve"> or intensity of fire</w:t>
            </w:r>
          </w:p>
        </w:tc>
        <w:tc>
          <w:tcPr>
            <w:tcW w:w="3020" w:type="dxa"/>
          </w:tcPr>
          <w:p w14:paraId="340E6A4A" w14:textId="63508424" w:rsidR="00D2695B" w:rsidRPr="00C83797" w:rsidRDefault="00D2695B" w:rsidP="00D2695B">
            <w:pPr>
              <w:pStyle w:val="TableBullet1"/>
              <w:keepNext/>
            </w:pPr>
            <w:r>
              <w:t xml:space="preserve">Status: </w:t>
            </w:r>
            <w:r w:rsidRPr="00C83797">
              <w:t>current</w:t>
            </w:r>
            <w:r>
              <w:t xml:space="preserve"> &amp; </w:t>
            </w:r>
            <w:r w:rsidRPr="00C83797">
              <w:t>future</w:t>
            </w:r>
          </w:p>
          <w:p w14:paraId="281079D8" w14:textId="77777777" w:rsidR="00D2695B" w:rsidRPr="00C83797" w:rsidRDefault="00D2695B" w:rsidP="00D2695B">
            <w:pPr>
              <w:pStyle w:val="TableBullet1"/>
              <w:keepNext/>
            </w:pPr>
            <w:r w:rsidRPr="00C83797">
              <w:t>Confidence: known</w:t>
            </w:r>
          </w:p>
          <w:p w14:paraId="1B1F0898" w14:textId="3A88D871" w:rsidR="00D2695B" w:rsidRPr="00C83797" w:rsidRDefault="00D2695B" w:rsidP="00D2695B">
            <w:pPr>
              <w:pStyle w:val="TableBullet1"/>
              <w:keepNext/>
            </w:pPr>
            <w:r w:rsidRPr="00C83797">
              <w:t xml:space="preserve">Consequence: </w:t>
            </w:r>
            <w:r>
              <w:t>unknown</w:t>
            </w:r>
          </w:p>
          <w:p w14:paraId="109980BE" w14:textId="77777777" w:rsidR="00D2695B" w:rsidRPr="00C83797" w:rsidRDefault="00D2695B" w:rsidP="00D2695B">
            <w:pPr>
              <w:pStyle w:val="TableBullet1"/>
              <w:keepNext/>
            </w:pPr>
            <w:r w:rsidRPr="00C83797">
              <w:t>Trend: increasing</w:t>
            </w:r>
          </w:p>
          <w:p w14:paraId="00262A8E" w14:textId="6BECC479" w:rsidR="00D2695B" w:rsidRDefault="00D2695B" w:rsidP="00D2695B">
            <w:pPr>
              <w:pStyle w:val="TableBullet1"/>
            </w:pPr>
            <w:r w:rsidRPr="00C83797">
              <w:t>Extent: across the entire range</w:t>
            </w:r>
          </w:p>
        </w:tc>
        <w:tc>
          <w:tcPr>
            <w:tcW w:w="3020" w:type="dxa"/>
          </w:tcPr>
          <w:p w14:paraId="5EA66D29" w14:textId="536C1B5F" w:rsidR="00D2695B" w:rsidRDefault="00D2695B" w:rsidP="00D2695B">
            <w:pPr>
              <w:pStyle w:val="TableText"/>
            </w:pPr>
            <w:r>
              <w:t xml:space="preserve">Too frequent fire may contribute to Diamond Firetail decline </w:t>
            </w:r>
            <w:proofErr w:type="gramStart"/>
            <w:r>
              <w:t>through:</w:t>
            </w:r>
            <w:proofErr w:type="gramEnd"/>
            <w:r>
              <w:t xml:space="preserve"> changes in composition and/or structure of vegetation; increased weed invasion following fire; loss of woody debris; and decline in invertebrate abundance (Spencer &amp; Baxter 2006). Several fires in close succession can also prevent plants and animals from returning to an area (particularly in fragmented landscapes) and prevent soil seed set (Wilson &amp; </w:t>
            </w:r>
            <w:proofErr w:type="spellStart"/>
            <w:r>
              <w:t>Bignall</w:t>
            </w:r>
            <w:proofErr w:type="spellEnd"/>
            <w:r>
              <w:t xml:space="preserve"> 2009).</w:t>
            </w:r>
          </w:p>
          <w:p w14:paraId="533B2768" w14:textId="0CA36A3F" w:rsidR="00D2695B" w:rsidRDefault="00D2695B" w:rsidP="00D2695B">
            <w:pPr>
              <w:pStyle w:val="TableText"/>
              <w:rPr>
                <w:color w:val="1F497D" w:themeColor="text2"/>
                <w:highlight w:val="lightGray"/>
              </w:rPr>
            </w:pPr>
            <w:r w:rsidRPr="005C6382">
              <w:t xml:space="preserve">Since little is known about the appropriate </w:t>
            </w:r>
            <w:r>
              <w:t xml:space="preserve">fire </w:t>
            </w:r>
            <w:r w:rsidRPr="005C6382">
              <w:t>regime fo</w:t>
            </w:r>
            <w:r>
              <w:t xml:space="preserve">r the species, </w:t>
            </w:r>
            <w:r w:rsidRPr="005C6382">
              <w:t>particularly in fragmented landscapes, the potential for negative outcomes from management actions</w:t>
            </w:r>
            <w:r>
              <w:t xml:space="preserve"> </w:t>
            </w:r>
            <w:r w:rsidRPr="005C6382">
              <w:t>is high</w:t>
            </w:r>
            <w:r>
              <w:t xml:space="preserve">. </w:t>
            </w:r>
            <w:r w:rsidRPr="005C6382">
              <w:t>A greater level of understanding is required to achieve effective management</w:t>
            </w:r>
            <w:r>
              <w:t>.</w:t>
            </w:r>
          </w:p>
        </w:tc>
      </w:tr>
      <w:tr w:rsidR="00D2695B" w14:paraId="529F044D" w14:textId="77777777" w:rsidTr="04909832">
        <w:tc>
          <w:tcPr>
            <w:tcW w:w="9060" w:type="dxa"/>
            <w:gridSpan w:val="3"/>
          </w:tcPr>
          <w:p w14:paraId="17091609" w14:textId="7013A382" w:rsidR="00D2695B" w:rsidRDefault="00D2695B" w:rsidP="00D2695B">
            <w:pPr>
              <w:pStyle w:val="TableText"/>
              <w:rPr>
                <w:color w:val="1F497D" w:themeColor="text2"/>
                <w:highlight w:val="lightGray"/>
              </w:rPr>
            </w:pPr>
            <w:r>
              <w:t>Climate change</w:t>
            </w:r>
          </w:p>
        </w:tc>
      </w:tr>
      <w:tr w:rsidR="00D2695B" w14:paraId="76D693E5" w14:textId="77777777" w:rsidTr="04909832">
        <w:tc>
          <w:tcPr>
            <w:tcW w:w="3020" w:type="dxa"/>
          </w:tcPr>
          <w:p w14:paraId="3974DE2E" w14:textId="00929E19" w:rsidR="00D2695B" w:rsidRPr="008132B0" w:rsidRDefault="00D2695B" w:rsidP="00D2695B">
            <w:pPr>
              <w:pStyle w:val="TableText"/>
            </w:pPr>
            <w:r w:rsidRPr="00966DC8">
              <w:t xml:space="preserve">Increased likelihood of extreme events (i.e., </w:t>
            </w:r>
            <w:r>
              <w:t>wild</w:t>
            </w:r>
            <w:r w:rsidRPr="00966DC8">
              <w:t>fire, heatwave, and drought)</w:t>
            </w:r>
          </w:p>
        </w:tc>
        <w:tc>
          <w:tcPr>
            <w:tcW w:w="3020" w:type="dxa"/>
          </w:tcPr>
          <w:p w14:paraId="09106636" w14:textId="548DC00B" w:rsidR="00D2695B" w:rsidRPr="009214C7" w:rsidRDefault="00D2695B" w:rsidP="00D2695B">
            <w:pPr>
              <w:pStyle w:val="TableBullet1"/>
              <w:keepNext/>
            </w:pPr>
            <w:r w:rsidRPr="009214C7">
              <w:t xml:space="preserve">Status: current &amp; future </w:t>
            </w:r>
          </w:p>
          <w:p w14:paraId="552DDCEA" w14:textId="77777777" w:rsidR="00D2695B" w:rsidRPr="009214C7" w:rsidRDefault="00D2695B" w:rsidP="00D2695B">
            <w:pPr>
              <w:pStyle w:val="TableBullet1"/>
              <w:keepNext/>
            </w:pPr>
            <w:r w:rsidRPr="009214C7">
              <w:t>Confidence: known</w:t>
            </w:r>
          </w:p>
          <w:p w14:paraId="5B80D8CB" w14:textId="77777777" w:rsidR="00D2695B" w:rsidRPr="009214C7" w:rsidRDefault="00D2695B" w:rsidP="00D2695B">
            <w:pPr>
              <w:pStyle w:val="TableBullet1"/>
              <w:keepNext/>
            </w:pPr>
            <w:r w:rsidRPr="009214C7">
              <w:t xml:space="preserve">Consequence: </w:t>
            </w:r>
            <w:r>
              <w:t>unknown</w:t>
            </w:r>
          </w:p>
          <w:p w14:paraId="7909D123" w14:textId="77777777" w:rsidR="00D2695B" w:rsidRPr="009214C7" w:rsidRDefault="00D2695B" w:rsidP="00D2695B">
            <w:pPr>
              <w:pStyle w:val="TableBullet1"/>
              <w:keepNext/>
            </w:pPr>
            <w:r w:rsidRPr="009214C7">
              <w:t>Trend: increasing</w:t>
            </w:r>
          </w:p>
          <w:p w14:paraId="537C6D3E" w14:textId="08A9336A" w:rsidR="00D2695B" w:rsidRDefault="00D2695B" w:rsidP="00D2695B">
            <w:pPr>
              <w:pStyle w:val="TableBullet1"/>
            </w:pPr>
            <w:r w:rsidRPr="009214C7">
              <w:t>Extent: across the entire range</w:t>
            </w:r>
          </w:p>
        </w:tc>
        <w:tc>
          <w:tcPr>
            <w:tcW w:w="3020" w:type="dxa"/>
          </w:tcPr>
          <w:p w14:paraId="73527877" w14:textId="50059F19" w:rsidR="00D2695B" w:rsidRDefault="00D2695B" w:rsidP="00D2695B">
            <w:pPr>
              <w:pStyle w:val="TableText"/>
            </w:pPr>
            <w:r>
              <w:t xml:space="preserve">Since 1950, the number of record hot days (above 35°C) across Australia has more than doubled and the mean temperature has increased by about 1.4°C Celsius since 1910 (BOM &amp; CSIRO 2020; </w:t>
            </w:r>
            <w:r w:rsidRPr="005876EC">
              <w:t>IPCC 2021</w:t>
            </w:r>
            <w:r>
              <w:t xml:space="preserve">). Heatwaves are also lasting longer, reaching more extreme maximum temperatures, and occurring more frequently over many regions of Australia, including south-eastern Australia (Perkins-Kirkpatrick et al. 2016; Evans et al. 2017; Herold et al. 2018; </w:t>
            </w:r>
            <w:r w:rsidRPr="002F7AD3">
              <w:t>BOM &amp; CSIRO 2020</w:t>
            </w:r>
            <w:r>
              <w:t xml:space="preserve">). Heatwaves exacerbate drought, which in turn can increase bushfire risk (Climate Council 2014) and adversely impact resource availability. </w:t>
            </w:r>
            <w:r w:rsidRPr="002F7AD3">
              <w:t>(BOM &amp; CSIRO 2020)</w:t>
            </w:r>
            <w:r>
              <w:t xml:space="preserve"> Birds are vulnerable to extreme heatwaves that overwhelm their physiological limits (McKechnie et al 2012). </w:t>
            </w:r>
          </w:p>
          <w:p w14:paraId="6777B7E4" w14:textId="445EF3AC" w:rsidR="00D2695B" w:rsidRDefault="00D2695B" w:rsidP="00D2695B">
            <w:pPr>
              <w:pStyle w:val="TableText"/>
              <w:rPr>
                <w:highlight w:val="lightGray"/>
              </w:rPr>
            </w:pPr>
            <w:r>
              <w:t xml:space="preserve">It is not fully known how these weather events, or the cumulative effect of these weather events, affect </w:t>
            </w:r>
            <w:r w:rsidRPr="00510F1A">
              <w:t xml:space="preserve">Diamond Firetail </w:t>
            </w:r>
            <w:r>
              <w:t>survival and</w:t>
            </w:r>
            <w:r w:rsidRPr="00E32F8A">
              <w:t xml:space="preserve"> reproduction</w:t>
            </w:r>
            <w:r w:rsidR="00C078B9">
              <w:t xml:space="preserve"> and its habitat</w:t>
            </w:r>
            <w:r w:rsidRPr="00E32F8A">
              <w:t>. The precautionary principle should be applied to ensure suitable quality and quantity of habitat needed by the species is conserved across its known and suspected range.</w:t>
            </w:r>
          </w:p>
        </w:tc>
      </w:tr>
      <w:tr w:rsidR="00D2695B" w14:paraId="6736E796" w14:textId="77777777" w:rsidTr="04909832">
        <w:tc>
          <w:tcPr>
            <w:tcW w:w="9060" w:type="dxa"/>
            <w:gridSpan w:val="3"/>
          </w:tcPr>
          <w:p w14:paraId="00E8349C" w14:textId="4BCC61B2" w:rsidR="00D2695B" w:rsidRPr="00323FCB" w:rsidRDefault="00D2695B" w:rsidP="00D2695B">
            <w:pPr>
              <w:pStyle w:val="TableText"/>
              <w:rPr>
                <w:highlight w:val="lightGray"/>
              </w:rPr>
            </w:pPr>
            <w:r w:rsidRPr="00323FCB">
              <w:t>Competition</w:t>
            </w:r>
          </w:p>
        </w:tc>
      </w:tr>
      <w:tr w:rsidR="00D2695B" w14:paraId="104497D4" w14:textId="77777777" w:rsidTr="04909832">
        <w:tc>
          <w:tcPr>
            <w:tcW w:w="3020" w:type="dxa"/>
          </w:tcPr>
          <w:p w14:paraId="7F225F3F" w14:textId="1F465A22" w:rsidR="00D2695B" w:rsidRPr="00323FCB" w:rsidRDefault="00D2695B" w:rsidP="00D2695B">
            <w:pPr>
              <w:pStyle w:val="TableText"/>
            </w:pPr>
            <w:r w:rsidRPr="00323FCB">
              <w:t>Noisy Miner territorial competition</w:t>
            </w:r>
          </w:p>
        </w:tc>
        <w:tc>
          <w:tcPr>
            <w:tcW w:w="3020" w:type="dxa"/>
          </w:tcPr>
          <w:p w14:paraId="1C0D5E57" w14:textId="77777777" w:rsidR="00D2695B" w:rsidRDefault="00D2695B" w:rsidP="00D2695B">
            <w:pPr>
              <w:pStyle w:val="TableBullet1"/>
            </w:pPr>
            <w:r>
              <w:t xml:space="preserve">Status: current &amp; future </w:t>
            </w:r>
          </w:p>
          <w:p w14:paraId="47E9021A" w14:textId="77777777" w:rsidR="00D2695B" w:rsidRDefault="00D2695B" w:rsidP="00D2695B">
            <w:pPr>
              <w:pStyle w:val="TableBullet1"/>
            </w:pPr>
            <w:r>
              <w:t>Confidence: known</w:t>
            </w:r>
          </w:p>
          <w:p w14:paraId="510278C2" w14:textId="77777777" w:rsidR="00D2695B" w:rsidRDefault="00D2695B" w:rsidP="00D2695B">
            <w:pPr>
              <w:pStyle w:val="TableBullet1"/>
            </w:pPr>
            <w:r>
              <w:t>Consequence: unknown</w:t>
            </w:r>
          </w:p>
          <w:p w14:paraId="66DF9818" w14:textId="2E5D4AA7" w:rsidR="00D2695B" w:rsidRDefault="00D2695B" w:rsidP="00D2695B">
            <w:pPr>
              <w:pStyle w:val="TableBullet1"/>
            </w:pPr>
            <w:r>
              <w:lastRenderedPageBreak/>
              <w:t>Trend: static</w:t>
            </w:r>
          </w:p>
          <w:p w14:paraId="64ACF429" w14:textId="66142DEA" w:rsidR="00D2695B" w:rsidRDefault="00D2695B" w:rsidP="00D2695B">
            <w:pPr>
              <w:pStyle w:val="TableBullet1"/>
            </w:pPr>
            <w:r>
              <w:t xml:space="preserve">Extent: </w:t>
            </w:r>
            <w:r w:rsidR="008B0D2E" w:rsidRPr="00966DC8">
              <w:t>across part of its range</w:t>
            </w:r>
          </w:p>
        </w:tc>
        <w:tc>
          <w:tcPr>
            <w:tcW w:w="3020" w:type="dxa"/>
          </w:tcPr>
          <w:p w14:paraId="5A1FC7E6" w14:textId="7A525D88" w:rsidR="00D2695B" w:rsidRPr="00323FCB" w:rsidRDefault="00D2695B" w:rsidP="00D2695B">
            <w:pPr>
              <w:pStyle w:val="TableText"/>
              <w:rPr>
                <w:highlight w:val="lightGray"/>
              </w:rPr>
            </w:pPr>
            <w:r>
              <w:lastRenderedPageBreak/>
              <w:t xml:space="preserve">The Noisy Miner </w:t>
            </w:r>
            <w:proofErr w:type="spellStart"/>
            <w:r w:rsidRPr="34C0BC08">
              <w:rPr>
                <w:i/>
                <w:iCs/>
              </w:rPr>
              <w:t>Manorina</w:t>
            </w:r>
            <w:proofErr w:type="spellEnd"/>
            <w:r w:rsidRPr="34C0BC08">
              <w:rPr>
                <w:i/>
                <w:iCs/>
              </w:rPr>
              <w:t xml:space="preserve"> </w:t>
            </w:r>
            <w:proofErr w:type="spellStart"/>
            <w:r w:rsidRPr="34C0BC08">
              <w:rPr>
                <w:i/>
                <w:iCs/>
              </w:rPr>
              <w:t>melanocephala</w:t>
            </w:r>
            <w:proofErr w:type="spellEnd"/>
            <w:r w:rsidRPr="34C0BC08">
              <w:rPr>
                <w:i/>
                <w:iCs/>
              </w:rPr>
              <w:t xml:space="preserve"> </w:t>
            </w:r>
            <w:r>
              <w:t xml:space="preserve">is a native species that often aggressively excludes other small woodland birds from </w:t>
            </w:r>
            <w:r>
              <w:lastRenderedPageBreak/>
              <w:t>remnants they occupy (</w:t>
            </w:r>
            <w:proofErr w:type="spellStart"/>
            <w:r>
              <w:t>Willson</w:t>
            </w:r>
            <w:proofErr w:type="spellEnd"/>
            <w:r>
              <w:t xml:space="preserve"> &amp; </w:t>
            </w:r>
            <w:proofErr w:type="spellStart"/>
            <w:r>
              <w:t>Bignall</w:t>
            </w:r>
            <w:proofErr w:type="spellEnd"/>
            <w:r>
              <w:t xml:space="preserve"> 2009). Unfortunately, Noisy Miners have benefited from landscape-scale clearing and fragmentation. They typically dominate open Eucalypt woodland remnants on farms, in tree corridors and clumps of paddock trees, especially those lacking a shrubby understorey (Crates et al. 2018). Local scale control programs at critical breeding sites may benefit the species where Noisy Miners are identified a threat.</w:t>
            </w:r>
          </w:p>
        </w:tc>
      </w:tr>
      <w:tr w:rsidR="008B0D2E" w14:paraId="1AE595F5" w14:textId="77777777" w:rsidTr="0064340E">
        <w:tc>
          <w:tcPr>
            <w:tcW w:w="9060" w:type="dxa"/>
            <w:gridSpan w:val="3"/>
          </w:tcPr>
          <w:p w14:paraId="28B74BD9" w14:textId="5D3BD7AF" w:rsidR="008B0D2E" w:rsidRDefault="008B0D2E" w:rsidP="00D2695B">
            <w:pPr>
              <w:pStyle w:val="TableText"/>
            </w:pPr>
            <w:r>
              <w:lastRenderedPageBreak/>
              <w:t>Predation</w:t>
            </w:r>
          </w:p>
        </w:tc>
      </w:tr>
      <w:tr w:rsidR="008B0D2E" w14:paraId="790954DA" w14:textId="77777777" w:rsidTr="04909832">
        <w:tc>
          <w:tcPr>
            <w:tcW w:w="3020" w:type="dxa"/>
          </w:tcPr>
          <w:p w14:paraId="611EEEE6" w14:textId="1FFD0B15" w:rsidR="008B0D2E" w:rsidRDefault="008B0D2E" w:rsidP="008B0D2E">
            <w:pPr>
              <w:pStyle w:val="TableText"/>
            </w:pPr>
            <w:r>
              <w:t>Predation by Pied Currawongs</w:t>
            </w:r>
          </w:p>
          <w:p w14:paraId="74B68E79" w14:textId="6B881561" w:rsidR="008B0D2E" w:rsidRPr="00323FCB" w:rsidRDefault="008B0D2E" w:rsidP="008B0D2E">
            <w:pPr>
              <w:pStyle w:val="TableText"/>
            </w:pPr>
          </w:p>
        </w:tc>
        <w:tc>
          <w:tcPr>
            <w:tcW w:w="3020" w:type="dxa"/>
          </w:tcPr>
          <w:p w14:paraId="73F5E697" w14:textId="77777777" w:rsidR="008B0D2E" w:rsidRDefault="008B0D2E" w:rsidP="008B0D2E">
            <w:pPr>
              <w:pStyle w:val="TableBullet1"/>
            </w:pPr>
            <w:r>
              <w:t xml:space="preserve">Status: current &amp; future </w:t>
            </w:r>
          </w:p>
          <w:p w14:paraId="3B9C1D13" w14:textId="77777777" w:rsidR="008B0D2E" w:rsidRDefault="008B0D2E" w:rsidP="008B0D2E">
            <w:pPr>
              <w:pStyle w:val="TableBullet1"/>
            </w:pPr>
            <w:r>
              <w:t>Confidence: known</w:t>
            </w:r>
          </w:p>
          <w:p w14:paraId="6F14433B" w14:textId="77777777" w:rsidR="008B0D2E" w:rsidRDefault="008B0D2E" w:rsidP="008B0D2E">
            <w:pPr>
              <w:pStyle w:val="TableBullet1"/>
            </w:pPr>
            <w:r>
              <w:t>Consequence: unknown</w:t>
            </w:r>
          </w:p>
          <w:p w14:paraId="77642CC2" w14:textId="77777777" w:rsidR="008B0D2E" w:rsidRDefault="008B0D2E" w:rsidP="008B0D2E">
            <w:pPr>
              <w:pStyle w:val="TableBullet1"/>
            </w:pPr>
            <w:r>
              <w:t>Trend: static</w:t>
            </w:r>
          </w:p>
          <w:p w14:paraId="1A84BA2F" w14:textId="0BB64C31" w:rsidR="008B0D2E" w:rsidRDefault="008B0D2E" w:rsidP="008B0D2E">
            <w:pPr>
              <w:pStyle w:val="TableBullet1"/>
            </w:pPr>
            <w:r>
              <w:t xml:space="preserve">Extent: </w:t>
            </w:r>
            <w:r w:rsidRPr="00966DC8">
              <w:t>across part of its range</w:t>
            </w:r>
          </w:p>
        </w:tc>
        <w:tc>
          <w:tcPr>
            <w:tcW w:w="3020" w:type="dxa"/>
          </w:tcPr>
          <w:p w14:paraId="70E76B39" w14:textId="270C2A58" w:rsidR="008B0D2E" w:rsidRDefault="008B0D2E" w:rsidP="00D2695B">
            <w:pPr>
              <w:pStyle w:val="TableText"/>
            </w:pPr>
            <w:r>
              <w:t xml:space="preserve">With increased fragmentation of habitat there has been an increase in edge effects which includes the increase of edge-specialists. The Department of Environment and Climate Change NSW (2005) found that nest predation of Diamond Firetails by Pied Currawongs </w:t>
            </w:r>
            <w:r w:rsidR="004479F1">
              <w:t>(</w:t>
            </w:r>
            <w:r w:rsidRPr="008B0D2E">
              <w:rPr>
                <w:i/>
                <w:iCs/>
              </w:rPr>
              <w:t xml:space="preserve">Strepera </w:t>
            </w:r>
            <w:proofErr w:type="spellStart"/>
            <w:r w:rsidRPr="008B0D2E">
              <w:rPr>
                <w:i/>
                <w:iCs/>
              </w:rPr>
              <w:t>graculina</w:t>
            </w:r>
            <w:proofErr w:type="spellEnd"/>
            <w:r w:rsidR="004479F1">
              <w:t>)</w:t>
            </w:r>
            <w:r w:rsidRPr="008B0D2E">
              <w:t xml:space="preserve"> </w:t>
            </w:r>
            <w:r>
              <w:t>increased with the degradation of fragmented remnants. Weeds species with berries, such as Hawthorn and Cotoneaster, can invade remnants which has assisted an increase in the population of Pied Currawongs.</w:t>
            </w:r>
          </w:p>
        </w:tc>
      </w:tr>
    </w:tbl>
    <w:p w14:paraId="7EA81FAE" w14:textId="66D67056" w:rsidR="00C72F10" w:rsidRPr="009A615F" w:rsidRDefault="006E5CC3" w:rsidP="00154B5B">
      <w:pPr>
        <w:pStyle w:val="TableText"/>
      </w:pPr>
      <w:r w:rsidRPr="009A615F">
        <w:t xml:space="preserve">Status—identify the temporal nature of the </w:t>
      </w:r>
      <w:proofErr w:type="gramStart"/>
      <w:r w:rsidRPr="009A615F">
        <w:t>threat</w:t>
      </w:r>
      <w:r w:rsidR="002F34D8" w:rsidRPr="009A615F">
        <w:t>;</w:t>
      </w:r>
      <w:proofErr w:type="gramEnd"/>
    </w:p>
    <w:p w14:paraId="33F0CD41" w14:textId="3984A59C"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367E107E" w14:textId="30D2164F"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51DCDE2D" w14:textId="2BEDDEA4"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4346CC85" w14:textId="0F25127A" w:rsidR="008132B0" w:rsidRDefault="006E5CC3" w:rsidP="00275EEF">
      <w:pPr>
        <w:pStyle w:val="TableText"/>
      </w:pPr>
      <w:r w:rsidRPr="009A615F">
        <w:t>Extent—identify its spatial content</w:t>
      </w:r>
      <w:r w:rsidR="00F92E66" w:rsidRPr="009A615F">
        <w:t xml:space="preserve"> in terms of the range of the species</w:t>
      </w:r>
      <w:r w:rsidRPr="009A615F">
        <w:t>.</w:t>
      </w:r>
      <w:bookmarkStart w:id="7" w:name="_Hlk67392876"/>
      <w:bookmarkStart w:id="8" w:name="_Ref43127879"/>
      <w:bookmarkStart w:id="9" w:name="_Toc430782162"/>
      <w:bookmarkStart w:id="10" w:name="_Toc511376531"/>
    </w:p>
    <w:bookmarkEnd w:id="7"/>
    <w:p w14:paraId="52FCCDAA" w14:textId="77777777" w:rsidR="00693478" w:rsidRDefault="00693478">
      <w:pPr>
        <w:spacing w:after="0" w:line="240" w:lineRule="auto"/>
        <w:rPr>
          <w:rFonts w:ascii="Calibri" w:hAnsi="Calibri"/>
          <w:b/>
          <w:bCs/>
          <w:sz w:val="24"/>
          <w:szCs w:val="18"/>
        </w:rPr>
      </w:pPr>
      <w:r>
        <w:br w:type="page"/>
      </w:r>
    </w:p>
    <w:p w14:paraId="2704E314" w14:textId="6FDED776" w:rsidR="001A3C77" w:rsidRPr="001A3C77" w:rsidRDefault="00774EAA" w:rsidP="00D3573E">
      <w:pPr>
        <w:pStyle w:val="Caption"/>
      </w:pPr>
      <w:r>
        <w:lastRenderedPageBreak/>
        <w:t xml:space="preserve">Table </w:t>
      </w:r>
      <w:bookmarkEnd w:id="8"/>
      <w:r w:rsidR="00D3573E">
        <w:rPr>
          <w:noProof/>
        </w:rPr>
        <w:t xml:space="preserve">3 </w:t>
      </w:r>
      <w:r w:rsidR="008132B0">
        <w:t>Diamond Firetail</w:t>
      </w:r>
      <w:r>
        <w:t xml:space="preserve"> risk matrix</w:t>
      </w:r>
    </w:p>
    <w:tbl>
      <w:tblPr>
        <w:tblStyle w:val="TableGrid"/>
        <w:tblW w:w="0" w:type="auto"/>
        <w:tblLook w:val="04A0" w:firstRow="1" w:lastRow="0" w:firstColumn="1" w:lastColumn="0" w:noHBand="0" w:noVBand="1"/>
      </w:tblPr>
      <w:tblGrid>
        <w:gridCol w:w="1487"/>
        <w:gridCol w:w="1484"/>
        <w:gridCol w:w="1584"/>
        <w:gridCol w:w="1505"/>
        <w:gridCol w:w="1505"/>
        <w:gridCol w:w="1495"/>
      </w:tblGrid>
      <w:tr w:rsidR="00774EAA" w14:paraId="079812D7" w14:textId="77777777" w:rsidTr="004F412F">
        <w:trPr>
          <w:cantSplit/>
          <w:tblHeader/>
        </w:trPr>
        <w:tc>
          <w:tcPr>
            <w:tcW w:w="1510" w:type="dxa"/>
            <w:vMerge w:val="restart"/>
          </w:tcPr>
          <w:p w14:paraId="7B11A5EE" w14:textId="00DD8080" w:rsidR="00774EAA" w:rsidRDefault="00774EAA" w:rsidP="00774EAA">
            <w:pPr>
              <w:pStyle w:val="TableHeading"/>
            </w:pPr>
            <w:r>
              <w:t>Likelihood</w:t>
            </w:r>
          </w:p>
        </w:tc>
        <w:tc>
          <w:tcPr>
            <w:tcW w:w="7550" w:type="dxa"/>
            <w:gridSpan w:val="5"/>
          </w:tcPr>
          <w:p w14:paraId="00DF0A3A" w14:textId="66152B50" w:rsidR="00774EAA" w:rsidRDefault="00774EAA" w:rsidP="00774EAA">
            <w:pPr>
              <w:pStyle w:val="TableHeading"/>
            </w:pPr>
            <w:r>
              <w:t>Consequences</w:t>
            </w:r>
          </w:p>
        </w:tc>
      </w:tr>
      <w:tr w:rsidR="00774EAA" w14:paraId="1EBB1379" w14:textId="77777777" w:rsidTr="004F412F">
        <w:trPr>
          <w:cantSplit/>
          <w:tblHeader/>
        </w:trPr>
        <w:tc>
          <w:tcPr>
            <w:tcW w:w="1510" w:type="dxa"/>
            <w:vMerge/>
          </w:tcPr>
          <w:p w14:paraId="70176552" w14:textId="4CB2C287" w:rsidR="00774EAA" w:rsidRDefault="00774EAA" w:rsidP="00774EAA">
            <w:pPr>
              <w:pStyle w:val="TableHeading"/>
            </w:pPr>
          </w:p>
        </w:tc>
        <w:tc>
          <w:tcPr>
            <w:tcW w:w="1510" w:type="dxa"/>
          </w:tcPr>
          <w:p w14:paraId="4C96EE5E" w14:textId="552B7A8C" w:rsidR="00774EAA" w:rsidRDefault="00774EAA" w:rsidP="00774EAA">
            <w:pPr>
              <w:pStyle w:val="TableHeading"/>
            </w:pPr>
            <w:r>
              <w:t>Not significant</w:t>
            </w:r>
          </w:p>
        </w:tc>
        <w:tc>
          <w:tcPr>
            <w:tcW w:w="1510" w:type="dxa"/>
          </w:tcPr>
          <w:p w14:paraId="554359D9" w14:textId="00092893" w:rsidR="00774EAA" w:rsidRDefault="00774EAA" w:rsidP="00774EAA">
            <w:pPr>
              <w:pStyle w:val="TableHeading"/>
            </w:pPr>
            <w:r>
              <w:t>Minor</w:t>
            </w:r>
          </w:p>
        </w:tc>
        <w:tc>
          <w:tcPr>
            <w:tcW w:w="1510" w:type="dxa"/>
          </w:tcPr>
          <w:p w14:paraId="13DAC189" w14:textId="7A664F76" w:rsidR="00774EAA" w:rsidRDefault="00774EAA" w:rsidP="00774EAA">
            <w:pPr>
              <w:pStyle w:val="TableHeading"/>
            </w:pPr>
            <w:r>
              <w:t>Moderate</w:t>
            </w:r>
          </w:p>
        </w:tc>
        <w:tc>
          <w:tcPr>
            <w:tcW w:w="1510" w:type="dxa"/>
          </w:tcPr>
          <w:p w14:paraId="4A3F673B" w14:textId="42036DAF" w:rsidR="00774EAA" w:rsidRDefault="00774EAA" w:rsidP="00774EAA">
            <w:pPr>
              <w:pStyle w:val="TableHeading"/>
            </w:pPr>
            <w:r>
              <w:t>Major</w:t>
            </w:r>
          </w:p>
        </w:tc>
        <w:tc>
          <w:tcPr>
            <w:tcW w:w="1510" w:type="dxa"/>
          </w:tcPr>
          <w:p w14:paraId="7D6820B1" w14:textId="1893B7F4" w:rsidR="00774EAA" w:rsidRDefault="00774EAA" w:rsidP="00774EAA">
            <w:pPr>
              <w:pStyle w:val="TableHeading"/>
            </w:pPr>
            <w:r>
              <w:t>Catastrophic</w:t>
            </w:r>
          </w:p>
        </w:tc>
      </w:tr>
      <w:tr w:rsidR="00774EAA" w14:paraId="0E7FA2E1" w14:textId="77777777" w:rsidTr="002F4DAD">
        <w:tc>
          <w:tcPr>
            <w:tcW w:w="1510" w:type="dxa"/>
          </w:tcPr>
          <w:p w14:paraId="09E6D576" w14:textId="53BBCBAB" w:rsidR="00774EAA" w:rsidRPr="00774EAA" w:rsidRDefault="00774EAA" w:rsidP="00774EAA">
            <w:pPr>
              <w:pStyle w:val="TableText"/>
              <w:rPr>
                <w:rStyle w:val="Strong"/>
              </w:rPr>
            </w:pPr>
            <w:r w:rsidRPr="00774EAA">
              <w:rPr>
                <w:rStyle w:val="Strong"/>
              </w:rPr>
              <w:t>Almost certain</w:t>
            </w:r>
          </w:p>
        </w:tc>
        <w:tc>
          <w:tcPr>
            <w:tcW w:w="1510" w:type="dxa"/>
            <w:shd w:val="clear" w:color="auto" w:fill="C2D69B" w:themeFill="accent3" w:themeFillTint="99"/>
          </w:tcPr>
          <w:p w14:paraId="7797D4CC" w14:textId="311E7088" w:rsidR="00927D81" w:rsidRDefault="00927D81" w:rsidP="00774EAA">
            <w:pPr>
              <w:pStyle w:val="TableText"/>
            </w:pPr>
          </w:p>
        </w:tc>
        <w:tc>
          <w:tcPr>
            <w:tcW w:w="1510" w:type="dxa"/>
            <w:shd w:val="clear" w:color="auto" w:fill="8DB3E2" w:themeFill="text2" w:themeFillTint="66"/>
          </w:tcPr>
          <w:p w14:paraId="16CB9A83" w14:textId="7EC0BC7E" w:rsidR="00774EAA" w:rsidRDefault="00774EAA" w:rsidP="00302D01">
            <w:pPr>
              <w:pStyle w:val="TableText"/>
            </w:pPr>
          </w:p>
        </w:tc>
        <w:tc>
          <w:tcPr>
            <w:tcW w:w="1510" w:type="dxa"/>
            <w:shd w:val="clear" w:color="auto" w:fill="D99594" w:themeFill="accent2" w:themeFillTint="99"/>
          </w:tcPr>
          <w:p w14:paraId="1BF34592" w14:textId="69E91A02" w:rsidR="00774EAA" w:rsidRDefault="00774EAA" w:rsidP="00302D01">
            <w:pPr>
              <w:pStyle w:val="TableText"/>
            </w:pPr>
          </w:p>
        </w:tc>
        <w:tc>
          <w:tcPr>
            <w:tcW w:w="1510" w:type="dxa"/>
            <w:shd w:val="clear" w:color="auto" w:fill="D99594" w:themeFill="accent2" w:themeFillTint="99"/>
          </w:tcPr>
          <w:p w14:paraId="0C0F5955" w14:textId="77777777" w:rsidR="00E93826" w:rsidRDefault="00E93826" w:rsidP="00E93826">
            <w:pPr>
              <w:pStyle w:val="TableBullet1"/>
            </w:pPr>
            <w:r w:rsidRPr="00510F1A">
              <w:t>Habitat loss caused by clearing for large scale agriculture</w:t>
            </w:r>
          </w:p>
          <w:p w14:paraId="5EC0AB6F" w14:textId="3D116FBD" w:rsidR="00774EAA" w:rsidRDefault="00774EAA" w:rsidP="00774EAA">
            <w:pPr>
              <w:pStyle w:val="TableText"/>
            </w:pPr>
          </w:p>
        </w:tc>
        <w:tc>
          <w:tcPr>
            <w:tcW w:w="1510" w:type="dxa"/>
            <w:shd w:val="clear" w:color="auto" w:fill="D99594" w:themeFill="accent2" w:themeFillTint="99"/>
          </w:tcPr>
          <w:p w14:paraId="207DA069" w14:textId="1592D566" w:rsidR="00774EAA" w:rsidRDefault="00774EAA" w:rsidP="00774EAA">
            <w:pPr>
              <w:pStyle w:val="TableText"/>
            </w:pPr>
          </w:p>
        </w:tc>
      </w:tr>
      <w:tr w:rsidR="00774EAA" w14:paraId="08F59FB1" w14:textId="77777777" w:rsidTr="002F4DAD">
        <w:tc>
          <w:tcPr>
            <w:tcW w:w="1510" w:type="dxa"/>
          </w:tcPr>
          <w:p w14:paraId="51985732" w14:textId="66812F98" w:rsidR="00774EAA" w:rsidRPr="00774EAA" w:rsidRDefault="00774EAA" w:rsidP="00774EAA">
            <w:pPr>
              <w:pStyle w:val="TableText"/>
              <w:rPr>
                <w:rStyle w:val="Strong"/>
              </w:rPr>
            </w:pPr>
            <w:r w:rsidRPr="00774EAA">
              <w:rPr>
                <w:rStyle w:val="Strong"/>
              </w:rPr>
              <w:t>Likely</w:t>
            </w:r>
          </w:p>
        </w:tc>
        <w:tc>
          <w:tcPr>
            <w:tcW w:w="1510" w:type="dxa"/>
            <w:shd w:val="clear" w:color="auto" w:fill="C2D69B" w:themeFill="accent3" w:themeFillTint="99"/>
          </w:tcPr>
          <w:p w14:paraId="5C56019D" w14:textId="07A0C198" w:rsidR="00774EAA" w:rsidRDefault="00774EAA" w:rsidP="00774EAA">
            <w:pPr>
              <w:pStyle w:val="TableText"/>
            </w:pPr>
          </w:p>
        </w:tc>
        <w:tc>
          <w:tcPr>
            <w:tcW w:w="1510" w:type="dxa"/>
            <w:shd w:val="clear" w:color="auto" w:fill="8DB3E2" w:themeFill="text2" w:themeFillTint="66"/>
          </w:tcPr>
          <w:p w14:paraId="6A88C5D0" w14:textId="2EC75AB3" w:rsidR="00615853" w:rsidRDefault="00615853" w:rsidP="00615853">
            <w:pPr>
              <w:pStyle w:val="TableBullet1"/>
            </w:pPr>
            <w:r w:rsidRPr="00615853">
              <w:t xml:space="preserve">Habitat degradation caused by rabbit and overabundant kangaroo </w:t>
            </w:r>
            <w:r w:rsidR="00CE39E9" w:rsidRPr="00615853">
              <w:t>grazing</w:t>
            </w:r>
          </w:p>
        </w:tc>
        <w:tc>
          <w:tcPr>
            <w:tcW w:w="1510" w:type="dxa"/>
            <w:shd w:val="clear" w:color="auto" w:fill="FFFF00"/>
          </w:tcPr>
          <w:p w14:paraId="1C19BE57" w14:textId="38734C00" w:rsidR="00510F1A" w:rsidRDefault="00615210" w:rsidP="00136278">
            <w:pPr>
              <w:pStyle w:val="TableBullet1"/>
            </w:pPr>
            <w:r w:rsidRPr="00510F1A">
              <w:t>Noisy Miner territorial competition</w:t>
            </w:r>
          </w:p>
        </w:tc>
        <w:tc>
          <w:tcPr>
            <w:tcW w:w="1510" w:type="dxa"/>
            <w:shd w:val="clear" w:color="auto" w:fill="D99594" w:themeFill="accent2" w:themeFillTint="99"/>
          </w:tcPr>
          <w:p w14:paraId="27D8CC7D" w14:textId="03EA1684" w:rsidR="00302D01" w:rsidRDefault="00510F1A" w:rsidP="00302D01">
            <w:pPr>
              <w:pStyle w:val="TableBullet1"/>
            </w:pPr>
            <w:r w:rsidRPr="00510F1A">
              <w:t xml:space="preserve">Habitat degradation caused by </w:t>
            </w:r>
            <w:r w:rsidR="00E04E6B">
              <w:t xml:space="preserve">domestic </w:t>
            </w:r>
            <w:r w:rsidR="008A3296">
              <w:t>live</w:t>
            </w:r>
            <w:r w:rsidR="00E04E6B">
              <w:t>stock</w:t>
            </w:r>
            <w:r w:rsidR="008A3296">
              <w:t xml:space="preserve"> grazing</w:t>
            </w:r>
            <w:r w:rsidR="00302D01" w:rsidRPr="00510F1A">
              <w:t xml:space="preserve"> </w:t>
            </w:r>
          </w:p>
          <w:p w14:paraId="22A7DA29" w14:textId="02C153B7" w:rsidR="00510F1A" w:rsidRDefault="00302D01" w:rsidP="00302D01">
            <w:pPr>
              <w:pStyle w:val="TableBullet1"/>
            </w:pPr>
            <w:r w:rsidRPr="00510F1A">
              <w:t>Invasive weeds, particularly exotic annual grasses, altering habitat</w:t>
            </w:r>
            <w:r w:rsidRPr="00693478">
              <w:t xml:space="preserve"> </w:t>
            </w:r>
          </w:p>
        </w:tc>
        <w:tc>
          <w:tcPr>
            <w:tcW w:w="1510" w:type="dxa"/>
            <w:shd w:val="clear" w:color="auto" w:fill="D99594" w:themeFill="accent2" w:themeFillTint="99"/>
          </w:tcPr>
          <w:p w14:paraId="1C692679" w14:textId="77CFD164" w:rsidR="00774EAA" w:rsidRDefault="00774EAA" w:rsidP="00774EAA">
            <w:pPr>
              <w:pStyle w:val="TableText"/>
            </w:pPr>
          </w:p>
        </w:tc>
      </w:tr>
      <w:tr w:rsidR="00774EAA" w14:paraId="38F6105B" w14:textId="77777777" w:rsidTr="002F4DAD">
        <w:tc>
          <w:tcPr>
            <w:tcW w:w="1510" w:type="dxa"/>
          </w:tcPr>
          <w:p w14:paraId="51FBF176" w14:textId="050BB735" w:rsidR="00774EAA" w:rsidRPr="00774EAA" w:rsidRDefault="00774EAA" w:rsidP="00774EAA">
            <w:pPr>
              <w:pStyle w:val="TableText"/>
              <w:rPr>
                <w:rStyle w:val="Strong"/>
              </w:rPr>
            </w:pPr>
            <w:r w:rsidRPr="00774EAA">
              <w:rPr>
                <w:rStyle w:val="Strong"/>
              </w:rPr>
              <w:t>Possible</w:t>
            </w:r>
          </w:p>
        </w:tc>
        <w:tc>
          <w:tcPr>
            <w:tcW w:w="1510" w:type="dxa"/>
            <w:shd w:val="clear" w:color="auto" w:fill="C2D69B" w:themeFill="accent3" w:themeFillTint="99"/>
          </w:tcPr>
          <w:p w14:paraId="496B237E" w14:textId="27347780" w:rsidR="00774EAA" w:rsidRDefault="00774EAA" w:rsidP="00774EAA">
            <w:pPr>
              <w:pStyle w:val="TableText"/>
            </w:pPr>
          </w:p>
        </w:tc>
        <w:tc>
          <w:tcPr>
            <w:tcW w:w="1510" w:type="dxa"/>
            <w:shd w:val="clear" w:color="auto" w:fill="8DB3E2" w:themeFill="text2" w:themeFillTint="66"/>
          </w:tcPr>
          <w:p w14:paraId="2E3D7AA2" w14:textId="68A6F2F4" w:rsidR="00697EA2" w:rsidRDefault="004479F1" w:rsidP="004479F1">
            <w:pPr>
              <w:pStyle w:val="TableBullet1"/>
            </w:pPr>
            <w:r>
              <w:t>Predation by Pied Currawongs</w:t>
            </w:r>
          </w:p>
        </w:tc>
        <w:tc>
          <w:tcPr>
            <w:tcW w:w="1510" w:type="dxa"/>
            <w:shd w:val="clear" w:color="auto" w:fill="FFFF00"/>
          </w:tcPr>
          <w:p w14:paraId="079654DF" w14:textId="0BFE629F" w:rsidR="00510F1A" w:rsidRDefault="00510F1A" w:rsidP="00136278">
            <w:pPr>
              <w:pStyle w:val="TableBullet1"/>
              <w:numPr>
                <w:ilvl w:val="0"/>
                <w:numId w:val="0"/>
              </w:numPr>
            </w:pPr>
          </w:p>
        </w:tc>
        <w:tc>
          <w:tcPr>
            <w:tcW w:w="1510" w:type="dxa"/>
            <w:shd w:val="clear" w:color="auto" w:fill="D99594" w:themeFill="accent2" w:themeFillTint="99"/>
          </w:tcPr>
          <w:p w14:paraId="2D42B572" w14:textId="2AD2E0AA" w:rsidR="00774EAA" w:rsidRDefault="00774EAA" w:rsidP="0070750E">
            <w:pPr>
              <w:pStyle w:val="TableBullet1"/>
              <w:numPr>
                <w:ilvl w:val="0"/>
                <w:numId w:val="0"/>
              </w:numPr>
            </w:pPr>
          </w:p>
        </w:tc>
        <w:tc>
          <w:tcPr>
            <w:tcW w:w="1510" w:type="dxa"/>
            <w:shd w:val="clear" w:color="auto" w:fill="D99594" w:themeFill="accent2" w:themeFillTint="99"/>
          </w:tcPr>
          <w:p w14:paraId="7337A65C" w14:textId="3D2F91B3" w:rsidR="00774EAA" w:rsidRDefault="00774EAA" w:rsidP="00774EAA">
            <w:pPr>
              <w:pStyle w:val="TableText"/>
            </w:pPr>
          </w:p>
        </w:tc>
      </w:tr>
      <w:tr w:rsidR="00774EAA" w14:paraId="6CA6582B" w14:textId="77777777" w:rsidTr="002F4DAD">
        <w:tc>
          <w:tcPr>
            <w:tcW w:w="1510" w:type="dxa"/>
          </w:tcPr>
          <w:p w14:paraId="52DE537E" w14:textId="2D802FB1" w:rsidR="00774EAA" w:rsidRPr="00774EAA" w:rsidRDefault="00774EAA" w:rsidP="00774EAA">
            <w:pPr>
              <w:pStyle w:val="TableText"/>
              <w:rPr>
                <w:rStyle w:val="Strong"/>
              </w:rPr>
            </w:pPr>
            <w:r w:rsidRPr="00774EAA">
              <w:rPr>
                <w:rStyle w:val="Strong"/>
              </w:rPr>
              <w:t>Unlikely</w:t>
            </w:r>
          </w:p>
        </w:tc>
        <w:tc>
          <w:tcPr>
            <w:tcW w:w="1510" w:type="dxa"/>
            <w:shd w:val="clear" w:color="auto" w:fill="C2D69B" w:themeFill="accent3" w:themeFillTint="99"/>
          </w:tcPr>
          <w:p w14:paraId="3635D9D9" w14:textId="07E34790" w:rsidR="00774EAA" w:rsidRDefault="00774EAA" w:rsidP="00774EAA">
            <w:pPr>
              <w:pStyle w:val="TableText"/>
            </w:pPr>
          </w:p>
        </w:tc>
        <w:tc>
          <w:tcPr>
            <w:tcW w:w="1510" w:type="dxa"/>
            <w:shd w:val="clear" w:color="auto" w:fill="C2D69B" w:themeFill="accent3" w:themeFillTint="99"/>
          </w:tcPr>
          <w:p w14:paraId="4AF321D6" w14:textId="3ED18B8C" w:rsidR="00774EAA" w:rsidRDefault="00774EAA" w:rsidP="00774EAA">
            <w:pPr>
              <w:pStyle w:val="TableText"/>
            </w:pPr>
          </w:p>
        </w:tc>
        <w:tc>
          <w:tcPr>
            <w:tcW w:w="1510" w:type="dxa"/>
            <w:shd w:val="clear" w:color="auto" w:fill="8DB3E2" w:themeFill="text2" w:themeFillTint="66"/>
          </w:tcPr>
          <w:p w14:paraId="6C65FDEF" w14:textId="74C18328" w:rsidR="00774EAA" w:rsidRDefault="00774EAA" w:rsidP="00693478">
            <w:pPr>
              <w:pStyle w:val="TableBullet1"/>
              <w:numPr>
                <w:ilvl w:val="0"/>
                <w:numId w:val="0"/>
              </w:numPr>
              <w:ind w:left="284" w:hanging="284"/>
            </w:pPr>
          </w:p>
        </w:tc>
        <w:tc>
          <w:tcPr>
            <w:tcW w:w="1510" w:type="dxa"/>
            <w:shd w:val="clear" w:color="auto" w:fill="FFFF00"/>
          </w:tcPr>
          <w:p w14:paraId="1FCBA8F2" w14:textId="01B76C47" w:rsidR="00774EAA" w:rsidRDefault="00774EAA" w:rsidP="00693478">
            <w:pPr>
              <w:pStyle w:val="TableBullet1"/>
              <w:numPr>
                <w:ilvl w:val="0"/>
                <w:numId w:val="0"/>
              </w:numPr>
            </w:pPr>
          </w:p>
        </w:tc>
        <w:tc>
          <w:tcPr>
            <w:tcW w:w="1510" w:type="dxa"/>
            <w:shd w:val="clear" w:color="auto" w:fill="D99594" w:themeFill="accent2" w:themeFillTint="99"/>
          </w:tcPr>
          <w:p w14:paraId="631D0DC6" w14:textId="22D93448" w:rsidR="00774EAA" w:rsidRDefault="00774EAA" w:rsidP="00774EAA">
            <w:pPr>
              <w:pStyle w:val="TableText"/>
            </w:pPr>
          </w:p>
        </w:tc>
      </w:tr>
      <w:tr w:rsidR="00774EAA" w14:paraId="2E9A5E68" w14:textId="77777777" w:rsidTr="002F4DAD">
        <w:tc>
          <w:tcPr>
            <w:tcW w:w="1510" w:type="dxa"/>
          </w:tcPr>
          <w:p w14:paraId="44915166" w14:textId="29B25F10" w:rsidR="00774EAA" w:rsidRPr="00774EAA" w:rsidRDefault="00774EAA" w:rsidP="00774EAA">
            <w:pPr>
              <w:pStyle w:val="TableText"/>
              <w:rPr>
                <w:rStyle w:val="Strong"/>
              </w:rPr>
            </w:pPr>
            <w:r w:rsidRPr="00774EAA">
              <w:rPr>
                <w:rStyle w:val="Strong"/>
              </w:rPr>
              <w:t>Unknown</w:t>
            </w:r>
          </w:p>
        </w:tc>
        <w:tc>
          <w:tcPr>
            <w:tcW w:w="1510" w:type="dxa"/>
            <w:shd w:val="clear" w:color="auto" w:fill="C2D69B" w:themeFill="accent3" w:themeFillTint="99"/>
          </w:tcPr>
          <w:p w14:paraId="15EC7F90" w14:textId="223B8EE1" w:rsidR="00774EAA" w:rsidRDefault="00774EAA" w:rsidP="00774EAA">
            <w:pPr>
              <w:pStyle w:val="TableText"/>
            </w:pPr>
          </w:p>
        </w:tc>
        <w:tc>
          <w:tcPr>
            <w:tcW w:w="1510" w:type="dxa"/>
            <w:shd w:val="clear" w:color="auto" w:fill="C2D69B" w:themeFill="accent3" w:themeFillTint="99"/>
          </w:tcPr>
          <w:p w14:paraId="2CE6720F" w14:textId="36FED10F" w:rsidR="00774EAA" w:rsidRDefault="00774EAA" w:rsidP="004479F1">
            <w:pPr>
              <w:pStyle w:val="TableBullet1"/>
              <w:numPr>
                <w:ilvl w:val="0"/>
                <w:numId w:val="0"/>
              </w:numPr>
              <w:ind w:left="284" w:hanging="284"/>
            </w:pPr>
          </w:p>
        </w:tc>
        <w:tc>
          <w:tcPr>
            <w:tcW w:w="1510" w:type="dxa"/>
            <w:shd w:val="clear" w:color="auto" w:fill="8DB3E2" w:themeFill="text2" w:themeFillTint="66"/>
          </w:tcPr>
          <w:p w14:paraId="6E9D8344" w14:textId="77777777" w:rsidR="00045FF0" w:rsidRDefault="00045FF0" w:rsidP="00136278">
            <w:pPr>
              <w:pStyle w:val="TableBullet1"/>
            </w:pPr>
            <w:r w:rsidRPr="00693478">
              <w:t>Increased likelihood of extreme events (i.e., wildfire, heatwave, and drought)</w:t>
            </w:r>
          </w:p>
          <w:p w14:paraId="1FB26C83" w14:textId="252E23E3" w:rsidR="00774EAA" w:rsidRDefault="00136278" w:rsidP="00750516">
            <w:pPr>
              <w:pStyle w:val="TableBullet1"/>
            </w:pPr>
            <w:r w:rsidRPr="00693478">
              <w:t xml:space="preserve">Increase in frequency, scale, or intensity of fire </w:t>
            </w:r>
          </w:p>
        </w:tc>
        <w:tc>
          <w:tcPr>
            <w:tcW w:w="1510" w:type="dxa"/>
            <w:shd w:val="clear" w:color="auto" w:fill="FFFF00"/>
          </w:tcPr>
          <w:p w14:paraId="1AF9A6DF" w14:textId="7C490A23" w:rsidR="00774EAA" w:rsidRDefault="00774EAA" w:rsidP="00693478">
            <w:pPr>
              <w:pStyle w:val="TableBullet1"/>
              <w:numPr>
                <w:ilvl w:val="0"/>
                <w:numId w:val="0"/>
              </w:numPr>
            </w:pPr>
          </w:p>
        </w:tc>
        <w:tc>
          <w:tcPr>
            <w:tcW w:w="1510" w:type="dxa"/>
            <w:shd w:val="clear" w:color="auto" w:fill="D99594" w:themeFill="accent2" w:themeFillTint="99"/>
          </w:tcPr>
          <w:p w14:paraId="76838536" w14:textId="353D20A7" w:rsidR="00774EAA" w:rsidRDefault="00774EAA" w:rsidP="00774EAA">
            <w:pPr>
              <w:pStyle w:val="TableText"/>
            </w:pPr>
          </w:p>
        </w:tc>
      </w:tr>
    </w:tbl>
    <w:p w14:paraId="128139A4" w14:textId="4FD71182" w:rsidR="002B6A3F" w:rsidRDefault="002B6A3F" w:rsidP="002B6A3F">
      <w:r w:rsidRPr="008132B0">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028D1490" w14:textId="0CB2B00A" w:rsidR="002B6A3F" w:rsidRDefault="002B6A3F" w:rsidP="002B6A3F">
      <w:pPr>
        <w:pStyle w:val="Heading2"/>
        <w:ind w:left="720" w:hanging="720"/>
      </w:pPr>
      <w:r>
        <w:t xml:space="preserve">Conservation and recovery </w:t>
      </w:r>
      <w:r w:rsidRPr="002B6A3F">
        <w:t>actions</w:t>
      </w:r>
    </w:p>
    <w:p w14:paraId="795A8378" w14:textId="10462929" w:rsidR="002B6A3F" w:rsidRDefault="002B6A3F" w:rsidP="002B6A3F">
      <w:pPr>
        <w:pStyle w:val="Heading3"/>
        <w:ind w:left="964" w:hanging="964"/>
      </w:pPr>
      <w:r>
        <w:t>Primary conservation outcome</w:t>
      </w:r>
    </w:p>
    <w:p w14:paraId="25DDE919" w14:textId="657105E0" w:rsidR="008132B0" w:rsidRDefault="3385FAF6" w:rsidP="008A1B29">
      <w:pPr>
        <w:pStyle w:val="ListBullet"/>
      </w:pPr>
      <w:r>
        <w:t>Maintain or increase current abundance and distribution</w:t>
      </w:r>
      <w:r w:rsidR="00510F1A">
        <w:t>.</w:t>
      </w:r>
    </w:p>
    <w:p w14:paraId="4E724F16" w14:textId="4F4B6906" w:rsidR="002B6A3F" w:rsidRDefault="002B6A3F" w:rsidP="008A51E7">
      <w:pPr>
        <w:pStyle w:val="Heading3"/>
        <w:ind w:left="964" w:hanging="964"/>
      </w:pPr>
      <w:r>
        <w:t>Conservation and management priorities</w:t>
      </w:r>
    </w:p>
    <w:p w14:paraId="211249EB" w14:textId="77777777" w:rsidR="0070750E" w:rsidRDefault="0070750E" w:rsidP="0070750E">
      <w:pPr>
        <w:pStyle w:val="Heading4"/>
      </w:pPr>
      <w:r w:rsidRPr="0070750E">
        <w:t>Habitat loss caused by clearing for large scale agriculture</w:t>
      </w:r>
    </w:p>
    <w:p w14:paraId="15EE357A" w14:textId="77777777" w:rsidR="00615210" w:rsidRDefault="001759D0">
      <w:pPr>
        <w:pStyle w:val="ListBullet"/>
      </w:pPr>
      <w:r>
        <w:t xml:space="preserve">Retain and protect woodland, open forest, grassland and mallee habitat from clearing, </w:t>
      </w:r>
      <w:proofErr w:type="gramStart"/>
      <w:r>
        <w:t>fragmentation</w:t>
      </w:r>
      <w:proofErr w:type="gramEnd"/>
      <w:r>
        <w:t xml:space="preserve"> and disturbance (areas of 200 ha or greater within woody vegetation are particularly significant). </w:t>
      </w:r>
    </w:p>
    <w:p w14:paraId="5762EC3E" w14:textId="71744E56" w:rsidR="00680734" w:rsidRDefault="00302D01" w:rsidP="00615210">
      <w:pPr>
        <w:pStyle w:val="ListBullet"/>
      </w:pPr>
      <w:r>
        <w:lastRenderedPageBreak/>
        <w:t xml:space="preserve">Protect and maintain areas of </w:t>
      </w:r>
      <w:proofErr w:type="gramStart"/>
      <w:r>
        <w:t>high quality</w:t>
      </w:r>
      <w:proofErr w:type="gramEnd"/>
      <w:r>
        <w:t xml:space="preserve"> habitat, which includes</w:t>
      </w:r>
      <w:r w:rsidR="00680734">
        <w:t xml:space="preserve"> </w:t>
      </w:r>
      <w:r>
        <w:t xml:space="preserve">open forest, woodland, mallee and grasslands with a diverse ground layer dominated by a mixture of grass species which seed at different times of year (providing a year round food supply) and provides scattered shrubs for shelter. Areas with access to water, especially riparian areas, </w:t>
      </w:r>
      <w:r w:rsidR="00680734">
        <w:t>are especially important.</w:t>
      </w:r>
    </w:p>
    <w:p w14:paraId="1281A17A" w14:textId="3F6BA403" w:rsidR="00DD0562" w:rsidRDefault="00DD0562" w:rsidP="00DD0562">
      <w:pPr>
        <w:pStyle w:val="ListBullet"/>
        <w:rPr>
          <w:lang w:eastAsia="en-AU"/>
        </w:rPr>
      </w:pPr>
      <w:r>
        <w:rPr>
          <w:lang w:eastAsia="en-AU"/>
        </w:rPr>
        <w:t xml:space="preserve">Undertake </w:t>
      </w:r>
      <w:r w:rsidR="00397AFE">
        <w:rPr>
          <w:lang w:eastAsia="en-AU"/>
        </w:rPr>
        <w:t>revegetation using a diverse mix of locally appropriate native species, which will produce high quality habitat. Revegetation should focus on</w:t>
      </w:r>
      <w:r>
        <w:rPr>
          <w:lang w:eastAsia="en-AU"/>
        </w:rPr>
        <w:t>:</w:t>
      </w:r>
    </w:p>
    <w:p w14:paraId="0D397612" w14:textId="70EBDA64" w:rsidR="00DD0562" w:rsidRDefault="00397AFE" w:rsidP="00DD0562">
      <w:pPr>
        <w:pStyle w:val="ListBullet2"/>
        <w:rPr>
          <w:lang w:eastAsia="en-AU"/>
        </w:rPr>
      </w:pPr>
      <w:r>
        <w:rPr>
          <w:lang w:eastAsia="en-AU"/>
        </w:rPr>
        <w:t xml:space="preserve">expanding areas of existing habitat, </w:t>
      </w:r>
    </w:p>
    <w:p w14:paraId="1E6173E2" w14:textId="2B4C5F34" w:rsidR="00615210" w:rsidRDefault="00397AFE" w:rsidP="00615210">
      <w:pPr>
        <w:pStyle w:val="ListBullet2"/>
        <w:rPr>
          <w:lang w:eastAsia="en-AU"/>
        </w:rPr>
      </w:pPr>
      <w:r>
        <w:rPr>
          <w:lang w:eastAsia="en-AU"/>
        </w:rPr>
        <w:t xml:space="preserve">connecting isolated habitat patches (either through corridor or </w:t>
      </w:r>
      <w:proofErr w:type="gramStart"/>
      <w:r>
        <w:rPr>
          <w:lang w:eastAsia="en-AU"/>
        </w:rPr>
        <w:t>stepping stone</w:t>
      </w:r>
      <w:proofErr w:type="gramEnd"/>
      <w:r>
        <w:rPr>
          <w:lang w:eastAsia="en-AU"/>
        </w:rPr>
        <w:t xml:space="preserve"> plantings)</w:t>
      </w:r>
      <w:r w:rsidR="00DD0562">
        <w:rPr>
          <w:lang w:eastAsia="en-AU"/>
        </w:rPr>
        <w:t>, and/or</w:t>
      </w:r>
      <w:r w:rsidR="00615210">
        <w:rPr>
          <w:lang w:eastAsia="en-AU"/>
        </w:rPr>
        <w:t xml:space="preserve"> </w:t>
      </w:r>
      <w:r>
        <w:rPr>
          <w:lang w:eastAsia="en-AU"/>
        </w:rPr>
        <w:t>establishing additional habitat patches in landscapes with already existing, although insufficient, patches of suitable habitat.</w:t>
      </w:r>
      <w:r w:rsidR="001759D0">
        <w:rPr>
          <w:lang w:eastAsia="en-AU"/>
        </w:rPr>
        <w:t xml:space="preserve"> </w:t>
      </w:r>
    </w:p>
    <w:p w14:paraId="1A319BA5" w14:textId="1BA7617F" w:rsidR="00680734" w:rsidRDefault="00680734" w:rsidP="00615210">
      <w:pPr>
        <w:pStyle w:val="ListBullet2"/>
        <w:rPr>
          <w:lang w:eastAsia="en-AU"/>
        </w:rPr>
      </w:pPr>
      <w:r>
        <w:rPr>
          <w:lang w:eastAsia="en-AU"/>
        </w:rPr>
        <w:t>Areas with access to water, especially riparian areas, are especially important. Care should be taken to ensure that riparian revegetation programs are sufficiently wide (minimum 50 m wide), and that the composition of the ground and understorey is managed.</w:t>
      </w:r>
    </w:p>
    <w:p w14:paraId="60C89699" w14:textId="0D0B43BB" w:rsidR="008A1B29" w:rsidRDefault="008A1B29" w:rsidP="008A1B29">
      <w:pPr>
        <w:pStyle w:val="ListBullet"/>
      </w:pPr>
      <w:r w:rsidRPr="008A1B29">
        <w:t>Restore native perennial grasses and casuarinas to habitat fragments</w:t>
      </w:r>
      <w:r>
        <w:t>.</w:t>
      </w:r>
    </w:p>
    <w:p w14:paraId="6F6551FC" w14:textId="34F88E8C" w:rsidR="00045FF0" w:rsidRDefault="00045FF0" w:rsidP="00045FF0">
      <w:pPr>
        <w:pStyle w:val="ListBullet"/>
      </w:pPr>
      <w:r>
        <w:t>Retain mistletoe and scattered patches of dense shrubs for nesting habitat, particularly in areas close to water.</w:t>
      </w:r>
    </w:p>
    <w:p w14:paraId="038375B6" w14:textId="73146868" w:rsidR="00323FCB" w:rsidRDefault="00323FCB" w:rsidP="00323FCB">
      <w:pPr>
        <w:pStyle w:val="ListBullet"/>
      </w:pPr>
      <w:r>
        <w:t>Expand and reconnect smaller fragments of habitat by fencing and encouraging natural regeneration or applying revegetation techniques where regeneration fails.</w:t>
      </w:r>
    </w:p>
    <w:p w14:paraId="5D747772" w14:textId="1F108684" w:rsidR="00AF1EF6" w:rsidRDefault="00AF1EF6" w:rsidP="00AF1EF6">
      <w:pPr>
        <w:pStyle w:val="ListBullet"/>
        <w:numPr>
          <w:ilvl w:val="0"/>
          <w:numId w:val="0"/>
        </w:numPr>
        <w:ind w:left="425" w:hanging="425"/>
        <w:rPr>
          <w:rFonts w:ascii="Calibri" w:eastAsia="Times New Roman" w:hAnsi="Calibri" w:cs="Times New Roman"/>
          <w:b/>
          <w:bCs/>
          <w:sz w:val="24"/>
          <w:szCs w:val="24"/>
        </w:rPr>
      </w:pPr>
      <w:r w:rsidRPr="00A203D1">
        <w:rPr>
          <w:rFonts w:ascii="Calibri" w:eastAsia="Times New Roman" w:hAnsi="Calibri" w:cs="Times New Roman"/>
          <w:b/>
          <w:bCs/>
          <w:sz w:val="24"/>
          <w:szCs w:val="24"/>
        </w:rPr>
        <w:t xml:space="preserve">Habitat degradation caused by </w:t>
      </w:r>
      <w:r w:rsidR="00E04E6B">
        <w:rPr>
          <w:rFonts w:ascii="Calibri" w:eastAsia="Times New Roman" w:hAnsi="Calibri" w:cs="Times New Roman"/>
          <w:b/>
          <w:bCs/>
          <w:sz w:val="24"/>
          <w:szCs w:val="24"/>
        </w:rPr>
        <w:t xml:space="preserve">domestic </w:t>
      </w:r>
      <w:r w:rsidR="00E03A38">
        <w:rPr>
          <w:rFonts w:ascii="Calibri" w:eastAsia="Times New Roman" w:hAnsi="Calibri" w:cs="Times New Roman"/>
          <w:b/>
          <w:bCs/>
          <w:sz w:val="24"/>
          <w:szCs w:val="24"/>
        </w:rPr>
        <w:t>live</w:t>
      </w:r>
      <w:r w:rsidR="00E04E6B">
        <w:rPr>
          <w:rFonts w:ascii="Calibri" w:eastAsia="Times New Roman" w:hAnsi="Calibri" w:cs="Times New Roman"/>
          <w:b/>
          <w:bCs/>
          <w:sz w:val="24"/>
          <w:szCs w:val="24"/>
        </w:rPr>
        <w:t>stock</w:t>
      </w:r>
      <w:r w:rsidRPr="00A203D1">
        <w:rPr>
          <w:rFonts w:ascii="Calibri" w:eastAsia="Times New Roman" w:hAnsi="Calibri" w:cs="Times New Roman"/>
          <w:b/>
          <w:bCs/>
          <w:sz w:val="24"/>
          <w:szCs w:val="24"/>
        </w:rPr>
        <w:t xml:space="preserve"> grazing</w:t>
      </w:r>
    </w:p>
    <w:p w14:paraId="5FDD62F3" w14:textId="4BCA501A" w:rsidR="00302D01" w:rsidRDefault="001A3FC3" w:rsidP="00615210">
      <w:pPr>
        <w:pStyle w:val="ListBullet"/>
      </w:pPr>
      <w:r>
        <w:t>R</w:t>
      </w:r>
      <w:r w:rsidR="00302D01">
        <w:t xml:space="preserve">educe grazing intensity and regularity so that a diverse grass sward and scattered shrub layer is </w:t>
      </w:r>
      <w:proofErr w:type="gramStart"/>
      <w:r w:rsidR="00302D01">
        <w:t>maintained, and</w:t>
      </w:r>
      <w:proofErr w:type="gramEnd"/>
      <w:r w:rsidR="00302D01">
        <w:t xml:space="preserve"> seeding grasses and forbs that th</w:t>
      </w:r>
      <w:r w:rsidR="00950350">
        <w:t>e</w:t>
      </w:r>
      <w:r w:rsidR="00302D01">
        <w:t xml:space="preserve"> species requires are present throughout the year. </w:t>
      </w:r>
    </w:p>
    <w:p w14:paraId="0CA2C6F1" w14:textId="77777777" w:rsidR="00AF1EF6" w:rsidRDefault="00AF1EF6" w:rsidP="00AF1EF6">
      <w:pPr>
        <w:pStyle w:val="ListBullet"/>
      </w:pPr>
      <w:r>
        <w:t>Actively manage pest and pastoral grazing in occupied patches, including control of overabundant herbivores.</w:t>
      </w:r>
    </w:p>
    <w:p w14:paraId="5BB6CE29" w14:textId="670F88BA" w:rsidR="00AF1EF6" w:rsidRDefault="001A3FC3" w:rsidP="00AF1EF6">
      <w:pPr>
        <w:pStyle w:val="ListBullet"/>
      </w:pPr>
      <w:r>
        <w:t xml:space="preserve">Exclude domestic stock grazing </w:t>
      </w:r>
      <w:r w:rsidR="00B8273E">
        <w:t xml:space="preserve">from </w:t>
      </w:r>
      <w:r w:rsidR="00AF1EF6">
        <w:t>high value habitats.</w:t>
      </w:r>
    </w:p>
    <w:p w14:paraId="7616A2E7" w14:textId="5DF4CB7C" w:rsidR="00AF1EF6" w:rsidRDefault="00AF1EF6" w:rsidP="00AF1EF6">
      <w:pPr>
        <w:pStyle w:val="ListBullet"/>
      </w:pPr>
      <w:r w:rsidRPr="009C1F15">
        <w:t>Modify grazing management practices that will maintain or improve habitat values and still allow some grazing to occur at strategic times of the year.</w:t>
      </w:r>
    </w:p>
    <w:p w14:paraId="48FBEECC" w14:textId="77777777" w:rsidR="0070750E" w:rsidRDefault="0070750E" w:rsidP="0070750E">
      <w:pPr>
        <w:pStyle w:val="Heading4"/>
      </w:pPr>
      <w:r w:rsidRPr="0070750E">
        <w:t>Invasive weeds, particularly exotic annual grasses, altering habitat</w:t>
      </w:r>
    </w:p>
    <w:p w14:paraId="0404F642" w14:textId="714C42B5" w:rsidR="0070750E" w:rsidRDefault="00302D01" w:rsidP="00615210">
      <w:pPr>
        <w:pStyle w:val="ListBullet"/>
      </w:pPr>
      <w:r>
        <w:t xml:space="preserve">Undertake control of invasive exotic plant species that compete with native grasses, </w:t>
      </w:r>
      <w:proofErr w:type="gramStart"/>
      <w:r>
        <w:t>so as to</w:t>
      </w:r>
      <w:proofErr w:type="gramEnd"/>
      <w:r>
        <w:t xml:space="preserve"> increase the prevalence and diversity of food plants, in suitable habitat (e</w:t>
      </w:r>
      <w:r w:rsidRPr="00615853">
        <w:t xml:space="preserve">.g., </w:t>
      </w:r>
      <w:r w:rsidR="0070750E" w:rsidRPr="00615853">
        <w:t>exotic, winter-fruiting shrubs such as cotoneasters, hawthorns, firethorns and privets</w:t>
      </w:r>
      <w:r w:rsidRPr="00615853">
        <w:t>)</w:t>
      </w:r>
      <w:r w:rsidR="0070750E" w:rsidRPr="00615853">
        <w:t>.</w:t>
      </w:r>
    </w:p>
    <w:p w14:paraId="4D67F5E7" w14:textId="77777777" w:rsidR="0070750E" w:rsidRPr="00A203D1" w:rsidRDefault="0070750E" w:rsidP="0070750E">
      <w:pPr>
        <w:pStyle w:val="ListBullet"/>
      </w:pPr>
      <w:r w:rsidRPr="00AF1EF6">
        <w:t>Targeted removal of weeds significantly compromising habitat values (e.g., invasive perennial grasses) and restore native vegetation.</w:t>
      </w:r>
    </w:p>
    <w:p w14:paraId="70C56110" w14:textId="3B0817D5" w:rsidR="002B6A3F" w:rsidRDefault="002B6A3F" w:rsidP="009E7A91">
      <w:pPr>
        <w:pStyle w:val="Heading3"/>
        <w:ind w:left="964" w:hanging="964"/>
      </w:pPr>
      <w:r>
        <w:t>Stakeholder engagement/community engagement</w:t>
      </w:r>
    </w:p>
    <w:p w14:paraId="46CEE8EA" w14:textId="77777777" w:rsidR="00AF1EF6" w:rsidRDefault="00AF1EF6" w:rsidP="00AF1EF6">
      <w:pPr>
        <w:pStyle w:val="ListBullet"/>
      </w:pPr>
      <w:r>
        <w:t>Target in-perpetuity covenants or stewardship agreements to landholders with high quality remnant woodland habitat.</w:t>
      </w:r>
    </w:p>
    <w:p w14:paraId="78A2C663" w14:textId="52F7AED6" w:rsidR="00AF1EF6" w:rsidRDefault="00AF1EF6" w:rsidP="00A845A7">
      <w:pPr>
        <w:pStyle w:val="ListBullet"/>
      </w:pPr>
      <w:r>
        <w:t>Support community education programs to achieve regional conservation outcomes.</w:t>
      </w:r>
    </w:p>
    <w:p w14:paraId="5F299394" w14:textId="65B17235" w:rsidR="002B6A3F" w:rsidRDefault="00A203D1" w:rsidP="00AF1EF6">
      <w:pPr>
        <w:pStyle w:val="ListBullet"/>
      </w:pPr>
      <w:r>
        <w:lastRenderedPageBreak/>
        <w:t>Engage landholders to adopt appropriate grazing regimes.</w:t>
      </w:r>
    </w:p>
    <w:p w14:paraId="590F7CD7" w14:textId="49D19B28" w:rsidR="002B6A3F" w:rsidRDefault="002B6A3F" w:rsidP="009E7A91">
      <w:pPr>
        <w:pStyle w:val="Heading3"/>
        <w:ind w:left="964" w:hanging="964"/>
      </w:pPr>
      <w:r>
        <w:t xml:space="preserve">Survey and </w:t>
      </w:r>
      <w:r w:rsidR="009F08D5">
        <w:t>m</w:t>
      </w:r>
      <w:r>
        <w:t>onitoring priorities</w:t>
      </w:r>
    </w:p>
    <w:p w14:paraId="10D5EFA4" w14:textId="1C297686" w:rsidR="0097684A" w:rsidRDefault="00AF1EF6" w:rsidP="004D486A">
      <w:pPr>
        <w:pStyle w:val="ListBullet"/>
      </w:pPr>
      <w:r w:rsidRPr="00AF1EF6">
        <w:t>Monitor long term trends and status of the species.</w:t>
      </w:r>
    </w:p>
    <w:p w14:paraId="393F211C" w14:textId="77777777" w:rsidR="005A118C" w:rsidRDefault="005A118C" w:rsidP="005A118C">
      <w:pPr>
        <w:pStyle w:val="ListBullet"/>
      </w:pPr>
      <w:r>
        <w:t>Determine population densities and trends in a representative area across the range.</w:t>
      </w:r>
    </w:p>
    <w:p w14:paraId="7DB4B12B" w14:textId="7206A9AA" w:rsidR="00302D01" w:rsidRPr="00EE4E28" w:rsidRDefault="00302D01" w:rsidP="00302D01">
      <w:pPr>
        <w:pStyle w:val="ListBullet"/>
      </w:pPr>
      <w:r w:rsidRPr="00302D01">
        <w:t xml:space="preserve">Monitor the effectiveness of management actions and trends in local populations regularly. Any site-based management will be adapted, </w:t>
      </w:r>
      <w:proofErr w:type="gramStart"/>
      <w:r w:rsidRPr="00302D01">
        <w:t>added</w:t>
      </w:r>
      <w:proofErr w:type="gramEnd"/>
      <w:r w:rsidRPr="00302D01">
        <w:t xml:space="preserve"> or removed over time in response to monitoring results.</w:t>
      </w:r>
    </w:p>
    <w:p w14:paraId="0C826ACD" w14:textId="2588799C" w:rsidR="002B6A3F" w:rsidRDefault="002B6A3F" w:rsidP="009E7A91">
      <w:pPr>
        <w:pStyle w:val="Heading3"/>
        <w:ind w:left="964" w:hanging="964"/>
      </w:pPr>
      <w:r>
        <w:t xml:space="preserve">Information and </w:t>
      </w:r>
      <w:r w:rsidR="009F08D5">
        <w:t>r</w:t>
      </w:r>
      <w:r>
        <w:t>esearch priorities</w:t>
      </w:r>
    </w:p>
    <w:p w14:paraId="2A20FB3C" w14:textId="5FFC26EE" w:rsidR="001073D0" w:rsidRDefault="001073D0" w:rsidP="001073D0">
      <w:pPr>
        <w:pStyle w:val="ListBullet"/>
      </w:pPr>
      <w:r>
        <w:t>Establish criteria for sites where management investment to s</w:t>
      </w:r>
      <w:r w:rsidR="00E93826">
        <w:t>ecure Diamond F</w:t>
      </w:r>
      <w:r>
        <w:t>iretail populations is warranted</w:t>
      </w:r>
      <w:r w:rsidR="00B6571B">
        <w:t>, including identifying high value habitats</w:t>
      </w:r>
      <w:r w:rsidR="00E04E6B">
        <w:t xml:space="preserve"> (e.g., within domestic stock grazing areas)</w:t>
      </w:r>
      <w:r w:rsidR="00B6571B">
        <w:t>.</w:t>
      </w:r>
    </w:p>
    <w:p w14:paraId="250EC697" w14:textId="0222602C" w:rsidR="001073D0" w:rsidRDefault="001073D0" w:rsidP="001073D0">
      <w:pPr>
        <w:pStyle w:val="ListBullet"/>
      </w:pPr>
      <w:r w:rsidRPr="001073D0">
        <w:t xml:space="preserve">Determine whether </w:t>
      </w:r>
      <w:r>
        <w:t>Diamond F</w:t>
      </w:r>
      <w:r w:rsidRPr="001073D0">
        <w:t xml:space="preserve">iretails require an active </w:t>
      </w:r>
      <w:r w:rsidR="00E93826">
        <w:t xml:space="preserve">captive breeding and </w:t>
      </w:r>
      <w:r w:rsidRPr="001073D0">
        <w:t xml:space="preserve">reintroduction </w:t>
      </w:r>
      <w:r w:rsidR="00E93826">
        <w:t>program in</w:t>
      </w:r>
      <w:r w:rsidRPr="001073D0">
        <w:t>to restored landscapes</w:t>
      </w:r>
      <w:r>
        <w:t>.</w:t>
      </w:r>
    </w:p>
    <w:p w14:paraId="67F2502A" w14:textId="011AB293" w:rsidR="008A1B29" w:rsidRDefault="008A1B29" w:rsidP="008A1B29">
      <w:pPr>
        <w:pStyle w:val="ListBullet"/>
      </w:pPr>
      <w:r>
        <w:t>Develop techniques for restoring native perennial grasslands.</w:t>
      </w:r>
    </w:p>
    <w:p w14:paraId="216AB37D" w14:textId="77777777" w:rsidR="00D45195" w:rsidRDefault="008A1B29" w:rsidP="00D45195">
      <w:pPr>
        <w:pStyle w:val="ListBullet"/>
      </w:pPr>
      <w:r>
        <w:t>Undertake experimental reintroductions within closely managed environments, including the provision of seed.</w:t>
      </w:r>
      <w:r w:rsidR="00D45195" w:rsidRPr="00D45195">
        <w:t xml:space="preserve"> </w:t>
      </w:r>
    </w:p>
    <w:p w14:paraId="7FA1BF35" w14:textId="5ACC8FCC" w:rsidR="008A1B29" w:rsidRDefault="00D45195" w:rsidP="00D45195">
      <w:pPr>
        <w:pStyle w:val="ListBullet"/>
      </w:pPr>
      <w:r w:rsidRPr="00AF1EF6">
        <w:t xml:space="preserve">Use modelling techniques to investigate the potential impact of climate change on the species and their habitat critical for survival. </w:t>
      </w:r>
    </w:p>
    <w:p w14:paraId="371D5B64" w14:textId="73DF0351" w:rsidR="0070750E" w:rsidRDefault="0070750E" w:rsidP="0070750E">
      <w:pPr>
        <w:pStyle w:val="ListBullet"/>
      </w:pPr>
      <w:r>
        <w:t xml:space="preserve">Measure the abundance and impact of Noisy Miners on the species’ populations and </w:t>
      </w:r>
      <w:proofErr w:type="gramStart"/>
      <w:r>
        <w:t>habitat, and</w:t>
      </w:r>
      <w:proofErr w:type="gramEnd"/>
      <w:r>
        <w:t xml:space="preserve"> determine appropriate management actions with demonstrated effectiveness to reduce the impacts of Noisy Miners if/where required.</w:t>
      </w:r>
    </w:p>
    <w:p w14:paraId="1E731FA4" w14:textId="77777777" w:rsidR="0026224D" w:rsidRDefault="0026224D" w:rsidP="0026224D">
      <w:pPr>
        <w:pStyle w:val="Heading3"/>
        <w:ind w:left="964" w:hanging="964"/>
      </w:pPr>
      <w:r>
        <w:t>Recovery plan decision</w:t>
      </w:r>
    </w:p>
    <w:p w14:paraId="39AF8AF8" w14:textId="2AF3D81D" w:rsidR="0026224D" w:rsidRPr="0026224D" w:rsidRDefault="0026224D" w:rsidP="0026224D">
      <w:pPr>
        <w:keepNext/>
        <w:rPr>
          <w:rFonts w:cs="Calibri"/>
        </w:rPr>
      </w:pPr>
      <w:r>
        <w:t xml:space="preserve">A decision about whether there should be a recovery plan for this species has not yet been determined. The purpose of this consultation document is to elicit additional information to help inform this decision. </w:t>
      </w:r>
    </w:p>
    <w:p w14:paraId="0C86BE97" w14:textId="77777777" w:rsidR="002B6A3F" w:rsidRDefault="002B6A3F" w:rsidP="00CC062B">
      <w:pPr>
        <w:pStyle w:val="Heading2"/>
        <w:ind w:left="720" w:hanging="720"/>
      </w:pPr>
      <w:r>
        <w:t>Links to relevant implementation documents</w:t>
      </w:r>
    </w:p>
    <w:p w14:paraId="4721A67C" w14:textId="77777777" w:rsidR="004D486A" w:rsidRPr="007E029B" w:rsidRDefault="00E76A79" w:rsidP="004D486A">
      <w:pPr>
        <w:pStyle w:val="ListBullet"/>
        <w:rPr>
          <w:b/>
          <w:bCs/>
          <w:u w:val="single"/>
          <w:lang w:val="en-US" w:eastAsia="en-AU"/>
        </w:rPr>
      </w:pPr>
      <w:hyperlink r:id="rId29" w:history="1">
        <w:r w:rsidR="004D486A" w:rsidRPr="007E029B">
          <w:rPr>
            <w:rStyle w:val="Hyperlink"/>
          </w:rPr>
          <w:t>Threat abatement plan for competition and land degradation by rabbits</w:t>
        </w:r>
      </w:hyperlink>
      <w:r w:rsidR="004D486A" w:rsidRPr="00A46573">
        <w:rPr>
          <w:rStyle w:val="Hyperlink"/>
          <w:u w:val="none"/>
        </w:rPr>
        <w:t xml:space="preserve"> </w:t>
      </w:r>
      <w:r w:rsidR="004D486A">
        <w:rPr>
          <w:color w:val="000000"/>
          <w:lang w:val="en-US"/>
        </w:rPr>
        <w:t>(Commonwealth of Australia 2016b).</w:t>
      </w:r>
    </w:p>
    <w:p w14:paraId="70FCB8E9" w14:textId="30F3995A" w:rsidR="004D486A" w:rsidRPr="00887B29" w:rsidRDefault="00E76A79" w:rsidP="004D486A">
      <w:pPr>
        <w:pStyle w:val="ListBullet"/>
      </w:pPr>
      <w:hyperlink r:id="rId30" w:history="1">
        <w:r w:rsidR="004D486A" w:rsidRPr="00CD5C21">
          <w:rPr>
            <w:rStyle w:val="Hyperlink"/>
          </w:rPr>
          <w:t xml:space="preserve">Listing </w:t>
        </w:r>
        <w:r w:rsidR="004D486A">
          <w:rPr>
            <w:rStyle w:val="Hyperlink"/>
          </w:rPr>
          <w:t>a</w:t>
        </w:r>
        <w:r w:rsidR="004D486A" w:rsidRPr="00CD5C21">
          <w:rPr>
            <w:rStyle w:val="Hyperlink"/>
          </w:rPr>
          <w:t>ssessment for aggressive exclusion of birds from potential woodland and forest habitat by over-abundant noisy miners (</w:t>
        </w:r>
        <w:proofErr w:type="spellStart"/>
        <w:r w:rsidR="004D486A" w:rsidRPr="00CD5C21">
          <w:rPr>
            <w:rStyle w:val="Hyperlink"/>
            <w:i/>
            <w:iCs/>
          </w:rPr>
          <w:t>Manorina</w:t>
        </w:r>
        <w:proofErr w:type="spellEnd"/>
        <w:r w:rsidR="004D486A" w:rsidRPr="00CD5C21">
          <w:rPr>
            <w:rStyle w:val="Hyperlink"/>
            <w:i/>
            <w:iCs/>
          </w:rPr>
          <w:t xml:space="preserve"> </w:t>
        </w:r>
        <w:proofErr w:type="spellStart"/>
        <w:r w:rsidR="004D486A" w:rsidRPr="00CD5C21">
          <w:rPr>
            <w:rStyle w:val="Hyperlink"/>
            <w:i/>
            <w:iCs/>
          </w:rPr>
          <w:t>melanocephala</w:t>
        </w:r>
        <w:proofErr w:type="spellEnd"/>
        <w:r w:rsidR="004D486A" w:rsidRPr="00CD5C21">
          <w:rPr>
            <w:rStyle w:val="Hyperlink"/>
          </w:rPr>
          <w:t>)</w:t>
        </w:r>
      </w:hyperlink>
      <w:r w:rsidR="004D486A" w:rsidRPr="00887B29">
        <w:t xml:space="preserve"> </w:t>
      </w:r>
      <w:r w:rsidR="00C115A2">
        <w:t>(Commonwealth of Australia 2014)</w:t>
      </w:r>
    </w:p>
    <w:p w14:paraId="216592AD" w14:textId="6F51126D"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9"/>
      <w:bookmarkEnd w:id="10"/>
      <w:r w:rsidR="0012461E">
        <w:t>L</w:t>
      </w:r>
      <w:r>
        <w:t xml:space="preserve">isting </w:t>
      </w:r>
      <w:r w:rsidR="0012461E">
        <w:t>A</w:t>
      </w:r>
      <w:r>
        <w:t>ssessment references</w:t>
      </w:r>
    </w:p>
    <w:p w14:paraId="144C7114" w14:textId="4A90F930" w:rsidR="001073D0" w:rsidRDefault="00AC5255" w:rsidP="001073D0">
      <w:r>
        <w:t xml:space="preserve">ABARES </w:t>
      </w:r>
      <w:r w:rsidR="001073D0">
        <w:t>(</w:t>
      </w:r>
      <w:r>
        <w:t>Australian Bureau of Agricultural and Resource Economics and Sciences</w:t>
      </w:r>
      <w:r w:rsidR="001073D0">
        <w:t xml:space="preserve">) (2020) </w:t>
      </w:r>
      <w:r w:rsidR="001073D0" w:rsidRPr="00146918">
        <w:rPr>
          <w:i/>
          <w:iCs/>
        </w:rPr>
        <w:t>Sheep meat</w:t>
      </w:r>
      <w:r w:rsidR="001073D0">
        <w:t>. Commonwealth of Australia, Canberra.</w:t>
      </w:r>
    </w:p>
    <w:p w14:paraId="71843BA9" w14:textId="65FCDB0D" w:rsidR="001073D0" w:rsidRDefault="001073D0" w:rsidP="001073D0">
      <w:proofErr w:type="spellStart"/>
      <w:r>
        <w:t>Antos</w:t>
      </w:r>
      <w:proofErr w:type="spellEnd"/>
      <w:r>
        <w:t xml:space="preserve"> MJ, Bennett AF</w:t>
      </w:r>
      <w:r w:rsidR="00E03F4A">
        <w:t xml:space="preserve"> &amp; </w:t>
      </w:r>
      <w:r>
        <w:t xml:space="preserve">White JG (2008) Where exactly do ground‐foraging woodland birds forage? Foraging sites and microhabitat selection in temperate woodlands of southern Australia. </w:t>
      </w:r>
      <w:r w:rsidRPr="00146918">
        <w:rPr>
          <w:i/>
          <w:iCs/>
        </w:rPr>
        <w:t>Emu</w:t>
      </w:r>
      <w:r>
        <w:t xml:space="preserve"> 108, 201–211.</w:t>
      </w:r>
    </w:p>
    <w:p w14:paraId="7FB84EE8" w14:textId="306C6E25" w:rsidR="001073D0" w:rsidRDefault="001073D0" w:rsidP="001073D0">
      <w:r>
        <w:lastRenderedPageBreak/>
        <w:t xml:space="preserve">Barrett GW, </w:t>
      </w:r>
      <w:proofErr w:type="spellStart"/>
      <w:r>
        <w:t>Silcocks</w:t>
      </w:r>
      <w:proofErr w:type="spellEnd"/>
      <w:r>
        <w:t xml:space="preserve"> AF, Cunningham R, Oliver D, Weston MA</w:t>
      </w:r>
      <w:r w:rsidR="00E03F4A">
        <w:t xml:space="preserve"> &amp; </w:t>
      </w:r>
      <w:r>
        <w:t xml:space="preserve">Baker J (2007) Comparison of atlas data to determine the conservation status of bird species in New South Wales, with an emphasis on woodland‐dependent species. </w:t>
      </w:r>
      <w:r w:rsidRPr="00146918">
        <w:rPr>
          <w:i/>
          <w:iCs/>
        </w:rPr>
        <w:t>Australian Zoologist</w:t>
      </w:r>
      <w:r>
        <w:t xml:space="preserve"> 34, 37–77.</w:t>
      </w:r>
    </w:p>
    <w:p w14:paraId="1C44AB29" w14:textId="0C4ECC84" w:rsidR="001073D0" w:rsidRDefault="001073D0" w:rsidP="001073D0">
      <w:r>
        <w:t xml:space="preserve">Barrett GW, </w:t>
      </w:r>
      <w:proofErr w:type="spellStart"/>
      <w:r>
        <w:t>Silcocks</w:t>
      </w:r>
      <w:proofErr w:type="spellEnd"/>
      <w:r>
        <w:t xml:space="preserve"> AF, Donnelly C, Cunningham R</w:t>
      </w:r>
      <w:r w:rsidR="00C115A2">
        <w:t xml:space="preserve"> &amp; </w:t>
      </w:r>
      <w:r>
        <w:t xml:space="preserve">Poulter R (2002) </w:t>
      </w:r>
      <w:r w:rsidRPr="00146918">
        <w:rPr>
          <w:i/>
          <w:iCs/>
        </w:rPr>
        <w:t>Australian Bird Atlas (1998–2001) Supplementary Report No. 2 – Atlas Bushcare</w:t>
      </w:r>
      <w:r>
        <w:t>. Report to Natural Heritage Trust, Canberra.</w:t>
      </w:r>
    </w:p>
    <w:p w14:paraId="389C8D1F" w14:textId="597137B3" w:rsidR="001073D0" w:rsidRDefault="001073D0" w:rsidP="001073D0">
      <w:r>
        <w:t xml:space="preserve">Bird JP, Martin R, </w:t>
      </w:r>
      <w:proofErr w:type="spellStart"/>
      <w:r>
        <w:t>Akçakaya</w:t>
      </w:r>
      <w:proofErr w:type="spellEnd"/>
      <w:r>
        <w:t xml:space="preserve"> HR, Gilroy J, Burfield IJ, Garnett ST, Symes A, Taylor J, </w:t>
      </w:r>
      <w:proofErr w:type="spellStart"/>
      <w:r>
        <w:t>Şekercioğlu</w:t>
      </w:r>
      <w:proofErr w:type="spellEnd"/>
      <w:r>
        <w:t xml:space="preserve"> ÇH</w:t>
      </w:r>
      <w:r w:rsidR="00E03F4A">
        <w:t xml:space="preserve"> &amp; </w:t>
      </w:r>
      <w:r>
        <w:t xml:space="preserve">Butchart SHM (2020) Generation lengths of the world's birds and their implications for extinction risk. </w:t>
      </w:r>
      <w:r w:rsidRPr="00146918">
        <w:rPr>
          <w:i/>
          <w:iCs/>
        </w:rPr>
        <w:t>Conservation Biology</w:t>
      </w:r>
      <w:r>
        <w:t xml:space="preserve"> 34, 1252–1261.</w:t>
      </w:r>
    </w:p>
    <w:p w14:paraId="416F4475" w14:textId="33DB4A1E" w:rsidR="001073D0" w:rsidRDefault="001073D0" w:rsidP="001073D0">
      <w:proofErr w:type="spellStart"/>
      <w:r>
        <w:t>BirdLife</w:t>
      </w:r>
      <w:proofErr w:type="spellEnd"/>
      <w:r>
        <w:t xml:space="preserve"> Australia (2015) </w:t>
      </w:r>
      <w:r w:rsidRPr="00146918">
        <w:rPr>
          <w:i/>
          <w:iCs/>
        </w:rPr>
        <w:t>The State of Australia's Birds 2015: Headline Trends for Terrestrial Birds</w:t>
      </w:r>
      <w:r>
        <w:t xml:space="preserve">. </w:t>
      </w:r>
      <w:proofErr w:type="spellStart"/>
      <w:r>
        <w:t>BirdLife</w:t>
      </w:r>
      <w:proofErr w:type="spellEnd"/>
      <w:r>
        <w:t xml:space="preserve"> Australia, Melbourne.</w:t>
      </w:r>
    </w:p>
    <w:p w14:paraId="28A6E9F0" w14:textId="6F5B7D13" w:rsidR="001073D0" w:rsidRDefault="001073D0" w:rsidP="001073D0">
      <w:proofErr w:type="spellStart"/>
      <w:r>
        <w:t>BirdLife</w:t>
      </w:r>
      <w:proofErr w:type="spellEnd"/>
      <w:r>
        <w:t xml:space="preserve"> Australia (2020) </w:t>
      </w:r>
      <w:proofErr w:type="spellStart"/>
      <w:r w:rsidRPr="00D90F54">
        <w:rPr>
          <w:i/>
          <w:iCs/>
        </w:rPr>
        <w:t>Birdata</w:t>
      </w:r>
      <w:proofErr w:type="spellEnd"/>
      <w:r w:rsidRPr="00D90F54">
        <w:rPr>
          <w:i/>
          <w:iCs/>
        </w:rPr>
        <w:t xml:space="preserve"> Platform Extract</w:t>
      </w:r>
      <w:r>
        <w:t xml:space="preserve">. </w:t>
      </w:r>
      <w:r w:rsidR="00E03F4A">
        <w:t xml:space="preserve">[Online] Accessed 13 April 2021. Available from: </w:t>
      </w:r>
      <w:hyperlink r:id="rId31" w:history="1">
        <w:r w:rsidR="00955974" w:rsidRPr="00717C7B">
          <w:rPr>
            <w:rStyle w:val="Hyperlink"/>
          </w:rPr>
          <w:t>https://birdata.birdlife.org.au/</w:t>
        </w:r>
      </w:hyperlink>
      <w:r w:rsidR="00955974">
        <w:t xml:space="preserve">. </w:t>
      </w:r>
      <w:r>
        <w:t xml:space="preserve"> </w:t>
      </w:r>
    </w:p>
    <w:p w14:paraId="14D0420B" w14:textId="1C03A552" w:rsidR="001073D0" w:rsidRDefault="001073D0" w:rsidP="001073D0">
      <w:r>
        <w:t xml:space="preserve">Canberra Ornithologists Group (2020) </w:t>
      </w:r>
      <w:r w:rsidRPr="00D90F54">
        <w:rPr>
          <w:i/>
          <w:iCs/>
        </w:rPr>
        <w:t>Diamond Firetail</w:t>
      </w:r>
      <w:r>
        <w:t xml:space="preserve">. </w:t>
      </w:r>
      <w:r w:rsidR="001B5497">
        <w:t xml:space="preserve">[Online] Accessed 13 April 2021. Available from: </w:t>
      </w:r>
      <w:hyperlink r:id="rId32" w:history="1">
        <w:r w:rsidR="00955974" w:rsidRPr="00717C7B">
          <w:rPr>
            <w:rStyle w:val="Hyperlink"/>
          </w:rPr>
          <w:t>http://canberrabirds.org.au</w:t>
        </w:r>
      </w:hyperlink>
      <w:r w:rsidR="00955974">
        <w:t xml:space="preserve">. </w:t>
      </w:r>
    </w:p>
    <w:p w14:paraId="52E9EDE4" w14:textId="0A90E5D0" w:rsidR="002E5921" w:rsidRDefault="002E5921" w:rsidP="001073D0">
      <w:r>
        <w:t xml:space="preserve">DPIE (NSW Department of Planning, Industry and Environment) (2017) </w:t>
      </w:r>
      <w:r w:rsidRPr="002E5921">
        <w:t xml:space="preserve">Diamond Firetail </w:t>
      </w:r>
      <w:r>
        <w:t>–</w:t>
      </w:r>
      <w:r w:rsidRPr="002E5921">
        <w:t xml:space="preserve"> profile</w:t>
      </w:r>
      <w:r>
        <w:t xml:space="preserve">. Accessed on: 21 July 2021. Available at: </w:t>
      </w:r>
      <w:hyperlink r:id="rId33" w:history="1">
        <w:r w:rsidRPr="00AE4325">
          <w:rPr>
            <w:rStyle w:val="Hyperlink"/>
          </w:rPr>
          <w:t>https://www.environment.nsw.gov.au/threatenedspeciesapp/profile.aspx?id=10768</w:t>
        </w:r>
      </w:hyperlink>
      <w:r>
        <w:t xml:space="preserve">. </w:t>
      </w:r>
    </w:p>
    <w:p w14:paraId="684A494C" w14:textId="5B3CC26C" w:rsidR="001073D0" w:rsidRDefault="001073D0" w:rsidP="001073D0">
      <w:r>
        <w:t>Ellis VE</w:t>
      </w:r>
      <w:r w:rsidR="001B5497">
        <w:t xml:space="preserve"> &amp; </w:t>
      </w:r>
      <w:r>
        <w:t xml:space="preserve">Taylor JE (2014) After the 2010 rains: changes in reporting rates of birds in remnant woodland vegetation in the central wheatbelt of New South Wales, Australia, from drought to post‐drought. </w:t>
      </w:r>
      <w:r w:rsidRPr="00146918">
        <w:rPr>
          <w:i/>
          <w:iCs/>
        </w:rPr>
        <w:t xml:space="preserve">Australian Zoologist </w:t>
      </w:r>
      <w:r>
        <w:t>37, 29–39.</w:t>
      </w:r>
    </w:p>
    <w:p w14:paraId="409C6022" w14:textId="004A9CCB" w:rsidR="001073D0" w:rsidRDefault="001073D0" w:rsidP="001073D0">
      <w:r>
        <w:t xml:space="preserve">Environment, Energy and Science (EES) (2019) </w:t>
      </w:r>
      <w:proofErr w:type="spellStart"/>
      <w:r w:rsidRPr="00146918">
        <w:rPr>
          <w:i/>
          <w:iCs/>
        </w:rPr>
        <w:t>Statewide</w:t>
      </w:r>
      <w:proofErr w:type="spellEnd"/>
      <w:r w:rsidRPr="00146918">
        <w:rPr>
          <w:i/>
          <w:iCs/>
        </w:rPr>
        <w:t xml:space="preserve"> Landcover and Tree Study (SLATS) for 2018</w:t>
      </w:r>
      <w:r>
        <w:t>. New South Wales Department of Planning, Industry and Environment, Sydney.</w:t>
      </w:r>
    </w:p>
    <w:p w14:paraId="6A151D7C" w14:textId="496DCBBF" w:rsidR="001073D0" w:rsidRDefault="001073D0" w:rsidP="001073D0">
      <w:proofErr w:type="spellStart"/>
      <w:r>
        <w:t>Gosper</w:t>
      </w:r>
      <w:proofErr w:type="spellEnd"/>
      <w:r>
        <w:t xml:space="preserve"> DG</w:t>
      </w:r>
      <w:r w:rsidR="001B5497">
        <w:t xml:space="preserve"> &amp; </w:t>
      </w:r>
      <w:proofErr w:type="spellStart"/>
      <w:r>
        <w:t>Gosper</w:t>
      </w:r>
      <w:proofErr w:type="spellEnd"/>
      <w:r>
        <w:t xml:space="preserve"> CR (2016) Diurnal birds in the </w:t>
      </w:r>
      <w:proofErr w:type="spellStart"/>
      <w:r>
        <w:t>Bungawalbin</w:t>
      </w:r>
      <w:proofErr w:type="spellEnd"/>
      <w:r>
        <w:t xml:space="preserve"> Creek catchment, northern New South Wales, with a focus on spatial and temporal changes in reporting rates of declining woodland birds. </w:t>
      </w:r>
      <w:r w:rsidRPr="00146918">
        <w:rPr>
          <w:i/>
          <w:iCs/>
        </w:rPr>
        <w:t>Corella</w:t>
      </w:r>
      <w:r>
        <w:t xml:space="preserve"> 40, 1–12.</w:t>
      </w:r>
    </w:p>
    <w:p w14:paraId="2817E107" w14:textId="7F60DE85" w:rsidR="001073D0" w:rsidRDefault="001073D0" w:rsidP="001073D0">
      <w:r>
        <w:t xml:space="preserve">Ford HA (2011) The causes of decline of birds of eucalypt woodlands: advances in our knowledge over the last 10 years. </w:t>
      </w:r>
      <w:r w:rsidRPr="00146918">
        <w:rPr>
          <w:i/>
          <w:iCs/>
        </w:rPr>
        <w:t>Emu</w:t>
      </w:r>
      <w:r>
        <w:t xml:space="preserve"> 111, 1–9.</w:t>
      </w:r>
    </w:p>
    <w:p w14:paraId="7A50F676" w14:textId="142E3A7A" w:rsidR="001073D0" w:rsidRDefault="001073D0" w:rsidP="001073D0">
      <w:r>
        <w:t>Higgins PJ, Peter JM</w:t>
      </w:r>
      <w:r w:rsidR="001B5497">
        <w:t xml:space="preserve"> &amp; </w:t>
      </w:r>
      <w:r>
        <w:t xml:space="preserve">Cowling SJ (Eds) (2007) </w:t>
      </w:r>
      <w:r w:rsidRPr="00146918">
        <w:rPr>
          <w:i/>
          <w:iCs/>
        </w:rPr>
        <w:t>Handbook of Australian, New Zealand and Antarctic Birds. Volume 7: Boatbill to Starlings</w:t>
      </w:r>
      <w:r>
        <w:t>. Oxford University Press, Melbourne.</w:t>
      </w:r>
    </w:p>
    <w:p w14:paraId="59675F6D" w14:textId="514FD44D" w:rsidR="001073D0" w:rsidRDefault="001073D0" w:rsidP="001073D0">
      <w:r>
        <w:t xml:space="preserve">Hodder GV (2019) </w:t>
      </w:r>
      <w:r w:rsidRPr="00146918">
        <w:rPr>
          <w:i/>
          <w:iCs/>
        </w:rPr>
        <w:t>The impact of habitat alteration on the population dynamics of a declining woodland bird in the Mount Lofty Ranges</w:t>
      </w:r>
      <w:r>
        <w:t>. PhD thesis. University of Adelaide.</w:t>
      </w:r>
    </w:p>
    <w:p w14:paraId="7BE0CE24" w14:textId="4B80DF08" w:rsidR="001073D0" w:rsidRDefault="001073D0" w:rsidP="001073D0">
      <w:r>
        <w:t>Hodder GV, Ford HA, Ehmke G, D Oliver, Tulloch AIT, Barnes MD</w:t>
      </w:r>
      <w:r w:rsidR="001B5497">
        <w:t xml:space="preserve"> &amp;</w:t>
      </w:r>
      <w:r>
        <w:t xml:space="preserve"> Garnett ST (2021) Diamond Firetail </w:t>
      </w:r>
      <w:proofErr w:type="spellStart"/>
      <w:r w:rsidRPr="001073D0">
        <w:rPr>
          <w:i/>
          <w:iCs/>
        </w:rPr>
        <w:t>Stagonopleura</w:t>
      </w:r>
      <w:proofErr w:type="spellEnd"/>
      <w:r w:rsidRPr="001073D0">
        <w:rPr>
          <w:i/>
          <w:iCs/>
        </w:rPr>
        <w:t xml:space="preserve"> guttata</w:t>
      </w:r>
      <w:r>
        <w:t xml:space="preserve">. In </w:t>
      </w:r>
      <w:r w:rsidRPr="00146918">
        <w:rPr>
          <w:i/>
          <w:iCs/>
        </w:rPr>
        <w:t>The Action Plan for Australian Birds 2020</w:t>
      </w:r>
      <w:r>
        <w:t>. (Eds ST Garnett and GB Baker)</w:t>
      </w:r>
      <w:r w:rsidR="00CD495E">
        <w:t xml:space="preserve">. </w:t>
      </w:r>
      <w:r>
        <w:t>CSIRO Publishing, Melbourne.</w:t>
      </w:r>
    </w:p>
    <w:p w14:paraId="29F92327" w14:textId="0E19E734" w:rsidR="00CD495E" w:rsidRDefault="00CD495E" w:rsidP="001073D0">
      <w:r>
        <w:t>IPCC (</w:t>
      </w:r>
      <w:r w:rsidRPr="005876EC">
        <w:t>Intergovernmental Panel on Climate Change</w:t>
      </w:r>
      <w:r>
        <w:t xml:space="preserve">) (2021) </w:t>
      </w:r>
      <w:r w:rsidRPr="005876EC">
        <w:rPr>
          <w:i/>
          <w:iCs/>
        </w:rPr>
        <w:t xml:space="preserve">Regional fact sheet </w:t>
      </w:r>
      <w:r>
        <w:rPr>
          <w:i/>
          <w:iCs/>
        </w:rPr>
        <w:t>–</w:t>
      </w:r>
      <w:r w:rsidRPr="005876EC">
        <w:rPr>
          <w:i/>
          <w:iCs/>
        </w:rPr>
        <w:t xml:space="preserve"> Australasia</w:t>
      </w:r>
      <w:r>
        <w:t xml:space="preserve">. Sixth Assessment </w:t>
      </w:r>
      <w:proofErr w:type="gramStart"/>
      <w:r>
        <w:t>Report  Working</w:t>
      </w:r>
      <w:proofErr w:type="gramEnd"/>
      <w:r>
        <w:t xml:space="preserve"> Group I – The Physical Science Basis. Accessed on: 18 August </w:t>
      </w:r>
      <w:r>
        <w:lastRenderedPageBreak/>
        <w:t xml:space="preserve">2021. Available at: </w:t>
      </w:r>
      <w:hyperlink r:id="rId34" w:history="1">
        <w:r w:rsidRPr="00717C7B">
          <w:rPr>
            <w:rStyle w:val="Hyperlink"/>
          </w:rPr>
          <w:t>https://www.ipcc.ch/report/ar6/wg1/downloads/factsheets/IPCC_AR6_WGI_Regional_Fact_Sheet_Australasia.pdf</w:t>
        </w:r>
      </w:hyperlink>
      <w:r>
        <w:t xml:space="preserve">. </w:t>
      </w:r>
    </w:p>
    <w:p w14:paraId="4B1B6F41" w14:textId="6379F8D0" w:rsidR="001073D0" w:rsidRDefault="001073D0" w:rsidP="001073D0">
      <w:proofErr w:type="spellStart"/>
      <w:r>
        <w:t>Lindenmayer</w:t>
      </w:r>
      <w:proofErr w:type="spellEnd"/>
      <w:r>
        <w:t xml:space="preserve"> DB, Lane PW, Westgate MJ, Scheele BC, Foster C, Sato C, </w:t>
      </w:r>
      <w:proofErr w:type="spellStart"/>
      <w:r>
        <w:t>Ikin</w:t>
      </w:r>
      <w:proofErr w:type="spellEnd"/>
      <w:r>
        <w:t xml:space="preserve"> K, Crane M, Michael D, </w:t>
      </w:r>
      <w:proofErr w:type="spellStart"/>
      <w:r>
        <w:t>Florance</w:t>
      </w:r>
      <w:proofErr w:type="spellEnd"/>
      <w:r>
        <w:t xml:space="preserve"> D</w:t>
      </w:r>
      <w:r w:rsidR="001B5497">
        <w:t xml:space="preserve"> &amp; </w:t>
      </w:r>
      <w:r>
        <w:t xml:space="preserve">Barton </w:t>
      </w:r>
      <w:proofErr w:type="gramStart"/>
      <w:r>
        <w:t>PS(</w:t>
      </w:r>
      <w:proofErr w:type="gramEnd"/>
      <w:r>
        <w:t xml:space="preserve">2018) Tests of predictions associated with temporal changes in Australian bird populations. </w:t>
      </w:r>
      <w:r w:rsidRPr="00146918">
        <w:rPr>
          <w:i/>
          <w:iCs/>
        </w:rPr>
        <w:t>Biological Conservation</w:t>
      </w:r>
      <w:r>
        <w:t xml:space="preserve"> 222, 212–221.</w:t>
      </w:r>
    </w:p>
    <w:p w14:paraId="474CCE5D" w14:textId="594B3873" w:rsidR="001073D0" w:rsidRDefault="001073D0" w:rsidP="001073D0">
      <w:r>
        <w:t xml:space="preserve">Olsen P, Weston M, </w:t>
      </w:r>
      <w:proofErr w:type="spellStart"/>
      <w:r>
        <w:t>Tzaros</w:t>
      </w:r>
      <w:proofErr w:type="spellEnd"/>
      <w:r>
        <w:t xml:space="preserve"> C</w:t>
      </w:r>
      <w:r w:rsidR="001B5497">
        <w:t xml:space="preserve"> &amp; </w:t>
      </w:r>
      <w:proofErr w:type="spellStart"/>
      <w:r>
        <w:t>Silcocks</w:t>
      </w:r>
      <w:proofErr w:type="spellEnd"/>
      <w:r>
        <w:t xml:space="preserve"> A (2005) The state of Australia's birds 2005. Woodlands and birds. </w:t>
      </w:r>
      <w:r w:rsidRPr="00146918">
        <w:rPr>
          <w:i/>
          <w:iCs/>
        </w:rPr>
        <w:t>Supplement to Wingspan</w:t>
      </w:r>
      <w:r>
        <w:t xml:space="preserve"> 15, 1–32.</w:t>
      </w:r>
    </w:p>
    <w:p w14:paraId="0AAAFD0B" w14:textId="35C17B67" w:rsidR="001073D0" w:rsidRDefault="001073D0" w:rsidP="001073D0">
      <w:r>
        <w:t>Paton DC, Carpenter G</w:t>
      </w:r>
      <w:r w:rsidR="001B5497">
        <w:t xml:space="preserve"> &amp; </w:t>
      </w:r>
      <w:r>
        <w:t xml:space="preserve">Sinclair RG (1994) A second bird atlas of the Adelaide region. Part 1: Changes in the distribution of birds: 1974–75 vs 1984–85. </w:t>
      </w:r>
      <w:r w:rsidRPr="00146918">
        <w:rPr>
          <w:i/>
          <w:iCs/>
        </w:rPr>
        <w:t>South Australian Ornithologist</w:t>
      </w:r>
      <w:r>
        <w:t xml:space="preserve"> 31, 151–193.</w:t>
      </w:r>
    </w:p>
    <w:p w14:paraId="13159FC8" w14:textId="067D8430" w:rsidR="001329A2" w:rsidRDefault="001073D0" w:rsidP="001073D0">
      <w:pPr>
        <w:sectPr w:rsidR="001329A2" w:rsidSect="005208A6">
          <w:pgSz w:w="11906" w:h="16838"/>
          <w:pgMar w:top="1418" w:right="1418" w:bottom="1418" w:left="1418" w:header="567" w:footer="284" w:gutter="0"/>
          <w:cols w:space="708"/>
          <w:titlePg/>
          <w:docGrid w:linePitch="360"/>
        </w:sectPr>
      </w:pPr>
      <w:r>
        <w:t xml:space="preserve">Reid JRW (1999) </w:t>
      </w:r>
      <w:r w:rsidRPr="00146918">
        <w:rPr>
          <w:i/>
          <w:iCs/>
        </w:rPr>
        <w:t xml:space="preserve">Threatened and declining birds in the New South Wales Sheep‐Wheat Belt: I. Diagnosis, </w:t>
      </w:r>
      <w:proofErr w:type="gramStart"/>
      <w:r w:rsidRPr="00146918">
        <w:rPr>
          <w:i/>
          <w:iCs/>
        </w:rPr>
        <w:t>characteristics</w:t>
      </w:r>
      <w:proofErr w:type="gramEnd"/>
      <w:r w:rsidRPr="00146918">
        <w:rPr>
          <w:i/>
          <w:iCs/>
        </w:rPr>
        <w:t xml:space="preserve"> and management</w:t>
      </w:r>
      <w:r>
        <w:t>. Consultancy report to NSW National Parks and Wildlife Service. CSIRO Sustainable Ecosystems, Canberra</w:t>
      </w:r>
      <w:r w:rsidR="001329A2">
        <w:t>.</w:t>
      </w:r>
    </w:p>
    <w:p w14:paraId="3DE7205B" w14:textId="06B0D44A"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D3573E" w:rsidRPr="00D3573E">
        <w:rPr>
          <w:i/>
          <w:iCs/>
        </w:rPr>
        <w:t>Stagonopleura</w:t>
      </w:r>
      <w:proofErr w:type="spellEnd"/>
      <w:r w:rsidR="00D3573E" w:rsidRPr="00D3573E">
        <w:rPr>
          <w:i/>
          <w:iCs/>
        </w:rPr>
        <w:t xml:space="preserve"> guttata</w:t>
      </w:r>
    </w:p>
    <w:p w14:paraId="3DF48A63" w14:textId="2AE1A40B" w:rsidR="003A06CA" w:rsidRDefault="003A06CA" w:rsidP="00933A0D">
      <w:pPr>
        <w:pStyle w:val="Heading3"/>
        <w:ind w:left="964" w:hanging="964"/>
        <w:rPr>
          <w:lang w:eastAsia="ja-JP"/>
        </w:rPr>
      </w:pPr>
      <w:r>
        <w:rPr>
          <w:lang w:eastAsia="ja-JP"/>
        </w:rPr>
        <w:t>Reason for assessment</w:t>
      </w:r>
    </w:p>
    <w:p w14:paraId="1ECBE028" w14:textId="7082F2E7" w:rsidR="004D61C9" w:rsidRDefault="00D3573E" w:rsidP="00B4649B">
      <w:pPr>
        <w:rPr>
          <w:lang w:eastAsia="ja-JP"/>
        </w:rPr>
      </w:pPr>
      <w:r>
        <w:rPr>
          <w:lang w:eastAsia="ja-JP"/>
        </w:rPr>
        <w:t>P</w:t>
      </w:r>
      <w:r w:rsidR="003A06CA" w:rsidRPr="00D3573E">
        <w:rPr>
          <w:lang w:eastAsia="ja-JP"/>
        </w:rPr>
        <w:t>rioritisation of a nomination from the TSSC</w:t>
      </w:r>
      <w:r>
        <w:rPr>
          <w:lang w:eastAsia="ja-JP"/>
        </w:rPr>
        <w:t>.</w:t>
      </w:r>
    </w:p>
    <w:p w14:paraId="4BD554CD" w14:textId="77777777" w:rsidR="003A06CA" w:rsidRDefault="003A06CA" w:rsidP="004D61C9">
      <w:pPr>
        <w:pStyle w:val="Heading3"/>
        <w:ind w:left="964" w:hanging="964"/>
        <w:rPr>
          <w:lang w:eastAsia="ja-JP"/>
        </w:rPr>
      </w:pPr>
      <w:r>
        <w:rPr>
          <w:lang w:eastAsia="ja-JP"/>
        </w:rPr>
        <w:t>Assessment of eligibility for listing</w:t>
      </w:r>
    </w:p>
    <w:p w14:paraId="32C39848" w14:textId="7FAD4FEE" w:rsidR="003A06CA" w:rsidRDefault="003A06CA" w:rsidP="003A06CA">
      <w:pPr>
        <w:rPr>
          <w:lang w:eastAsia="ja-JP"/>
        </w:rPr>
      </w:pPr>
      <w:r>
        <w:rPr>
          <w:lang w:eastAsia="ja-JP"/>
        </w:rPr>
        <w:t xml:space="preserve">This assessment uses the criteria set out in the </w:t>
      </w:r>
      <w:hyperlink r:id="rId35" w:history="1">
        <w:r w:rsidRPr="00C77CE3">
          <w:rPr>
            <w:rStyle w:val="Hyperlink"/>
            <w:lang w:eastAsia="ja-JP"/>
          </w:rPr>
          <w:t>EPBC Regulations</w:t>
        </w:r>
      </w:hyperlink>
      <w:r>
        <w:rPr>
          <w:lang w:eastAsia="ja-JP"/>
        </w:rPr>
        <w:t xml:space="preserve">. The thresholds used correspond with those in the </w:t>
      </w:r>
      <w:hyperlink r:id="rId36"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57B700CF" w14:textId="77777777" w:rsidR="0077351A" w:rsidRDefault="0077351A" w:rsidP="0077351A">
      <w:pPr>
        <w:pStyle w:val="Heading3"/>
        <w:rPr>
          <w:lang w:eastAsia="ja-JP"/>
        </w:rPr>
      </w:pPr>
      <w:r>
        <w:rPr>
          <w:lang w:eastAsia="ja-JP"/>
        </w:rPr>
        <w:t>Key assessment parameters</w:t>
      </w:r>
    </w:p>
    <w:p w14:paraId="64C65BB3" w14:textId="65A86D94" w:rsidR="007019A7" w:rsidRDefault="0077351A" w:rsidP="0077351A">
      <w:pPr>
        <w:rPr>
          <w:lang w:eastAsia="ja-JP"/>
        </w:rPr>
      </w:pPr>
      <w:r>
        <w:rPr>
          <w:lang w:eastAsia="ja-JP"/>
        </w:rPr>
        <w:t xml:space="preserve">Table </w:t>
      </w:r>
      <w:r w:rsidR="001073D0">
        <w:rPr>
          <w:lang w:eastAsia="ja-JP"/>
        </w:rPr>
        <w:t>4</w:t>
      </w:r>
      <w:r>
        <w:rPr>
          <w:lang w:eastAsia="ja-JP"/>
        </w:rPr>
        <w:t xml:space="preserve"> includes the key assessment parameters used in the assessment of eligibility for listing</w:t>
      </w:r>
      <w:r w:rsidR="00E22344">
        <w:rPr>
          <w:lang w:eastAsia="ja-JP"/>
        </w:rPr>
        <w:t xml:space="preserve"> against the criteria</w:t>
      </w:r>
      <w:r>
        <w:rPr>
          <w:lang w:eastAsia="ja-JP"/>
        </w:rPr>
        <w:t>.</w:t>
      </w:r>
    </w:p>
    <w:p w14:paraId="7AF78410" w14:textId="2C132D21" w:rsidR="0077351A" w:rsidRPr="009502E2" w:rsidRDefault="0077351A" w:rsidP="0077351A">
      <w:pPr>
        <w:pStyle w:val="Caption"/>
      </w:pPr>
      <w:r w:rsidRPr="009502E2">
        <w:t xml:space="preserve">Table </w:t>
      </w:r>
      <w:r w:rsidR="001073D0">
        <w:t>4</w:t>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146D603B" w14:textId="77777777" w:rsidTr="004479F1">
        <w:trPr>
          <w:tblHeader/>
        </w:trPr>
        <w:tc>
          <w:tcPr>
            <w:tcW w:w="1741" w:type="dxa"/>
          </w:tcPr>
          <w:p w14:paraId="073179F2" w14:textId="4E80A894" w:rsidR="00CD441B" w:rsidRPr="00D20C80" w:rsidRDefault="00CD441B" w:rsidP="00C5493E">
            <w:pPr>
              <w:pStyle w:val="TableHeading"/>
              <w:keepNext w:val="0"/>
            </w:pPr>
            <w:r w:rsidRPr="00D20C80">
              <w:t>Metric</w:t>
            </w:r>
          </w:p>
        </w:tc>
        <w:tc>
          <w:tcPr>
            <w:tcW w:w="1422" w:type="dxa"/>
          </w:tcPr>
          <w:p w14:paraId="101FF3E3" w14:textId="31E3B1DB" w:rsidR="00CD441B" w:rsidRPr="00D20C80" w:rsidRDefault="00CD441B" w:rsidP="00FD515C">
            <w:pPr>
              <w:pStyle w:val="TableHeading"/>
              <w:keepNext w:val="0"/>
            </w:pPr>
            <w:r w:rsidRPr="00D20C80">
              <w:t>Estimate</w:t>
            </w:r>
            <w:r w:rsidR="00E22344">
              <w:t xml:space="preserve"> used in the assessment</w:t>
            </w:r>
          </w:p>
        </w:tc>
        <w:tc>
          <w:tcPr>
            <w:tcW w:w="1409" w:type="dxa"/>
          </w:tcPr>
          <w:p w14:paraId="34DBFD12" w14:textId="30E67D3E" w:rsidR="00CD441B" w:rsidRPr="00D20C80" w:rsidRDefault="00CD441B" w:rsidP="00FD515C">
            <w:pPr>
              <w:pStyle w:val="TableHeading"/>
              <w:keepNext w:val="0"/>
            </w:pPr>
            <w:r w:rsidRPr="00D20C80">
              <w:t>Minimum</w:t>
            </w:r>
            <w:r w:rsidR="00E22344">
              <w:t xml:space="preserve"> plausible value</w:t>
            </w:r>
          </w:p>
        </w:tc>
        <w:tc>
          <w:tcPr>
            <w:tcW w:w="1414" w:type="dxa"/>
          </w:tcPr>
          <w:p w14:paraId="76885874" w14:textId="063D4ED0" w:rsidR="00CD441B" w:rsidRPr="00D20C80" w:rsidRDefault="00CD441B" w:rsidP="00FD515C">
            <w:pPr>
              <w:pStyle w:val="TableHeading"/>
              <w:keepNext w:val="0"/>
            </w:pPr>
            <w:r w:rsidRPr="00D20C80">
              <w:t>Maximum</w:t>
            </w:r>
            <w:r w:rsidR="00E22344">
              <w:t xml:space="preserve"> plausible value</w:t>
            </w:r>
          </w:p>
        </w:tc>
        <w:tc>
          <w:tcPr>
            <w:tcW w:w="3074" w:type="dxa"/>
          </w:tcPr>
          <w:p w14:paraId="57D4A93D" w14:textId="234BE6B7" w:rsidR="00CD441B" w:rsidRPr="00D20C80" w:rsidRDefault="00CD441B" w:rsidP="001073D0">
            <w:pPr>
              <w:pStyle w:val="TableHeading"/>
              <w:keepNext w:val="0"/>
            </w:pPr>
            <w:r w:rsidRPr="00D20C80">
              <w:t>Justification</w:t>
            </w:r>
          </w:p>
        </w:tc>
      </w:tr>
      <w:tr w:rsidR="00D37773" w14:paraId="0DA57CB2" w14:textId="77777777" w:rsidTr="004479F1">
        <w:tc>
          <w:tcPr>
            <w:tcW w:w="1741" w:type="dxa"/>
          </w:tcPr>
          <w:p w14:paraId="3CB2B08A" w14:textId="48CCCB5C" w:rsidR="00D37773" w:rsidRPr="00D20C80" w:rsidRDefault="00D37773" w:rsidP="00D3573E">
            <w:pPr>
              <w:pStyle w:val="TableHeading"/>
              <w:keepNext w:val="0"/>
              <w:rPr>
                <w:rStyle w:val="Strong"/>
                <w:b/>
                <w:bCs w:val="0"/>
              </w:rPr>
            </w:pPr>
            <w:r w:rsidRPr="00D20C80">
              <w:rPr>
                <w:rStyle w:val="Strong"/>
                <w:b/>
                <w:bCs w:val="0"/>
              </w:rPr>
              <w:t>Number of mature individuals</w:t>
            </w:r>
          </w:p>
        </w:tc>
        <w:tc>
          <w:tcPr>
            <w:tcW w:w="1422" w:type="dxa"/>
            <w:shd w:val="clear" w:color="auto" w:fill="auto"/>
          </w:tcPr>
          <w:p w14:paraId="2E2B81DD" w14:textId="38C8A928" w:rsidR="00D37773" w:rsidRDefault="00D3573E" w:rsidP="001073D0">
            <w:pPr>
              <w:pStyle w:val="TableText"/>
            </w:pPr>
            <w:r>
              <w:t>136,000</w:t>
            </w:r>
          </w:p>
        </w:tc>
        <w:tc>
          <w:tcPr>
            <w:tcW w:w="1409" w:type="dxa"/>
            <w:shd w:val="clear" w:color="auto" w:fill="auto"/>
          </w:tcPr>
          <w:p w14:paraId="5621CC0F" w14:textId="197F1708" w:rsidR="00D37773" w:rsidRDefault="00D3573E" w:rsidP="001073D0">
            <w:pPr>
              <w:pStyle w:val="TableText"/>
            </w:pPr>
            <w:r>
              <w:t>68,000</w:t>
            </w:r>
          </w:p>
        </w:tc>
        <w:tc>
          <w:tcPr>
            <w:tcW w:w="1414" w:type="dxa"/>
            <w:shd w:val="clear" w:color="auto" w:fill="auto"/>
          </w:tcPr>
          <w:p w14:paraId="699E2DF1" w14:textId="1D0DD41F" w:rsidR="00D37773" w:rsidRDefault="00D3573E" w:rsidP="001073D0">
            <w:pPr>
              <w:pStyle w:val="TableText"/>
            </w:pPr>
            <w:r>
              <w:t>272,000</w:t>
            </w:r>
          </w:p>
        </w:tc>
        <w:tc>
          <w:tcPr>
            <w:tcW w:w="3074" w:type="dxa"/>
            <w:shd w:val="clear" w:color="auto" w:fill="auto"/>
          </w:tcPr>
          <w:p w14:paraId="4ED6C002" w14:textId="3C23727D" w:rsidR="00943806" w:rsidRPr="00DD230F" w:rsidRDefault="00041178" w:rsidP="00B604B1">
            <w:pPr>
              <w:pStyle w:val="TableText"/>
            </w:pPr>
            <w:r w:rsidRPr="00DD230F">
              <w:t>The population estimate of</w:t>
            </w:r>
            <w:r w:rsidRPr="00612FD5">
              <w:rPr>
                <w:b/>
                <w:bCs/>
              </w:rPr>
              <w:t xml:space="preserve"> </w:t>
            </w:r>
            <w:r w:rsidRPr="00DD230F">
              <w:t xml:space="preserve">Diamond Firetail </w:t>
            </w:r>
            <w:r w:rsidR="00451D88" w:rsidRPr="00DD230F">
              <w:t xml:space="preserve">is </w:t>
            </w:r>
            <w:r w:rsidR="008744A4" w:rsidRPr="00DD230F">
              <w:t xml:space="preserve">the product of </w:t>
            </w:r>
            <w:r w:rsidR="00D810C5">
              <w:t xml:space="preserve">the </w:t>
            </w:r>
            <w:r w:rsidR="008744A4" w:rsidRPr="00DD230F">
              <w:t xml:space="preserve">three measures of AOO and the density recorded in 2 ha 20 min surveys (2.72±SD 2.99; </w:t>
            </w:r>
            <w:proofErr w:type="spellStart"/>
            <w:r w:rsidR="008744A4" w:rsidRPr="00DD230F">
              <w:t>BirdLife</w:t>
            </w:r>
            <w:proofErr w:type="spellEnd"/>
            <w:r w:rsidR="008744A4" w:rsidRPr="00DD230F">
              <w:t xml:space="preserve"> Australia 2020</w:t>
            </w:r>
            <w:r w:rsidR="0076597D">
              <w:t xml:space="preserve"> cited in Hodder et al. 2021</w:t>
            </w:r>
            <w:r w:rsidR="008744A4" w:rsidRPr="00DD230F">
              <w:t>). Each 2x2 km square contributing to the AOO is assumed to indicate 16 ha of suitable habitat</w:t>
            </w:r>
            <w:r w:rsidR="00451D88" w:rsidRPr="00DD230F">
              <w:t xml:space="preserve"> (S Garnett pers. comm. 9 Nov 2021)</w:t>
            </w:r>
            <w:r w:rsidR="008744A4" w:rsidRPr="00DD230F">
              <w:t xml:space="preserve">. </w:t>
            </w:r>
          </w:p>
          <w:p w14:paraId="3F80A51D" w14:textId="6482F5A5" w:rsidR="007D666A" w:rsidRPr="009C700E" w:rsidRDefault="0076597D" w:rsidP="00B604B1">
            <w:pPr>
              <w:pStyle w:val="TableText"/>
              <w:rPr>
                <w:highlight w:val="yellow"/>
              </w:rPr>
            </w:pPr>
            <w:r w:rsidRPr="0076597D">
              <w:t xml:space="preserve">The following assumptions </w:t>
            </w:r>
            <w:r w:rsidR="00D810C5">
              <w:t>were</w:t>
            </w:r>
            <w:r w:rsidRPr="0076597D">
              <w:t xml:space="preserve"> made in the estimates of the population size</w:t>
            </w:r>
            <w:r w:rsidR="009C700E">
              <w:t>:</w:t>
            </w:r>
          </w:p>
          <w:p w14:paraId="5A8790E8" w14:textId="70D0F69C" w:rsidR="00926AAB" w:rsidRDefault="00B604B1" w:rsidP="00B604B1">
            <w:pPr>
              <w:pStyle w:val="TableText"/>
            </w:pPr>
            <w:r w:rsidRPr="007D666A">
              <w:t>•</w:t>
            </w:r>
            <w:r>
              <w:t xml:space="preserve"> </w:t>
            </w:r>
            <w:r w:rsidR="00926AAB" w:rsidRPr="00926AAB">
              <w:t xml:space="preserve">The AOO, which attributes 2x2 km of habitat to any point at which the species is recorded, is based only on sightings of birds that have been entered into the </w:t>
            </w:r>
            <w:proofErr w:type="spellStart"/>
            <w:r w:rsidR="00926AAB" w:rsidRPr="00926AAB">
              <w:t>BirdLife</w:t>
            </w:r>
            <w:proofErr w:type="spellEnd"/>
            <w:r w:rsidR="00926AAB" w:rsidRPr="00926AAB">
              <w:t xml:space="preserve"> Australia database</w:t>
            </w:r>
            <w:r w:rsidR="00926AAB">
              <w:t xml:space="preserve"> </w:t>
            </w:r>
            <w:r w:rsidR="00926AAB" w:rsidRPr="00DD230F">
              <w:t>(S Garnett pers. comm. 9 Nov 2021)</w:t>
            </w:r>
            <w:r w:rsidR="00926AAB" w:rsidRPr="00926AAB">
              <w:t>. Many areas occupied by the species are likely to be unrecorded. From some, however, the birds may have disappeared since the record was made. For this reason, the AOO has wide error margins</w:t>
            </w:r>
            <w:r w:rsidR="00926AAB">
              <w:t xml:space="preserve"> </w:t>
            </w:r>
            <w:r w:rsidR="00926AAB" w:rsidRPr="00DD230F">
              <w:t>(S Garnett pers. comm. 9 Nov 2021).</w:t>
            </w:r>
          </w:p>
          <w:p w14:paraId="6AD8D9F5" w14:textId="7326589F" w:rsidR="00B604B1" w:rsidRPr="009C700E" w:rsidRDefault="00926AAB" w:rsidP="00B604B1">
            <w:pPr>
              <w:pStyle w:val="TableText"/>
            </w:pPr>
            <w:r w:rsidRPr="00926AAB">
              <w:t>•</w:t>
            </w:r>
            <w:r>
              <w:t xml:space="preserve"> </w:t>
            </w:r>
            <w:r w:rsidR="00B604B1" w:rsidRPr="009C700E">
              <w:t xml:space="preserve">The area surveyed within any part of the AOO is likely to be small relative to the total </w:t>
            </w:r>
            <w:r w:rsidR="0076597D" w:rsidRPr="009C700E">
              <w:t>2x2 km</w:t>
            </w:r>
            <w:r w:rsidR="00134F23">
              <w:t xml:space="preserve"> </w:t>
            </w:r>
            <w:r w:rsidR="00B604B1" w:rsidRPr="009C700E">
              <w:t>assumed to be occupied</w:t>
            </w:r>
            <w:r w:rsidR="005D1114">
              <w:t xml:space="preserve"> </w:t>
            </w:r>
            <w:r w:rsidR="005D1114" w:rsidRPr="00DD230F">
              <w:t>(S Garnett pers. comm. 9 Nov 2021)</w:t>
            </w:r>
            <w:r w:rsidR="00B604B1" w:rsidRPr="009C700E">
              <w:t xml:space="preserve">. In some 2x2 km AOO squares, the entire area will be suitable habitat and occupied. In others, only a fragment of occupied habitat may remain. For there to be a </w:t>
            </w:r>
            <w:r w:rsidR="00B604B1" w:rsidRPr="009C700E">
              <w:lastRenderedPageBreak/>
              <w:t>record at all must mean there is 2 ha of habitat in which the species was present in at least part at the time of the survey</w:t>
            </w:r>
            <w:r w:rsidR="005D1114">
              <w:t xml:space="preserve"> </w:t>
            </w:r>
            <w:r w:rsidR="005D1114" w:rsidRPr="00DD230F">
              <w:t>(S Garnett pers. comm. 9 Nov 2021)</w:t>
            </w:r>
            <w:r w:rsidR="00B604B1" w:rsidRPr="009C700E">
              <w:t xml:space="preserve">. The </w:t>
            </w:r>
            <w:r w:rsidR="00451D88" w:rsidRPr="009C700E">
              <w:t>population estimates</w:t>
            </w:r>
            <w:r w:rsidR="00B604B1" w:rsidRPr="009C700E">
              <w:t xml:space="preserve"> assume that double that area is available within every </w:t>
            </w:r>
            <w:r w:rsidR="0076597D" w:rsidRPr="009C700E">
              <w:t>2x2 km</w:t>
            </w:r>
            <w:r w:rsidR="00B604B1" w:rsidRPr="009C700E">
              <w:t>, which is deliberately highly conservative</w:t>
            </w:r>
            <w:r w:rsidR="00451D88" w:rsidRPr="009C700E">
              <w:t xml:space="preserve"> (S Garnett pers. comm. 9 Nov 2021).</w:t>
            </w:r>
          </w:p>
          <w:p w14:paraId="3F8167FD" w14:textId="4ACC2787" w:rsidR="00B604B1" w:rsidRPr="00DD230F" w:rsidRDefault="00B604B1" w:rsidP="00B604B1">
            <w:pPr>
              <w:pStyle w:val="TableText"/>
            </w:pPr>
            <w:r w:rsidRPr="009C700E">
              <w:t xml:space="preserve">• The density of 1.36 birds/ha (2.72 in each </w:t>
            </w:r>
            <w:proofErr w:type="gramStart"/>
            <w:r w:rsidRPr="009C700E">
              <w:t>2 ha</w:t>
            </w:r>
            <w:proofErr w:type="gramEnd"/>
            <w:r w:rsidRPr="009C700E">
              <w:t xml:space="preserve"> plot surveyed) is based on surveys in which observers have noted the number of individuals they have seen during a survey. The number of individuals recorded during surveys is highly variable (±SD 2.99)</w:t>
            </w:r>
            <w:r w:rsidR="00451D88" w:rsidRPr="009C700E">
              <w:t xml:space="preserve"> (S Garnett pers. comm. 9 Nov 2021).</w:t>
            </w:r>
          </w:p>
          <w:p w14:paraId="7455763A" w14:textId="5101FCEF" w:rsidR="00D37773" w:rsidRDefault="00963AB8" w:rsidP="00041178">
            <w:pPr>
              <w:pStyle w:val="TableText"/>
            </w:pPr>
            <w:r w:rsidRPr="00DD230F">
              <w:t>The reliability of this</w:t>
            </w:r>
            <w:r w:rsidR="00451D88" w:rsidRPr="00DD230F">
              <w:t xml:space="preserve"> population</w:t>
            </w:r>
            <w:r w:rsidRPr="00DD230F">
              <w:t xml:space="preserve"> estimate is </w:t>
            </w:r>
            <w:r w:rsidR="00B45939">
              <w:t xml:space="preserve">very </w:t>
            </w:r>
            <w:r w:rsidRPr="00DD230F">
              <w:t>low</w:t>
            </w:r>
            <w:r w:rsidR="00451D88" w:rsidRPr="00DD230F">
              <w:t xml:space="preserve"> (S Garnett pers. comm. 9 Nov 2021)</w:t>
            </w:r>
            <w:r w:rsidRPr="00DD230F">
              <w:t>.</w:t>
            </w:r>
          </w:p>
        </w:tc>
      </w:tr>
      <w:tr w:rsidR="00D37773" w14:paraId="491102AF" w14:textId="77777777" w:rsidTr="004479F1">
        <w:tc>
          <w:tcPr>
            <w:tcW w:w="1741" w:type="dxa"/>
          </w:tcPr>
          <w:p w14:paraId="20AD6240" w14:textId="77777777" w:rsidR="00D37773" w:rsidRPr="00D20C80" w:rsidRDefault="00D37773" w:rsidP="002E31FA">
            <w:pPr>
              <w:pStyle w:val="TableHeading"/>
              <w:keepNext w:val="0"/>
              <w:rPr>
                <w:rStyle w:val="Strong"/>
                <w:b/>
                <w:bCs w:val="0"/>
              </w:rPr>
            </w:pPr>
            <w:r w:rsidRPr="00D20C80">
              <w:rPr>
                <w:rStyle w:val="Strong"/>
                <w:b/>
                <w:bCs w:val="0"/>
              </w:rPr>
              <w:lastRenderedPageBreak/>
              <w:t>Trend</w:t>
            </w:r>
          </w:p>
        </w:tc>
        <w:tc>
          <w:tcPr>
            <w:tcW w:w="4245" w:type="dxa"/>
            <w:gridSpan w:val="3"/>
            <w:shd w:val="clear" w:color="auto" w:fill="auto"/>
          </w:tcPr>
          <w:p w14:paraId="145F1D8B" w14:textId="757C6C09" w:rsidR="00D37773" w:rsidRDefault="00D3573E" w:rsidP="001073D0">
            <w:pPr>
              <w:pStyle w:val="TableText"/>
            </w:pPr>
            <w:r>
              <w:t>Declining</w:t>
            </w:r>
          </w:p>
        </w:tc>
        <w:tc>
          <w:tcPr>
            <w:tcW w:w="3074" w:type="dxa"/>
            <w:shd w:val="clear" w:color="auto" w:fill="auto"/>
          </w:tcPr>
          <w:p w14:paraId="4D8C64D1" w14:textId="77777777" w:rsidR="005D1114" w:rsidRDefault="00F04355" w:rsidP="00F04355">
            <w:pPr>
              <w:pStyle w:val="TableText"/>
            </w:pPr>
            <w:r>
              <w:t>Local experience of declines, particularly in the south and east and now evident in reporting rate trends (</w:t>
            </w:r>
            <w:r w:rsidR="00041178">
              <w:t>Hodder et al. 2021)</w:t>
            </w:r>
            <w:r>
              <w:t>.</w:t>
            </w:r>
          </w:p>
          <w:p w14:paraId="1FFD0762" w14:textId="1E047B75" w:rsidR="00D37773" w:rsidRDefault="00401C85" w:rsidP="00F04355">
            <w:pPr>
              <w:pStyle w:val="TableText"/>
            </w:pPr>
            <w:r>
              <w:t>The reliability of this estimate is high as there</w:t>
            </w:r>
            <w:r w:rsidR="00F04355">
              <w:t xml:space="preserve"> is a high probability of declines continuing</w:t>
            </w:r>
            <w:r w:rsidR="00963AB8">
              <w:t xml:space="preserve"> </w:t>
            </w:r>
            <w:r w:rsidR="00F04355">
              <w:t>(Hodder et al. 2021).</w:t>
            </w:r>
          </w:p>
        </w:tc>
      </w:tr>
      <w:tr w:rsidR="00D37773" w14:paraId="24001EB2" w14:textId="77777777" w:rsidTr="004479F1">
        <w:tc>
          <w:tcPr>
            <w:tcW w:w="1741" w:type="dxa"/>
          </w:tcPr>
          <w:p w14:paraId="005ACCEE"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36746508" w14:textId="7D9816C6" w:rsidR="00D37773" w:rsidRDefault="00D3573E" w:rsidP="001073D0">
            <w:pPr>
              <w:pStyle w:val="TableText"/>
            </w:pPr>
            <w:r>
              <w:t>2.2</w:t>
            </w:r>
          </w:p>
        </w:tc>
        <w:tc>
          <w:tcPr>
            <w:tcW w:w="1409" w:type="dxa"/>
            <w:shd w:val="clear" w:color="auto" w:fill="auto"/>
          </w:tcPr>
          <w:p w14:paraId="2A54C1F2" w14:textId="2DC1E392" w:rsidR="00D37773" w:rsidRDefault="00D3573E" w:rsidP="001073D0">
            <w:pPr>
              <w:pStyle w:val="TableText"/>
            </w:pPr>
            <w:r>
              <w:t>1.7</w:t>
            </w:r>
          </w:p>
        </w:tc>
        <w:tc>
          <w:tcPr>
            <w:tcW w:w="1414" w:type="dxa"/>
            <w:shd w:val="clear" w:color="auto" w:fill="auto"/>
          </w:tcPr>
          <w:p w14:paraId="10A12135" w14:textId="2280171E" w:rsidR="00D37773" w:rsidRDefault="00D3573E" w:rsidP="001073D0">
            <w:pPr>
              <w:pStyle w:val="TableText"/>
            </w:pPr>
            <w:r>
              <w:t>2.8</w:t>
            </w:r>
          </w:p>
        </w:tc>
        <w:tc>
          <w:tcPr>
            <w:tcW w:w="3074" w:type="dxa"/>
            <w:shd w:val="clear" w:color="auto" w:fill="auto"/>
          </w:tcPr>
          <w:p w14:paraId="10839BE3" w14:textId="35608F42" w:rsidR="00D37773" w:rsidRDefault="00D3573E" w:rsidP="001073D0">
            <w:pPr>
              <w:pStyle w:val="TableText"/>
            </w:pPr>
            <w:r>
              <w:t>Bird et al. (2020)</w:t>
            </w:r>
            <w:r w:rsidR="002B6291">
              <w:t>. The reliability of this estimate is low.</w:t>
            </w:r>
          </w:p>
        </w:tc>
      </w:tr>
      <w:tr w:rsidR="00CD441B" w14:paraId="6C8B1E3C" w14:textId="77777777" w:rsidTr="004479F1">
        <w:tc>
          <w:tcPr>
            <w:tcW w:w="1741" w:type="dxa"/>
          </w:tcPr>
          <w:p w14:paraId="0EA0F9EC" w14:textId="73A27644" w:rsidR="00CD441B" w:rsidRPr="00D3573E" w:rsidRDefault="00CD441B" w:rsidP="00D3573E">
            <w:pPr>
              <w:pStyle w:val="TableHeading"/>
              <w:keepNext w:val="0"/>
              <w:rPr>
                <w:rStyle w:val="Strong"/>
                <w:b/>
                <w:sz w:val="22"/>
              </w:rPr>
            </w:pPr>
            <w:r w:rsidRPr="00D20C80">
              <w:rPr>
                <w:rStyle w:val="Strong"/>
                <w:b/>
                <w:bCs w:val="0"/>
              </w:rPr>
              <w:t>Extent of occurrence</w:t>
            </w:r>
          </w:p>
        </w:tc>
        <w:tc>
          <w:tcPr>
            <w:tcW w:w="1422" w:type="dxa"/>
            <w:shd w:val="clear" w:color="auto" w:fill="auto"/>
          </w:tcPr>
          <w:p w14:paraId="3B38010C" w14:textId="3B2B1D7B" w:rsidR="00CD441B" w:rsidRDefault="00041178" w:rsidP="001073D0">
            <w:pPr>
              <w:pStyle w:val="TableText"/>
            </w:pPr>
            <w:r>
              <w:t>1,500,000 km</w:t>
            </w:r>
            <w:r w:rsidRPr="00041178">
              <w:rPr>
                <w:vertAlign w:val="superscript"/>
              </w:rPr>
              <w:t>2</w:t>
            </w:r>
          </w:p>
        </w:tc>
        <w:tc>
          <w:tcPr>
            <w:tcW w:w="1409" w:type="dxa"/>
            <w:shd w:val="clear" w:color="auto" w:fill="auto"/>
          </w:tcPr>
          <w:p w14:paraId="6E8CF077" w14:textId="2A64F9D6" w:rsidR="00CD441B" w:rsidRDefault="00041178" w:rsidP="001073D0">
            <w:pPr>
              <w:pStyle w:val="TableText"/>
            </w:pPr>
            <w:r>
              <w:t>1,400,000 km</w:t>
            </w:r>
            <w:r w:rsidRPr="00041178">
              <w:rPr>
                <w:vertAlign w:val="superscript"/>
              </w:rPr>
              <w:t>2</w:t>
            </w:r>
          </w:p>
        </w:tc>
        <w:tc>
          <w:tcPr>
            <w:tcW w:w="1414" w:type="dxa"/>
            <w:shd w:val="clear" w:color="auto" w:fill="auto"/>
          </w:tcPr>
          <w:p w14:paraId="2FF1ED88" w14:textId="6FA84CD9" w:rsidR="00CD441B" w:rsidRDefault="00041178" w:rsidP="001073D0">
            <w:pPr>
              <w:pStyle w:val="TableText"/>
            </w:pPr>
            <w:r>
              <w:t>1,600,000 km</w:t>
            </w:r>
            <w:r w:rsidRPr="00041178">
              <w:rPr>
                <w:vertAlign w:val="superscript"/>
              </w:rPr>
              <w:t>2</w:t>
            </w:r>
          </w:p>
        </w:tc>
        <w:tc>
          <w:tcPr>
            <w:tcW w:w="3074" w:type="dxa"/>
            <w:shd w:val="clear" w:color="auto" w:fill="auto"/>
          </w:tcPr>
          <w:p w14:paraId="77F0D0E7" w14:textId="70BB4AB5" w:rsidR="00CD441B" w:rsidRDefault="00041178" w:rsidP="001073D0">
            <w:pPr>
              <w:pStyle w:val="TableText"/>
            </w:pPr>
            <w:r>
              <w:t>Hodder et al. (2021)</w:t>
            </w:r>
            <w:r w:rsidR="00792E71">
              <w:t>. The reliability of this estimate is high.</w:t>
            </w:r>
          </w:p>
        </w:tc>
      </w:tr>
      <w:tr w:rsidR="00CD441B" w14:paraId="140A329E" w14:textId="77777777" w:rsidTr="004479F1">
        <w:tc>
          <w:tcPr>
            <w:tcW w:w="1741" w:type="dxa"/>
          </w:tcPr>
          <w:p w14:paraId="3013C86D"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D43CEDF" w14:textId="78504A0D" w:rsidR="00CD441B" w:rsidRDefault="00041178" w:rsidP="001073D0">
            <w:pPr>
              <w:pStyle w:val="TableText"/>
            </w:pPr>
            <w:r>
              <w:t>Contracting</w:t>
            </w:r>
          </w:p>
        </w:tc>
        <w:tc>
          <w:tcPr>
            <w:tcW w:w="3074" w:type="dxa"/>
            <w:shd w:val="clear" w:color="auto" w:fill="auto"/>
          </w:tcPr>
          <w:p w14:paraId="6A492B2C" w14:textId="624FE25C" w:rsidR="00CD441B" w:rsidRDefault="00041178" w:rsidP="001073D0">
            <w:pPr>
              <w:pStyle w:val="TableText"/>
            </w:pPr>
            <w:r>
              <w:t>Hodder et al. (2021)</w:t>
            </w:r>
            <w:r w:rsidR="00792E71">
              <w:t>. The reliability of this estimate is high.</w:t>
            </w:r>
          </w:p>
        </w:tc>
      </w:tr>
      <w:tr w:rsidR="00CD441B" w14:paraId="62A887AF" w14:textId="77777777" w:rsidTr="004479F1">
        <w:tc>
          <w:tcPr>
            <w:tcW w:w="1741" w:type="dxa"/>
          </w:tcPr>
          <w:p w14:paraId="72A1163A" w14:textId="3A9FF37B" w:rsidR="00CD441B" w:rsidRPr="00D3573E" w:rsidRDefault="00CD441B" w:rsidP="00D3573E">
            <w:pPr>
              <w:pStyle w:val="TableHeading"/>
              <w:keepNext w:val="0"/>
              <w:rPr>
                <w:rStyle w:val="Strong"/>
                <w:b/>
                <w:sz w:val="22"/>
              </w:rPr>
            </w:pPr>
            <w:r w:rsidRPr="00D20C80">
              <w:rPr>
                <w:rStyle w:val="Strong"/>
                <w:b/>
                <w:bCs w:val="0"/>
              </w:rPr>
              <w:t>Area of Occupancy</w:t>
            </w:r>
          </w:p>
        </w:tc>
        <w:tc>
          <w:tcPr>
            <w:tcW w:w="1422" w:type="dxa"/>
            <w:shd w:val="clear" w:color="auto" w:fill="auto"/>
          </w:tcPr>
          <w:p w14:paraId="28DEB32C" w14:textId="37EACD8B" w:rsidR="00CD441B" w:rsidRDefault="00041178" w:rsidP="001073D0">
            <w:pPr>
              <w:pStyle w:val="TableText"/>
            </w:pPr>
            <w:r>
              <w:t>25,000 km</w:t>
            </w:r>
            <w:r w:rsidRPr="00041178">
              <w:rPr>
                <w:vertAlign w:val="superscript"/>
              </w:rPr>
              <w:t>2</w:t>
            </w:r>
          </w:p>
        </w:tc>
        <w:tc>
          <w:tcPr>
            <w:tcW w:w="1409" w:type="dxa"/>
            <w:shd w:val="clear" w:color="auto" w:fill="auto"/>
          </w:tcPr>
          <w:p w14:paraId="028C5B75" w14:textId="73FEA548" w:rsidR="00CD441B" w:rsidRDefault="00041178" w:rsidP="001073D0">
            <w:pPr>
              <w:pStyle w:val="TableText"/>
            </w:pPr>
            <w:r>
              <w:t>12,500 km</w:t>
            </w:r>
            <w:r w:rsidRPr="00041178">
              <w:rPr>
                <w:vertAlign w:val="superscript"/>
              </w:rPr>
              <w:t>2</w:t>
            </w:r>
          </w:p>
        </w:tc>
        <w:tc>
          <w:tcPr>
            <w:tcW w:w="1414" w:type="dxa"/>
            <w:shd w:val="clear" w:color="auto" w:fill="auto"/>
          </w:tcPr>
          <w:p w14:paraId="5D9D3B05" w14:textId="5AD7708D" w:rsidR="00CD441B" w:rsidRDefault="00041178" w:rsidP="001073D0">
            <w:pPr>
              <w:pStyle w:val="TableText"/>
            </w:pPr>
            <w:r>
              <w:t>50,000 km</w:t>
            </w:r>
            <w:r w:rsidRPr="00041178">
              <w:rPr>
                <w:vertAlign w:val="superscript"/>
              </w:rPr>
              <w:t>2</w:t>
            </w:r>
          </w:p>
        </w:tc>
        <w:tc>
          <w:tcPr>
            <w:tcW w:w="3074" w:type="dxa"/>
            <w:shd w:val="clear" w:color="auto" w:fill="auto"/>
          </w:tcPr>
          <w:p w14:paraId="0E5EB73E" w14:textId="7D9F23BB" w:rsidR="000A6239" w:rsidRDefault="00AF18F7" w:rsidP="00E04F60">
            <w:pPr>
              <w:pStyle w:val="TableText"/>
            </w:pPr>
            <w:r w:rsidRPr="00AF18F7">
              <w:t>The minimum AOO is the number of 2x2 km squares within they have been recorded since 1990, although they may have been extirpated from some areas</w:t>
            </w:r>
            <w:r>
              <w:t xml:space="preserve"> (</w:t>
            </w:r>
            <w:r w:rsidR="00041178">
              <w:t>Hodder et al. 2021)</w:t>
            </w:r>
            <w:r>
              <w:t>.</w:t>
            </w:r>
            <w:r w:rsidR="00792E71">
              <w:t xml:space="preserve"> </w:t>
            </w:r>
            <w:r w:rsidR="00F27321">
              <w:t>The reliability of this estimate is low</w:t>
            </w:r>
            <w:r w:rsidR="00E04F60">
              <w:t xml:space="preserve"> (Hodder et al. 2021). </w:t>
            </w:r>
            <w:r w:rsidR="00F27321">
              <w:t xml:space="preserve"> </w:t>
            </w:r>
          </w:p>
        </w:tc>
      </w:tr>
      <w:tr w:rsidR="00CD441B" w14:paraId="6DBA56B3" w14:textId="77777777" w:rsidTr="004479F1">
        <w:tc>
          <w:tcPr>
            <w:tcW w:w="1741" w:type="dxa"/>
          </w:tcPr>
          <w:p w14:paraId="766A2D52"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7B5DBE5" w14:textId="3D018BA7" w:rsidR="00CD441B" w:rsidRDefault="00041178" w:rsidP="001073D0">
            <w:pPr>
              <w:pStyle w:val="TableText"/>
            </w:pPr>
            <w:r>
              <w:t>Contracting</w:t>
            </w:r>
          </w:p>
        </w:tc>
        <w:tc>
          <w:tcPr>
            <w:tcW w:w="3074" w:type="dxa"/>
            <w:shd w:val="clear" w:color="auto" w:fill="auto"/>
          </w:tcPr>
          <w:p w14:paraId="4CC647B9" w14:textId="37E06735" w:rsidR="00CD441B" w:rsidRDefault="00041178" w:rsidP="001073D0">
            <w:pPr>
              <w:pStyle w:val="TableText"/>
            </w:pPr>
            <w:r>
              <w:t>Hodder et al. (2021)</w:t>
            </w:r>
            <w:r w:rsidR="00792E71">
              <w:t>. The reliability of this estimate is high.</w:t>
            </w:r>
          </w:p>
        </w:tc>
      </w:tr>
      <w:tr w:rsidR="00CD441B" w14:paraId="1A98B913" w14:textId="77777777" w:rsidTr="004479F1">
        <w:tc>
          <w:tcPr>
            <w:tcW w:w="1741" w:type="dxa"/>
          </w:tcPr>
          <w:p w14:paraId="1034E95A" w14:textId="254C9B5D" w:rsidR="00CD441B" w:rsidRPr="00D3573E" w:rsidRDefault="00CD441B" w:rsidP="00D3573E">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58E8D0E6" w14:textId="7F576A85" w:rsidR="00CD441B" w:rsidRDefault="00041178" w:rsidP="001073D0">
            <w:pPr>
              <w:pStyle w:val="TableText"/>
            </w:pPr>
            <w:r>
              <w:t>3</w:t>
            </w:r>
          </w:p>
        </w:tc>
        <w:tc>
          <w:tcPr>
            <w:tcW w:w="1409" w:type="dxa"/>
            <w:shd w:val="clear" w:color="auto" w:fill="auto"/>
          </w:tcPr>
          <w:p w14:paraId="76A2F206" w14:textId="579E5CE3" w:rsidR="00CD441B" w:rsidRDefault="00041178" w:rsidP="001073D0">
            <w:pPr>
              <w:pStyle w:val="TableText"/>
            </w:pPr>
            <w:r>
              <w:t>2</w:t>
            </w:r>
          </w:p>
        </w:tc>
        <w:tc>
          <w:tcPr>
            <w:tcW w:w="1414" w:type="dxa"/>
            <w:shd w:val="clear" w:color="auto" w:fill="auto"/>
          </w:tcPr>
          <w:p w14:paraId="642BD4A7" w14:textId="5BF8AAF6" w:rsidR="00CD441B" w:rsidRDefault="00041178" w:rsidP="001073D0">
            <w:pPr>
              <w:pStyle w:val="TableText"/>
            </w:pPr>
            <w:r>
              <w:t>100</w:t>
            </w:r>
          </w:p>
        </w:tc>
        <w:tc>
          <w:tcPr>
            <w:tcW w:w="3074" w:type="dxa"/>
            <w:shd w:val="clear" w:color="auto" w:fill="auto"/>
          </w:tcPr>
          <w:p w14:paraId="45DF1796" w14:textId="3B5653C9" w:rsidR="00CD441B" w:rsidRDefault="00F04355" w:rsidP="00F04355">
            <w:pPr>
              <w:pStyle w:val="TableText"/>
            </w:pPr>
            <w:r>
              <w:t xml:space="preserve">The species appears to have been separated into three isolated subpopulations (Eyre Peninsula, Mt Lofty to Southern Flinders Ranges, and the south‐east) (Higgins et al. 2007) </w:t>
            </w:r>
            <w:r w:rsidRPr="00F04355">
              <w:t>with few records from a fourth (Yorke Peninsula) in the last decade</w:t>
            </w:r>
            <w:r>
              <w:t xml:space="preserve"> (</w:t>
            </w:r>
            <w:r w:rsidR="00041178">
              <w:t>Hodder et al. 2021)</w:t>
            </w:r>
            <w:r w:rsidR="00792E71">
              <w:t>. The reliability of this estimate is low</w:t>
            </w:r>
            <w:r w:rsidR="00E04F60">
              <w:t>.</w:t>
            </w:r>
          </w:p>
        </w:tc>
      </w:tr>
      <w:tr w:rsidR="00CD441B" w14:paraId="1EBAC238" w14:textId="77777777" w:rsidTr="004479F1">
        <w:tc>
          <w:tcPr>
            <w:tcW w:w="1741" w:type="dxa"/>
          </w:tcPr>
          <w:p w14:paraId="7000DC3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8EFF329" w14:textId="2975676C" w:rsidR="00CD441B" w:rsidRDefault="00041178" w:rsidP="001073D0">
            <w:pPr>
              <w:pStyle w:val="TableText"/>
            </w:pPr>
            <w:r>
              <w:t>Declining</w:t>
            </w:r>
          </w:p>
        </w:tc>
        <w:tc>
          <w:tcPr>
            <w:tcW w:w="3074" w:type="dxa"/>
            <w:shd w:val="clear" w:color="auto" w:fill="auto"/>
          </w:tcPr>
          <w:p w14:paraId="5A483233" w14:textId="2075214B" w:rsidR="00CD441B" w:rsidRPr="001B7D1F" w:rsidRDefault="00041178" w:rsidP="001073D0">
            <w:pPr>
              <w:pStyle w:val="TableText"/>
            </w:pPr>
            <w:r>
              <w:t>Hodder et al. (2021)</w:t>
            </w:r>
            <w:r w:rsidR="009C3511">
              <w:t>. The reliability of this estimate is high.</w:t>
            </w:r>
          </w:p>
        </w:tc>
      </w:tr>
      <w:tr w:rsidR="00CD441B" w14:paraId="200FDA89" w14:textId="77777777" w:rsidTr="004479F1">
        <w:tc>
          <w:tcPr>
            <w:tcW w:w="1741" w:type="dxa"/>
          </w:tcPr>
          <w:p w14:paraId="55B6D8F5" w14:textId="06F104EC" w:rsidR="00CD441B" w:rsidRPr="00D3573E" w:rsidRDefault="00CD441B" w:rsidP="00D3573E">
            <w:pPr>
              <w:pStyle w:val="TableHeading"/>
              <w:keepNext w:val="0"/>
              <w:rPr>
                <w:rStyle w:val="Strong"/>
                <w:b/>
                <w:sz w:val="22"/>
              </w:rPr>
            </w:pPr>
            <w:r w:rsidRPr="00D20C80">
              <w:rPr>
                <w:rStyle w:val="Strong"/>
                <w:b/>
                <w:bCs w:val="0"/>
              </w:rPr>
              <w:lastRenderedPageBreak/>
              <w:t>Basis of assessment of subpopulation number</w:t>
            </w:r>
          </w:p>
        </w:tc>
        <w:tc>
          <w:tcPr>
            <w:tcW w:w="7319" w:type="dxa"/>
            <w:gridSpan w:val="4"/>
            <w:shd w:val="clear" w:color="auto" w:fill="auto"/>
          </w:tcPr>
          <w:p w14:paraId="49FD937C" w14:textId="105B633F" w:rsidR="00CD441B" w:rsidRDefault="00041178" w:rsidP="001073D0">
            <w:pPr>
              <w:pStyle w:val="TableText"/>
            </w:pPr>
            <w:r w:rsidRPr="00041178">
              <w:t xml:space="preserve">At least two isolated subpopulations in South Australia, </w:t>
            </w:r>
            <w:r w:rsidR="00F04355">
              <w:t>however</w:t>
            </w:r>
            <w:r w:rsidR="00520075">
              <w:t xml:space="preserve"> due to the </w:t>
            </w:r>
            <w:r w:rsidR="00520075" w:rsidRPr="00520075">
              <w:t xml:space="preserve">fragmentation of woodland habitat and low dispersal distances there are </w:t>
            </w:r>
            <w:r w:rsidRPr="00041178">
              <w:t>there may be many other</w:t>
            </w:r>
            <w:r w:rsidR="00520075">
              <w:t xml:space="preserve"> subpopulations of Diamond Firetail </w:t>
            </w:r>
            <w:r>
              <w:t>(Hodder et al. 2021).</w:t>
            </w:r>
          </w:p>
        </w:tc>
      </w:tr>
      <w:tr w:rsidR="00CD441B" w14:paraId="41242664" w14:textId="77777777" w:rsidTr="004479F1">
        <w:tc>
          <w:tcPr>
            <w:tcW w:w="1741" w:type="dxa"/>
          </w:tcPr>
          <w:p w14:paraId="6B96B853" w14:textId="675685CF" w:rsidR="00CD441B" w:rsidRPr="00D3573E" w:rsidRDefault="00CD441B" w:rsidP="00D3573E">
            <w:pPr>
              <w:pStyle w:val="TableHeading"/>
              <w:keepNext w:val="0"/>
              <w:rPr>
                <w:rStyle w:val="Strong"/>
                <w:b/>
                <w:sz w:val="22"/>
              </w:rPr>
            </w:pPr>
            <w:r w:rsidRPr="00D20C80">
              <w:rPr>
                <w:rStyle w:val="Strong"/>
                <w:b/>
                <w:bCs w:val="0"/>
              </w:rPr>
              <w:t>No. locations</w:t>
            </w:r>
          </w:p>
        </w:tc>
        <w:tc>
          <w:tcPr>
            <w:tcW w:w="1422" w:type="dxa"/>
            <w:shd w:val="clear" w:color="auto" w:fill="auto"/>
          </w:tcPr>
          <w:p w14:paraId="102A2D9C" w14:textId="176538F2" w:rsidR="00CD441B" w:rsidRDefault="00041178" w:rsidP="001073D0">
            <w:pPr>
              <w:pStyle w:val="TableText"/>
            </w:pPr>
            <w:r>
              <w:t>&gt;10</w:t>
            </w:r>
          </w:p>
        </w:tc>
        <w:tc>
          <w:tcPr>
            <w:tcW w:w="1409" w:type="dxa"/>
            <w:shd w:val="clear" w:color="auto" w:fill="auto"/>
          </w:tcPr>
          <w:p w14:paraId="3D246B0D" w14:textId="77777777" w:rsidR="00CD441B" w:rsidRDefault="00CD441B" w:rsidP="001073D0">
            <w:pPr>
              <w:pStyle w:val="TableText"/>
            </w:pPr>
          </w:p>
        </w:tc>
        <w:tc>
          <w:tcPr>
            <w:tcW w:w="1414" w:type="dxa"/>
            <w:shd w:val="clear" w:color="auto" w:fill="auto"/>
          </w:tcPr>
          <w:p w14:paraId="392BA019" w14:textId="77777777" w:rsidR="00CD441B" w:rsidRDefault="00CD441B" w:rsidP="001073D0">
            <w:pPr>
              <w:pStyle w:val="TableText"/>
            </w:pPr>
          </w:p>
        </w:tc>
        <w:tc>
          <w:tcPr>
            <w:tcW w:w="3074" w:type="dxa"/>
            <w:shd w:val="clear" w:color="auto" w:fill="auto"/>
          </w:tcPr>
          <w:p w14:paraId="5F2247AA" w14:textId="62AB4A46" w:rsidR="00CD441B" w:rsidRDefault="00041178" w:rsidP="001073D0">
            <w:pPr>
              <w:pStyle w:val="TableText"/>
            </w:pPr>
            <w:r>
              <w:t>Hodder et al. (2021)</w:t>
            </w:r>
          </w:p>
        </w:tc>
      </w:tr>
      <w:tr w:rsidR="00CD441B" w14:paraId="23363499" w14:textId="77777777" w:rsidTr="004479F1">
        <w:tc>
          <w:tcPr>
            <w:tcW w:w="1741" w:type="dxa"/>
          </w:tcPr>
          <w:p w14:paraId="22E197CE"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001856FD" w14:textId="48942BB8" w:rsidR="00CD441B" w:rsidRDefault="00041178" w:rsidP="001073D0">
            <w:pPr>
              <w:pStyle w:val="TableText"/>
            </w:pPr>
            <w:r>
              <w:t>Not calculated</w:t>
            </w:r>
          </w:p>
        </w:tc>
        <w:tc>
          <w:tcPr>
            <w:tcW w:w="3074" w:type="dxa"/>
            <w:shd w:val="clear" w:color="auto" w:fill="auto"/>
          </w:tcPr>
          <w:p w14:paraId="33216541" w14:textId="123568B8" w:rsidR="00CD441B" w:rsidRDefault="00041178" w:rsidP="001073D0">
            <w:pPr>
              <w:pStyle w:val="TableText"/>
            </w:pPr>
            <w:r>
              <w:t>Hodder et al. (2021)</w:t>
            </w:r>
          </w:p>
        </w:tc>
      </w:tr>
      <w:tr w:rsidR="00CD441B" w14:paraId="14CEF631" w14:textId="77777777" w:rsidTr="004479F1">
        <w:tc>
          <w:tcPr>
            <w:tcW w:w="1741" w:type="dxa"/>
          </w:tcPr>
          <w:p w14:paraId="718C9E15" w14:textId="36831937" w:rsidR="00CD441B" w:rsidRPr="00D20C80" w:rsidRDefault="00CD441B" w:rsidP="00FD515C">
            <w:pPr>
              <w:pStyle w:val="TableHeading"/>
              <w:keepNext w:val="0"/>
              <w:rPr>
                <w:rStyle w:val="Strong"/>
                <w:b/>
                <w:sz w:val="22"/>
              </w:rPr>
            </w:pPr>
            <w:bookmarkStart w:id="11" w:name="_Hlk51878889"/>
            <w:r w:rsidRPr="00D20C80">
              <w:rPr>
                <w:rStyle w:val="Strong"/>
                <w:b/>
                <w:bCs w:val="0"/>
              </w:rPr>
              <w:t>Basis of assessment of location number</w:t>
            </w:r>
            <w:bookmarkEnd w:id="11"/>
          </w:p>
        </w:tc>
        <w:tc>
          <w:tcPr>
            <w:tcW w:w="7319" w:type="dxa"/>
            <w:gridSpan w:val="4"/>
            <w:shd w:val="clear" w:color="auto" w:fill="auto"/>
          </w:tcPr>
          <w:p w14:paraId="02CD309F" w14:textId="79DF82E1" w:rsidR="00CD441B" w:rsidRDefault="00041178" w:rsidP="00041178">
            <w:pPr>
              <w:pStyle w:val="TableText"/>
            </w:pPr>
            <w:r>
              <w:t xml:space="preserve">Not calculated: the spatial nature of the threats, even though stochastic in space and time, is such that there are &gt;10 geographically or ecologically distinct areas </w:t>
            </w:r>
            <w:proofErr w:type="gramStart"/>
            <w:r>
              <w:t>were</w:t>
            </w:r>
            <w:proofErr w:type="gramEnd"/>
            <w:r>
              <w:t xml:space="preserve"> a single threatening event could affect all individuals of the taxon present within a period of three years (Hodder et al. 2021).</w:t>
            </w:r>
          </w:p>
        </w:tc>
      </w:tr>
      <w:tr w:rsidR="00D37773" w14:paraId="32B3A1D5" w14:textId="77777777" w:rsidTr="004479F1">
        <w:tc>
          <w:tcPr>
            <w:tcW w:w="1741" w:type="dxa"/>
          </w:tcPr>
          <w:p w14:paraId="74AF67A4" w14:textId="7D583940" w:rsidR="00D37773" w:rsidRPr="00D20C80" w:rsidRDefault="00D37773" w:rsidP="00D3573E">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6EDD1676" w14:textId="7C522391" w:rsidR="00D37773" w:rsidRDefault="00041178" w:rsidP="001073D0">
            <w:pPr>
              <w:pStyle w:val="TableText"/>
            </w:pPr>
            <w:r w:rsidRPr="00041178">
              <w:t>Not severely fragmented</w:t>
            </w:r>
            <w:r>
              <w:t xml:space="preserve"> (Hodder et al. 2021).</w:t>
            </w:r>
          </w:p>
        </w:tc>
      </w:tr>
      <w:tr w:rsidR="00CD441B" w14:paraId="235B8154" w14:textId="77777777" w:rsidTr="004479F1">
        <w:tc>
          <w:tcPr>
            <w:tcW w:w="1741" w:type="dxa"/>
          </w:tcPr>
          <w:p w14:paraId="1886014E" w14:textId="3C995166" w:rsidR="00CD441B" w:rsidRPr="00D3573E" w:rsidRDefault="00CD441B" w:rsidP="00D3573E">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25EA2A0A" w14:textId="196917B8" w:rsidR="00CD441B" w:rsidRDefault="00041178" w:rsidP="00041178">
            <w:pPr>
              <w:pStyle w:val="TableText"/>
            </w:pPr>
            <w:r>
              <w:t xml:space="preserve">Not subject to extreme fluctuations in EOO, AOO, number of subpopulations, </w:t>
            </w:r>
            <w:proofErr w:type="gramStart"/>
            <w:r>
              <w:t>locations</w:t>
            </w:r>
            <w:proofErr w:type="gramEnd"/>
            <w:r>
              <w:t xml:space="preserve"> or mature individuals (Hodder et al. 2021).</w:t>
            </w:r>
          </w:p>
        </w:tc>
      </w:tr>
    </w:tbl>
    <w:p w14:paraId="3E78C3B2" w14:textId="77777777" w:rsidR="00955974" w:rsidRDefault="00955974" w:rsidP="00D447A7">
      <w:pPr>
        <w:pStyle w:val="Caption"/>
        <w:rPr>
          <w:lang w:eastAsia="ja-JP"/>
        </w:rPr>
      </w:pPr>
    </w:p>
    <w:p w14:paraId="29ED4C46" w14:textId="492F811B"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7EFBC065" w14:textId="77777777" w:rsidTr="0050535B">
        <w:trPr>
          <w:cantSplit/>
          <w:trHeight w:val="606"/>
        </w:trPr>
        <w:tc>
          <w:tcPr>
            <w:tcW w:w="9975" w:type="dxa"/>
            <w:gridSpan w:val="6"/>
            <w:shd w:val="clear" w:color="auto" w:fill="595959" w:themeFill="text1" w:themeFillTint="A6"/>
            <w:vAlign w:val="center"/>
          </w:tcPr>
          <w:p w14:paraId="3B63CEA7" w14:textId="188A2FD4"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0D9E88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10D9D4" w14:textId="4D3D75EA"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0816CA9" w14:textId="77777777" w:rsidR="00DD3067" w:rsidRPr="00936152" w:rsidRDefault="00DD3067" w:rsidP="00476948">
            <w:pPr>
              <w:pStyle w:val="TableText"/>
              <w:keepNext/>
              <w:rPr>
                <w:rStyle w:val="Strong"/>
              </w:rPr>
            </w:pPr>
            <w:r w:rsidRPr="00936152">
              <w:rPr>
                <w:rStyle w:val="Strong"/>
              </w:rPr>
              <w:t>Critically Endangered</w:t>
            </w:r>
          </w:p>
          <w:p w14:paraId="303276A6"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AFE7D79" w14:textId="77777777" w:rsidR="00DD3067" w:rsidRPr="00936152" w:rsidRDefault="00DD3067" w:rsidP="00476948">
            <w:pPr>
              <w:pStyle w:val="TableText"/>
              <w:keepNext/>
              <w:rPr>
                <w:rStyle w:val="Strong"/>
              </w:rPr>
            </w:pPr>
            <w:r w:rsidRPr="00936152">
              <w:rPr>
                <w:rStyle w:val="Strong"/>
              </w:rPr>
              <w:t>Endangered</w:t>
            </w:r>
          </w:p>
          <w:p w14:paraId="30204328"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0BD11D9" w14:textId="77777777" w:rsidR="00DD3067" w:rsidRPr="00936152" w:rsidRDefault="00DD3067" w:rsidP="00476948">
            <w:pPr>
              <w:pStyle w:val="TableText"/>
              <w:keepNext/>
              <w:rPr>
                <w:rStyle w:val="Strong"/>
              </w:rPr>
            </w:pPr>
            <w:r w:rsidRPr="00936152">
              <w:rPr>
                <w:rStyle w:val="Strong"/>
              </w:rPr>
              <w:t>Vulnerable</w:t>
            </w:r>
          </w:p>
          <w:p w14:paraId="5062942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05247CC"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2BAF090"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8ABBD07"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F7F5AA2"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3C4CF52" w14:textId="77777777" w:rsidR="00DD3067" w:rsidRPr="00556843" w:rsidRDefault="00DD3067" w:rsidP="00476948">
            <w:pPr>
              <w:pStyle w:val="TableText"/>
              <w:keepNext/>
            </w:pPr>
            <w:r w:rsidRPr="00556843">
              <w:t>≥ 50%</w:t>
            </w:r>
          </w:p>
        </w:tc>
      </w:tr>
      <w:tr w:rsidR="00DD3067" w:rsidRPr="00556843" w14:paraId="07A0797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6F9909C4"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D1887EF"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123BB10"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22CC031F" w14:textId="77777777" w:rsidR="00DD3067" w:rsidRPr="00556843" w:rsidRDefault="00DD3067" w:rsidP="00476948">
            <w:pPr>
              <w:pStyle w:val="TableText"/>
              <w:keepNext/>
            </w:pPr>
            <w:r w:rsidRPr="00556843">
              <w:t>≥ 30%</w:t>
            </w:r>
          </w:p>
        </w:tc>
      </w:tr>
      <w:tr w:rsidR="00266DC5" w:rsidRPr="00556843" w14:paraId="21490C45"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2612685" w14:textId="780A125E"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540F970E"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7522CCA6"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5311F0F8"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DD13AE8" w14:textId="0D67181B"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47147FE7" wp14:editId="0593A22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70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B9A3C08"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56B9F6EB" w14:textId="77777777" w:rsidR="00266DC5" w:rsidRDefault="00266DC5" w:rsidP="000D55BC">
            <w:pPr>
              <w:pStyle w:val="TableText"/>
              <w:ind w:left="312" w:hanging="312"/>
            </w:pPr>
            <w:r w:rsidRPr="00556843">
              <w:t>(b)</w:t>
            </w:r>
            <w:r w:rsidRPr="00556843">
              <w:tab/>
              <w:t>an index of abundance appropriate to the taxon</w:t>
            </w:r>
          </w:p>
          <w:p w14:paraId="36668449" w14:textId="3C850913"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EDA902" w14:textId="1DB36EC6" w:rsidR="00266DC5" w:rsidRPr="00556843" w:rsidRDefault="00266DC5" w:rsidP="000D55BC">
            <w:pPr>
              <w:pStyle w:val="TableText"/>
              <w:ind w:left="312" w:hanging="312"/>
            </w:pPr>
            <w:r w:rsidRPr="00556843">
              <w:t>(d)</w:t>
            </w:r>
            <w:r w:rsidRPr="00556843">
              <w:tab/>
              <w:t>actual or potential levels of exploitation</w:t>
            </w:r>
          </w:p>
          <w:p w14:paraId="597965F3" w14:textId="489D2F1C"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0083826D" w14:textId="02A9951E" w:rsidR="000F3D21" w:rsidRDefault="00C2736A" w:rsidP="00B52E90">
      <w:pPr>
        <w:pStyle w:val="Heading3"/>
        <w:rPr>
          <w:lang w:eastAsia="ja-JP"/>
        </w:rPr>
      </w:pPr>
      <w:r>
        <w:rPr>
          <w:lang w:eastAsia="ja-JP"/>
        </w:rPr>
        <w:t>Criterion 1 e</w:t>
      </w:r>
      <w:r w:rsidR="000F3D21">
        <w:rPr>
          <w:lang w:eastAsia="ja-JP"/>
        </w:rPr>
        <w:t>vidence</w:t>
      </w:r>
    </w:p>
    <w:p w14:paraId="4C53618B" w14:textId="18D6A7A7" w:rsidR="00CF270B" w:rsidRDefault="000F3D21" w:rsidP="00CF270B">
      <w:pPr>
        <w:rPr>
          <w:rStyle w:val="Strong"/>
        </w:rPr>
      </w:pPr>
      <w:r w:rsidRPr="00155BA9">
        <w:rPr>
          <w:rStyle w:val="Strong"/>
        </w:rPr>
        <w:t xml:space="preserve">Eligible under Criterion </w:t>
      </w:r>
      <w:r w:rsidRPr="00041178">
        <w:rPr>
          <w:rStyle w:val="Strong"/>
        </w:rPr>
        <w:t>1</w:t>
      </w:r>
      <w:r w:rsidRPr="00041178">
        <w:rPr>
          <w:lang w:eastAsia="ja-JP"/>
        </w:rPr>
        <w:t xml:space="preserve"> </w:t>
      </w:r>
      <w:r w:rsidR="009F10A8" w:rsidRPr="00041178">
        <w:t>A2bce+3ce+4bce</w:t>
      </w:r>
      <w:r w:rsidR="00347206" w:rsidRPr="00041178">
        <w:t xml:space="preserve"> </w:t>
      </w:r>
      <w:r w:rsidR="00347206" w:rsidRPr="00041178">
        <w:rPr>
          <w:b/>
          <w:bCs/>
        </w:rPr>
        <w:t>for listing as</w:t>
      </w:r>
      <w:r w:rsidR="009F10A8" w:rsidRPr="00041178">
        <w:t xml:space="preserve"> </w:t>
      </w:r>
      <w:sdt>
        <w:sdtPr>
          <w:id w:val="-796447343"/>
          <w:placeholder>
            <w:docPart w:val="76A168ED837349059F88D777372262E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E556E">
            <w:t>Vulnerable</w:t>
          </w:r>
        </w:sdtContent>
      </w:sdt>
    </w:p>
    <w:p w14:paraId="3CB1F73F" w14:textId="03B3BCCF" w:rsidR="00815D62" w:rsidRDefault="00041178" w:rsidP="00815D62">
      <w:pPr>
        <w:rPr>
          <w:lang w:eastAsia="ja-JP"/>
        </w:rPr>
      </w:pPr>
      <w:r w:rsidRPr="34C0BC08">
        <w:rPr>
          <w:lang w:eastAsia="ja-JP"/>
        </w:rPr>
        <w:t xml:space="preserve">Diamond Firetails occur on the south‐east mainland of Australia from south‐east Queensland to Eyre Peninsula, South Australia and about 300 km inland from the sea (Higgins et al. 2007). </w:t>
      </w:r>
      <w:r w:rsidR="00815D62">
        <w:rPr>
          <w:lang w:eastAsia="ja-JP"/>
        </w:rPr>
        <w:t xml:space="preserve">Reporting rate data can be used to </w:t>
      </w:r>
      <w:r w:rsidR="00134F23">
        <w:rPr>
          <w:lang w:eastAsia="ja-JP"/>
        </w:rPr>
        <w:t>determine</w:t>
      </w:r>
      <w:r w:rsidR="00815D62">
        <w:rPr>
          <w:lang w:eastAsia="ja-JP"/>
        </w:rPr>
        <w:t xml:space="preserve"> bird species abundance. </w:t>
      </w:r>
      <w:bookmarkStart w:id="12" w:name="_Hlk87525181"/>
      <w:r w:rsidR="00815D62">
        <w:rPr>
          <w:lang w:eastAsia="ja-JP"/>
        </w:rPr>
        <w:t xml:space="preserve">Data used in trend analyses are limited to standardised bird surveys drawn from discrete (spatially separated) sites which have multiple repeat observations over time. </w:t>
      </w:r>
      <w:bookmarkEnd w:id="12"/>
      <w:r w:rsidR="00815D62" w:rsidRPr="04909832">
        <w:rPr>
          <w:lang w:eastAsia="ja-JP"/>
        </w:rPr>
        <w:t xml:space="preserve">Although reporting rates were stable </w:t>
      </w:r>
      <w:r w:rsidR="00815D62" w:rsidRPr="04909832">
        <w:rPr>
          <w:lang w:eastAsia="ja-JP"/>
        </w:rPr>
        <w:lastRenderedPageBreak/>
        <w:t xml:space="preserve">between </w:t>
      </w:r>
      <w:proofErr w:type="spellStart"/>
      <w:r w:rsidR="00815D62" w:rsidRPr="04909832">
        <w:rPr>
          <w:lang w:eastAsia="ja-JP"/>
        </w:rPr>
        <w:t>BirdLife</w:t>
      </w:r>
      <w:proofErr w:type="spellEnd"/>
      <w:r w:rsidR="00815D62" w:rsidRPr="04909832">
        <w:rPr>
          <w:lang w:eastAsia="ja-JP"/>
        </w:rPr>
        <w:t xml:space="preserve"> Australia Atlases (Barrett et al. 2002), Diamond Firetails are one of a </w:t>
      </w:r>
      <w:proofErr w:type="gramStart"/>
      <w:r w:rsidR="00815D62" w:rsidRPr="04909832">
        <w:rPr>
          <w:lang w:eastAsia="ja-JP"/>
        </w:rPr>
        <w:t>suite</w:t>
      </w:r>
      <w:proofErr w:type="gramEnd"/>
      <w:r w:rsidR="00815D62" w:rsidRPr="04909832">
        <w:rPr>
          <w:lang w:eastAsia="ja-JP"/>
        </w:rPr>
        <w:t xml:space="preserve"> of taxa considered to be declining in south‐eastern Australia (Hodder et al. 2021). </w:t>
      </w:r>
      <w:r w:rsidR="005D1114">
        <w:rPr>
          <w:lang w:eastAsia="ja-JP"/>
        </w:rPr>
        <w:t>L</w:t>
      </w:r>
      <w:r w:rsidR="005D1114" w:rsidRPr="005D1114">
        <w:rPr>
          <w:lang w:eastAsia="ja-JP"/>
        </w:rPr>
        <w:t xml:space="preserve">ocal experience of declines, particularly in the south and east, are especially evident (Hodder et al. 2021). </w:t>
      </w:r>
      <w:r w:rsidR="00815D62" w:rsidRPr="04909832">
        <w:rPr>
          <w:lang w:eastAsia="ja-JP"/>
        </w:rPr>
        <w:t>Recent trends in reporting rates across the range of the species are consistent with this: from</w:t>
      </w:r>
      <w:r w:rsidR="00815D62" w:rsidRPr="00F66495">
        <w:rPr>
          <w:lang w:eastAsia="ja-JP"/>
        </w:rPr>
        <w:t xml:space="preserve"> 2000–2019, reporting rates from 2 ha 20 min counts and 500 m area searches declined by 58% and 46%, respectively (2000–2009: 40% and 41%; 2010–2019: 35% and 7%)</w:t>
      </w:r>
      <w:r w:rsidR="00815D62">
        <w:rPr>
          <w:lang w:eastAsia="ja-JP"/>
        </w:rPr>
        <w:t xml:space="preserve"> (Hodder et al. 2021)</w:t>
      </w:r>
      <w:r w:rsidR="00815D62" w:rsidRPr="00F66495">
        <w:rPr>
          <w:lang w:eastAsia="ja-JP"/>
        </w:rPr>
        <w:t>.</w:t>
      </w:r>
      <w:r w:rsidR="00815D62">
        <w:rPr>
          <w:lang w:eastAsia="ja-JP"/>
        </w:rPr>
        <w:t xml:space="preserve"> </w:t>
      </w:r>
    </w:p>
    <w:p w14:paraId="1267008F" w14:textId="77777777" w:rsidR="00815D62" w:rsidRDefault="00815D62" w:rsidP="00815D62">
      <w:pPr>
        <w:rPr>
          <w:lang w:eastAsia="ja-JP"/>
        </w:rPr>
      </w:pPr>
      <w:r w:rsidRPr="34C0BC08">
        <w:rPr>
          <w:lang w:eastAsia="ja-JP"/>
        </w:rPr>
        <w:t xml:space="preserve">However, not all regional results are consistent. In the Mt Lofty Ranges, abundance in 151 2 ha plots monitored annually between 2001 and 2016 declined by about 2% p.a. (TAA Prowse, PJ O'Connor, SJ Collard, KJ Peters, HP </w:t>
      </w:r>
      <w:proofErr w:type="spellStart"/>
      <w:r w:rsidRPr="34C0BC08">
        <w:rPr>
          <w:lang w:eastAsia="ja-JP"/>
        </w:rPr>
        <w:t>Possingham</w:t>
      </w:r>
      <w:proofErr w:type="spellEnd"/>
      <w:r w:rsidRPr="34C0BC08">
        <w:rPr>
          <w:lang w:eastAsia="ja-JP"/>
        </w:rPr>
        <w:t xml:space="preserve"> unpublished</w:t>
      </w:r>
      <w:r>
        <w:rPr>
          <w:lang w:eastAsia="ja-JP"/>
        </w:rPr>
        <w:t xml:space="preserve"> cited in Hodder et al. 2021</w:t>
      </w:r>
      <w:r w:rsidRPr="34C0BC08">
        <w:rPr>
          <w:lang w:eastAsia="ja-JP"/>
        </w:rPr>
        <w:t>). Furthermore, in north‐east New South Wales reporting rates at 41 sites declined from 18% in 1977–1980 to 12% in 2004–2006 (</w:t>
      </w:r>
      <w:proofErr w:type="spellStart"/>
      <w:r w:rsidRPr="34C0BC08">
        <w:rPr>
          <w:lang w:eastAsia="ja-JP"/>
        </w:rPr>
        <w:t>Gosper</w:t>
      </w:r>
      <w:proofErr w:type="spellEnd"/>
      <w:r w:rsidRPr="34C0BC08">
        <w:rPr>
          <w:lang w:eastAsia="ja-JP"/>
        </w:rPr>
        <w:t xml:space="preserve"> &amp; </w:t>
      </w:r>
      <w:proofErr w:type="spellStart"/>
      <w:r w:rsidRPr="34C0BC08">
        <w:rPr>
          <w:lang w:eastAsia="ja-JP"/>
        </w:rPr>
        <w:t>Gosper</w:t>
      </w:r>
      <w:proofErr w:type="spellEnd"/>
      <w:r w:rsidRPr="34C0BC08">
        <w:rPr>
          <w:lang w:eastAsia="ja-JP"/>
        </w:rPr>
        <w:t xml:space="preserve"> 2016) and zero in 2020 (DG </w:t>
      </w:r>
      <w:proofErr w:type="spellStart"/>
      <w:r w:rsidRPr="34C0BC08">
        <w:rPr>
          <w:lang w:eastAsia="ja-JP"/>
        </w:rPr>
        <w:t>Gosper</w:t>
      </w:r>
      <w:proofErr w:type="spellEnd"/>
      <w:r w:rsidRPr="34C0BC08">
        <w:rPr>
          <w:lang w:eastAsia="ja-JP"/>
        </w:rPr>
        <w:t xml:space="preserve">, CR </w:t>
      </w:r>
      <w:proofErr w:type="spellStart"/>
      <w:r w:rsidRPr="34C0BC08">
        <w:rPr>
          <w:lang w:eastAsia="ja-JP"/>
        </w:rPr>
        <w:t>Gosper</w:t>
      </w:r>
      <w:proofErr w:type="spellEnd"/>
      <w:r w:rsidRPr="34C0BC08">
        <w:rPr>
          <w:lang w:eastAsia="ja-JP"/>
        </w:rPr>
        <w:t xml:space="preserve"> pers. comm. cited in Hodder et al. 2021). However, there was no significant change in reporting rates from 2 ha 20 min surveys for 1999–2013 for the Brigalow Belt or South‐east Mainland regions (</w:t>
      </w:r>
      <w:proofErr w:type="spellStart"/>
      <w:r w:rsidRPr="34C0BC08">
        <w:rPr>
          <w:lang w:eastAsia="ja-JP"/>
        </w:rPr>
        <w:t>BirdLife</w:t>
      </w:r>
      <w:proofErr w:type="spellEnd"/>
      <w:r w:rsidRPr="34C0BC08">
        <w:rPr>
          <w:lang w:eastAsia="ja-JP"/>
        </w:rPr>
        <w:t xml:space="preserve"> Australia 2015); there was a strongly significant increase of 10% p.a. in surveys during 2000–2015 at over 165 sites in southern New South Wales (</w:t>
      </w:r>
      <w:proofErr w:type="spellStart"/>
      <w:r w:rsidRPr="34C0BC08">
        <w:rPr>
          <w:lang w:eastAsia="ja-JP"/>
        </w:rPr>
        <w:t>Lindenmayer</w:t>
      </w:r>
      <w:proofErr w:type="spellEnd"/>
      <w:r w:rsidRPr="34C0BC08">
        <w:rPr>
          <w:lang w:eastAsia="ja-JP"/>
        </w:rPr>
        <w:t xml:space="preserve"> et al. 2018); and drought had no impact on reporting rates in central New South Wales (Ellis &amp; Taylor 2014). Reporting rates in the Australian Capital Territory show a six‐fold fluctuation, with peaks in 1987–1996 and 2006–2011 and a trough in 2000–2006 and a steady decline from 2011–2017 (Canberra Ornithologists Group 2020).</w:t>
      </w:r>
    </w:p>
    <w:p w14:paraId="7F52FDE0" w14:textId="3673FB95" w:rsidR="00223105" w:rsidRDefault="00815D62" w:rsidP="00223105">
      <w:pPr>
        <w:rPr>
          <w:lang w:eastAsia="ja-JP"/>
        </w:rPr>
      </w:pPr>
      <w:r>
        <w:rPr>
          <w:lang w:eastAsia="ja-JP"/>
        </w:rPr>
        <w:t>Though regional trend data report a variety of estimates, r</w:t>
      </w:r>
      <w:r w:rsidR="00134F23">
        <w:rPr>
          <w:lang w:eastAsia="ja-JP"/>
        </w:rPr>
        <w:t>e</w:t>
      </w:r>
      <w:r w:rsidR="00223105" w:rsidRPr="34C0BC08">
        <w:rPr>
          <w:lang w:eastAsia="ja-JP"/>
        </w:rPr>
        <w:t>porting rate trends</w:t>
      </w:r>
      <w:r w:rsidR="005D1114">
        <w:rPr>
          <w:lang w:eastAsia="ja-JP"/>
        </w:rPr>
        <w:t xml:space="preserve"> across the species’ range</w:t>
      </w:r>
      <w:r w:rsidR="00223105" w:rsidRPr="34C0BC08">
        <w:rPr>
          <w:lang w:eastAsia="ja-JP"/>
        </w:rPr>
        <w:t xml:space="preserve"> indicate a continuing rapid decline in the population size of </w:t>
      </w:r>
      <w:r>
        <w:rPr>
          <w:lang w:eastAsia="ja-JP"/>
        </w:rPr>
        <w:t>30–50%</w:t>
      </w:r>
      <w:r w:rsidR="00856E8D">
        <w:rPr>
          <w:lang w:eastAsia="ja-JP"/>
        </w:rPr>
        <w:t xml:space="preserve"> </w:t>
      </w:r>
      <w:r w:rsidR="00223105" w:rsidRPr="34C0BC08">
        <w:rPr>
          <w:lang w:eastAsia="ja-JP"/>
        </w:rPr>
        <w:t xml:space="preserve">over </w:t>
      </w:r>
      <w:r w:rsidR="00CB093E" w:rsidRPr="34C0BC08">
        <w:rPr>
          <w:lang w:eastAsia="ja-JP"/>
        </w:rPr>
        <w:t xml:space="preserve">the last ten </w:t>
      </w:r>
      <w:r w:rsidR="00223105" w:rsidRPr="34C0BC08">
        <w:rPr>
          <w:lang w:eastAsia="ja-JP"/>
        </w:rPr>
        <w:t xml:space="preserve">years (one generation 2.2 years) with high probability of declines continuing (Hodder et al. 2021). </w:t>
      </w:r>
      <w:r w:rsidR="005D1114" w:rsidRPr="34C0BC08">
        <w:rPr>
          <w:lang w:eastAsia="ja-JP"/>
        </w:rPr>
        <w:t>While there is no dedicated range‐wide monitoring, the species is still sufficiently common that reporting rate trends are likely to reflect changes in abundance</w:t>
      </w:r>
      <w:r w:rsidR="005D1114">
        <w:rPr>
          <w:lang w:eastAsia="ja-JP"/>
        </w:rPr>
        <w:t xml:space="preserve"> </w:t>
      </w:r>
      <w:r w:rsidR="005D1114" w:rsidRPr="34C0BC08">
        <w:rPr>
          <w:lang w:eastAsia="ja-JP"/>
        </w:rPr>
        <w:t xml:space="preserve">(Hodder et al. 2021). </w:t>
      </w:r>
    </w:p>
    <w:p w14:paraId="7DC65DAA" w14:textId="4D44E5C0" w:rsidR="00AF18F7" w:rsidRDefault="00007711" w:rsidP="00AF18F7">
      <w:pPr>
        <w:rPr>
          <w:lang w:eastAsia="ja-JP"/>
        </w:rPr>
      </w:pPr>
      <w:r>
        <w:rPr>
          <w:lang w:eastAsia="ja-JP"/>
        </w:rPr>
        <w:t xml:space="preserve">The continued clearance </w:t>
      </w:r>
      <w:r w:rsidR="00AF18F7">
        <w:rPr>
          <w:lang w:eastAsia="ja-JP"/>
        </w:rPr>
        <w:t>of native vegetation</w:t>
      </w:r>
      <w:r w:rsidR="00146918">
        <w:rPr>
          <w:lang w:eastAsia="ja-JP"/>
        </w:rPr>
        <w:t xml:space="preserve"> </w:t>
      </w:r>
      <w:r w:rsidR="00AF18F7">
        <w:rPr>
          <w:lang w:eastAsia="ja-JP"/>
        </w:rPr>
        <w:t>(EES 2019) is the underlying reason for the decline of the species</w:t>
      </w:r>
      <w:r w:rsidR="00223105">
        <w:rPr>
          <w:lang w:eastAsia="ja-JP"/>
        </w:rPr>
        <w:t xml:space="preserve"> (Hodder </w:t>
      </w:r>
      <w:r w:rsidR="00223105" w:rsidRPr="00223105">
        <w:rPr>
          <w:lang w:eastAsia="ja-JP"/>
        </w:rPr>
        <w:t>et al. 2021</w:t>
      </w:r>
      <w:r w:rsidR="00223105">
        <w:rPr>
          <w:lang w:eastAsia="ja-JP"/>
        </w:rPr>
        <w:t>)</w:t>
      </w:r>
      <w:r w:rsidR="00AF18F7">
        <w:rPr>
          <w:lang w:eastAsia="ja-JP"/>
        </w:rPr>
        <w:t xml:space="preserve">. There is also widespread degradation of </w:t>
      </w:r>
      <w:r>
        <w:rPr>
          <w:lang w:eastAsia="ja-JP"/>
        </w:rPr>
        <w:t xml:space="preserve">remaining </w:t>
      </w:r>
      <w:r w:rsidR="00AF18F7">
        <w:rPr>
          <w:lang w:eastAsia="ja-JP"/>
        </w:rPr>
        <w:t>habitat (Ford 2011)</w:t>
      </w:r>
      <w:r>
        <w:rPr>
          <w:lang w:eastAsia="ja-JP"/>
        </w:rPr>
        <w:t>,</w:t>
      </w:r>
      <w:r w:rsidR="00AF18F7">
        <w:rPr>
          <w:lang w:eastAsia="ja-JP"/>
        </w:rPr>
        <w:t xml:space="preserve"> which has led to the replacement of native perennial grasses with exotic annual grasses</w:t>
      </w:r>
      <w:r>
        <w:rPr>
          <w:lang w:eastAsia="ja-JP"/>
        </w:rPr>
        <w:t>. This often</w:t>
      </w:r>
      <w:r w:rsidR="00AF18F7">
        <w:rPr>
          <w:lang w:eastAsia="ja-JP"/>
        </w:rPr>
        <w:t xml:space="preserve"> </w:t>
      </w:r>
      <w:r>
        <w:rPr>
          <w:lang w:eastAsia="ja-JP"/>
        </w:rPr>
        <w:t xml:space="preserve">results </w:t>
      </w:r>
      <w:r w:rsidR="00AF18F7">
        <w:rPr>
          <w:lang w:eastAsia="ja-JP"/>
        </w:rPr>
        <w:t xml:space="preserve">in </w:t>
      </w:r>
      <w:r>
        <w:rPr>
          <w:lang w:eastAsia="ja-JP"/>
        </w:rPr>
        <w:t xml:space="preserve">the </w:t>
      </w:r>
      <w:r w:rsidR="00AF18F7">
        <w:rPr>
          <w:lang w:eastAsia="ja-JP"/>
        </w:rPr>
        <w:t xml:space="preserve">starvation </w:t>
      </w:r>
      <w:r w:rsidR="00EC5781">
        <w:rPr>
          <w:lang w:eastAsia="ja-JP"/>
        </w:rPr>
        <w:t>of firetails</w:t>
      </w:r>
      <w:r w:rsidR="00AF18F7">
        <w:rPr>
          <w:lang w:eastAsia="ja-JP"/>
        </w:rPr>
        <w:t xml:space="preserve"> during periods when exotic annual grass seed germinates in autumn and winter if there are no alternative seed sources (Higgins et al. 2007; Hodder 2019). Habitat patches are also degraded by grazing stock, rabbits </w:t>
      </w:r>
      <w:r w:rsidR="00BC3EE5">
        <w:rPr>
          <w:lang w:eastAsia="ja-JP"/>
        </w:rPr>
        <w:t>(</w:t>
      </w:r>
      <w:r w:rsidR="00AF18F7" w:rsidRPr="00AF18F7">
        <w:rPr>
          <w:i/>
          <w:iCs/>
          <w:lang w:eastAsia="ja-JP"/>
        </w:rPr>
        <w:t>Oryctolagus cuniculus</w:t>
      </w:r>
      <w:r w:rsidR="00BC3EE5" w:rsidRPr="00BC3EE5">
        <w:rPr>
          <w:lang w:eastAsia="ja-JP"/>
        </w:rPr>
        <w:t>)</w:t>
      </w:r>
      <w:r>
        <w:rPr>
          <w:lang w:eastAsia="ja-JP"/>
        </w:rPr>
        <w:t xml:space="preserve">, </w:t>
      </w:r>
      <w:r w:rsidR="00AF18F7">
        <w:rPr>
          <w:lang w:eastAsia="ja-JP"/>
        </w:rPr>
        <w:t xml:space="preserve">and kangaroos </w:t>
      </w:r>
      <w:r w:rsidR="00BC3EE5">
        <w:rPr>
          <w:lang w:eastAsia="ja-JP"/>
        </w:rPr>
        <w:t>(</w:t>
      </w:r>
      <w:r w:rsidR="00AF18F7" w:rsidRPr="00E93826">
        <w:rPr>
          <w:i/>
          <w:iCs/>
          <w:lang w:eastAsia="ja-JP"/>
        </w:rPr>
        <w:t>Macropus</w:t>
      </w:r>
      <w:r w:rsidR="00AF18F7">
        <w:rPr>
          <w:lang w:eastAsia="ja-JP"/>
        </w:rPr>
        <w:t xml:space="preserve"> </w:t>
      </w:r>
      <w:proofErr w:type="spellStart"/>
      <w:r w:rsidR="00AF18F7">
        <w:rPr>
          <w:lang w:eastAsia="ja-JP"/>
        </w:rPr>
        <w:t>spp</w:t>
      </w:r>
      <w:proofErr w:type="spellEnd"/>
      <w:r w:rsidR="00BC3EE5">
        <w:rPr>
          <w:lang w:eastAsia="ja-JP"/>
        </w:rPr>
        <w:t>)</w:t>
      </w:r>
      <w:r w:rsidR="00AF18F7">
        <w:rPr>
          <w:lang w:eastAsia="ja-JP"/>
        </w:rPr>
        <w:t xml:space="preserve">. that remove the shrub layer (Barrett et al. 2002). </w:t>
      </w:r>
    </w:p>
    <w:p w14:paraId="2FD624E1" w14:textId="6F54E3DD" w:rsidR="00F544A0" w:rsidRPr="00041178" w:rsidRDefault="00C536A7" w:rsidP="00041178">
      <w:pPr>
        <w:rPr>
          <w:lang w:eastAsia="ja-JP"/>
        </w:rPr>
      </w:pPr>
      <w:r w:rsidRPr="00E37B1D">
        <w:rPr>
          <w:lang w:eastAsia="ja-JP"/>
        </w:rPr>
        <w:t xml:space="preserve">The data presented above appear to demonstrate that the species is </w:t>
      </w:r>
      <w:r w:rsidRPr="00E37B1D">
        <w:rPr>
          <w:b/>
          <w:bCs/>
          <w:lang w:eastAsia="ja-JP"/>
        </w:rPr>
        <w:t>eligible for listing as Vulnerable</w:t>
      </w:r>
      <w:r w:rsidRPr="00E37B1D">
        <w:rPr>
          <w:lang w:eastAsia="ja-JP"/>
        </w:rPr>
        <w:t xml:space="preserve"> under this criterion. However, the purpose of this consultation document is to elicit additional information to better understand the species’ status. This conclusion should therefore </w:t>
      </w:r>
      <w:proofErr w:type="gramStart"/>
      <w:r w:rsidRPr="00E37B1D">
        <w:rPr>
          <w:lang w:eastAsia="ja-JP"/>
        </w:rPr>
        <w:t>be considered to be</w:t>
      </w:r>
      <w:proofErr w:type="gramEnd"/>
      <w:r w:rsidRPr="00E37B1D">
        <w:rPr>
          <w:lang w:eastAsia="ja-JP"/>
        </w:rPr>
        <w:t xml:space="preserve"> tentative at this stage, as it may be changed as a result of responses to this consultation process.</w:t>
      </w:r>
    </w:p>
    <w:p w14:paraId="10D9D732" w14:textId="227581C7"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3F42C32" w14:textId="77777777" w:rsidTr="00B6264B">
        <w:trPr>
          <w:trHeight w:val="350"/>
        </w:trPr>
        <w:tc>
          <w:tcPr>
            <w:tcW w:w="10738" w:type="dxa"/>
            <w:gridSpan w:val="4"/>
            <w:tcBorders>
              <w:bottom w:val="nil"/>
            </w:tcBorders>
            <w:shd w:val="clear" w:color="auto" w:fill="595959" w:themeFill="text1" w:themeFillTint="A6"/>
            <w:vAlign w:val="center"/>
          </w:tcPr>
          <w:p w14:paraId="4EE28AD0" w14:textId="11007FFE"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0EDEE744" w14:textId="77777777" w:rsidTr="00B6264B">
        <w:tc>
          <w:tcPr>
            <w:tcW w:w="4111" w:type="dxa"/>
            <w:tcBorders>
              <w:top w:val="nil"/>
              <w:bottom w:val="nil"/>
              <w:right w:val="nil"/>
            </w:tcBorders>
          </w:tcPr>
          <w:p w14:paraId="295063D1" w14:textId="2A92F105"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C1200C0" w14:textId="77777777" w:rsidR="00B6264B" w:rsidRPr="00795F43" w:rsidRDefault="00B6264B" w:rsidP="000E630E">
            <w:pPr>
              <w:pStyle w:val="TableText"/>
              <w:keepNext/>
              <w:rPr>
                <w:rStyle w:val="Strong"/>
              </w:rPr>
            </w:pPr>
            <w:r w:rsidRPr="00795F43">
              <w:rPr>
                <w:rStyle w:val="Strong"/>
              </w:rPr>
              <w:t>Critically Endangered</w:t>
            </w:r>
          </w:p>
          <w:p w14:paraId="29B38597"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718C267" w14:textId="77777777" w:rsidR="00B6264B" w:rsidRPr="00556843" w:rsidRDefault="00B6264B" w:rsidP="000E630E">
            <w:pPr>
              <w:pStyle w:val="TableText"/>
              <w:keepNext/>
              <w:rPr>
                <w:b/>
              </w:rPr>
            </w:pPr>
            <w:r w:rsidRPr="00556843">
              <w:rPr>
                <w:b/>
              </w:rPr>
              <w:t>Endangered</w:t>
            </w:r>
          </w:p>
          <w:p w14:paraId="3BE6CD5F"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0619B31" w14:textId="77777777" w:rsidR="00B6264B" w:rsidRPr="00556843" w:rsidRDefault="00B6264B" w:rsidP="000E630E">
            <w:pPr>
              <w:pStyle w:val="TableText"/>
              <w:keepNext/>
              <w:rPr>
                <w:b/>
              </w:rPr>
            </w:pPr>
            <w:r w:rsidRPr="00556843">
              <w:rPr>
                <w:b/>
              </w:rPr>
              <w:t>Vulnerable</w:t>
            </w:r>
          </w:p>
          <w:p w14:paraId="5B8B6CEF" w14:textId="77777777" w:rsidR="00B6264B" w:rsidRPr="00556843" w:rsidRDefault="00B6264B" w:rsidP="000E630E">
            <w:pPr>
              <w:pStyle w:val="TableText"/>
              <w:keepNext/>
              <w:rPr>
                <w:b/>
              </w:rPr>
            </w:pPr>
            <w:r w:rsidRPr="00556843">
              <w:rPr>
                <w:b/>
              </w:rPr>
              <w:t>Limited</w:t>
            </w:r>
          </w:p>
        </w:tc>
      </w:tr>
      <w:tr w:rsidR="00B6264B" w:rsidRPr="00556843" w14:paraId="07DA6FB8"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85AD866"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02C7979"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53D0E8A"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263C070"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07F44F86"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61FC8FF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12B60A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826C3EC"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23720DB"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6088CDF2" w14:textId="77777777" w:rsidTr="00B6264B">
        <w:tc>
          <w:tcPr>
            <w:tcW w:w="10738" w:type="dxa"/>
            <w:gridSpan w:val="4"/>
            <w:tcBorders>
              <w:top w:val="nil"/>
              <w:bottom w:val="nil"/>
            </w:tcBorders>
          </w:tcPr>
          <w:p w14:paraId="429B729D"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6A29D153"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519FBE"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56A2C4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5310A70"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556A4D71" w14:textId="77777777" w:rsidR="00B6264B" w:rsidRPr="00556843" w:rsidRDefault="00B6264B" w:rsidP="000E630E">
            <w:pPr>
              <w:pStyle w:val="TableText"/>
              <w:keepNext/>
              <w:rPr>
                <w:b/>
              </w:rPr>
            </w:pPr>
            <w:r w:rsidRPr="00556843">
              <w:rPr>
                <w:b/>
              </w:rPr>
              <w:t>≤ 10</w:t>
            </w:r>
          </w:p>
        </w:tc>
      </w:tr>
      <w:tr w:rsidR="00B6264B" w:rsidRPr="00556843" w14:paraId="5E88525D"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1503EDB" w14:textId="5655BAAE"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7D5BA3D9" w14:textId="77777777" w:rsidTr="00B6264B">
        <w:tc>
          <w:tcPr>
            <w:tcW w:w="10738" w:type="dxa"/>
            <w:gridSpan w:val="4"/>
            <w:tcBorders>
              <w:top w:val="single" w:sz="4" w:space="0" w:color="FFFFFF" w:themeColor="background1"/>
            </w:tcBorders>
            <w:shd w:val="clear" w:color="auto" w:fill="BFBFBF" w:themeFill="background1" w:themeFillShade="BF"/>
          </w:tcPr>
          <w:p w14:paraId="2ECCAED3" w14:textId="45DA55E6"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753EF89D" w14:textId="5446286B"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0BD49F9E" w14:textId="472F8AFD" w:rsidR="00B6264B" w:rsidRPr="00B6264B" w:rsidRDefault="00B6264B" w:rsidP="00B6264B">
      <w:pPr>
        <w:rPr>
          <w:b/>
          <w:bCs/>
          <w:lang w:eastAsia="ja-JP"/>
        </w:rPr>
      </w:pPr>
      <w:r w:rsidRPr="00C536A7">
        <w:rPr>
          <w:b/>
          <w:bCs/>
          <w:lang w:eastAsia="ja-JP"/>
        </w:rPr>
        <w:t>Not eligible</w:t>
      </w:r>
    </w:p>
    <w:p w14:paraId="7BD31AB2" w14:textId="59FCFFDA" w:rsidR="002B5311" w:rsidRDefault="00223105" w:rsidP="002B5311">
      <w:pPr>
        <w:rPr>
          <w:lang w:eastAsia="ja-JP"/>
        </w:rPr>
      </w:pPr>
      <w:r>
        <w:rPr>
          <w:lang w:eastAsia="ja-JP"/>
        </w:rPr>
        <w:t xml:space="preserve">Diamond Firetail </w:t>
      </w:r>
      <w:r w:rsidRPr="00223105">
        <w:rPr>
          <w:lang w:eastAsia="ja-JP"/>
        </w:rPr>
        <w:t xml:space="preserve">EOO </w:t>
      </w:r>
      <w:r>
        <w:rPr>
          <w:lang w:eastAsia="ja-JP"/>
        </w:rPr>
        <w:t xml:space="preserve">and </w:t>
      </w:r>
      <w:r w:rsidRPr="00223105">
        <w:rPr>
          <w:lang w:eastAsia="ja-JP"/>
        </w:rPr>
        <w:t>AOO</w:t>
      </w:r>
      <w:r>
        <w:rPr>
          <w:lang w:eastAsia="ja-JP"/>
        </w:rPr>
        <w:t xml:space="preserve"> are</w:t>
      </w:r>
      <w:r w:rsidRPr="00223105">
        <w:rPr>
          <w:lang w:eastAsia="ja-JP"/>
        </w:rPr>
        <w:t xml:space="preserve"> estimated to be 1,</w:t>
      </w:r>
      <w:r>
        <w:rPr>
          <w:lang w:eastAsia="ja-JP"/>
        </w:rPr>
        <w:t>5</w:t>
      </w:r>
      <w:r w:rsidRPr="00223105">
        <w:rPr>
          <w:lang w:eastAsia="ja-JP"/>
        </w:rPr>
        <w:t>00,000 km</w:t>
      </w:r>
      <w:r w:rsidRPr="00223105">
        <w:rPr>
          <w:vertAlign w:val="superscript"/>
          <w:lang w:eastAsia="ja-JP"/>
        </w:rPr>
        <w:t>2</w:t>
      </w:r>
      <w:r w:rsidRPr="00223105">
        <w:rPr>
          <w:lang w:eastAsia="ja-JP"/>
        </w:rPr>
        <w:t xml:space="preserve"> (range 1,</w:t>
      </w:r>
      <w:r>
        <w:rPr>
          <w:lang w:eastAsia="ja-JP"/>
        </w:rPr>
        <w:t>4</w:t>
      </w:r>
      <w:r w:rsidRPr="00223105">
        <w:rPr>
          <w:lang w:eastAsia="ja-JP"/>
        </w:rPr>
        <w:t>00,000–1,</w:t>
      </w:r>
      <w:r>
        <w:rPr>
          <w:lang w:eastAsia="ja-JP"/>
        </w:rPr>
        <w:t>6</w:t>
      </w:r>
      <w:r w:rsidRPr="00223105">
        <w:rPr>
          <w:lang w:eastAsia="ja-JP"/>
        </w:rPr>
        <w:t>00,000 km</w:t>
      </w:r>
      <w:r w:rsidRPr="00223105">
        <w:rPr>
          <w:vertAlign w:val="superscript"/>
          <w:lang w:eastAsia="ja-JP"/>
        </w:rPr>
        <w:t>2</w:t>
      </w:r>
      <w:r w:rsidRPr="00223105">
        <w:rPr>
          <w:lang w:eastAsia="ja-JP"/>
        </w:rPr>
        <w:t xml:space="preserve">) </w:t>
      </w:r>
      <w:r>
        <w:rPr>
          <w:lang w:eastAsia="ja-JP"/>
        </w:rPr>
        <w:t>and 25</w:t>
      </w:r>
      <w:r w:rsidRPr="00223105">
        <w:rPr>
          <w:lang w:eastAsia="ja-JP"/>
        </w:rPr>
        <w:t>,000 km</w:t>
      </w:r>
      <w:r w:rsidRPr="00223105">
        <w:rPr>
          <w:vertAlign w:val="superscript"/>
          <w:lang w:eastAsia="ja-JP"/>
        </w:rPr>
        <w:t>2</w:t>
      </w:r>
      <w:r w:rsidRPr="00223105">
        <w:rPr>
          <w:lang w:eastAsia="ja-JP"/>
        </w:rPr>
        <w:t xml:space="preserve"> (range </w:t>
      </w:r>
      <w:r>
        <w:rPr>
          <w:lang w:eastAsia="ja-JP"/>
        </w:rPr>
        <w:t>12</w:t>
      </w:r>
      <w:r w:rsidRPr="00223105">
        <w:rPr>
          <w:lang w:eastAsia="ja-JP"/>
        </w:rPr>
        <w:t>,</w:t>
      </w:r>
      <w:r>
        <w:rPr>
          <w:lang w:eastAsia="ja-JP"/>
        </w:rPr>
        <w:t>5</w:t>
      </w:r>
      <w:r w:rsidRPr="00223105">
        <w:rPr>
          <w:lang w:eastAsia="ja-JP"/>
        </w:rPr>
        <w:t>00–50,000 km</w:t>
      </w:r>
      <w:r w:rsidRPr="00223105">
        <w:rPr>
          <w:vertAlign w:val="superscript"/>
          <w:lang w:eastAsia="ja-JP"/>
        </w:rPr>
        <w:t>2</w:t>
      </w:r>
      <w:r w:rsidRPr="00223105">
        <w:rPr>
          <w:lang w:eastAsia="ja-JP"/>
        </w:rPr>
        <w:t>)</w:t>
      </w:r>
      <w:r>
        <w:rPr>
          <w:lang w:eastAsia="ja-JP"/>
        </w:rPr>
        <w:t>, respectively</w:t>
      </w:r>
      <w:r w:rsidR="006937B3">
        <w:rPr>
          <w:lang w:eastAsia="ja-JP"/>
        </w:rPr>
        <w:t xml:space="preserve"> (Hodder et al. 2021)</w:t>
      </w:r>
      <w:r>
        <w:rPr>
          <w:lang w:eastAsia="ja-JP"/>
        </w:rPr>
        <w:t xml:space="preserve">. </w:t>
      </w:r>
      <w:r w:rsidR="002B5311">
        <w:rPr>
          <w:lang w:eastAsia="ja-JP"/>
        </w:rPr>
        <w:t>The species is not considered to be severely fragmented. The number of location</w:t>
      </w:r>
      <w:r w:rsidR="009359D0">
        <w:rPr>
          <w:lang w:eastAsia="ja-JP"/>
        </w:rPr>
        <w:t>s</w:t>
      </w:r>
      <w:r w:rsidR="002B5311">
        <w:rPr>
          <w:lang w:eastAsia="ja-JP"/>
        </w:rPr>
        <w:t xml:space="preserve"> has not</w:t>
      </w:r>
      <w:r w:rsidR="00221411">
        <w:rPr>
          <w:lang w:eastAsia="ja-JP"/>
        </w:rPr>
        <w:t xml:space="preserve"> been</w:t>
      </w:r>
      <w:r w:rsidR="002B5311">
        <w:rPr>
          <w:lang w:eastAsia="ja-JP"/>
        </w:rPr>
        <w:t xml:space="preserve"> calculated, though the spatial nature of the threats, even though stochastic in space and time, is such that there are &gt;10 geographically or ecologically distinct areas w</w:t>
      </w:r>
      <w:r w:rsidR="009359D0">
        <w:rPr>
          <w:lang w:eastAsia="ja-JP"/>
        </w:rPr>
        <w:t>h</w:t>
      </w:r>
      <w:r w:rsidR="002B5311">
        <w:rPr>
          <w:lang w:eastAsia="ja-JP"/>
        </w:rPr>
        <w:t>ere a single threatening event could affect all individuals of the taxon present within a period of three years</w:t>
      </w:r>
      <w:r w:rsidR="006937B3">
        <w:rPr>
          <w:lang w:eastAsia="ja-JP"/>
        </w:rPr>
        <w:t xml:space="preserve"> (Hodder et al. 2021)</w:t>
      </w:r>
      <w:r w:rsidR="002B5311">
        <w:rPr>
          <w:lang w:eastAsia="ja-JP"/>
        </w:rPr>
        <w:t xml:space="preserve">. An ongoing population decline is projected due to decreases in quantity and quality of habitat. Diamond Firetails are not subject to extreme fluctuations in EOO, AOO, number of subpopulations, </w:t>
      </w:r>
      <w:proofErr w:type="gramStart"/>
      <w:r w:rsidR="002B5311">
        <w:rPr>
          <w:lang w:eastAsia="ja-JP"/>
        </w:rPr>
        <w:t>locations</w:t>
      </w:r>
      <w:proofErr w:type="gramEnd"/>
      <w:r w:rsidR="002B5311">
        <w:rPr>
          <w:lang w:eastAsia="ja-JP"/>
        </w:rPr>
        <w:t xml:space="preserve"> or mature individuals</w:t>
      </w:r>
      <w:r w:rsidR="006937B3">
        <w:rPr>
          <w:lang w:eastAsia="ja-JP"/>
        </w:rPr>
        <w:t xml:space="preserve"> (Hodder et al. 2021)</w:t>
      </w:r>
      <w:r w:rsidR="002B5311">
        <w:rPr>
          <w:lang w:eastAsia="ja-JP"/>
        </w:rPr>
        <w:t>.</w:t>
      </w:r>
    </w:p>
    <w:p w14:paraId="3A4733E7" w14:textId="1DD63A99" w:rsidR="00C536A7" w:rsidRDefault="00C536A7" w:rsidP="00C536A7">
      <w:pPr>
        <w:rPr>
          <w:lang w:eastAsia="ja-JP"/>
        </w:rPr>
      </w:pPr>
      <w:r w:rsidRPr="00E37B1D">
        <w:rPr>
          <w:lang w:eastAsia="ja-JP"/>
        </w:rPr>
        <w:t xml:space="preserve">The data presented above appear to demonstrate the species is not eligible for listing under this criterion. However, the purpose of this consultation document is to elicit additional information to better understand the species’ status. This conclusion should therefore </w:t>
      </w:r>
      <w:proofErr w:type="gramStart"/>
      <w:r w:rsidRPr="00E37B1D">
        <w:rPr>
          <w:lang w:eastAsia="ja-JP"/>
        </w:rPr>
        <w:t>be considered to be</w:t>
      </w:r>
      <w:proofErr w:type="gramEnd"/>
      <w:r w:rsidRPr="00E37B1D">
        <w:rPr>
          <w:lang w:eastAsia="ja-JP"/>
        </w:rPr>
        <w:t xml:space="preserve"> tentative at this stage, as it may be changed as a result of responses to this consultation process.</w:t>
      </w:r>
      <w:r>
        <w:rPr>
          <w:lang w:eastAsia="ja-JP"/>
        </w:rPr>
        <w:t xml:space="preserve"> </w:t>
      </w:r>
    </w:p>
    <w:p w14:paraId="698C6603" w14:textId="69F941B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562F98E7"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2168D18"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9E37F02" w14:textId="77777777" w:rsidTr="002B134C">
        <w:tc>
          <w:tcPr>
            <w:tcW w:w="3395" w:type="dxa"/>
            <w:gridSpan w:val="2"/>
            <w:tcBorders>
              <w:top w:val="nil"/>
              <w:left w:val="single" w:sz="4" w:space="0" w:color="auto"/>
              <w:bottom w:val="nil"/>
              <w:right w:val="nil"/>
            </w:tcBorders>
          </w:tcPr>
          <w:p w14:paraId="7B09AD35"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D46BB8C" w14:textId="77777777" w:rsidR="002B134C" w:rsidRPr="00556843" w:rsidRDefault="002B134C" w:rsidP="00F658E8">
            <w:pPr>
              <w:pStyle w:val="TableText"/>
              <w:keepNext/>
              <w:rPr>
                <w:b/>
              </w:rPr>
            </w:pPr>
            <w:r w:rsidRPr="00556843">
              <w:rPr>
                <w:b/>
              </w:rPr>
              <w:t>Critically Endangered</w:t>
            </w:r>
          </w:p>
          <w:p w14:paraId="5D95B5E9"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370937F" w14:textId="77777777" w:rsidR="002B134C" w:rsidRPr="00556843" w:rsidRDefault="002B134C" w:rsidP="00F658E8">
            <w:pPr>
              <w:pStyle w:val="TableText"/>
              <w:keepNext/>
              <w:rPr>
                <w:b/>
              </w:rPr>
            </w:pPr>
            <w:r w:rsidRPr="00556843">
              <w:rPr>
                <w:b/>
              </w:rPr>
              <w:t>Endangered</w:t>
            </w:r>
          </w:p>
          <w:p w14:paraId="20D73F89"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7CAD40C9" w14:textId="77777777" w:rsidR="002B134C" w:rsidRPr="00556843" w:rsidRDefault="002B134C" w:rsidP="00F658E8">
            <w:pPr>
              <w:pStyle w:val="TableText"/>
              <w:keepNext/>
              <w:rPr>
                <w:b/>
              </w:rPr>
            </w:pPr>
            <w:r w:rsidRPr="00556843">
              <w:rPr>
                <w:b/>
              </w:rPr>
              <w:t>Vulnerable</w:t>
            </w:r>
          </w:p>
          <w:p w14:paraId="1D9B4CF1" w14:textId="77777777" w:rsidR="002B134C" w:rsidRPr="00556843" w:rsidRDefault="002B134C" w:rsidP="00F658E8">
            <w:pPr>
              <w:pStyle w:val="TableText"/>
              <w:keepNext/>
              <w:rPr>
                <w:b/>
              </w:rPr>
            </w:pPr>
            <w:r w:rsidRPr="00556843">
              <w:rPr>
                <w:b/>
              </w:rPr>
              <w:t>Limited</w:t>
            </w:r>
          </w:p>
        </w:tc>
      </w:tr>
      <w:tr w:rsidR="002B134C" w:rsidRPr="00556843" w14:paraId="2A99C208"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78C582D"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E1F9821"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D1C0566"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17080AF9" w14:textId="77777777" w:rsidR="002B134C" w:rsidRPr="00556843" w:rsidRDefault="002B134C" w:rsidP="00F658E8">
            <w:pPr>
              <w:pStyle w:val="TableText"/>
              <w:keepNext/>
            </w:pPr>
            <w:r w:rsidRPr="00556843">
              <w:rPr>
                <w:b/>
              </w:rPr>
              <w:t xml:space="preserve">&lt; 10,000 </w:t>
            </w:r>
          </w:p>
        </w:tc>
      </w:tr>
      <w:tr w:rsidR="002B134C" w:rsidRPr="00556843" w14:paraId="28B4192F"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7B582FF"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96F6587"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196AD4F"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C836B32" w14:textId="77777777" w:rsidR="002B134C" w:rsidRPr="00556843" w:rsidRDefault="002B134C" w:rsidP="00F658E8">
            <w:pPr>
              <w:pStyle w:val="TableText"/>
              <w:keepNext/>
              <w:rPr>
                <w:b/>
              </w:rPr>
            </w:pPr>
          </w:p>
        </w:tc>
      </w:tr>
      <w:tr w:rsidR="002B134C" w:rsidRPr="00556843" w14:paraId="2FD8697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036F203" w14:textId="15BEAD2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6EF1552" w14:textId="77777777" w:rsidR="002B134C" w:rsidRPr="00556843" w:rsidRDefault="002B134C" w:rsidP="00F658E8">
            <w:pPr>
              <w:pStyle w:val="TableText"/>
              <w:keepNext/>
              <w:rPr>
                <w:b/>
              </w:rPr>
            </w:pPr>
            <w:r w:rsidRPr="00556843">
              <w:rPr>
                <w:b/>
              </w:rPr>
              <w:t>Very high rate</w:t>
            </w:r>
          </w:p>
          <w:p w14:paraId="4D11E423" w14:textId="77777777" w:rsidR="002B134C" w:rsidRPr="00556843" w:rsidRDefault="002B134C" w:rsidP="00F658E8">
            <w:pPr>
              <w:pStyle w:val="TableText"/>
              <w:keepNext/>
              <w:rPr>
                <w:b/>
              </w:rPr>
            </w:pPr>
            <w:r w:rsidRPr="00556843">
              <w:rPr>
                <w:b/>
              </w:rPr>
              <w:t>25% in 3 years or 1 generation</w:t>
            </w:r>
          </w:p>
          <w:p w14:paraId="4269DFD1"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2BC2B3E" w14:textId="77777777" w:rsidR="002B134C" w:rsidRPr="00556843" w:rsidRDefault="002B134C" w:rsidP="00F658E8">
            <w:pPr>
              <w:pStyle w:val="TableText"/>
              <w:keepNext/>
              <w:rPr>
                <w:b/>
              </w:rPr>
            </w:pPr>
            <w:r w:rsidRPr="00556843">
              <w:rPr>
                <w:b/>
              </w:rPr>
              <w:t>High rate</w:t>
            </w:r>
          </w:p>
          <w:p w14:paraId="37D3CCF4" w14:textId="77777777" w:rsidR="002B134C" w:rsidRPr="00556843" w:rsidRDefault="002B134C" w:rsidP="00F658E8">
            <w:pPr>
              <w:pStyle w:val="TableText"/>
              <w:keepNext/>
              <w:rPr>
                <w:b/>
              </w:rPr>
            </w:pPr>
            <w:r w:rsidRPr="00556843">
              <w:rPr>
                <w:b/>
              </w:rPr>
              <w:t>20% in 5 years or 2 generation</w:t>
            </w:r>
          </w:p>
          <w:p w14:paraId="536A87FA"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38EF6BC5" w14:textId="77777777" w:rsidR="002B134C" w:rsidRPr="00556843" w:rsidRDefault="002B134C" w:rsidP="00F658E8">
            <w:pPr>
              <w:pStyle w:val="TableText"/>
              <w:keepNext/>
              <w:rPr>
                <w:b/>
              </w:rPr>
            </w:pPr>
            <w:r w:rsidRPr="00556843">
              <w:rPr>
                <w:b/>
              </w:rPr>
              <w:t>Substantial rate</w:t>
            </w:r>
          </w:p>
          <w:p w14:paraId="54063843" w14:textId="77777777" w:rsidR="002B134C" w:rsidRPr="00556843" w:rsidRDefault="002B134C" w:rsidP="00F658E8">
            <w:pPr>
              <w:pStyle w:val="TableText"/>
              <w:keepNext/>
              <w:rPr>
                <w:b/>
              </w:rPr>
            </w:pPr>
            <w:r w:rsidRPr="00556843">
              <w:rPr>
                <w:b/>
              </w:rPr>
              <w:t>10% in 10 years or 3 generations</w:t>
            </w:r>
          </w:p>
          <w:p w14:paraId="0DA9381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7CB0003D"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C540302" w14:textId="4F057DE5"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E041D58" w14:textId="77777777" w:rsidR="002B134C" w:rsidRPr="00556843" w:rsidRDefault="002B134C" w:rsidP="00F658E8">
            <w:pPr>
              <w:pStyle w:val="TableText"/>
              <w:keepNext/>
            </w:pPr>
          </w:p>
        </w:tc>
        <w:tc>
          <w:tcPr>
            <w:tcW w:w="1833" w:type="dxa"/>
            <w:tcBorders>
              <w:top w:val="nil"/>
              <w:left w:val="nil"/>
              <w:bottom w:val="nil"/>
              <w:right w:val="nil"/>
            </w:tcBorders>
          </w:tcPr>
          <w:p w14:paraId="5EE6ACF5"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528613BC" w14:textId="77777777" w:rsidR="002B134C" w:rsidRPr="00556843" w:rsidRDefault="002B134C" w:rsidP="00F658E8">
            <w:pPr>
              <w:pStyle w:val="TableText"/>
              <w:keepNext/>
            </w:pPr>
          </w:p>
        </w:tc>
      </w:tr>
      <w:tr w:rsidR="002B134C" w:rsidRPr="00556843" w14:paraId="0128DF6C"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0706286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2490E8D"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7BFF8DD"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ABAEE42"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05327C1" w14:textId="77777777" w:rsidR="002B134C" w:rsidRPr="00556843" w:rsidRDefault="002B134C" w:rsidP="00F658E8">
            <w:pPr>
              <w:pStyle w:val="TableText"/>
              <w:keepNext/>
              <w:rPr>
                <w:b/>
              </w:rPr>
            </w:pPr>
            <w:r w:rsidRPr="00556843">
              <w:rPr>
                <w:b/>
              </w:rPr>
              <w:t>≤ 1,000</w:t>
            </w:r>
          </w:p>
        </w:tc>
      </w:tr>
      <w:tr w:rsidR="002B134C" w:rsidRPr="00556843" w14:paraId="2D840E30"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80FF094"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8D160A"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D934C6B"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6E791AA"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CCC1D12" w14:textId="77777777" w:rsidR="002B134C" w:rsidRPr="00556843" w:rsidRDefault="002B134C" w:rsidP="00F658E8">
            <w:pPr>
              <w:pStyle w:val="TableText"/>
              <w:keepNext/>
              <w:rPr>
                <w:b/>
              </w:rPr>
            </w:pPr>
            <w:r w:rsidRPr="00556843">
              <w:rPr>
                <w:b/>
              </w:rPr>
              <w:t>100%</w:t>
            </w:r>
          </w:p>
        </w:tc>
      </w:tr>
      <w:tr w:rsidR="002B134C" w:rsidRPr="00556843" w14:paraId="02EBE4C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E210853"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14493D89"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8CA5B07"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66130677" w14:textId="77777777" w:rsidR="002B134C" w:rsidRPr="00556843" w:rsidRDefault="002B134C" w:rsidP="00F658E8">
            <w:pPr>
              <w:pStyle w:val="TableText"/>
              <w:keepNext/>
            </w:pPr>
          </w:p>
        </w:tc>
      </w:tr>
    </w:tbl>
    <w:p w14:paraId="255B41EC" w14:textId="50B9BC73" w:rsidR="002B69E4" w:rsidRPr="002B69E4" w:rsidRDefault="00C2736A" w:rsidP="00CD30FC">
      <w:pPr>
        <w:pStyle w:val="Heading3"/>
        <w:spacing w:before="240"/>
        <w:ind w:left="964" w:hanging="964"/>
      </w:pPr>
      <w:r>
        <w:t>Criterion 3 e</w:t>
      </w:r>
      <w:r w:rsidR="002B69E4" w:rsidRPr="002B69E4">
        <w:t>vidence</w:t>
      </w:r>
    </w:p>
    <w:p w14:paraId="38FCC849" w14:textId="468F3233" w:rsidR="002B69E4" w:rsidRPr="00CD30FC" w:rsidRDefault="00A45C2B" w:rsidP="002B69E4">
      <w:pPr>
        <w:rPr>
          <w:rStyle w:val="Strong"/>
        </w:rPr>
      </w:pPr>
      <w:r w:rsidRPr="00AA5A84">
        <w:rPr>
          <w:rStyle w:val="Strong"/>
        </w:rPr>
        <w:t>N</w:t>
      </w:r>
      <w:r w:rsidR="002B69E4" w:rsidRPr="00AA5A84">
        <w:rPr>
          <w:rStyle w:val="Strong"/>
        </w:rPr>
        <w:t>ot eligible</w:t>
      </w:r>
    </w:p>
    <w:p w14:paraId="1A8CCCD4" w14:textId="2788922C" w:rsidR="002B5311" w:rsidRDefault="00AA5A84" w:rsidP="00390503">
      <w:pPr>
        <w:rPr>
          <w:lang w:eastAsia="ja-JP"/>
        </w:rPr>
      </w:pPr>
      <w:r w:rsidRPr="00AA5A84">
        <w:rPr>
          <w:lang w:eastAsia="ja-JP"/>
        </w:rPr>
        <w:t>The total number of mature individuals is estimated to be</w:t>
      </w:r>
      <w:r>
        <w:rPr>
          <w:lang w:eastAsia="ja-JP"/>
        </w:rPr>
        <w:t xml:space="preserve"> </w:t>
      </w:r>
      <w:r w:rsidRPr="00AA5A84">
        <w:rPr>
          <w:lang w:eastAsia="ja-JP"/>
        </w:rPr>
        <w:t>136,000 (range 68,000–272,000</w:t>
      </w:r>
      <w:r w:rsidR="00C3428D">
        <w:rPr>
          <w:lang w:eastAsia="ja-JP"/>
        </w:rPr>
        <w:t>; low reliability</w:t>
      </w:r>
      <w:r w:rsidRPr="00AA5A84">
        <w:rPr>
          <w:lang w:eastAsia="ja-JP"/>
        </w:rPr>
        <w:t xml:space="preserve">) </w:t>
      </w:r>
      <w:r w:rsidR="006937B3" w:rsidRPr="006937B3">
        <w:rPr>
          <w:lang w:eastAsia="ja-JP"/>
        </w:rPr>
        <w:t xml:space="preserve">with a declining trend </w:t>
      </w:r>
      <w:r w:rsidRPr="00AA5A84">
        <w:rPr>
          <w:lang w:eastAsia="ja-JP"/>
        </w:rPr>
        <w:t>(Hodder et al. 2021</w:t>
      </w:r>
      <w:r>
        <w:rPr>
          <w:lang w:eastAsia="ja-JP"/>
        </w:rPr>
        <w:t xml:space="preserve">). </w:t>
      </w:r>
      <w:r w:rsidR="0036347A" w:rsidRPr="00AA5A84">
        <w:rPr>
          <w:lang w:eastAsia="ja-JP"/>
        </w:rPr>
        <w:t xml:space="preserve">There are estimated to be </w:t>
      </w:r>
      <w:r w:rsidR="0036347A">
        <w:rPr>
          <w:lang w:eastAsia="ja-JP"/>
        </w:rPr>
        <w:t>three</w:t>
      </w:r>
      <w:r w:rsidR="0036347A" w:rsidRPr="00AA5A84">
        <w:rPr>
          <w:lang w:eastAsia="ja-JP"/>
        </w:rPr>
        <w:t xml:space="preserve"> subpopulations with a declining trend. The number of mature individuals in the largest subpopulation is estimated to be 1</w:t>
      </w:r>
      <w:r w:rsidR="0036347A">
        <w:rPr>
          <w:lang w:eastAsia="ja-JP"/>
        </w:rPr>
        <w:t>25</w:t>
      </w:r>
      <w:r w:rsidR="0036347A" w:rsidRPr="00AA5A84">
        <w:rPr>
          <w:lang w:eastAsia="ja-JP"/>
        </w:rPr>
        <w:t xml:space="preserve">,000 (range </w:t>
      </w:r>
      <w:r w:rsidR="0036347A">
        <w:rPr>
          <w:lang w:eastAsia="ja-JP"/>
        </w:rPr>
        <w:t>60</w:t>
      </w:r>
      <w:r w:rsidR="0036347A" w:rsidRPr="00AA5A84">
        <w:rPr>
          <w:lang w:eastAsia="ja-JP"/>
        </w:rPr>
        <w:t>,000–</w:t>
      </w:r>
      <w:r w:rsidR="0036347A">
        <w:rPr>
          <w:lang w:eastAsia="ja-JP"/>
        </w:rPr>
        <w:t>260</w:t>
      </w:r>
      <w:r w:rsidR="0036347A" w:rsidRPr="00AA5A84">
        <w:rPr>
          <w:lang w:eastAsia="ja-JP"/>
        </w:rPr>
        <w:t>,000)</w:t>
      </w:r>
      <w:r w:rsidR="0036347A">
        <w:rPr>
          <w:lang w:eastAsia="ja-JP"/>
        </w:rPr>
        <w:t xml:space="preserve"> (Hodder et al. 2021)</w:t>
      </w:r>
      <w:r w:rsidR="0036347A" w:rsidRPr="00AA5A84">
        <w:rPr>
          <w:lang w:eastAsia="ja-JP"/>
        </w:rPr>
        <w:t xml:space="preserve">. </w:t>
      </w:r>
      <w:r w:rsidR="006937B3" w:rsidRPr="006937B3">
        <w:rPr>
          <w:lang w:eastAsia="ja-JP"/>
        </w:rPr>
        <w:t xml:space="preserve">The species is not subject to extreme fluctuations in EOO, AOO, number of subpopulations, </w:t>
      </w:r>
      <w:proofErr w:type="gramStart"/>
      <w:r w:rsidR="006937B3" w:rsidRPr="006937B3">
        <w:rPr>
          <w:lang w:eastAsia="ja-JP"/>
        </w:rPr>
        <w:t>locations</w:t>
      </w:r>
      <w:proofErr w:type="gramEnd"/>
      <w:r w:rsidR="006937B3" w:rsidRPr="006937B3">
        <w:rPr>
          <w:lang w:eastAsia="ja-JP"/>
        </w:rPr>
        <w:t xml:space="preserve"> or mature individuals</w:t>
      </w:r>
      <w:r w:rsidR="006937B3">
        <w:rPr>
          <w:lang w:eastAsia="ja-JP"/>
        </w:rPr>
        <w:t xml:space="preserve"> </w:t>
      </w:r>
      <w:r w:rsidR="006937B3" w:rsidRPr="00AA5A84">
        <w:rPr>
          <w:lang w:eastAsia="ja-JP"/>
        </w:rPr>
        <w:t>(Hodder et al. 2021</w:t>
      </w:r>
      <w:r w:rsidR="006937B3">
        <w:rPr>
          <w:lang w:eastAsia="ja-JP"/>
        </w:rPr>
        <w:t>).</w:t>
      </w:r>
    </w:p>
    <w:p w14:paraId="679EE7BF" w14:textId="00F38D9F" w:rsidR="00390503" w:rsidRDefault="00390503" w:rsidP="00390503">
      <w:pPr>
        <w:rPr>
          <w:lang w:eastAsia="ja-JP"/>
        </w:rPr>
      </w:pPr>
      <w:r w:rsidRPr="00E37B1D">
        <w:rPr>
          <w:lang w:eastAsia="ja-JP"/>
        </w:rPr>
        <w:t xml:space="preserve">The data presented above appear to demonstrate the species is not eligible for listing under this criterion. However, the purpose of this consultation document is to elicit additional information to better understand the species’ status. This conclusion should therefore </w:t>
      </w:r>
      <w:proofErr w:type="gramStart"/>
      <w:r w:rsidRPr="00E37B1D">
        <w:rPr>
          <w:lang w:eastAsia="ja-JP"/>
        </w:rPr>
        <w:t>be considered to be</w:t>
      </w:r>
      <w:proofErr w:type="gramEnd"/>
      <w:r w:rsidRPr="00E37B1D">
        <w:rPr>
          <w:lang w:eastAsia="ja-JP"/>
        </w:rPr>
        <w:t xml:space="preserve"> tentative at this stage, as it may be changed as a result of responses to this consultation process.</w:t>
      </w:r>
      <w:r>
        <w:rPr>
          <w:lang w:eastAsia="ja-JP"/>
        </w:rPr>
        <w:t xml:space="preserve"> </w:t>
      </w:r>
    </w:p>
    <w:p w14:paraId="61158563" w14:textId="161C5D9C"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4D6C4D10"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16DD409" w14:textId="1522902C" w:rsidR="00166185" w:rsidRPr="00166185" w:rsidRDefault="00166185" w:rsidP="000E630E">
            <w:pPr>
              <w:pStyle w:val="TableText"/>
              <w:keepNext/>
            </w:pPr>
          </w:p>
        </w:tc>
      </w:tr>
      <w:tr w:rsidR="00166185" w:rsidRPr="00166185" w14:paraId="5CADCF9D"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ED538F3" w14:textId="0EF106F5"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4F6AFD2" w14:textId="77777777" w:rsidR="00166185" w:rsidRPr="009E3E71" w:rsidRDefault="00166185" w:rsidP="000E630E">
            <w:pPr>
              <w:pStyle w:val="TableText"/>
              <w:keepNext/>
              <w:rPr>
                <w:rStyle w:val="Strong"/>
              </w:rPr>
            </w:pPr>
            <w:r w:rsidRPr="009E3E71">
              <w:rPr>
                <w:rStyle w:val="Strong"/>
              </w:rPr>
              <w:t>Critically Endangered</w:t>
            </w:r>
          </w:p>
          <w:p w14:paraId="66C3FA8E"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07700FAD" w14:textId="77777777" w:rsidR="00166185" w:rsidRPr="009E3E71" w:rsidRDefault="00166185" w:rsidP="000E630E">
            <w:pPr>
              <w:pStyle w:val="TableText"/>
              <w:keepNext/>
              <w:rPr>
                <w:rStyle w:val="Strong"/>
              </w:rPr>
            </w:pPr>
            <w:r w:rsidRPr="009E3E71">
              <w:rPr>
                <w:rStyle w:val="Strong"/>
              </w:rPr>
              <w:t>Endangered</w:t>
            </w:r>
          </w:p>
          <w:p w14:paraId="71161D83"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877173C" w14:textId="77777777" w:rsidR="00166185" w:rsidRPr="009E3E71" w:rsidRDefault="00166185" w:rsidP="000E630E">
            <w:pPr>
              <w:pStyle w:val="TableText"/>
              <w:keepNext/>
              <w:rPr>
                <w:rStyle w:val="Strong"/>
              </w:rPr>
            </w:pPr>
            <w:r w:rsidRPr="009E3E71">
              <w:rPr>
                <w:rStyle w:val="Strong"/>
              </w:rPr>
              <w:t>Vulnerable</w:t>
            </w:r>
          </w:p>
          <w:p w14:paraId="0BC34153" w14:textId="77777777" w:rsidR="00166185" w:rsidRPr="009E3E71" w:rsidRDefault="00166185" w:rsidP="000E630E">
            <w:pPr>
              <w:pStyle w:val="TableText"/>
              <w:keepNext/>
              <w:rPr>
                <w:rStyle w:val="Strong"/>
              </w:rPr>
            </w:pPr>
            <w:r w:rsidRPr="009E3E71">
              <w:rPr>
                <w:rStyle w:val="Strong"/>
              </w:rPr>
              <w:t>Low</w:t>
            </w:r>
          </w:p>
        </w:tc>
      </w:tr>
      <w:tr w:rsidR="00166185" w:rsidRPr="00166185" w14:paraId="21FFCB59"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302984C" w14:textId="3A2FA34F"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599626A"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8616F4C"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CF79AF0"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10E51514"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6D28C6DB" w14:textId="5098EE22"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5061C23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165493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5B7BA5F"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6475A919"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0BEEC6B"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7" w:history="1">
        <w:r w:rsidRPr="00166185">
          <w:rPr>
            <w:rStyle w:val="Hyperlink"/>
            <w:bCs/>
            <w:i/>
            <w:iCs/>
          </w:rPr>
          <w:t>common assessment method</w:t>
        </w:r>
      </w:hyperlink>
      <w:r w:rsidRPr="00166185">
        <w:t>.</w:t>
      </w:r>
    </w:p>
    <w:p w14:paraId="727104F9" w14:textId="19E72260" w:rsidR="00C2736A" w:rsidRPr="00C2736A" w:rsidRDefault="00C2736A">
      <w:pPr>
        <w:pStyle w:val="Heading3"/>
        <w:ind w:left="964" w:hanging="964"/>
      </w:pPr>
      <w:r>
        <w:t>Criterion 4 e</w:t>
      </w:r>
      <w:r w:rsidR="00BE530B" w:rsidRPr="00BE530B">
        <w:t>vidence</w:t>
      </w:r>
    </w:p>
    <w:p w14:paraId="50F4D4CE" w14:textId="77875262" w:rsidR="00BE530B" w:rsidRPr="00AD2D38" w:rsidRDefault="00BE530B" w:rsidP="00BE530B">
      <w:pPr>
        <w:rPr>
          <w:rStyle w:val="Strong"/>
        </w:rPr>
      </w:pPr>
      <w:r w:rsidRPr="00EF343C">
        <w:rPr>
          <w:rStyle w:val="Strong"/>
        </w:rPr>
        <w:t>Not eligible</w:t>
      </w:r>
    </w:p>
    <w:p w14:paraId="459056B5" w14:textId="09B74167" w:rsidR="00390503" w:rsidRDefault="00EF343C" w:rsidP="00EF343C">
      <w:r w:rsidRPr="00EF343C">
        <w:t>The total number of mature individuals is 136,000 (range 68,000–272,000</w:t>
      </w:r>
      <w:r w:rsidR="00C3428D">
        <w:t>; low reliability</w:t>
      </w:r>
      <w:r w:rsidRPr="00EF343C">
        <w:t>) (</w:t>
      </w:r>
      <w:r>
        <w:t>Hodder</w:t>
      </w:r>
      <w:r w:rsidRPr="00EF343C">
        <w:t xml:space="preserve"> et al. 2021). </w:t>
      </w:r>
    </w:p>
    <w:p w14:paraId="4D5B2C81" w14:textId="77777777" w:rsidR="00390503" w:rsidRDefault="00390503" w:rsidP="00390503">
      <w:pPr>
        <w:rPr>
          <w:lang w:eastAsia="ja-JP"/>
        </w:rPr>
      </w:pPr>
      <w:r w:rsidRPr="00E37B1D">
        <w:rPr>
          <w:lang w:eastAsia="ja-JP"/>
        </w:rPr>
        <w:t xml:space="preserve">The data presented above appear to demonstrate the species is not eligible for listing under this criterion. However, the purpose of this consultation document is to elicit additional information to better understand the species’ status. This conclusion should therefore </w:t>
      </w:r>
      <w:proofErr w:type="gramStart"/>
      <w:r w:rsidRPr="00E37B1D">
        <w:rPr>
          <w:lang w:eastAsia="ja-JP"/>
        </w:rPr>
        <w:t>be considered to be</w:t>
      </w:r>
      <w:proofErr w:type="gramEnd"/>
      <w:r w:rsidRPr="00E37B1D">
        <w:rPr>
          <w:lang w:eastAsia="ja-JP"/>
        </w:rPr>
        <w:t xml:space="preserve"> tentative at this stage, as it may be changed as a result of responses to this consultation process.</w:t>
      </w:r>
      <w:r>
        <w:rPr>
          <w:lang w:eastAsia="ja-JP"/>
        </w:rPr>
        <w:t xml:space="preserve"> </w:t>
      </w:r>
    </w:p>
    <w:p w14:paraId="6CB5188C" w14:textId="105C720F"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04D1B3AF"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E89BAD7" w14:textId="0E16688A" w:rsidR="00AD2722" w:rsidRPr="00556843" w:rsidRDefault="00AD2722" w:rsidP="000E630E">
            <w:pPr>
              <w:keepNext/>
              <w:tabs>
                <w:tab w:val="left" w:pos="284"/>
              </w:tabs>
              <w:rPr>
                <w:rFonts w:ascii="Arial" w:hAnsi="Arial" w:cs="Arial"/>
                <w:b/>
                <w:color w:val="FFFFFF" w:themeColor="background1"/>
              </w:rPr>
            </w:pPr>
          </w:p>
        </w:tc>
      </w:tr>
      <w:tr w:rsidR="00AD2722" w:rsidRPr="00556843" w14:paraId="700FB662" w14:textId="77777777" w:rsidTr="001C7420">
        <w:trPr>
          <w:trHeight w:val="439"/>
        </w:trPr>
        <w:tc>
          <w:tcPr>
            <w:tcW w:w="4042" w:type="dxa"/>
            <w:tcBorders>
              <w:top w:val="nil"/>
              <w:left w:val="single" w:sz="4" w:space="0" w:color="auto"/>
              <w:bottom w:val="nil"/>
              <w:right w:val="nil"/>
            </w:tcBorders>
          </w:tcPr>
          <w:p w14:paraId="7BE6F180" w14:textId="0F1AD6B3"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5CBACCA" w14:textId="77777777" w:rsidR="00AD2722" w:rsidRPr="009E3E71" w:rsidRDefault="00AD2722" w:rsidP="000E630E">
            <w:pPr>
              <w:pStyle w:val="TableText"/>
              <w:keepNext/>
              <w:rPr>
                <w:rStyle w:val="Strong"/>
              </w:rPr>
            </w:pPr>
            <w:r w:rsidRPr="009E3E71">
              <w:rPr>
                <w:rStyle w:val="Strong"/>
              </w:rPr>
              <w:t>Critically Endangered</w:t>
            </w:r>
          </w:p>
          <w:p w14:paraId="51B0B3CC"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2EE80F7" w14:textId="77777777" w:rsidR="00AD2722" w:rsidRPr="009E3E71" w:rsidRDefault="00AD2722" w:rsidP="000E630E">
            <w:pPr>
              <w:pStyle w:val="TableText"/>
              <w:keepNext/>
              <w:rPr>
                <w:rStyle w:val="Strong"/>
              </w:rPr>
            </w:pPr>
            <w:r w:rsidRPr="009E3E71">
              <w:rPr>
                <w:rStyle w:val="Strong"/>
              </w:rPr>
              <w:t>Endangered</w:t>
            </w:r>
          </w:p>
          <w:p w14:paraId="12D62DC5"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DA68E39" w14:textId="77777777" w:rsidR="00AD2722" w:rsidRPr="009E3E71" w:rsidRDefault="00AD2722" w:rsidP="000E630E">
            <w:pPr>
              <w:pStyle w:val="TableText"/>
              <w:keepNext/>
              <w:rPr>
                <w:rStyle w:val="Strong"/>
              </w:rPr>
            </w:pPr>
            <w:r w:rsidRPr="009E3E71">
              <w:rPr>
                <w:rStyle w:val="Strong"/>
              </w:rPr>
              <w:t>Vulnerable</w:t>
            </w:r>
          </w:p>
          <w:p w14:paraId="39AAFF44"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3DF44964"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5D4AFE9"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B6D3D1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8CE2F3E"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8F72FDE"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45FADB1F" w14:textId="52FB2098" w:rsidR="00AD2722" w:rsidRPr="00B8130A" w:rsidRDefault="00C2736A" w:rsidP="00A41058">
      <w:pPr>
        <w:pStyle w:val="Heading3"/>
        <w:spacing w:before="240"/>
        <w:ind w:left="964" w:hanging="964"/>
      </w:pPr>
      <w:r w:rsidRPr="00B8130A">
        <w:t>Criterion 5 e</w:t>
      </w:r>
      <w:r w:rsidR="00AD2722" w:rsidRPr="00B8130A">
        <w:t>vidence</w:t>
      </w:r>
    </w:p>
    <w:p w14:paraId="61E6B7BA" w14:textId="77777777" w:rsidR="00145862" w:rsidRPr="00A41058" w:rsidRDefault="00AD2722" w:rsidP="00AD2722">
      <w:pPr>
        <w:rPr>
          <w:rStyle w:val="Strong"/>
        </w:rPr>
      </w:pPr>
      <w:r w:rsidRPr="00B8130A">
        <w:rPr>
          <w:rStyle w:val="Strong"/>
        </w:rPr>
        <w:t>Insufficient data to determine eligibility</w:t>
      </w:r>
      <w:r w:rsidRPr="00A41058">
        <w:rPr>
          <w:rStyle w:val="Strong"/>
        </w:rPr>
        <w:t xml:space="preserve"> </w:t>
      </w:r>
    </w:p>
    <w:p w14:paraId="252E572F" w14:textId="3D66ED6D" w:rsidR="00390503" w:rsidRPr="00390503" w:rsidRDefault="00390503" w:rsidP="00390503">
      <w:pPr>
        <w:rPr>
          <w:bCs/>
        </w:rPr>
      </w:pPr>
      <w:r w:rsidRPr="00E37B1D">
        <w:rPr>
          <w:bCs/>
        </w:rPr>
        <w:t xml:space="preserve">Population viability analysis appears not to have been undertaken, and therefore there is insufficient data to demonstrate if the species is eligible for listing under this criterion. </w:t>
      </w:r>
      <w:bookmarkStart w:id="13" w:name="_Hlk65766140"/>
      <w:r w:rsidRPr="00E37B1D">
        <w:rPr>
          <w:bCs/>
        </w:rPr>
        <w:t xml:space="preserve">However, the purpose of this consultation document is to elicit additional information to better </w:t>
      </w:r>
      <w:r w:rsidRPr="00E37B1D">
        <w:rPr>
          <w:bCs/>
        </w:rPr>
        <w:lastRenderedPageBreak/>
        <w:t xml:space="preserve">understand the species’ status. This conclusion should therefore </w:t>
      </w:r>
      <w:proofErr w:type="gramStart"/>
      <w:r w:rsidRPr="00E37B1D">
        <w:rPr>
          <w:bCs/>
        </w:rPr>
        <w:t>be considered to be</w:t>
      </w:r>
      <w:proofErr w:type="gramEnd"/>
      <w:r w:rsidRPr="00E37B1D">
        <w:rPr>
          <w:bCs/>
        </w:rPr>
        <w:t xml:space="preserve"> tentative at this stage, as it may be changed as a result of responses to this consultation process.</w:t>
      </w:r>
      <w:bookmarkEnd w:id="13"/>
    </w:p>
    <w:p w14:paraId="5C6C43B0" w14:textId="268DB390" w:rsidR="00AD2722" w:rsidRPr="00AD2722" w:rsidRDefault="00AD2722" w:rsidP="00F20180">
      <w:pPr>
        <w:pStyle w:val="Heading3"/>
        <w:ind w:left="964" w:hanging="964"/>
      </w:pPr>
      <w:r w:rsidRPr="00AD2722">
        <w:t>Adequacy of survey</w:t>
      </w:r>
    </w:p>
    <w:p w14:paraId="3FAFA75A" w14:textId="37FD3630" w:rsidR="00D020BF" w:rsidRDefault="00AD2722" w:rsidP="00F20180">
      <w:pPr>
        <w:rPr>
          <w:bCs/>
        </w:rPr>
      </w:pPr>
      <w:r w:rsidRPr="00390503">
        <w:rPr>
          <w:bCs/>
        </w:rPr>
        <w:t>The survey effort has been considered adequate and there is sufficient scientific evidence to support the assessment.</w:t>
      </w:r>
    </w:p>
    <w:p w14:paraId="08149FFD" w14:textId="77777777" w:rsidR="00D020BF" w:rsidRDefault="00D020BF">
      <w:pPr>
        <w:spacing w:after="0" w:line="240" w:lineRule="auto"/>
        <w:rPr>
          <w:bCs/>
        </w:rPr>
      </w:pPr>
      <w:r>
        <w:rPr>
          <w:bCs/>
        </w:rPr>
        <w:br w:type="page"/>
      </w:r>
    </w:p>
    <w:p w14:paraId="2D60A69D" w14:textId="0F44CF5B" w:rsidR="00390503" w:rsidRPr="00341C73" w:rsidRDefault="00390503" w:rsidP="00390503">
      <w:pPr>
        <w:pStyle w:val="TSSC"/>
        <w:numPr>
          <w:ilvl w:val="0"/>
          <w:numId w:val="0"/>
        </w:numPr>
        <w:tabs>
          <w:tab w:val="clear" w:pos="567"/>
          <w:tab w:val="left" w:pos="720"/>
        </w:tabs>
        <w:ind w:left="1560" w:hanging="1560"/>
        <w:rPr>
          <w:rFonts w:ascii="Arial" w:hAnsi="Arial" w:cs="Arial"/>
          <w:b/>
          <w:szCs w:val="24"/>
          <w:u w:val="single"/>
        </w:rPr>
      </w:pPr>
      <w:r w:rsidRPr="00341C73">
        <w:rPr>
          <w:rFonts w:ascii="Arial" w:hAnsi="Arial" w:cs="Arial"/>
          <w:b/>
          <w:szCs w:val="24"/>
          <w:u w:val="single"/>
        </w:rPr>
        <w:lastRenderedPageBreak/>
        <w:t xml:space="preserve">CONSULTATION QUESTIONS FOR </w:t>
      </w:r>
      <w:proofErr w:type="spellStart"/>
      <w:r w:rsidRPr="00390503">
        <w:rPr>
          <w:rFonts w:ascii="Arial" w:hAnsi="Arial" w:cs="Arial"/>
          <w:b/>
          <w:i/>
          <w:iCs/>
          <w:szCs w:val="24"/>
          <w:u w:val="single"/>
        </w:rPr>
        <w:t>Stagonopleura</w:t>
      </w:r>
      <w:proofErr w:type="spellEnd"/>
      <w:r w:rsidRPr="00390503">
        <w:rPr>
          <w:rFonts w:ascii="Arial" w:hAnsi="Arial" w:cs="Arial"/>
          <w:b/>
          <w:i/>
          <w:iCs/>
          <w:szCs w:val="24"/>
          <w:u w:val="single"/>
        </w:rPr>
        <w:t xml:space="preserve"> guttata</w:t>
      </w:r>
      <w:r w:rsidRPr="00390503">
        <w:rPr>
          <w:rFonts w:ascii="Arial" w:hAnsi="Arial" w:cs="Arial"/>
          <w:b/>
          <w:szCs w:val="24"/>
          <w:u w:val="single"/>
        </w:rPr>
        <w:t xml:space="preserve"> (Diamond Firetail) </w:t>
      </w:r>
    </w:p>
    <w:p w14:paraId="6FE495B2" w14:textId="77777777" w:rsidR="00390503" w:rsidRPr="00341C73" w:rsidRDefault="00390503" w:rsidP="00390503">
      <w:pPr>
        <w:tabs>
          <w:tab w:val="left" w:pos="720"/>
        </w:tabs>
        <w:spacing w:after="240" w:line="240" w:lineRule="auto"/>
        <w:ind w:left="1560" w:hanging="1560"/>
        <w:rPr>
          <w:rFonts w:ascii="Arial" w:eastAsia="Times New Roman" w:hAnsi="Arial" w:cs="Arial"/>
          <w:u w:val="single"/>
        </w:rPr>
      </w:pPr>
      <w:r w:rsidRPr="00341C73">
        <w:rPr>
          <w:rFonts w:ascii="Arial" w:eastAsia="Times New Roman" w:hAnsi="Arial" w:cs="Arial"/>
          <w:b/>
          <w:u w:val="single"/>
        </w:rPr>
        <w:t>SECTION A - GENERAL</w:t>
      </w:r>
    </w:p>
    <w:p w14:paraId="2F4FC480"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information used to assess the nationally threatened status of the species/subspecies robust? Have all the underlying assumptions been made explicit? Please provide justification for your response.</w:t>
      </w:r>
    </w:p>
    <w:p w14:paraId="22323FA3"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7CC02195"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data or information relevant to this assessment?</w:t>
      </w:r>
    </w:p>
    <w:p w14:paraId="71D55B5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211F2A4C"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Have you been involved in previous state, </w:t>
      </w:r>
      <w:proofErr w:type="gramStart"/>
      <w:r w:rsidRPr="00341C73">
        <w:rPr>
          <w:rFonts w:ascii="Arial" w:eastAsia="Times New Roman" w:hAnsi="Arial" w:cs="Arial"/>
        </w:rPr>
        <w:t>territory</w:t>
      </w:r>
      <w:proofErr w:type="gramEnd"/>
      <w:r w:rsidRPr="00341C73">
        <w:rPr>
          <w:rFonts w:ascii="Arial" w:eastAsia="Times New Roman" w:hAnsi="Arial" w:cs="Arial"/>
        </w:rPr>
        <w:t xml:space="preserve"> or national assessments of this species/subspecies? If so, in what capacity?</w:t>
      </w:r>
    </w:p>
    <w:p w14:paraId="43A676E8"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642C7F31"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1A185DA2"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1 – INFORMATION TO ASSIST LISTING ASSESSMENT</w:t>
      </w:r>
    </w:p>
    <w:p w14:paraId="33CCD9BB"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54C9B885"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59B89B22"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B</w:t>
      </w:r>
      <w:r w:rsidRPr="00341C73">
        <w:rPr>
          <w:rFonts w:ascii="Arial" w:eastAsia="Times New Roman" w:hAnsi="Arial" w:cs="Arial"/>
          <w:b/>
        </w:rPr>
        <w:tab/>
        <w:t>DO YOU HAVE ADDITIONAL INFORMATION ON THE ECOLOGY OR BIOLOGY OF THE SPECIES/SUBSPECIES? (If no, skip to section C)</w:t>
      </w:r>
    </w:p>
    <w:p w14:paraId="1A2458DF"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p>
    <w:p w14:paraId="7F721D9A" w14:textId="77777777" w:rsidR="00390503" w:rsidRPr="00341C73" w:rsidRDefault="00390503" w:rsidP="00390503">
      <w:pPr>
        <w:autoSpaceDE w:val="0"/>
        <w:autoSpaceDN w:val="0"/>
        <w:adjustRightInd w:val="0"/>
        <w:spacing w:after="0" w:line="240" w:lineRule="auto"/>
        <w:rPr>
          <w:rFonts w:ascii="Arial" w:eastAsia="Times New Roman" w:hAnsi="Arial" w:cs="Arial"/>
          <w:b/>
          <w:bCs/>
        </w:rPr>
      </w:pPr>
      <w:r w:rsidRPr="00341C73">
        <w:rPr>
          <w:rFonts w:ascii="Arial" w:eastAsia="Times New Roman" w:hAnsi="Arial" w:cs="Arial"/>
          <w:b/>
          <w:bCs/>
        </w:rPr>
        <w:t>Biological information</w:t>
      </w:r>
    </w:p>
    <w:p w14:paraId="57E69ECB" w14:textId="77777777" w:rsidR="00390503" w:rsidRPr="00341C73" w:rsidRDefault="00390503" w:rsidP="00390503">
      <w:pPr>
        <w:autoSpaceDE w:val="0"/>
        <w:autoSpaceDN w:val="0"/>
        <w:adjustRightInd w:val="0"/>
        <w:spacing w:after="0" w:line="240" w:lineRule="auto"/>
        <w:rPr>
          <w:rFonts w:ascii="Arial" w:eastAsia="Times New Roman" w:hAnsi="Arial" w:cs="Arial"/>
          <w:b/>
          <w:bCs/>
        </w:rPr>
      </w:pPr>
    </w:p>
    <w:p w14:paraId="4566C9B5"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any additional or alternative references, information or estimates on longevity, average life span and generation length?</w:t>
      </w:r>
    </w:p>
    <w:p w14:paraId="1354F72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3D9B4BB2"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have any additional information on the ecology or biology of the species/subspecies not in the current advice?</w:t>
      </w:r>
    </w:p>
    <w:p w14:paraId="09B3B70C"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4E81F07F"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C</w:t>
      </w:r>
      <w:r w:rsidRPr="00341C73">
        <w:rPr>
          <w:rFonts w:ascii="Arial" w:eastAsia="Times New Roman" w:hAnsi="Arial" w:cs="Arial"/>
        </w:rPr>
        <w:tab/>
      </w:r>
      <w:r w:rsidRPr="00341C73">
        <w:rPr>
          <w:rFonts w:ascii="Arial" w:eastAsia="Times New Roman" w:hAnsi="Arial" w:cs="Arial"/>
          <w:b/>
        </w:rPr>
        <w:t>ARE YOU AWARE OF THE STATUS OF THE TOTAL NATIONAL POPULATION OF THE SPECIES/SUBSPECIES? (If no, skip to section D)</w:t>
      </w:r>
    </w:p>
    <w:p w14:paraId="69F40742"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51C767FC"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Population size</w:t>
      </w:r>
    </w:p>
    <w:p w14:paraId="69ED15CC"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p>
    <w:p w14:paraId="476A187D"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taxon been adequate to determine its national adult population size? If not, please provide justification for your response.</w:t>
      </w:r>
    </w:p>
    <w:p w14:paraId="4C3A4408"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7250D1D4"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218E9393"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75C0350F"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If not, can you provide a further estimate of the current population size of mature adults of the species/subspecies (national extent)? Please provide supporting justification or other information.</w:t>
      </w:r>
    </w:p>
    <w:p w14:paraId="69C0654D"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14FB27B2"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022EA0A6"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p>
    <w:p w14:paraId="51D5B0A2"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472CFC19" w14:textId="77777777" w:rsidR="00214AE1"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w:t>
      </w:r>
      <w:r w:rsidR="00214AE1">
        <w:rPr>
          <w:rFonts w:ascii="Arial" w:eastAsia="Times New Roman" w:hAnsi="Arial" w:cs="Arial"/>
        </w:rPr>
        <w:t xml:space="preserve">&lt;50,000 </w:t>
      </w:r>
      <w:r w:rsidRPr="00341C73">
        <w:rPr>
          <w:rFonts w:ascii="Arial" w:eastAsia="Times New Roman" w:hAnsi="Arial" w:cs="Arial"/>
          <w:sz w:val="44"/>
          <w:szCs w:val="44"/>
        </w:rPr>
        <w:t>□</w:t>
      </w:r>
      <w:r w:rsidRPr="00341C73">
        <w:rPr>
          <w:rFonts w:ascii="Arial" w:eastAsia="Times New Roman" w:hAnsi="Arial" w:cs="Arial"/>
        </w:rPr>
        <w:t xml:space="preserve"> </w:t>
      </w:r>
      <w:r w:rsidR="00214AE1">
        <w:rPr>
          <w:rFonts w:ascii="Arial" w:eastAsia="Times New Roman" w:hAnsi="Arial" w:cs="Arial"/>
        </w:rPr>
        <w:t>50,001</w:t>
      </w:r>
      <w:r w:rsidRPr="00341C73">
        <w:rPr>
          <w:rFonts w:ascii="Arial" w:eastAsia="Times New Roman" w:hAnsi="Arial" w:cs="Arial"/>
        </w:rPr>
        <w:t>–</w:t>
      </w:r>
      <w:r w:rsidR="00214AE1">
        <w:rPr>
          <w:rFonts w:ascii="Arial" w:eastAsia="Times New Roman" w:hAnsi="Arial" w:cs="Arial"/>
        </w:rPr>
        <w:t>100,000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sidR="00214AE1">
        <w:rPr>
          <w:rFonts w:ascii="Arial" w:eastAsia="Times New Roman" w:hAnsi="Arial" w:cs="Arial"/>
        </w:rPr>
        <w:t>100,001</w:t>
      </w:r>
      <w:r w:rsidRPr="00341C73">
        <w:rPr>
          <w:rFonts w:ascii="Arial" w:eastAsia="Times New Roman" w:hAnsi="Arial" w:cs="Arial"/>
        </w:rPr>
        <w:t>–</w:t>
      </w:r>
      <w:r>
        <w:rPr>
          <w:rFonts w:ascii="Arial" w:eastAsia="Times New Roman" w:hAnsi="Arial" w:cs="Arial"/>
        </w:rPr>
        <w:t>1</w:t>
      </w:r>
      <w:r w:rsidR="00214AE1">
        <w:rPr>
          <w:rFonts w:ascii="Arial" w:eastAsia="Times New Roman" w:hAnsi="Arial" w:cs="Arial"/>
        </w:rPr>
        <w:t>50,</w:t>
      </w:r>
      <w:r>
        <w:rPr>
          <w:rFonts w:ascii="Arial" w:eastAsia="Times New Roman" w:hAnsi="Arial" w:cs="Arial"/>
        </w:rPr>
        <w:t>000</w:t>
      </w:r>
      <w:r w:rsidRPr="00341C73">
        <w:rPr>
          <w:rFonts w:ascii="Arial" w:eastAsia="Times New Roman" w:hAnsi="Arial" w:cs="Arial"/>
          <w:sz w:val="44"/>
          <w:szCs w:val="44"/>
        </w:rPr>
        <w:t xml:space="preserve"> □ </w:t>
      </w:r>
      <w:r>
        <w:rPr>
          <w:rFonts w:ascii="Arial" w:eastAsia="Times New Roman" w:hAnsi="Arial" w:cs="Arial"/>
        </w:rPr>
        <w:t>1</w:t>
      </w:r>
      <w:r w:rsidR="00214AE1">
        <w:rPr>
          <w:rFonts w:ascii="Arial" w:eastAsia="Times New Roman" w:hAnsi="Arial" w:cs="Arial"/>
        </w:rPr>
        <w:t>50,000 – 200,000</w:t>
      </w:r>
      <w:r w:rsidRPr="00341C73">
        <w:rPr>
          <w:rFonts w:ascii="Arial" w:eastAsia="Times New Roman" w:hAnsi="Arial" w:cs="Arial"/>
        </w:rPr>
        <w:t xml:space="preserve"> </w:t>
      </w:r>
    </w:p>
    <w:p w14:paraId="0DE616C4" w14:textId="2B63036C" w:rsidR="00390503" w:rsidRPr="00341C73" w:rsidRDefault="00390503" w:rsidP="00214AE1">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lastRenderedPageBreak/>
        <w:t>□</w:t>
      </w:r>
      <w:r w:rsidRPr="00341C73">
        <w:rPr>
          <w:rFonts w:ascii="Arial" w:eastAsia="Times New Roman" w:hAnsi="Arial" w:cs="Arial"/>
        </w:rPr>
        <w:t xml:space="preserve"> </w:t>
      </w:r>
      <w:r w:rsidR="00214AE1">
        <w:rPr>
          <w:rFonts w:ascii="Arial" w:eastAsia="Times New Roman" w:hAnsi="Arial" w:cs="Arial"/>
        </w:rPr>
        <w:t>200,</w:t>
      </w:r>
      <w:r w:rsidRPr="00341C73">
        <w:rPr>
          <w:rFonts w:ascii="Arial" w:eastAsia="Times New Roman" w:hAnsi="Arial" w:cs="Arial"/>
        </w:rPr>
        <w:t>00</w:t>
      </w:r>
      <w:r w:rsidR="00214AE1">
        <w:rPr>
          <w:rFonts w:ascii="Arial" w:eastAsia="Times New Roman" w:hAnsi="Arial" w:cs="Arial"/>
        </w:rPr>
        <w:t>1 – 250,000</w:t>
      </w:r>
      <w:r w:rsidRPr="00341C73">
        <w:rPr>
          <w:rFonts w:ascii="Arial" w:eastAsia="Times New Roman" w:hAnsi="Arial" w:cs="Arial"/>
        </w:rPr>
        <w:t xml:space="preserve"> </w:t>
      </w:r>
      <w:r w:rsidR="004E7E4C" w:rsidRPr="00341C73">
        <w:rPr>
          <w:rFonts w:ascii="Arial" w:eastAsia="Times New Roman" w:hAnsi="Arial" w:cs="Arial"/>
          <w:sz w:val="44"/>
          <w:szCs w:val="44"/>
        </w:rPr>
        <w:t>□</w:t>
      </w:r>
      <w:r w:rsidR="004E7E4C" w:rsidRPr="00341C73">
        <w:rPr>
          <w:rFonts w:ascii="Arial" w:eastAsia="Times New Roman" w:hAnsi="Arial" w:cs="Arial"/>
        </w:rPr>
        <w:t xml:space="preserve"> </w:t>
      </w:r>
      <w:r w:rsidR="004E7E4C">
        <w:rPr>
          <w:rFonts w:ascii="Arial" w:eastAsia="Times New Roman" w:hAnsi="Arial" w:cs="Arial"/>
        </w:rPr>
        <w:t>250,</w:t>
      </w:r>
      <w:r w:rsidR="004E7E4C" w:rsidRPr="00341C73">
        <w:rPr>
          <w:rFonts w:ascii="Arial" w:eastAsia="Times New Roman" w:hAnsi="Arial" w:cs="Arial"/>
        </w:rPr>
        <w:t>00</w:t>
      </w:r>
      <w:r w:rsidR="004E7E4C">
        <w:rPr>
          <w:rFonts w:ascii="Arial" w:eastAsia="Times New Roman" w:hAnsi="Arial" w:cs="Arial"/>
        </w:rPr>
        <w:t>1 – 300,000</w:t>
      </w:r>
      <w:r w:rsidR="004E7E4C" w:rsidRPr="00341C73">
        <w:rPr>
          <w:rFonts w:ascii="Arial" w:eastAsia="Times New Roman" w:hAnsi="Arial" w:cs="Arial"/>
        </w:rPr>
        <w:t xml:space="preserve"> </w:t>
      </w:r>
      <w:r w:rsidR="00214AE1" w:rsidRPr="00341C73">
        <w:rPr>
          <w:rFonts w:ascii="Arial" w:eastAsia="Times New Roman" w:hAnsi="Arial" w:cs="Arial"/>
          <w:sz w:val="44"/>
          <w:szCs w:val="44"/>
        </w:rPr>
        <w:t>□</w:t>
      </w:r>
      <w:r w:rsidR="00214AE1" w:rsidRPr="00341C73">
        <w:rPr>
          <w:rFonts w:ascii="Arial" w:eastAsia="Times New Roman" w:hAnsi="Arial" w:cs="Arial"/>
        </w:rPr>
        <w:t xml:space="preserve"> &gt;</w:t>
      </w:r>
      <w:r w:rsidR="004E7E4C">
        <w:rPr>
          <w:rFonts w:ascii="Arial" w:eastAsia="Times New Roman" w:hAnsi="Arial" w:cs="Arial"/>
        </w:rPr>
        <w:t>300,</w:t>
      </w:r>
      <w:r w:rsidR="00214AE1" w:rsidRPr="00341C73">
        <w:rPr>
          <w:rFonts w:ascii="Arial" w:eastAsia="Times New Roman" w:hAnsi="Arial" w:cs="Arial"/>
        </w:rPr>
        <w:t>00</w:t>
      </w:r>
      <w:r w:rsidR="00214AE1">
        <w:rPr>
          <w:rFonts w:ascii="Arial" w:eastAsia="Times New Roman" w:hAnsi="Arial" w:cs="Arial"/>
        </w:rPr>
        <w:t>1</w:t>
      </w:r>
      <w:r w:rsidR="00214AE1" w:rsidRPr="00341C73">
        <w:rPr>
          <w:rFonts w:ascii="Arial" w:eastAsia="Times New Roman" w:hAnsi="Arial" w:cs="Arial"/>
        </w:rPr>
        <w:t xml:space="preserve"> </w:t>
      </w:r>
    </w:p>
    <w:p w14:paraId="4F041480"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6A934E49"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302F33EB"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1DE77958"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5426D692"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71028251"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95–100% - high level of certainty, information indicates quantity within this range</w:t>
      </w:r>
    </w:p>
    <w:p w14:paraId="084E511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are accurate within this range</w:t>
      </w:r>
    </w:p>
    <w:p w14:paraId="3F8AB0C2"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46ABD98B"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D</w:t>
      </w:r>
      <w:r w:rsidRPr="00341C73">
        <w:rPr>
          <w:rFonts w:ascii="Arial" w:eastAsia="Times New Roman" w:hAnsi="Arial" w:cs="Arial"/>
        </w:rPr>
        <w:tab/>
      </w:r>
      <w:r w:rsidRPr="00341C73">
        <w:rPr>
          <w:rFonts w:ascii="Arial" w:eastAsia="Times New Roman" w:hAnsi="Arial" w:cs="Arial"/>
          <w:b/>
        </w:rPr>
        <w:t>ARE YOU AWARE OF TRENDS IN THE OVERALL POPULATION OF THE SPECIES/SUBSPECIES? (If no, skip to section E)</w:t>
      </w:r>
    </w:p>
    <w:p w14:paraId="49C585E2"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p>
    <w:p w14:paraId="39AE0785"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current and predicted rate of decline used in the assessment seem reasonable? Do you consider that the way this estimate has been derived is appropriate? If not, please provide justification of your response.</w:t>
      </w:r>
    </w:p>
    <w:p w14:paraId="646339A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4DA8A32C" w14:textId="77777777" w:rsidR="00390503" w:rsidRPr="00341C73" w:rsidRDefault="00390503" w:rsidP="00390503">
      <w:pPr>
        <w:autoSpaceDE w:val="0"/>
        <w:autoSpaceDN w:val="0"/>
        <w:adjustRightInd w:val="0"/>
        <w:spacing w:after="0" w:line="240" w:lineRule="auto"/>
        <w:rPr>
          <w:rFonts w:ascii="Arial" w:eastAsia="Times New Roman" w:hAnsi="Arial" w:cs="Arial"/>
        </w:rPr>
      </w:pPr>
      <w:r w:rsidRPr="00341C73">
        <w:rPr>
          <w:rFonts w:ascii="Arial,Bold" w:eastAsia="Times New Roman" w:hAnsi="Arial,Bold" w:cs="Arial,Bold"/>
          <w:b/>
          <w:bCs/>
        </w:rPr>
        <w:t>Evidence of total population size change</w:t>
      </w:r>
    </w:p>
    <w:p w14:paraId="5988BC74"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p>
    <w:p w14:paraId="6DB29670" w14:textId="77777777" w:rsidR="00390503" w:rsidRPr="00341C73" w:rsidRDefault="00390503" w:rsidP="009F5C38">
      <w:pPr>
        <w:numPr>
          <w:ilvl w:val="0"/>
          <w:numId w:val="11"/>
        </w:numPr>
        <w:autoSpaceDE w:val="0"/>
        <w:autoSpaceDN w:val="0"/>
        <w:adjustRightInd w:val="0"/>
        <w:spacing w:after="0" w:line="240" w:lineRule="auto"/>
        <w:contextualSpacing/>
        <w:rPr>
          <w:rFonts w:ascii="Arial,Italic" w:eastAsia="Times New Roman" w:hAnsi="Arial,Italic" w:cs="Arial,Italic"/>
          <w:i/>
          <w:iCs/>
        </w:rPr>
      </w:pPr>
      <w:r w:rsidRPr="00341C73">
        <w:rPr>
          <w:rFonts w:ascii="Arial" w:eastAsia="Times New Roman" w:hAnsi="Arial" w:cs="Arial"/>
        </w:rPr>
        <w:t xml:space="preserve">Are you able to provide an estimate of the total population size during the </w:t>
      </w:r>
      <w:r>
        <w:rPr>
          <w:rFonts w:ascii="Arial" w:eastAsia="Times New Roman" w:hAnsi="Arial" w:cs="Arial"/>
        </w:rPr>
        <w:t>late</w:t>
      </w:r>
      <w:r w:rsidRPr="00341C73">
        <w:rPr>
          <w:rFonts w:ascii="Arial" w:eastAsia="Times New Roman" w:hAnsi="Arial" w:cs="Arial"/>
        </w:rPr>
        <w:t xml:space="preserve"> </w:t>
      </w:r>
      <w:r>
        <w:rPr>
          <w:rFonts w:ascii="Arial" w:eastAsia="Times New Roman" w:hAnsi="Arial" w:cs="Arial"/>
        </w:rPr>
        <w:t>2000</w:t>
      </w:r>
      <w:r w:rsidRPr="00341C73">
        <w:rPr>
          <w:rFonts w:ascii="Arial" w:eastAsia="Times New Roman" w:hAnsi="Arial" w:cs="Arial"/>
        </w:rPr>
        <w:t xml:space="preserve">s </w:t>
      </w:r>
      <w:r w:rsidRPr="00341C73">
        <w:rPr>
          <w:rFonts w:ascii="Arial,Italic" w:eastAsia="Times New Roman" w:hAnsi="Arial,Italic" w:cs="Arial,Italic"/>
          <w:i/>
          <w:iCs/>
        </w:rPr>
        <w:t>(at or soon after the start of the most recent three generation period)</w:t>
      </w:r>
      <w:r w:rsidRPr="00341C73">
        <w:rPr>
          <w:rFonts w:ascii="Arial" w:eastAsia="Times New Roman" w:hAnsi="Arial" w:cs="Arial"/>
        </w:rPr>
        <w:t>? Please provide justification for your response.</w:t>
      </w:r>
    </w:p>
    <w:p w14:paraId="774240E4" w14:textId="77777777" w:rsidR="00390503" w:rsidRPr="00341C73" w:rsidRDefault="00390503" w:rsidP="00390503">
      <w:pPr>
        <w:autoSpaceDE w:val="0"/>
        <w:autoSpaceDN w:val="0"/>
        <w:adjustRightInd w:val="0"/>
        <w:spacing w:after="0" w:line="240" w:lineRule="auto"/>
        <w:ind w:left="360"/>
        <w:rPr>
          <w:rFonts w:ascii="Arial,Italic" w:eastAsia="Times New Roman" w:hAnsi="Arial,Italic" w:cs="Arial,Italic"/>
          <w:i/>
          <w:iCs/>
        </w:rPr>
      </w:pPr>
    </w:p>
    <w:p w14:paraId="43C074EC"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49525295"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7636F797"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780963B1" w14:textId="77777777" w:rsidR="004E7E4C" w:rsidRDefault="004E7E4C" w:rsidP="004E7E4C">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 xml:space="preserve">&lt;50,000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50,001</w:t>
      </w:r>
      <w:r w:rsidRPr="00341C73">
        <w:rPr>
          <w:rFonts w:ascii="Arial" w:eastAsia="Times New Roman" w:hAnsi="Arial" w:cs="Arial"/>
        </w:rPr>
        <w:t>–</w:t>
      </w:r>
      <w:r>
        <w:rPr>
          <w:rFonts w:ascii="Arial" w:eastAsia="Times New Roman" w:hAnsi="Arial" w:cs="Arial"/>
        </w:rPr>
        <w:t>100,000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100,001</w:t>
      </w:r>
      <w:r w:rsidRPr="00341C73">
        <w:rPr>
          <w:rFonts w:ascii="Arial" w:eastAsia="Times New Roman" w:hAnsi="Arial" w:cs="Arial"/>
        </w:rPr>
        <w:t>–</w:t>
      </w:r>
      <w:r>
        <w:rPr>
          <w:rFonts w:ascii="Arial" w:eastAsia="Times New Roman" w:hAnsi="Arial" w:cs="Arial"/>
        </w:rPr>
        <w:t>150,000</w:t>
      </w:r>
      <w:r w:rsidRPr="00341C73">
        <w:rPr>
          <w:rFonts w:ascii="Arial" w:eastAsia="Times New Roman" w:hAnsi="Arial" w:cs="Arial"/>
          <w:sz w:val="44"/>
          <w:szCs w:val="44"/>
        </w:rPr>
        <w:t xml:space="preserve"> □ </w:t>
      </w:r>
      <w:r>
        <w:rPr>
          <w:rFonts w:ascii="Arial" w:eastAsia="Times New Roman" w:hAnsi="Arial" w:cs="Arial"/>
        </w:rPr>
        <w:t>150,000 – 200,000</w:t>
      </w:r>
      <w:r w:rsidRPr="00341C73">
        <w:rPr>
          <w:rFonts w:ascii="Arial" w:eastAsia="Times New Roman" w:hAnsi="Arial" w:cs="Arial"/>
        </w:rPr>
        <w:t xml:space="preserve"> </w:t>
      </w:r>
    </w:p>
    <w:p w14:paraId="1B42733E" w14:textId="77777777" w:rsidR="004E7E4C" w:rsidRPr="00341C73" w:rsidRDefault="004E7E4C" w:rsidP="004E7E4C">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200,</w:t>
      </w:r>
      <w:r w:rsidRPr="00341C73">
        <w:rPr>
          <w:rFonts w:ascii="Arial" w:eastAsia="Times New Roman" w:hAnsi="Arial" w:cs="Arial"/>
        </w:rPr>
        <w:t>00</w:t>
      </w:r>
      <w:r>
        <w:rPr>
          <w:rFonts w:ascii="Arial" w:eastAsia="Times New Roman" w:hAnsi="Arial" w:cs="Arial"/>
        </w:rPr>
        <w:t>1 – 250,000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250,</w:t>
      </w:r>
      <w:r w:rsidRPr="00341C73">
        <w:rPr>
          <w:rFonts w:ascii="Arial" w:eastAsia="Times New Roman" w:hAnsi="Arial" w:cs="Arial"/>
        </w:rPr>
        <w:t>00</w:t>
      </w:r>
      <w:r>
        <w:rPr>
          <w:rFonts w:ascii="Arial" w:eastAsia="Times New Roman" w:hAnsi="Arial" w:cs="Arial"/>
        </w:rPr>
        <w:t>1 – 300,000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300,</w:t>
      </w:r>
      <w:r w:rsidRPr="00341C73">
        <w:rPr>
          <w:rFonts w:ascii="Arial" w:eastAsia="Times New Roman" w:hAnsi="Arial" w:cs="Arial"/>
        </w:rPr>
        <w:t>00</w:t>
      </w:r>
      <w:r>
        <w:rPr>
          <w:rFonts w:ascii="Arial" w:eastAsia="Times New Roman" w:hAnsi="Arial" w:cs="Arial"/>
        </w:rPr>
        <w:t>1</w:t>
      </w:r>
      <w:r w:rsidRPr="00341C73">
        <w:rPr>
          <w:rFonts w:ascii="Arial" w:eastAsia="Times New Roman" w:hAnsi="Arial" w:cs="Arial"/>
        </w:rPr>
        <w:t xml:space="preserve"> </w:t>
      </w:r>
    </w:p>
    <w:p w14:paraId="6EB74536"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07E7224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491BBD36"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4836A745"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73BBD60F"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080FEF0B"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quantity within this range</w:t>
      </w:r>
    </w:p>
    <w:p w14:paraId="66523A8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7B9D5750" w14:textId="77777777" w:rsidR="00390503" w:rsidRPr="00341C73" w:rsidRDefault="00390503" w:rsidP="00390503">
      <w:pPr>
        <w:autoSpaceDE w:val="0"/>
        <w:autoSpaceDN w:val="0"/>
        <w:adjustRightInd w:val="0"/>
        <w:spacing w:after="0" w:line="240" w:lineRule="auto"/>
        <w:rPr>
          <w:rFonts w:ascii="Arial,Italic" w:eastAsia="Times New Roman" w:hAnsi="Arial,Italic" w:cs="Arial,Italic"/>
          <w:i/>
          <w:iCs/>
        </w:rPr>
      </w:pPr>
    </w:p>
    <w:p w14:paraId="5E2B9052"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you able to comment on the extent of decline in the species/subspecies’ total population size over the last approximately 1</w:t>
      </w:r>
      <w:r>
        <w:rPr>
          <w:rFonts w:ascii="Arial" w:eastAsia="Times New Roman" w:hAnsi="Arial" w:cs="Arial"/>
        </w:rPr>
        <w:t>3</w:t>
      </w:r>
      <w:r w:rsidRPr="00341C73">
        <w:rPr>
          <w:rFonts w:ascii="Arial" w:eastAsia="Times New Roman" w:hAnsi="Arial" w:cs="Arial"/>
        </w:rPr>
        <w:t xml:space="preserve"> years</w:t>
      </w:r>
      <w:r w:rsidRPr="00341C73">
        <w:rPr>
          <w:rFonts w:ascii="Arial" w:eastAsia="Times New Roman" w:hAnsi="Arial" w:cs="Arial"/>
          <w:color w:val="FF0000"/>
        </w:rPr>
        <w:t xml:space="preserve"> </w:t>
      </w:r>
      <w:r w:rsidRPr="00341C73">
        <w:rPr>
          <w:rFonts w:ascii="Arial" w:eastAsia="Times New Roman" w:hAnsi="Arial" w:cs="Arial"/>
        </w:rPr>
        <w:t>(i.e., three generations)? Please provide justification for your response.</w:t>
      </w:r>
    </w:p>
    <w:p w14:paraId="484C8829"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3B1055BA"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lastRenderedPageBreak/>
        <w:t xml:space="preserve">If, because of uncertainty, you are unable to provide an estimate of decline, you may wish to provide an estimated range. If so, please choose one of the ranges suggested in the table below of ranges of decline,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7CB58953"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5B621D4D"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Decline estimated to be in the range of:</w:t>
      </w:r>
    </w:p>
    <w:p w14:paraId="5E0AFF64"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1–30% </w:t>
      </w:r>
      <w:r w:rsidRPr="00341C73">
        <w:rPr>
          <w:rFonts w:ascii="Arial" w:eastAsia="Times New Roman" w:hAnsi="Arial" w:cs="Arial"/>
          <w:sz w:val="44"/>
          <w:szCs w:val="44"/>
        </w:rPr>
        <w:t>□</w:t>
      </w:r>
      <w:r w:rsidRPr="00341C73">
        <w:rPr>
          <w:rFonts w:ascii="Arial" w:eastAsia="Times New Roman" w:hAnsi="Arial" w:cs="Arial"/>
        </w:rPr>
        <w:t xml:space="preserve">31–50% </w:t>
      </w:r>
      <w:r w:rsidRPr="00341C73">
        <w:rPr>
          <w:rFonts w:ascii="Arial" w:eastAsia="Times New Roman" w:hAnsi="Arial" w:cs="Arial"/>
          <w:sz w:val="44"/>
          <w:szCs w:val="44"/>
        </w:rPr>
        <w:t>□</w:t>
      </w:r>
      <w:r w:rsidRPr="00341C73">
        <w:rPr>
          <w:rFonts w:ascii="Arial" w:eastAsia="Times New Roman" w:hAnsi="Arial" w:cs="Arial"/>
        </w:rPr>
        <w:t xml:space="preserve">51–80% </w:t>
      </w:r>
      <w:r w:rsidRPr="00341C73">
        <w:rPr>
          <w:rFonts w:ascii="Arial" w:eastAsia="Times New Roman" w:hAnsi="Arial" w:cs="Arial"/>
          <w:sz w:val="44"/>
          <w:szCs w:val="44"/>
        </w:rPr>
        <w:t>□</w:t>
      </w:r>
      <w:r w:rsidRPr="00341C73">
        <w:rPr>
          <w:rFonts w:ascii="Arial" w:eastAsia="Times New Roman" w:hAnsi="Arial" w:cs="Arial"/>
        </w:rPr>
        <w:t xml:space="preserve">81–100% </w:t>
      </w:r>
      <w:r w:rsidRPr="00341C73">
        <w:rPr>
          <w:rFonts w:ascii="Arial" w:eastAsia="Times New Roman" w:hAnsi="Arial" w:cs="Arial"/>
          <w:sz w:val="44"/>
          <w:szCs w:val="44"/>
        </w:rPr>
        <w:t>□</w:t>
      </w:r>
      <w:r w:rsidRPr="00341C73">
        <w:rPr>
          <w:rFonts w:ascii="Arial" w:eastAsia="Times New Roman" w:hAnsi="Arial" w:cs="Arial"/>
        </w:rPr>
        <w:t>90–100%</w:t>
      </w:r>
    </w:p>
    <w:p w14:paraId="66F49929"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50A4A112"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decline:</w:t>
      </w:r>
    </w:p>
    <w:p w14:paraId="56C40DF3"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3A57F806"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5BD2C25D"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suggests this range of decline</w:t>
      </w:r>
    </w:p>
    <w:p w14:paraId="3F774EDD"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a decline within this range</w:t>
      </w:r>
    </w:p>
    <w:p w14:paraId="5F194F65"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6907D119"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6BED8C23"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Please provide (if known) any additional evidence which shows the population is stable, </w:t>
      </w:r>
      <w:proofErr w:type="gramStart"/>
      <w:r w:rsidRPr="00341C73">
        <w:rPr>
          <w:rFonts w:ascii="Arial" w:eastAsia="Times New Roman" w:hAnsi="Arial" w:cs="Arial"/>
        </w:rPr>
        <w:t>increasing</w:t>
      </w:r>
      <w:proofErr w:type="gramEnd"/>
      <w:r w:rsidRPr="00341C73">
        <w:rPr>
          <w:rFonts w:ascii="Arial" w:eastAsia="Times New Roman" w:hAnsi="Arial" w:cs="Arial"/>
        </w:rPr>
        <w:t xml:space="preserve"> or declining.</w:t>
      </w:r>
    </w:p>
    <w:p w14:paraId="132615AD"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371A442C"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E</w:t>
      </w:r>
      <w:r w:rsidRPr="00341C73">
        <w:rPr>
          <w:rFonts w:ascii="Arial" w:eastAsia="Times New Roman" w:hAnsi="Arial" w:cs="Arial"/>
          <w:b/>
        </w:rPr>
        <w:tab/>
        <w:t>ARE YOU AWARE OF INFORMATION ON THE TOTAL RANGE OF THE SPECIES/SUBSPECIES? (If no, skip to section F)</w:t>
      </w:r>
    </w:p>
    <w:p w14:paraId="05B619EA"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p>
    <w:p w14:paraId="360CD5E3"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Current Distribution/range/extent of occurrence, area of occupancy</w:t>
      </w:r>
    </w:p>
    <w:p w14:paraId="257641EE"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p>
    <w:p w14:paraId="44CC007B"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assessment consider the entire geographic extent and national extent of the species/subspecies? If not, please provide justification for your response.</w:t>
      </w:r>
    </w:p>
    <w:p w14:paraId="613B514A"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3BAA5F39"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species/subspecies been adequate to determine its national distribution? If not, please provide justification for your response.</w:t>
      </w:r>
    </w:p>
    <w:p w14:paraId="1213D14C"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1D50FDF2"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distribution described in the assessment accurate? If not, please provide justification for your response and provide alternate information.</w:t>
      </w:r>
    </w:p>
    <w:p w14:paraId="472ADC45"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5251151D"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agree that the way the current extent of occurrence and/or area of occupancy have been estimated is appropriate? Please provide justification for your response.</w:t>
      </w:r>
    </w:p>
    <w:p w14:paraId="0BA3CF68"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26588267"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extent of occurrence and/or area of </w:t>
      </w:r>
      <w:proofErr w:type="gramStart"/>
      <w:r w:rsidRPr="00341C73">
        <w:rPr>
          <w:rFonts w:ascii="Arial" w:eastAsia="Times New Roman" w:hAnsi="Arial" w:cs="Arial"/>
        </w:rPr>
        <w:t>occupancy.</w:t>
      </w:r>
      <w:proofErr w:type="gramEnd"/>
    </w:p>
    <w:p w14:paraId="2C8F770C"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16D6C1BB"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47D2E984" w14:textId="77777777" w:rsidR="00390503" w:rsidRPr="00341C73" w:rsidRDefault="00390503" w:rsidP="00390503">
      <w:pPr>
        <w:autoSpaceDE w:val="0"/>
        <w:autoSpaceDN w:val="0"/>
        <w:adjustRightInd w:val="0"/>
        <w:spacing w:after="0" w:line="240" w:lineRule="auto"/>
        <w:rPr>
          <w:rFonts w:ascii="Arial" w:eastAsia="Times New Roman" w:hAnsi="Arial" w:cs="Arial"/>
          <w:sz w:val="20"/>
          <w:szCs w:val="20"/>
        </w:rPr>
      </w:pPr>
    </w:p>
    <w:p w14:paraId="01554AD8"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Current extent of occurrence </w:t>
      </w:r>
      <w:r w:rsidRPr="00341C73">
        <w:rPr>
          <w:rFonts w:ascii="Arial" w:eastAsia="Times New Roman" w:hAnsi="Arial" w:cs="Arial"/>
        </w:rPr>
        <w:t>is estimated to be in the range of:</w:t>
      </w:r>
    </w:p>
    <w:p w14:paraId="04735F00" w14:textId="35C4EBF7" w:rsidR="00F34955"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w:t>
      </w:r>
      <w:r w:rsidR="00F34955">
        <w:rPr>
          <w:rFonts w:ascii="Arial" w:eastAsia="Times New Roman" w:hAnsi="Arial" w:cs="Arial"/>
        </w:rPr>
        <w:t>50</w:t>
      </w:r>
      <w:r w:rsidR="004D7C46">
        <w:rPr>
          <w:rFonts w:ascii="Arial" w:eastAsia="Times New Roman" w:hAnsi="Arial" w:cs="Arial"/>
        </w:rPr>
        <w:t>0</w:t>
      </w:r>
      <w:r w:rsidR="00F34955">
        <w:rPr>
          <w:rFonts w:ascii="Arial" w:eastAsia="Times New Roman" w:hAnsi="Arial" w:cs="Arial"/>
        </w:rPr>
        <w:t>,000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sidR="00F34955">
        <w:rPr>
          <w:rFonts w:ascii="Arial" w:eastAsia="Times New Roman" w:hAnsi="Arial" w:cs="Arial"/>
        </w:rPr>
        <w:t>50</w:t>
      </w:r>
      <w:r w:rsidR="004D7C46">
        <w:rPr>
          <w:rFonts w:ascii="Arial" w:eastAsia="Times New Roman" w:hAnsi="Arial" w:cs="Arial"/>
        </w:rPr>
        <w:t>0</w:t>
      </w:r>
      <w:r w:rsidR="00F34955">
        <w:rPr>
          <w:rFonts w:ascii="Arial" w:eastAsia="Times New Roman" w:hAnsi="Arial" w:cs="Arial"/>
        </w:rPr>
        <w:t>,001</w:t>
      </w:r>
      <w:r w:rsidRPr="00341C73">
        <w:rPr>
          <w:rFonts w:ascii="Arial" w:eastAsia="Times New Roman" w:hAnsi="Arial" w:cs="Arial"/>
        </w:rPr>
        <w:t xml:space="preserve"> – </w:t>
      </w:r>
      <w:r w:rsidR="00F34955">
        <w:rPr>
          <w:rFonts w:ascii="Arial" w:eastAsia="Times New Roman" w:hAnsi="Arial" w:cs="Arial"/>
        </w:rPr>
        <w:t>1</w:t>
      </w:r>
      <w:r w:rsidR="004D7C46">
        <w:rPr>
          <w:rFonts w:ascii="Arial" w:eastAsia="Times New Roman" w:hAnsi="Arial" w:cs="Arial"/>
        </w:rPr>
        <w:t>,0</w:t>
      </w:r>
      <w:r w:rsidR="00F34955">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sidR="00F34955">
        <w:rPr>
          <w:rFonts w:ascii="Arial" w:eastAsia="Times New Roman" w:hAnsi="Arial" w:cs="Arial"/>
        </w:rPr>
        <w:t>1</w:t>
      </w:r>
      <w:r w:rsidR="004D7C46">
        <w:rPr>
          <w:rFonts w:ascii="Arial" w:eastAsia="Times New Roman" w:hAnsi="Arial" w:cs="Arial"/>
        </w:rPr>
        <w:t>,0</w:t>
      </w:r>
      <w:r w:rsidR="00F34955">
        <w:rPr>
          <w:rFonts w:ascii="Arial" w:eastAsia="Times New Roman" w:hAnsi="Arial" w:cs="Arial"/>
        </w:rPr>
        <w:t>00,001</w:t>
      </w:r>
      <w:r w:rsidRPr="00341C73">
        <w:rPr>
          <w:rFonts w:ascii="Arial" w:eastAsia="Times New Roman" w:hAnsi="Arial" w:cs="Arial"/>
        </w:rPr>
        <w:t xml:space="preserve"> – </w:t>
      </w:r>
      <w:r w:rsidR="00F34955">
        <w:rPr>
          <w:rFonts w:ascii="Arial" w:eastAsia="Times New Roman" w:hAnsi="Arial" w:cs="Arial"/>
        </w:rPr>
        <w:t>1</w:t>
      </w:r>
      <w:r w:rsidR="004D7C46">
        <w:rPr>
          <w:rFonts w:ascii="Arial" w:eastAsia="Times New Roman" w:hAnsi="Arial" w:cs="Arial"/>
        </w:rPr>
        <w:t>,</w:t>
      </w:r>
      <w:r w:rsidR="00F34955">
        <w:rPr>
          <w:rFonts w:ascii="Arial" w:eastAsia="Times New Roman" w:hAnsi="Arial" w:cs="Arial"/>
        </w:rPr>
        <w:t>5</w:t>
      </w:r>
      <w:r w:rsidR="004D7C46">
        <w:rPr>
          <w:rFonts w:ascii="Arial" w:eastAsia="Times New Roman" w:hAnsi="Arial" w:cs="Arial"/>
        </w:rPr>
        <w:t>0</w:t>
      </w:r>
      <w:r w:rsidR="00F34955">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4024E46F" w14:textId="4AC5869F" w:rsidR="00390503" w:rsidRPr="00341C73" w:rsidRDefault="00F34955"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1</w:t>
      </w:r>
      <w:r w:rsidR="004D7C46">
        <w:rPr>
          <w:rFonts w:ascii="Arial" w:eastAsia="Times New Roman" w:hAnsi="Arial" w:cs="Arial"/>
        </w:rPr>
        <w:t>,</w:t>
      </w:r>
      <w:r>
        <w:rPr>
          <w:rFonts w:ascii="Arial" w:eastAsia="Times New Roman" w:hAnsi="Arial" w:cs="Arial"/>
        </w:rPr>
        <w:t>5</w:t>
      </w:r>
      <w:r w:rsidR="004D7C46">
        <w:rPr>
          <w:rFonts w:ascii="Arial" w:eastAsia="Times New Roman" w:hAnsi="Arial" w:cs="Arial"/>
        </w:rPr>
        <w:t>0</w:t>
      </w:r>
      <w:r>
        <w:rPr>
          <w:rFonts w:ascii="Arial" w:eastAsia="Times New Roman" w:hAnsi="Arial" w:cs="Arial"/>
        </w:rPr>
        <w:t>0,</w:t>
      </w:r>
      <w:r w:rsidRPr="00341C73">
        <w:rPr>
          <w:rFonts w:ascii="Arial" w:eastAsia="Times New Roman" w:hAnsi="Arial" w:cs="Arial"/>
        </w:rPr>
        <w:t>00</w:t>
      </w:r>
      <w:r>
        <w:rPr>
          <w:rFonts w:ascii="Arial" w:eastAsia="Times New Roman" w:hAnsi="Arial" w:cs="Arial"/>
        </w:rPr>
        <w:t>1 – 2</w:t>
      </w:r>
      <w:r w:rsidR="004D7C46">
        <w:rPr>
          <w:rFonts w:ascii="Arial" w:eastAsia="Times New Roman" w:hAnsi="Arial" w:cs="Arial"/>
        </w:rPr>
        <w:t>,0</w:t>
      </w:r>
      <w:r>
        <w:rPr>
          <w:rFonts w:ascii="Arial" w:eastAsia="Times New Roman" w:hAnsi="Arial" w:cs="Arial"/>
        </w:rPr>
        <w:t>00,000</w:t>
      </w:r>
      <w:r w:rsidRPr="00341C73">
        <w:rPr>
          <w:rFonts w:ascii="Arial" w:eastAsia="Times New Roman" w:hAnsi="Arial" w:cs="Arial"/>
        </w:rPr>
        <w:t xml:space="preserve"> km</w:t>
      </w:r>
      <w:r w:rsidRPr="00341C73">
        <w:rPr>
          <w:rFonts w:ascii="Arial" w:eastAsia="Times New Roman" w:hAnsi="Arial" w:cs="Arial"/>
          <w:vertAlign w:val="superscript"/>
        </w:rPr>
        <w:t>2</w:t>
      </w:r>
      <w:r>
        <w:rPr>
          <w:rFonts w:ascii="Arial" w:eastAsia="Times New Roman" w:hAnsi="Arial" w:cs="Arial"/>
          <w:vertAlign w:val="superscript"/>
        </w:rPr>
        <w:t xml:space="preserve"> </w:t>
      </w:r>
      <w:r w:rsidR="00390503" w:rsidRPr="00341C73">
        <w:rPr>
          <w:rFonts w:ascii="Arial" w:eastAsia="Times New Roman" w:hAnsi="Arial" w:cs="Arial"/>
          <w:sz w:val="44"/>
          <w:szCs w:val="44"/>
        </w:rPr>
        <w:t>□</w:t>
      </w:r>
      <w:r w:rsidR="00390503" w:rsidRPr="00341C73">
        <w:rPr>
          <w:rFonts w:ascii="Arial" w:eastAsia="Times New Roman" w:hAnsi="Arial" w:cs="Arial"/>
        </w:rPr>
        <w:t xml:space="preserve"> &gt;</w:t>
      </w:r>
      <w:r>
        <w:rPr>
          <w:rFonts w:ascii="Arial" w:eastAsia="Times New Roman" w:hAnsi="Arial" w:cs="Arial"/>
        </w:rPr>
        <w:t>2</w:t>
      </w:r>
      <w:r w:rsidR="004D7C46">
        <w:rPr>
          <w:rFonts w:ascii="Arial" w:eastAsia="Times New Roman" w:hAnsi="Arial" w:cs="Arial"/>
        </w:rPr>
        <w:t>,0</w:t>
      </w:r>
      <w:r>
        <w:rPr>
          <w:rFonts w:ascii="Arial" w:eastAsia="Times New Roman" w:hAnsi="Arial" w:cs="Arial"/>
        </w:rPr>
        <w:t>00,</w:t>
      </w:r>
      <w:r w:rsidR="00390503" w:rsidRPr="00341C73">
        <w:rPr>
          <w:rFonts w:ascii="Arial" w:eastAsia="Times New Roman" w:hAnsi="Arial" w:cs="Arial"/>
        </w:rPr>
        <w:t>00</w:t>
      </w:r>
      <w:r>
        <w:rPr>
          <w:rFonts w:ascii="Arial" w:eastAsia="Times New Roman" w:hAnsi="Arial" w:cs="Arial"/>
        </w:rPr>
        <w:t>1</w:t>
      </w:r>
      <w:r w:rsidR="00390503" w:rsidRPr="00341C73">
        <w:rPr>
          <w:rFonts w:ascii="Arial" w:eastAsia="Times New Roman" w:hAnsi="Arial" w:cs="Arial"/>
        </w:rPr>
        <w:t xml:space="preserve"> km</w:t>
      </w:r>
      <w:r w:rsidR="00390503" w:rsidRPr="00341C73">
        <w:rPr>
          <w:rFonts w:ascii="Arial" w:eastAsia="Times New Roman" w:hAnsi="Arial" w:cs="Arial"/>
          <w:vertAlign w:val="superscript"/>
        </w:rPr>
        <w:t>2</w:t>
      </w:r>
      <w:r>
        <w:rPr>
          <w:rFonts w:ascii="Arial" w:eastAsia="Times New Roman" w:hAnsi="Arial" w:cs="Arial"/>
          <w:vertAlign w:val="superscript"/>
        </w:rPr>
        <w:t xml:space="preserve"> </w:t>
      </w:r>
    </w:p>
    <w:p w14:paraId="625C575B"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0B902BFB"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lastRenderedPageBreak/>
        <w:t>Level of your confidence in this estimated extent of occurrence</w:t>
      </w:r>
    </w:p>
    <w:p w14:paraId="34F40191"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0–30% - low level of certainty/ a bit of a guess/ not much data to go on</w:t>
      </w:r>
    </w:p>
    <w:p w14:paraId="0FECF929"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111F5970"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7AB6D25C"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52B107DC"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is accurate within this range</w:t>
      </w:r>
    </w:p>
    <w:p w14:paraId="6C876740"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2190E469"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4E9741D2" w14:textId="77777777" w:rsidR="00390503" w:rsidRPr="00341C73" w:rsidRDefault="00390503" w:rsidP="00390503">
      <w:pPr>
        <w:autoSpaceDE w:val="0"/>
        <w:autoSpaceDN w:val="0"/>
        <w:adjustRightInd w:val="0"/>
        <w:spacing w:after="0" w:line="240" w:lineRule="auto"/>
        <w:rPr>
          <w:rFonts w:ascii="Arial" w:eastAsia="Times New Roman" w:hAnsi="Arial" w:cs="Arial"/>
          <w:sz w:val="20"/>
          <w:szCs w:val="20"/>
        </w:rPr>
      </w:pPr>
    </w:p>
    <w:p w14:paraId="1BC4FF8A"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Bold" w:eastAsia="Times New Roman" w:hAnsi="Arial,Bold" w:cs="Arial,Bold"/>
          <w:b/>
          <w:bCs/>
        </w:rPr>
        <w:t xml:space="preserve">Current area of occupancy </w:t>
      </w:r>
      <w:r w:rsidRPr="00341C73">
        <w:rPr>
          <w:rFonts w:ascii="Arial" w:eastAsia="Times New Roman" w:hAnsi="Arial" w:cs="Arial"/>
        </w:rPr>
        <w:t>is estimated to be in the range of:</w:t>
      </w:r>
    </w:p>
    <w:p w14:paraId="76838360" w14:textId="77777777" w:rsidR="00F34955"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&lt;10</w:t>
      </w:r>
      <w:r w:rsidR="00F34955">
        <w:rPr>
          <w:rFonts w:ascii="Arial" w:eastAsia="Times New Roman" w:hAnsi="Arial" w:cs="Arial"/>
        </w:rPr>
        <w:t>,000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1</w:t>
      </w:r>
      <w:r w:rsidR="00F34955">
        <w:rPr>
          <w:rFonts w:ascii="Arial" w:eastAsia="Times New Roman" w:hAnsi="Arial" w:cs="Arial"/>
        </w:rPr>
        <w:t>0,001</w:t>
      </w:r>
      <w:r w:rsidRPr="00341C73">
        <w:rPr>
          <w:rFonts w:ascii="Arial" w:eastAsia="Times New Roman" w:hAnsi="Arial" w:cs="Arial"/>
        </w:rPr>
        <w:t xml:space="preserve"> – </w:t>
      </w:r>
      <w:r w:rsidR="00F34955">
        <w:rPr>
          <w:rFonts w:ascii="Arial" w:eastAsia="Times New Roman" w:hAnsi="Arial" w:cs="Arial"/>
        </w:rPr>
        <w:t>20,000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sidR="00F34955">
        <w:rPr>
          <w:rFonts w:ascii="Arial" w:eastAsia="Times New Roman" w:hAnsi="Arial" w:cs="Arial"/>
        </w:rPr>
        <w:t>20,001</w:t>
      </w:r>
      <w:r w:rsidRPr="00341C73">
        <w:rPr>
          <w:rFonts w:ascii="Arial" w:eastAsia="Times New Roman" w:hAnsi="Arial" w:cs="Arial"/>
        </w:rPr>
        <w:t xml:space="preserve"> – </w:t>
      </w:r>
      <w:r w:rsidR="00F34955">
        <w:rPr>
          <w:rFonts w:ascii="Arial" w:eastAsia="Times New Roman" w:hAnsi="Arial" w:cs="Arial"/>
        </w:rPr>
        <w:t>30,000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p>
    <w:p w14:paraId="6F8C1A56" w14:textId="14D9FB69" w:rsidR="00390503" w:rsidRPr="00341C73" w:rsidRDefault="00390503" w:rsidP="00F34955">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w:t>
      </w:r>
      <w:r w:rsidR="00F34955">
        <w:rPr>
          <w:rFonts w:ascii="Arial" w:eastAsia="Times New Roman" w:hAnsi="Arial" w:cs="Arial"/>
        </w:rPr>
        <w:t>30,001 – 40,000</w:t>
      </w:r>
      <w:r w:rsidRPr="00341C73">
        <w:rPr>
          <w:rFonts w:ascii="Arial" w:eastAsia="Times New Roman" w:hAnsi="Arial" w:cs="Arial"/>
        </w:rPr>
        <w:t xml:space="preserve"> km</w:t>
      </w:r>
      <w:r w:rsidRPr="00341C73">
        <w:rPr>
          <w:rFonts w:ascii="Arial" w:eastAsia="Times New Roman" w:hAnsi="Arial" w:cs="Arial"/>
          <w:vertAlign w:val="superscript"/>
        </w:rPr>
        <w:t>2</w:t>
      </w:r>
      <w:r w:rsidR="00F34955">
        <w:rPr>
          <w:rFonts w:ascii="Arial" w:eastAsia="Times New Roman" w:hAnsi="Arial" w:cs="Arial"/>
          <w:vertAlign w:val="superscript"/>
        </w:rPr>
        <w:t xml:space="preserve"> </w:t>
      </w:r>
      <w:r w:rsidR="00F34955" w:rsidRPr="00341C73">
        <w:rPr>
          <w:rFonts w:ascii="Arial" w:eastAsia="Times New Roman" w:hAnsi="Arial" w:cs="Arial"/>
          <w:sz w:val="44"/>
          <w:szCs w:val="44"/>
        </w:rPr>
        <w:t>□</w:t>
      </w:r>
      <w:r w:rsidR="00F34955" w:rsidRPr="00341C73">
        <w:rPr>
          <w:rFonts w:ascii="Arial" w:eastAsia="Times New Roman" w:hAnsi="Arial" w:cs="Arial"/>
        </w:rPr>
        <w:t xml:space="preserve"> </w:t>
      </w:r>
      <w:r w:rsidR="00F34955">
        <w:rPr>
          <w:rFonts w:ascii="Arial" w:eastAsia="Times New Roman" w:hAnsi="Arial" w:cs="Arial"/>
        </w:rPr>
        <w:t>40,001 – 50,000</w:t>
      </w:r>
      <w:r w:rsidR="00F34955" w:rsidRPr="00341C73">
        <w:rPr>
          <w:rFonts w:ascii="Arial" w:eastAsia="Times New Roman" w:hAnsi="Arial" w:cs="Arial"/>
        </w:rPr>
        <w:t xml:space="preserve"> km</w:t>
      </w:r>
      <w:r w:rsidR="00F34955" w:rsidRPr="00341C73">
        <w:rPr>
          <w:rFonts w:ascii="Arial" w:eastAsia="Times New Roman" w:hAnsi="Arial" w:cs="Arial"/>
          <w:vertAlign w:val="superscript"/>
        </w:rPr>
        <w:t>2</w:t>
      </w:r>
      <w:r w:rsidR="00F34955">
        <w:rPr>
          <w:rFonts w:ascii="Arial" w:eastAsia="Times New Roman" w:hAnsi="Arial" w:cs="Arial"/>
          <w:vertAlign w:val="superscript"/>
        </w:rPr>
        <w:t xml:space="preserve"> </w:t>
      </w:r>
      <w:r w:rsidR="00F34955" w:rsidRPr="00341C73">
        <w:rPr>
          <w:rFonts w:ascii="Arial" w:eastAsia="Times New Roman" w:hAnsi="Arial" w:cs="Arial"/>
          <w:sz w:val="44"/>
          <w:szCs w:val="44"/>
        </w:rPr>
        <w:t>□</w:t>
      </w:r>
      <w:r w:rsidR="00F34955" w:rsidRPr="00341C73">
        <w:rPr>
          <w:rFonts w:ascii="Arial" w:eastAsia="Times New Roman" w:hAnsi="Arial" w:cs="Arial"/>
        </w:rPr>
        <w:t xml:space="preserve"> </w:t>
      </w:r>
      <w:r w:rsidR="00F34955">
        <w:rPr>
          <w:rFonts w:ascii="Arial" w:eastAsia="Times New Roman" w:hAnsi="Arial" w:cs="Arial"/>
        </w:rPr>
        <w:t>&gt; 50,000</w:t>
      </w:r>
      <w:r w:rsidR="00F34955" w:rsidRPr="00341C73">
        <w:rPr>
          <w:rFonts w:ascii="Arial" w:eastAsia="Times New Roman" w:hAnsi="Arial" w:cs="Arial"/>
        </w:rPr>
        <w:t xml:space="preserve"> km</w:t>
      </w:r>
      <w:r w:rsidR="00F34955" w:rsidRPr="00341C73">
        <w:rPr>
          <w:rFonts w:ascii="Arial" w:eastAsia="Times New Roman" w:hAnsi="Arial" w:cs="Arial"/>
          <w:vertAlign w:val="superscript"/>
        </w:rPr>
        <w:t>2</w:t>
      </w:r>
    </w:p>
    <w:p w14:paraId="6CDB40D6" w14:textId="5E74A9E3" w:rsidR="00390503" w:rsidRPr="00341C73" w:rsidRDefault="00F34955" w:rsidP="00390503">
      <w:pPr>
        <w:autoSpaceDE w:val="0"/>
        <w:autoSpaceDN w:val="0"/>
        <w:adjustRightInd w:val="0"/>
        <w:spacing w:after="0" w:line="240" w:lineRule="auto"/>
        <w:ind w:left="360"/>
        <w:rPr>
          <w:rFonts w:ascii="Arial" w:eastAsia="Times New Roman" w:hAnsi="Arial" w:cs="Arial"/>
        </w:rPr>
      </w:pPr>
      <w:r>
        <w:rPr>
          <w:rFonts w:ascii="Arial" w:eastAsia="Times New Roman" w:hAnsi="Arial" w:cs="Arial"/>
        </w:rPr>
        <w:t xml:space="preserve"> </w:t>
      </w:r>
    </w:p>
    <w:p w14:paraId="32534BA7"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extent of occurrence:</w:t>
      </w:r>
    </w:p>
    <w:p w14:paraId="408A0D86"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0B35AEF1"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2584FE30"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7A183879"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0E3B6D46"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18DBDEE3" w14:textId="77777777" w:rsidR="00390503" w:rsidRPr="00341C73" w:rsidRDefault="00390503" w:rsidP="00390503">
      <w:pPr>
        <w:autoSpaceDE w:val="0"/>
        <w:autoSpaceDN w:val="0"/>
        <w:adjustRightInd w:val="0"/>
        <w:spacing w:after="0" w:line="240" w:lineRule="auto"/>
        <w:ind w:left="1920" w:hanging="1560"/>
        <w:rPr>
          <w:rFonts w:ascii="Arial" w:eastAsia="Times New Roman" w:hAnsi="Arial" w:cs="Arial"/>
          <w:b/>
        </w:rPr>
      </w:pPr>
    </w:p>
    <w:p w14:paraId="460276BE"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F</w:t>
      </w:r>
      <w:r w:rsidRPr="00341C73">
        <w:rPr>
          <w:rFonts w:ascii="Arial" w:eastAsia="Times New Roman" w:hAnsi="Arial" w:cs="Arial"/>
          <w:b/>
        </w:rPr>
        <w:tab/>
        <w:t>ARE YOU AWARE OF TRENDS IN THE TOTAL RANGE OF THE SPECIES/SUBSPECIES? (If no, skip to section G)</w:t>
      </w:r>
    </w:p>
    <w:p w14:paraId="67922D6A" w14:textId="77777777" w:rsidR="00390503" w:rsidRPr="00341C73" w:rsidRDefault="00390503" w:rsidP="00390503">
      <w:pPr>
        <w:autoSpaceDE w:val="0"/>
        <w:autoSpaceDN w:val="0"/>
        <w:adjustRightInd w:val="0"/>
        <w:spacing w:after="0" w:line="240" w:lineRule="auto"/>
        <w:rPr>
          <w:rFonts w:ascii="Arial" w:eastAsia="Times New Roman" w:hAnsi="Arial" w:cs="Arial"/>
          <w:b/>
        </w:rPr>
      </w:pPr>
    </w:p>
    <w:p w14:paraId="6DE525E7"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Past Distribution/range/extent of occurrence, area of occupancy</w:t>
      </w:r>
    </w:p>
    <w:p w14:paraId="0AEC0C6D"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1CA56EAB"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the way the historic distribution has been estimated is appropriate? Please provide justification for your response.</w:t>
      </w:r>
    </w:p>
    <w:p w14:paraId="11934B06"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5AB1E1CC"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former extent of occurrence and/or area of </w:t>
      </w:r>
      <w:proofErr w:type="gramStart"/>
      <w:r w:rsidRPr="00341C73">
        <w:rPr>
          <w:rFonts w:ascii="Arial" w:eastAsia="Times New Roman" w:hAnsi="Arial" w:cs="Arial"/>
        </w:rPr>
        <w:t>occupancy.</w:t>
      </w:r>
      <w:proofErr w:type="gramEnd"/>
    </w:p>
    <w:p w14:paraId="753026EC"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53522771"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11BFEFB2"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p>
    <w:p w14:paraId="0B5B4ABF"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extent of occurrence </w:t>
      </w:r>
      <w:r w:rsidRPr="00341C73">
        <w:rPr>
          <w:rFonts w:ascii="Arial" w:eastAsia="Times New Roman" w:hAnsi="Arial" w:cs="Arial"/>
        </w:rPr>
        <w:t>is estimated to be in the range of:</w:t>
      </w:r>
    </w:p>
    <w:p w14:paraId="0D70D5DC" w14:textId="77777777" w:rsidR="004D7C46" w:rsidRDefault="004D7C46" w:rsidP="004D7C4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w:t>
      </w:r>
      <w:r>
        <w:rPr>
          <w:rFonts w:ascii="Arial" w:eastAsia="Times New Roman" w:hAnsi="Arial" w:cs="Arial"/>
        </w:rPr>
        <w:t>500,000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500,001</w:t>
      </w:r>
      <w:r w:rsidRPr="00341C73">
        <w:rPr>
          <w:rFonts w:ascii="Arial" w:eastAsia="Times New Roman" w:hAnsi="Arial" w:cs="Arial"/>
        </w:rPr>
        <w:t xml:space="preserve"> – </w:t>
      </w:r>
      <w:r>
        <w:rPr>
          <w:rFonts w:ascii="Arial" w:eastAsia="Times New Roman" w:hAnsi="Arial" w:cs="Arial"/>
        </w:rPr>
        <w:t>1,000,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1,000,001</w:t>
      </w:r>
      <w:r w:rsidRPr="00341C73">
        <w:rPr>
          <w:rFonts w:ascii="Arial" w:eastAsia="Times New Roman" w:hAnsi="Arial" w:cs="Arial"/>
        </w:rPr>
        <w:t xml:space="preserve"> – </w:t>
      </w:r>
      <w:r>
        <w:rPr>
          <w:rFonts w:ascii="Arial" w:eastAsia="Times New Roman" w:hAnsi="Arial" w:cs="Arial"/>
        </w:rPr>
        <w:t>1,500,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3CC8FE03" w14:textId="77777777" w:rsidR="004D7C46" w:rsidRPr="00341C73" w:rsidRDefault="004D7C46" w:rsidP="004D7C4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lastRenderedPageBreak/>
        <w:t>□</w:t>
      </w:r>
      <w:r w:rsidRPr="00341C73">
        <w:rPr>
          <w:rFonts w:ascii="Arial" w:eastAsia="Times New Roman" w:hAnsi="Arial" w:cs="Arial"/>
        </w:rPr>
        <w:t xml:space="preserve"> </w:t>
      </w:r>
      <w:r>
        <w:rPr>
          <w:rFonts w:ascii="Arial" w:eastAsia="Times New Roman" w:hAnsi="Arial" w:cs="Arial"/>
        </w:rPr>
        <w:t>1,500,</w:t>
      </w:r>
      <w:r w:rsidRPr="00341C73">
        <w:rPr>
          <w:rFonts w:ascii="Arial" w:eastAsia="Times New Roman" w:hAnsi="Arial" w:cs="Arial"/>
        </w:rPr>
        <w:t>00</w:t>
      </w:r>
      <w:r>
        <w:rPr>
          <w:rFonts w:ascii="Arial" w:eastAsia="Times New Roman" w:hAnsi="Arial" w:cs="Arial"/>
        </w:rPr>
        <w:t>1 – 2,000,000</w:t>
      </w:r>
      <w:r w:rsidRPr="00341C73">
        <w:rPr>
          <w:rFonts w:ascii="Arial" w:eastAsia="Times New Roman" w:hAnsi="Arial" w:cs="Arial"/>
        </w:rPr>
        <w:t xml:space="preserve"> km</w:t>
      </w:r>
      <w:r w:rsidRPr="00341C73">
        <w:rPr>
          <w:rFonts w:ascii="Arial" w:eastAsia="Times New Roman" w:hAnsi="Arial" w:cs="Arial"/>
          <w:vertAlign w:val="superscript"/>
        </w:rPr>
        <w:t>2</w:t>
      </w:r>
      <w:r>
        <w:rPr>
          <w:rFonts w:ascii="Arial" w:eastAsia="Times New Roman" w:hAnsi="Arial" w:cs="Arial"/>
          <w:vertAlign w:val="superscript"/>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2,000,</w:t>
      </w:r>
      <w:r w:rsidRPr="00341C73">
        <w:rPr>
          <w:rFonts w:ascii="Arial" w:eastAsia="Times New Roman" w:hAnsi="Arial" w:cs="Arial"/>
        </w:rPr>
        <w:t>00</w:t>
      </w:r>
      <w:r>
        <w:rPr>
          <w:rFonts w:ascii="Arial" w:eastAsia="Times New Roman" w:hAnsi="Arial" w:cs="Arial"/>
        </w:rPr>
        <w:t>1</w:t>
      </w:r>
      <w:r w:rsidRPr="00341C73">
        <w:rPr>
          <w:rFonts w:ascii="Arial" w:eastAsia="Times New Roman" w:hAnsi="Arial" w:cs="Arial"/>
        </w:rPr>
        <w:t xml:space="preserve"> km</w:t>
      </w:r>
      <w:r w:rsidRPr="00341C73">
        <w:rPr>
          <w:rFonts w:ascii="Arial" w:eastAsia="Times New Roman" w:hAnsi="Arial" w:cs="Arial"/>
          <w:vertAlign w:val="superscript"/>
        </w:rPr>
        <w:t>2</w:t>
      </w:r>
      <w:r>
        <w:rPr>
          <w:rFonts w:ascii="Arial" w:eastAsia="Times New Roman" w:hAnsi="Arial" w:cs="Arial"/>
          <w:vertAlign w:val="superscript"/>
        </w:rPr>
        <w:t xml:space="preserve"> </w:t>
      </w:r>
    </w:p>
    <w:p w14:paraId="21B193B3"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p>
    <w:p w14:paraId="347C0B2D"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15C58C53"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56A510DC"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1584B76B"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1F7D4224"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235F1062"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11044703"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p>
    <w:p w14:paraId="6C24F589"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60EC727E" w14:textId="77777777" w:rsidR="00390503" w:rsidRPr="00341C73" w:rsidRDefault="00390503" w:rsidP="00390503">
      <w:pPr>
        <w:autoSpaceDE w:val="0"/>
        <w:autoSpaceDN w:val="0"/>
        <w:adjustRightInd w:val="0"/>
        <w:spacing w:after="0" w:line="240" w:lineRule="auto"/>
        <w:rPr>
          <w:rFonts w:ascii="Arial,Bold" w:eastAsia="Times New Roman" w:hAnsi="Arial,Bold" w:cs="Arial,Bold"/>
          <w:b/>
          <w:bCs/>
        </w:rPr>
      </w:pPr>
    </w:p>
    <w:p w14:paraId="69F13100"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area of occupancy </w:t>
      </w:r>
      <w:r w:rsidRPr="00341C73">
        <w:rPr>
          <w:rFonts w:ascii="Arial" w:eastAsia="Times New Roman" w:hAnsi="Arial" w:cs="Arial"/>
        </w:rPr>
        <w:t>is estimated to be in the range of:</w:t>
      </w:r>
    </w:p>
    <w:p w14:paraId="2215A3D3" w14:textId="77777777" w:rsidR="006504D2" w:rsidRDefault="006504D2" w:rsidP="006504D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&lt;10</w:t>
      </w:r>
      <w:r>
        <w:rPr>
          <w:rFonts w:ascii="Arial" w:eastAsia="Times New Roman" w:hAnsi="Arial" w:cs="Arial"/>
        </w:rPr>
        <w:t>,000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1</w:t>
      </w:r>
      <w:r>
        <w:rPr>
          <w:rFonts w:ascii="Arial" w:eastAsia="Times New Roman" w:hAnsi="Arial" w:cs="Arial"/>
        </w:rPr>
        <w:t>0,001</w:t>
      </w:r>
      <w:r w:rsidRPr="00341C73">
        <w:rPr>
          <w:rFonts w:ascii="Arial" w:eastAsia="Times New Roman" w:hAnsi="Arial" w:cs="Arial"/>
        </w:rPr>
        <w:t xml:space="preserve"> – </w:t>
      </w:r>
      <w:r>
        <w:rPr>
          <w:rFonts w:ascii="Arial" w:eastAsia="Times New Roman" w:hAnsi="Arial" w:cs="Arial"/>
        </w:rPr>
        <w:t>20,000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20,001</w:t>
      </w:r>
      <w:r w:rsidRPr="00341C73">
        <w:rPr>
          <w:rFonts w:ascii="Arial" w:eastAsia="Times New Roman" w:hAnsi="Arial" w:cs="Arial"/>
        </w:rPr>
        <w:t xml:space="preserve"> – </w:t>
      </w:r>
      <w:r>
        <w:rPr>
          <w:rFonts w:ascii="Arial" w:eastAsia="Times New Roman" w:hAnsi="Arial" w:cs="Arial"/>
        </w:rPr>
        <w:t>30,000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p>
    <w:p w14:paraId="27E1DD87" w14:textId="39B2C435" w:rsidR="00390503" w:rsidRDefault="006504D2" w:rsidP="003D4181">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30,001 – 40,000</w:t>
      </w:r>
      <w:r w:rsidRPr="00341C73">
        <w:rPr>
          <w:rFonts w:ascii="Arial" w:eastAsia="Times New Roman" w:hAnsi="Arial" w:cs="Arial"/>
        </w:rPr>
        <w:t xml:space="preserve"> km</w:t>
      </w:r>
      <w:r w:rsidRPr="00341C73">
        <w:rPr>
          <w:rFonts w:ascii="Arial" w:eastAsia="Times New Roman" w:hAnsi="Arial" w:cs="Arial"/>
          <w:vertAlign w:val="superscript"/>
        </w:rPr>
        <w:t>2</w:t>
      </w:r>
      <w:r>
        <w:rPr>
          <w:rFonts w:ascii="Arial" w:eastAsia="Times New Roman" w:hAnsi="Arial" w:cs="Arial"/>
          <w:vertAlign w:val="superscript"/>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40,001 – 50,000</w:t>
      </w:r>
      <w:r w:rsidRPr="00341C73">
        <w:rPr>
          <w:rFonts w:ascii="Arial" w:eastAsia="Times New Roman" w:hAnsi="Arial" w:cs="Arial"/>
        </w:rPr>
        <w:t xml:space="preserve"> km</w:t>
      </w:r>
      <w:r w:rsidRPr="00341C73">
        <w:rPr>
          <w:rFonts w:ascii="Arial" w:eastAsia="Times New Roman" w:hAnsi="Arial" w:cs="Arial"/>
          <w:vertAlign w:val="superscript"/>
        </w:rPr>
        <w:t>2</w:t>
      </w:r>
      <w:r>
        <w:rPr>
          <w:rFonts w:ascii="Arial" w:eastAsia="Times New Roman" w:hAnsi="Arial" w:cs="Arial"/>
          <w:vertAlign w:val="superscript"/>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&gt; 50,000</w:t>
      </w:r>
      <w:r w:rsidRPr="00341C73">
        <w:rPr>
          <w:rFonts w:ascii="Arial" w:eastAsia="Times New Roman" w:hAnsi="Arial" w:cs="Arial"/>
        </w:rPr>
        <w:t xml:space="preserve"> km</w:t>
      </w:r>
      <w:r w:rsidRPr="00341C73">
        <w:rPr>
          <w:rFonts w:ascii="Arial" w:eastAsia="Times New Roman" w:hAnsi="Arial" w:cs="Arial"/>
          <w:vertAlign w:val="superscript"/>
        </w:rPr>
        <w:t>2</w:t>
      </w:r>
    </w:p>
    <w:p w14:paraId="1A1DFB59" w14:textId="77777777" w:rsidR="003D4181" w:rsidRPr="00341C73" w:rsidRDefault="003D4181" w:rsidP="003D4181">
      <w:pPr>
        <w:autoSpaceDE w:val="0"/>
        <w:autoSpaceDN w:val="0"/>
        <w:adjustRightInd w:val="0"/>
        <w:spacing w:after="0" w:line="240" w:lineRule="auto"/>
        <w:ind w:left="360"/>
        <w:rPr>
          <w:rFonts w:ascii="Arial" w:eastAsia="Times New Roman" w:hAnsi="Arial" w:cs="Arial"/>
        </w:rPr>
      </w:pPr>
    </w:p>
    <w:p w14:paraId="1EFC3E7D"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4DF60EF6"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73A8CD21"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2DD25C0E"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7A2262AB" w14:textId="77777777" w:rsidR="00390503" w:rsidRPr="00341C73" w:rsidRDefault="00390503" w:rsidP="00390503">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-high level of certainty, data indicates a decline within this range</w:t>
      </w:r>
    </w:p>
    <w:p w14:paraId="1430354E" w14:textId="77777777" w:rsidR="00390503" w:rsidRPr="00341C73" w:rsidRDefault="00390503" w:rsidP="00390503">
      <w:pPr>
        <w:spacing w:after="0" w:line="240" w:lineRule="auto"/>
        <w:ind w:firstLine="360"/>
        <w:rPr>
          <w:rFonts w:ascii="Times New Roman" w:eastAsia="Times New Roman" w:hAnsi="Times New Roman" w:cs="Times New Roman"/>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1879BC7E"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1140E85F"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021F39A4"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2 – INFORMATION FOR CONSERVATION ADVICE ON THREATS AND CONSERVATION ACTIONS</w:t>
      </w:r>
    </w:p>
    <w:p w14:paraId="02F2F3BE"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3D7D651E"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0E9CF701"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G</w:t>
      </w:r>
      <w:r w:rsidRPr="00341C73">
        <w:rPr>
          <w:rFonts w:ascii="Arial,Bold" w:eastAsia="Times New Roman" w:hAnsi="Arial,Bold" w:cs="Arial,Bold"/>
          <w:b/>
          <w:bCs/>
        </w:rPr>
        <w:tab/>
        <w:t xml:space="preserve">DO YOU HAVE INFORMATION ON THREATS TO THE SURVIVAL OF THE SPECIES/SUBSPECIES? </w:t>
      </w:r>
      <w:r w:rsidRPr="00341C73">
        <w:rPr>
          <w:rFonts w:ascii="Arial" w:eastAsia="Times New Roman" w:hAnsi="Arial" w:cs="Arial"/>
          <w:b/>
        </w:rPr>
        <w:t>(If no, skip to section H)</w:t>
      </w:r>
    </w:p>
    <w:p w14:paraId="36BC9BA9" w14:textId="77777777" w:rsidR="00390503" w:rsidRPr="00341C73" w:rsidRDefault="00390503" w:rsidP="00390503">
      <w:pPr>
        <w:autoSpaceDE w:val="0"/>
        <w:autoSpaceDN w:val="0"/>
        <w:adjustRightInd w:val="0"/>
        <w:spacing w:after="0" w:line="240" w:lineRule="auto"/>
        <w:ind w:left="1560" w:hanging="1560"/>
        <w:rPr>
          <w:rFonts w:ascii="Arial,Bold" w:eastAsia="Times New Roman" w:hAnsi="Arial,Bold" w:cs="Arial,Bold"/>
          <w:b/>
          <w:bCs/>
        </w:rPr>
      </w:pPr>
    </w:p>
    <w:p w14:paraId="7CAC6201"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all major threats have been identified and described adequately?</w:t>
      </w:r>
    </w:p>
    <w:p w14:paraId="7C38C8BB"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29799E41"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To what degree are the identified threats likely to impact on the species/subspecies in the future?</w:t>
      </w:r>
    </w:p>
    <w:p w14:paraId="39B8E1E1"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04BE4C69"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the threats impacting on different populations equally, or do the threats vary across different populations?</w:t>
      </w:r>
    </w:p>
    <w:p w14:paraId="1385F931"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15B58440"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lastRenderedPageBreak/>
        <w:t>Can you provide additional or alternative information on past, current or potential threats that may adversely affect the species/subspecies at any stage of its life cycle?</w:t>
      </w:r>
    </w:p>
    <w:p w14:paraId="6F9F4E9C"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4D979BD3"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supporting data/justification or other information for your responses to these questions about threats?</w:t>
      </w:r>
    </w:p>
    <w:p w14:paraId="4C41CFE2" w14:textId="77777777" w:rsidR="00390503" w:rsidRPr="00341C73" w:rsidRDefault="00390503" w:rsidP="00390503">
      <w:pPr>
        <w:autoSpaceDE w:val="0"/>
        <w:autoSpaceDN w:val="0"/>
        <w:adjustRightInd w:val="0"/>
        <w:spacing w:after="0" w:line="240" w:lineRule="auto"/>
        <w:ind w:left="1560" w:hanging="1560"/>
        <w:rPr>
          <w:rFonts w:ascii="Arial,Bold" w:eastAsia="Times New Roman" w:hAnsi="Arial,Bold" w:cs="Arial,Bold"/>
          <w:b/>
          <w:bCs/>
        </w:rPr>
      </w:pPr>
    </w:p>
    <w:p w14:paraId="13D0EFF7" w14:textId="77777777" w:rsidR="00390503" w:rsidRPr="00341C73" w:rsidRDefault="00390503" w:rsidP="00390503">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H</w:t>
      </w:r>
      <w:r w:rsidRPr="00341C73">
        <w:rPr>
          <w:rFonts w:ascii="Arial,Bold" w:eastAsia="Times New Roman" w:hAnsi="Arial,Bold" w:cs="Arial,Bold"/>
          <w:b/>
          <w:bCs/>
        </w:rPr>
        <w:t xml:space="preserve"> </w:t>
      </w:r>
      <w:r w:rsidRPr="00341C73">
        <w:rPr>
          <w:rFonts w:ascii="Arial,Bold" w:eastAsia="Times New Roman" w:hAnsi="Arial,Bold" w:cs="Arial,Bold"/>
          <w:b/>
          <w:bCs/>
        </w:rPr>
        <w:tab/>
        <w:t xml:space="preserve">DO YOU HAVE INFORMATION ON CURRENT OR FUTURE MANAGEMENT FOR THE RECOVERY OF THE SPECIES/SUBSPECIES? </w:t>
      </w:r>
      <w:r w:rsidRPr="00341C73">
        <w:rPr>
          <w:rFonts w:ascii="Arial" w:eastAsia="Times New Roman" w:hAnsi="Arial" w:cs="Arial"/>
          <w:b/>
        </w:rPr>
        <w:t>(If no, skip to section I)</w:t>
      </w:r>
    </w:p>
    <w:p w14:paraId="5192888F" w14:textId="77777777" w:rsidR="00390503" w:rsidRPr="00341C73" w:rsidRDefault="00390503" w:rsidP="00390503">
      <w:pPr>
        <w:autoSpaceDE w:val="0"/>
        <w:autoSpaceDN w:val="0"/>
        <w:adjustRightInd w:val="0"/>
        <w:spacing w:after="0" w:line="240" w:lineRule="auto"/>
        <w:ind w:left="1560" w:hanging="1560"/>
        <w:rPr>
          <w:rFonts w:ascii="Arial,Bold" w:eastAsia="Times New Roman" w:hAnsi="Arial,Bold" w:cs="Arial,Bold"/>
          <w:b/>
          <w:bCs/>
        </w:rPr>
      </w:pPr>
    </w:p>
    <w:p w14:paraId="7D8DA7C4"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What planning, management and recovery actions are currently in place supporting protection and recovery of the species/subspecies? To what extent have they been effective?</w:t>
      </w:r>
    </w:p>
    <w:p w14:paraId="3E6A17E5"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07237241"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recommend any additional or alternative specific threat abatement or conservation actions that would aid the protection and recovery of the species/subspecies?</w:t>
      </w:r>
    </w:p>
    <w:p w14:paraId="75E2D4B8" w14:textId="77777777" w:rsidR="00390503" w:rsidRPr="00341C73" w:rsidRDefault="00390503" w:rsidP="00390503">
      <w:pPr>
        <w:autoSpaceDE w:val="0"/>
        <w:autoSpaceDN w:val="0"/>
        <w:adjustRightInd w:val="0"/>
        <w:spacing w:after="0" w:line="240" w:lineRule="auto"/>
        <w:ind w:left="360"/>
        <w:rPr>
          <w:rFonts w:ascii="Arial" w:eastAsia="Times New Roman" w:hAnsi="Arial" w:cs="Arial"/>
        </w:rPr>
      </w:pPr>
    </w:p>
    <w:p w14:paraId="1A077E06"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Would you recommend translocation (outside of the species’ historic range) as a viable option as a </w:t>
      </w:r>
      <w:proofErr w:type="gramStart"/>
      <w:r w:rsidRPr="00341C73">
        <w:rPr>
          <w:rFonts w:ascii="Arial" w:eastAsia="Times New Roman" w:hAnsi="Arial" w:cs="Arial"/>
        </w:rPr>
        <w:t>conservation actions</w:t>
      </w:r>
      <w:proofErr w:type="gramEnd"/>
      <w:r w:rsidRPr="00341C73">
        <w:rPr>
          <w:rFonts w:ascii="Arial" w:eastAsia="Times New Roman" w:hAnsi="Arial" w:cs="Arial"/>
        </w:rPr>
        <w:t xml:space="preserve"> for this species/subspecies?</w:t>
      </w:r>
    </w:p>
    <w:p w14:paraId="2C7A644D"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6E66B9AF" w14:textId="77777777" w:rsidR="00390503" w:rsidRPr="00341C73" w:rsidRDefault="00390503" w:rsidP="00390503">
      <w:pPr>
        <w:keepNext/>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I</w:t>
      </w:r>
      <w:r w:rsidRPr="00341C73">
        <w:rPr>
          <w:rFonts w:ascii="Arial" w:eastAsia="Times New Roman" w:hAnsi="Arial" w:cs="Arial"/>
          <w:b/>
        </w:rPr>
        <w:t xml:space="preserve"> </w:t>
      </w:r>
      <w:r w:rsidRPr="00341C73">
        <w:rPr>
          <w:rFonts w:ascii="Arial" w:eastAsia="Times New Roman" w:hAnsi="Arial" w:cs="Arial"/>
          <w:b/>
        </w:rPr>
        <w:tab/>
        <w:t>DO YOU HAVE INFORMATION ON STAKEHOLDERS IN THE RECOVERY OF THE SPECIES/SUBSPECIES?</w:t>
      </w:r>
    </w:p>
    <w:p w14:paraId="75EE5500" w14:textId="77777777" w:rsidR="00390503" w:rsidRPr="00341C73" w:rsidRDefault="00390503" w:rsidP="00390503">
      <w:pPr>
        <w:keepNext/>
        <w:autoSpaceDE w:val="0"/>
        <w:autoSpaceDN w:val="0"/>
        <w:adjustRightInd w:val="0"/>
        <w:spacing w:after="0" w:line="240" w:lineRule="auto"/>
        <w:ind w:left="1560" w:hanging="1560"/>
        <w:rPr>
          <w:rFonts w:ascii="Arial" w:eastAsia="Times New Roman" w:hAnsi="Arial" w:cs="Arial"/>
          <w:b/>
        </w:rPr>
      </w:pPr>
    </w:p>
    <w:p w14:paraId="533FC687"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other knowledge (e.g., traditional ecological knowledge) or individuals/groups with knowledge that may help better understand population trends/fluctuations, or critical areas of habitat?</w:t>
      </w:r>
    </w:p>
    <w:p w14:paraId="50B007AD" w14:textId="77777777" w:rsidR="00390503" w:rsidRPr="00341C73" w:rsidRDefault="00390503" w:rsidP="00390503">
      <w:pPr>
        <w:autoSpaceDE w:val="0"/>
        <w:autoSpaceDN w:val="0"/>
        <w:adjustRightInd w:val="0"/>
        <w:spacing w:after="0" w:line="240" w:lineRule="auto"/>
        <w:ind w:left="360"/>
        <w:rPr>
          <w:rFonts w:ascii="Arial" w:eastAsia="Times New Roman" w:hAnsi="Arial" w:cs="Arial"/>
          <w:color w:val="000000"/>
        </w:rPr>
      </w:pPr>
    </w:p>
    <w:p w14:paraId="0C236180"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any cultural or social importance or use that the species/subspecies has?</w:t>
      </w:r>
    </w:p>
    <w:p w14:paraId="44602352" w14:textId="77777777" w:rsidR="00390503" w:rsidRPr="00341C73" w:rsidRDefault="00390503" w:rsidP="00390503">
      <w:pPr>
        <w:autoSpaceDE w:val="0"/>
        <w:autoSpaceDN w:val="0"/>
        <w:adjustRightInd w:val="0"/>
        <w:spacing w:after="0" w:line="240" w:lineRule="auto"/>
        <w:ind w:left="360"/>
        <w:rPr>
          <w:rFonts w:ascii="Arial" w:eastAsia="Times New Roman" w:hAnsi="Arial" w:cs="Arial"/>
          <w:color w:val="000000"/>
        </w:rPr>
      </w:pPr>
    </w:p>
    <w:p w14:paraId="3737E6FE"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individuals or organisations are currently, or potentially could be, involved in management and recovery of the species/subspecies?</w:t>
      </w:r>
    </w:p>
    <w:p w14:paraId="76A56ED1" w14:textId="77777777" w:rsidR="00390503" w:rsidRPr="00341C73" w:rsidRDefault="00390503" w:rsidP="00390503">
      <w:pPr>
        <w:autoSpaceDE w:val="0"/>
        <w:autoSpaceDN w:val="0"/>
        <w:adjustRightInd w:val="0"/>
        <w:spacing w:after="0" w:line="240" w:lineRule="auto"/>
        <w:ind w:left="360"/>
        <w:rPr>
          <w:rFonts w:ascii="Arial" w:eastAsia="Times New Roman" w:hAnsi="Arial" w:cs="Arial"/>
          <w:color w:val="000000"/>
        </w:rPr>
      </w:pPr>
    </w:p>
    <w:p w14:paraId="4399523E"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 xml:space="preserve">How aware of this species/subspecies are land managers where the species/subspecies is found? </w:t>
      </w:r>
    </w:p>
    <w:p w14:paraId="6BF4FA59" w14:textId="77777777" w:rsidR="00390503" w:rsidRPr="00341C73" w:rsidRDefault="00390503" w:rsidP="00390503">
      <w:pPr>
        <w:autoSpaceDE w:val="0"/>
        <w:autoSpaceDN w:val="0"/>
        <w:adjustRightInd w:val="0"/>
        <w:spacing w:after="0" w:line="240" w:lineRule="auto"/>
        <w:ind w:left="360"/>
        <w:rPr>
          <w:rFonts w:ascii="Arial" w:eastAsia="Times New Roman" w:hAnsi="Arial" w:cs="Arial"/>
          <w:color w:val="000000"/>
        </w:rPr>
      </w:pPr>
    </w:p>
    <w:p w14:paraId="303522C4"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level of awareness is there with individuals or organisations around the issues affecting the species/subspecies?</w:t>
      </w:r>
    </w:p>
    <w:p w14:paraId="01838B8E" w14:textId="77777777" w:rsidR="00390503" w:rsidRPr="00341C73" w:rsidRDefault="00390503" w:rsidP="00390503">
      <w:pPr>
        <w:autoSpaceDE w:val="0"/>
        <w:autoSpaceDN w:val="0"/>
        <w:adjustRightInd w:val="0"/>
        <w:spacing w:after="0" w:line="240" w:lineRule="auto"/>
        <w:ind w:left="360"/>
        <w:rPr>
          <w:rFonts w:ascii="Arial" w:eastAsia="Times New Roman" w:hAnsi="Arial" w:cs="Arial"/>
          <w:color w:val="000000"/>
        </w:rPr>
      </w:pPr>
    </w:p>
    <w:p w14:paraId="2E8D6B9A" w14:textId="77777777" w:rsidR="00390503" w:rsidRPr="00341C73" w:rsidRDefault="00390503" w:rsidP="009F5C38">
      <w:pPr>
        <w:numPr>
          <w:ilvl w:val="1"/>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Where there is awareness, what are these interests of these individuals/organisations?</w:t>
      </w:r>
    </w:p>
    <w:p w14:paraId="0265C273" w14:textId="77777777" w:rsidR="00390503" w:rsidRPr="00341C73" w:rsidRDefault="00390503" w:rsidP="00390503">
      <w:pPr>
        <w:autoSpaceDE w:val="0"/>
        <w:autoSpaceDN w:val="0"/>
        <w:adjustRightInd w:val="0"/>
        <w:spacing w:after="0" w:line="240" w:lineRule="auto"/>
        <w:ind w:left="1080"/>
        <w:rPr>
          <w:rFonts w:ascii="Arial" w:eastAsia="Times New Roman" w:hAnsi="Arial" w:cs="Arial"/>
          <w:color w:val="000000"/>
        </w:rPr>
      </w:pPr>
    </w:p>
    <w:p w14:paraId="14E16A0B" w14:textId="77777777" w:rsidR="00390503" w:rsidRPr="00341C73" w:rsidRDefault="00390503" w:rsidP="009F5C38">
      <w:pPr>
        <w:numPr>
          <w:ilvl w:val="1"/>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there populations or areas of habitat that are particularly important to the community?</w:t>
      </w:r>
    </w:p>
    <w:p w14:paraId="26ADE2EE" w14:textId="77777777" w:rsidR="00390503" w:rsidRPr="00341C73" w:rsidRDefault="00390503" w:rsidP="00390503">
      <w:pPr>
        <w:autoSpaceDE w:val="0"/>
        <w:autoSpaceDN w:val="0"/>
        <w:adjustRightInd w:val="0"/>
        <w:spacing w:after="0" w:line="240" w:lineRule="auto"/>
        <w:rPr>
          <w:rFonts w:ascii="Times New Roman" w:eastAsia="Times New Roman" w:hAnsi="Times New Roman" w:cs="Times New Roman"/>
          <w:sz w:val="20"/>
          <w:szCs w:val="20"/>
        </w:rPr>
      </w:pPr>
    </w:p>
    <w:p w14:paraId="77E79CC3"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0B75D44D"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3 – ANY OTHER INFORMATION</w:t>
      </w:r>
    </w:p>
    <w:p w14:paraId="425E359C" w14:textId="77777777" w:rsidR="00390503" w:rsidRPr="00341C73" w:rsidRDefault="00390503" w:rsidP="00390503">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333B7EE2" w14:textId="77777777" w:rsidR="00390503" w:rsidRPr="00341C73" w:rsidRDefault="00390503" w:rsidP="00390503">
      <w:pPr>
        <w:autoSpaceDE w:val="0"/>
        <w:autoSpaceDN w:val="0"/>
        <w:adjustRightInd w:val="0"/>
        <w:spacing w:after="0" w:line="240" w:lineRule="auto"/>
        <w:rPr>
          <w:rFonts w:ascii="Arial" w:eastAsia="Times New Roman" w:hAnsi="Arial" w:cs="Arial"/>
        </w:rPr>
      </w:pPr>
    </w:p>
    <w:p w14:paraId="0C7F7C72" w14:textId="77777777" w:rsidR="00390503" w:rsidRPr="00341C73" w:rsidRDefault="00390503" w:rsidP="009F5C38">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Do you have comments on any other matters relevant to the assessment of this species/subspecies?</w:t>
      </w:r>
    </w:p>
    <w:p w14:paraId="11D5DAD0" w14:textId="77777777" w:rsidR="00390503" w:rsidRPr="00341C73" w:rsidRDefault="00390503" w:rsidP="00390503">
      <w:pPr>
        <w:spacing w:after="0" w:line="240" w:lineRule="auto"/>
        <w:rPr>
          <w:rFonts w:ascii="Times New Roman" w:eastAsia="Times New Roman" w:hAnsi="Times New Roman" w:cs="Times New Roman"/>
          <w:sz w:val="20"/>
          <w:szCs w:val="20"/>
        </w:rPr>
      </w:pPr>
    </w:p>
    <w:p w14:paraId="54381648" w14:textId="77777777" w:rsidR="00390503" w:rsidRPr="00341C73" w:rsidRDefault="00390503" w:rsidP="00390503">
      <w:pPr>
        <w:spacing w:after="0" w:line="240" w:lineRule="auto"/>
        <w:rPr>
          <w:rFonts w:ascii="Times New Roman" w:eastAsia="Times New Roman" w:hAnsi="Times New Roman" w:cs="Times New Roman"/>
          <w:sz w:val="20"/>
          <w:szCs w:val="20"/>
        </w:rPr>
      </w:pPr>
    </w:p>
    <w:sectPr w:rsidR="00390503" w:rsidRPr="00341C73" w:rsidSect="002F232F">
      <w:headerReference w:type="even" r:id="rId38"/>
      <w:headerReference w:type="default" r:id="rId39"/>
      <w:headerReference w:type="first" r:id="rId40"/>
      <w:footerReference w:type="first" r:id="rId4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6B61" w14:textId="77777777" w:rsidR="006720A8" w:rsidRDefault="006720A8">
      <w:r>
        <w:separator/>
      </w:r>
    </w:p>
    <w:p w14:paraId="45441DBD" w14:textId="77777777" w:rsidR="006720A8" w:rsidRDefault="006720A8"/>
    <w:p w14:paraId="6135A9A9" w14:textId="77777777" w:rsidR="006720A8" w:rsidRDefault="006720A8"/>
    <w:p w14:paraId="62BA959B" w14:textId="77777777" w:rsidR="006720A8" w:rsidRDefault="006720A8"/>
  </w:endnote>
  <w:endnote w:type="continuationSeparator" w:id="0">
    <w:p w14:paraId="416C4710" w14:textId="77777777" w:rsidR="006720A8" w:rsidRDefault="006720A8">
      <w:r>
        <w:continuationSeparator/>
      </w:r>
    </w:p>
    <w:p w14:paraId="71EF0FE5" w14:textId="77777777" w:rsidR="006720A8" w:rsidRDefault="006720A8"/>
    <w:p w14:paraId="7B41B149" w14:textId="77777777" w:rsidR="006720A8" w:rsidRDefault="006720A8"/>
    <w:p w14:paraId="223B2958" w14:textId="77777777" w:rsidR="006720A8" w:rsidRDefault="006720A8"/>
  </w:endnote>
  <w:endnote w:type="continuationNotice" w:id="1">
    <w:p w14:paraId="7222F5BC" w14:textId="77777777" w:rsidR="006720A8" w:rsidRDefault="006720A8">
      <w:pPr>
        <w:pStyle w:val="Footer"/>
      </w:pPr>
    </w:p>
    <w:p w14:paraId="423A2AF4" w14:textId="77777777" w:rsidR="006720A8" w:rsidRDefault="006720A8"/>
    <w:p w14:paraId="4C8E9DA5" w14:textId="77777777" w:rsidR="006720A8" w:rsidRDefault="006720A8"/>
    <w:p w14:paraId="164295F7" w14:textId="77777777" w:rsidR="006720A8" w:rsidRDefault="0067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2988" w14:textId="3848252F" w:rsidR="00615210" w:rsidRDefault="00615210" w:rsidP="00E02D9C">
    <w:pPr>
      <w:pStyle w:val="Footer"/>
    </w:pPr>
    <w:r>
      <w:t>Threatened Species Scientific Committee</w:t>
    </w:r>
  </w:p>
  <w:p w14:paraId="234230A7" w14:textId="3720DDF0" w:rsidR="00615210" w:rsidRDefault="00615210"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13C0" w14:textId="6A35C4EB" w:rsidR="00615210" w:rsidRDefault="00615210" w:rsidP="002F232F">
    <w:pPr>
      <w:pStyle w:val="Footer"/>
    </w:pPr>
    <w:r>
      <w:t xml:space="preserve">Department of Agriculture, </w:t>
    </w:r>
    <w:proofErr w:type="gramStart"/>
    <w:r>
      <w:t>Water</w:t>
    </w:r>
    <w:proofErr w:type="gramEnd"/>
    <w:r>
      <w:t xml:space="preserve"> and the Environment</w:t>
    </w:r>
  </w:p>
  <w:p w14:paraId="5F768F75" w14:textId="39C309F9" w:rsidR="00615210" w:rsidRDefault="00615210"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C289" w14:textId="10D64E6D" w:rsidR="00615210" w:rsidRDefault="00615210" w:rsidP="002F232F">
    <w:pPr>
      <w:pStyle w:val="Footer"/>
    </w:pPr>
    <w:r>
      <w:t>Threatened Species Scientific Committee</w:t>
    </w:r>
  </w:p>
  <w:p w14:paraId="76D7ADC0" w14:textId="77777777" w:rsidR="00615210" w:rsidRDefault="00615210"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077D" w14:textId="77777777" w:rsidR="006720A8" w:rsidRDefault="006720A8">
      <w:r>
        <w:separator/>
      </w:r>
    </w:p>
    <w:p w14:paraId="7B9808CB" w14:textId="77777777" w:rsidR="006720A8" w:rsidRDefault="006720A8"/>
    <w:p w14:paraId="12965167" w14:textId="77777777" w:rsidR="006720A8" w:rsidRDefault="006720A8"/>
    <w:p w14:paraId="2BBDA76C" w14:textId="77777777" w:rsidR="006720A8" w:rsidRDefault="006720A8"/>
  </w:footnote>
  <w:footnote w:type="continuationSeparator" w:id="0">
    <w:p w14:paraId="381F7A58" w14:textId="77777777" w:rsidR="006720A8" w:rsidRDefault="006720A8">
      <w:r>
        <w:continuationSeparator/>
      </w:r>
    </w:p>
    <w:p w14:paraId="2AA552BE" w14:textId="77777777" w:rsidR="006720A8" w:rsidRDefault="006720A8"/>
    <w:p w14:paraId="23641586" w14:textId="77777777" w:rsidR="006720A8" w:rsidRDefault="006720A8"/>
    <w:p w14:paraId="519A68A1" w14:textId="77777777" w:rsidR="006720A8" w:rsidRDefault="006720A8"/>
  </w:footnote>
  <w:footnote w:type="continuationNotice" w:id="1">
    <w:p w14:paraId="209EC00C" w14:textId="77777777" w:rsidR="006720A8" w:rsidRDefault="006720A8">
      <w:pPr>
        <w:pStyle w:val="Footer"/>
      </w:pPr>
    </w:p>
    <w:p w14:paraId="053A57F7" w14:textId="77777777" w:rsidR="006720A8" w:rsidRDefault="006720A8"/>
    <w:p w14:paraId="2A4D5CC6" w14:textId="77777777" w:rsidR="006720A8" w:rsidRDefault="006720A8"/>
    <w:p w14:paraId="74ECDAB0" w14:textId="77777777" w:rsidR="006720A8" w:rsidRDefault="00672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5AD" w14:textId="39914748" w:rsidR="00615210" w:rsidRDefault="00615210">
    <w:pPr>
      <w:pStyle w:val="Header"/>
    </w:pPr>
  </w:p>
  <w:p w14:paraId="56094A49" w14:textId="77777777" w:rsidR="00615210" w:rsidRDefault="006152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3B" w14:textId="2913959B" w:rsidR="00615210" w:rsidRDefault="00615210" w:rsidP="000202F4">
    <w:pPr>
      <w:pStyle w:val="Header"/>
    </w:pPr>
    <w:proofErr w:type="spellStart"/>
    <w:r w:rsidRPr="008132B0">
      <w:rPr>
        <w:rStyle w:val="Emphasis"/>
      </w:rPr>
      <w:t>Stagonopleura</w:t>
    </w:r>
    <w:proofErr w:type="spellEnd"/>
    <w:r w:rsidRPr="008132B0">
      <w:rPr>
        <w:rStyle w:val="Emphasis"/>
      </w:rPr>
      <w:t xml:space="preserve"> guttata </w:t>
    </w:r>
    <w:r w:rsidRPr="008132B0">
      <w:rPr>
        <w:rStyle w:val="Emphasis"/>
        <w:i w:val="0"/>
        <w:iCs w:val="0"/>
      </w:rPr>
      <w:t>(Diamond Firetail)</w:t>
    </w:r>
    <w:r w:rsidRPr="008132B0">
      <w:rPr>
        <w:i/>
        <w:iCs/>
      </w:rPr>
      <w:t xml:space="preserve"> </w:t>
    </w:r>
    <w:r>
      <w:t>Consultation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00D5" w14:textId="589AA0B9" w:rsidR="00615210" w:rsidRDefault="00615210" w:rsidP="00C37215">
    <w:pPr>
      <w:pStyle w:val="Header"/>
      <w:tabs>
        <w:tab w:val="clear" w:pos="4820"/>
        <w:tab w:val="left" w:pos="7992"/>
      </w:tabs>
      <w:jc w:val="left"/>
    </w:pPr>
    <w:r>
      <w:rPr>
        <w:noProof/>
        <w:lang w:eastAsia="en-AU"/>
      </w:rPr>
      <w:drawing>
        <wp:inline distT="0" distB="0" distL="0" distR="0" wp14:anchorId="45C6DFDA" wp14:editId="5E5F8236">
          <wp:extent cx="2417064" cy="72542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D48" w14:textId="4EC8303F" w:rsidR="00615210" w:rsidRDefault="006152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FCD8" w14:textId="0574CCAC" w:rsidR="00615210" w:rsidRPr="001073D0" w:rsidRDefault="00615210" w:rsidP="001073D0">
    <w:pPr>
      <w:pStyle w:val="Header"/>
    </w:pPr>
    <w:proofErr w:type="spellStart"/>
    <w:r w:rsidRPr="008132B0">
      <w:rPr>
        <w:rStyle w:val="Emphasis"/>
      </w:rPr>
      <w:t>Stagonopleura</w:t>
    </w:r>
    <w:proofErr w:type="spellEnd"/>
    <w:r w:rsidRPr="008132B0">
      <w:rPr>
        <w:rStyle w:val="Emphasis"/>
      </w:rPr>
      <w:t xml:space="preserve"> guttata </w:t>
    </w:r>
    <w:r w:rsidRPr="008132B0">
      <w:rPr>
        <w:rStyle w:val="Emphasis"/>
        <w:i w:val="0"/>
        <w:iCs w:val="0"/>
      </w:rPr>
      <w:t>(Diamond Firetail)</w:t>
    </w:r>
    <w:r w:rsidRPr="008132B0">
      <w:rPr>
        <w:i/>
        <w:iCs/>
      </w:rPr>
      <w:t xml:space="preserve"> </w:t>
    </w:r>
    <w:r>
      <w:t>Consultation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8E25" w14:textId="6379B2AB" w:rsidR="00615210" w:rsidRPr="003E30FD" w:rsidRDefault="00615210"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41CA5597" w14:textId="7CBD7742" w:rsidR="00615210" w:rsidRPr="00D728A1" w:rsidRDefault="00615210"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E5D1D2F" w14:textId="3C5DC916" w:rsidR="00615210" w:rsidRDefault="00615210" w:rsidP="00EB020B">
    <w:pPr>
      <w:pStyle w:val="Header"/>
    </w:pPr>
    <w:r>
      <w:t>The Threatened Species Scientific Committee draft listing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709"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6"/>
  </w:num>
  <w:num w:numId="2">
    <w:abstractNumId w:val="3"/>
  </w:num>
  <w:num w:numId="3">
    <w:abstractNumId w:val="9"/>
  </w:num>
  <w:num w:numId="4">
    <w:abstractNumId w:val="10"/>
  </w:num>
  <w:num w:numId="5">
    <w:abstractNumId w:val="5"/>
  </w:num>
  <w:num w:numId="6">
    <w:abstractNumId w:val="8"/>
  </w:num>
  <w:num w:numId="7">
    <w:abstractNumId w:val="4"/>
  </w:num>
  <w:num w:numId="8">
    <w:abstractNumId w:val="7"/>
  </w:num>
  <w:num w:numId="9">
    <w:abstractNumId w:val="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3B"/>
    <w:rsid w:val="000011D8"/>
    <w:rsid w:val="000075C7"/>
    <w:rsid w:val="00007711"/>
    <w:rsid w:val="00010D07"/>
    <w:rsid w:val="00014AA2"/>
    <w:rsid w:val="00014FE0"/>
    <w:rsid w:val="000202F4"/>
    <w:rsid w:val="00020F2A"/>
    <w:rsid w:val="000213FD"/>
    <w:rsid w:val="00023959"/>
    <w:rsid w:val="00025619"/>
    <w:rsid w:val="000341E0"/>
    <w:rsid w:val="0004004B"/>
    <w:rsid w:val="00041178"/>
    <w:rsid w:val="00041499"/>
    <w:rsid w:val="0004550E"/>
    <w:rsid w:val="00045FF0"/>
    <w:rsid w:val="00055BD0"/>
    <w:rsid w:val="0005740D"/>
    <w:rsid w:val="00063C71"/>
    <w:rsid w:val="00063E78"/>
    <w:rsid w:val="00065F4B"/>
    <w:rsid w:val="00066E30"/>
    <w:rsid w:val="00071129"/>
    <w:rsid w:val="00072F05"/>
    <w:rsid w:val="00074E5B"/>
    <w:rsid w:val="0008306F"/>
    <w:rsid w:val="000835A0"/>
    <w:rsid w:val="00085069"/>
    <w:rsid w:val="0008655C"/>
    <w:rsid w:val="000912D3"/>
    <w:rsid w:val="000959C5"/>
    <w:rsid w:val="000A0E13"/>
    <w:rsid w:val="000A4134"/>
    <w:rsid w:val="000A6133"/>
    <w:rsid w:val="000A6239"/>
    <w:rsid w:val="000A722E"/>
    <w:rsid w:val="000B5E97"/>
    <w:rsid w:val="000B7CE7"/>
    <w:rsid w:val="000D1830"/>
    <w:rsid w:val="000D51F3"/>
    <w:rsid w:val="000D55BC"/>
    <w:rsid w:val="000D738D"/>
    <w:rsid w:val="000D7C7A"/>
    <w:rsid w:val="000D7FAF"/>
    <w:rsid w:val="000E2A4A"/>
    <w:rsid w:val="000E630E"/>
    <w:rsid w:val="000E690C"/>
    <w:rsid w:val="000E789A"/>
    <w:rsid w:val="000F018A"/>
    <w:rsid w:val="000F30DC"/>
    <w:rsid w:val="000F3D21"/>
    <w:rsid w:val="000F4173"/>
    <w:rsid w:val="00102FDA"/>
    <w:rsid w:val="0010397D"/>
    <w:rsid w:val="001073D0"/>
    <w:rsid w:val="00107CD4"/>
    <w:rsid w:val="00114207"/>
    <w:rsid w:val="0011667C"/>
    <w:rsid w:val="001200FA"/>
    <w:rsid w:val="00120CED"/>
    <w:rsid w:val="0012461E"/>
    <w:rsid w:val="00130A0B"/>
    <w:rsid w:val="001329A2"/>
    <w:rsid w:val="00133292"/>
    <w:rsid w:val="001339F7"/>
    <w:rsid w:val="00134F23"/>
    <w:rsid w:val="00136278"/>
    <w:rsid w:val="001376F1"/>
    <w:rsid w:val="00137F5A"/>
    <w:rsid w:val="00140E9E"/>
    <w:rsid w:val="001443D1"/>
    <w:rsid w:val="00145862"/>
    <w:rsid w:val="00145DB1"/>
    <w:rsid w:val="00146918"/>
    <w:rsid w:val="00147687"/>
    <w:rsid w:val="001531CA"/>
    <w:rsid w:val="00154576"/>
    <w:rsid w:val="00154B5B"/>
    <w:rsid w:val="00155BA9"/>
    <w:rsid w:val="0016081E"/>
    <w:rsid w:val="00161E8C"/>
    <w:rsid w:val="001633F4"/>
    <w:rsid w:val="00165364"/>
    <w:rsid w:val="00166185"/>
    <w:rsid w:val="00170181"/>
    <w:rsid w:val="00170795"/>
    <w:rsid w:val="00172858"/>
    <w:rsid w:val="00172CCD"/>
    <w:rsid w:val="001739A8"/>
    <w:rsid w:val="001759D0"/>
    <w:rsid w:val="00177744"/>
    <w:rsid w:val="00180329"/>
    <w:rsid w:val="0018058D"/>
    <w:rsid w:val="00186635"/>
    <w:rsid w:val="001921B3"/>
    <w:rsid w:val="0019598A"/>
    <w:rsid w:val="00195B15"/>
    <w:rsid w:val="001A0FF1"/>
    <w:rsid w:val="001A2D13"/>
    <w:rsid w:val="001A3C77"/>
    <w:rsid w:val="001A3FC3"/>
    <w:rsid w:val="001A6AFB"/>
    <w:rsid w:val="001B077B"/>
    <w:rsid w:val="001B19FD"/>
    <w:rsid w:val="001B2BE2"/>
    <w:rsid w:val="001B441B"/>
    <w:rsid w:val="001B5497"/>
    <w:rsid w:val="001B55AE"/>
    <w:rsid w:val="001B729C"/>
    <w:rsid w:val="001C340A"/>
    <w:rsid w:val="001C3F42"/>
    <w:rsid w:val="001C7420"/>
    <w:rsid w:val="001C7AD9"/>
    <w:rsid w:val="001E3289"/>
    <w:rsid w:val="001E4765"/>
    <w:rsid w:val="001E5131"/>
    <w:rsid w:val="001E68C4"/>
    <w:rsid w:val="001F20B6"/>
    <w:rsid w:val="001F3DDF"/>
    <w:rsid w:val="00202B45"/>
    <w:rsid w:val="0021433D"/>
    <w:rsid w:val="00214AE1"/>
    <w:rsid w:val="00221209"/>
    <w:rsid w:val="00221411"/>
    <w:rsid w:val="0022142B"/>
    <w:rsid w:val="00223105"/>
    <w:rsid w:val="00223138"/>
    <w:rsid w:val="0023010D"/>
    <w:rsid w:val="002319AB"/>
    <w:rsid w:val="00232977"/>
    <w:rsid w:val="00234B2E"/>
    <w:rsid w:val="0024549B"/>
    <w:rsid w:val="00252237"/>
    <w:rsid w:val="00252454"/>
    <w:rsid w:val="0026224D"/>
    <w:rsid w:val="002640FF"/>
    <w:rsid w:val="00266DC5"/>
    <w:rsid w:val="00267B46"/>
    <w:rsid w:val="00274B8A"/>
    <w:rsid w:val="00275EEF"/>
    <w:rsid w:val="00276235"/>
    <w:rsid w:val="00276E5C"/>
    <w:rsid w:val="002802A2"/>
    <w:rsid w:val="002803B8"/>
    <w:rsid w:val="00280857"/>
    <w:rsid w:val="0028144F"/>
    <w:rsid w:val="0028148E"/>
    <w:rsid w:val="00284E69"/>
    <w:rsid w:val="002906BC"/>
    <w:rsid w:val="00291107"/>
    <w:rsid w:val="00292F01"/>
    <w:rsid w:val="00297049"/>
    <w:rsid w:val="0029756F"/>
    <w:rsid w:val="002A6BDE"/>
    <w:rsid w:val="002B01EE"/>
    <w:rsid w:val="002B0289"/>
    <w:rsid w:val="002B134C"/>
    <w:rsid w:val="002B1F3E"/>
    <w:rsid w:val="002B5311"/>
    <w:rsid w:val="002B6291"/>
    <w:rsid w:val="002B69E4"/>
    <w:rsid w:val="002B6A3F"/>
    <w:rsid w:val="002B76C9"/>
    <w:rsid w:val="002E31FA"/>
    <w:rsid w:val="002E32CA"/>
    <w:rsid w:val="002E34B7"/>
    <w:rsid w:val="002E5921"/>
    <w:rsid w:val="002F232F"/>
    <w:rsid w:val="002F34D8"/>
    <w:rsid w:val="002F3AEA"/>
    <w:rsid w:val="002F4DAD"/>
    <w:rsid w:val="002F7AD3"/>
    <w:rsid w:val="00302D01"/>
    <w:rsid w:val="003039C8"/>
    <w:rsid w:val="003113EE"/>
    <w:rsid w:val="00320954"/>
    <w:rsid w:val="00323FCB"/>
    <w:rsid w:val="00337360"/>
    <w:rsid w:val="003437D5"/>
    <w:rsid w:val="003445EF"/>
    <w:rsid w:val="00344617"/>
    <w:rsid w:val="00346541"/>
    <w:rsid w:val="00347206"/>
    <w:rsid w:val="00350370"/>
    <w:rsid w:val="00351E68"/>
    <w:rsid w:val="00355F1B"/>
    <w:rsid w:val="003607B9"/>
    <w:rsid w:val="00360ACE"/>
    <w:rsid w:val="0036247C"/>
    <w:rsid w:val="0036347A"/>
    <w:rsid w:val="0037602E"/>
    <w:rsid w:val="003844EE"/>
    <w:rsid w:val="00385876"/>
    <w:rsid w:val="00386FCA"/>
    <w:rsid w:val="00387E7C"/>
    <w:rsid w:val="00390503"/>
    <w:rsid w:val="0039336C"/>
    <w:rsid w:val="00394AB0"/>
    <w:rsid w:val="00394AB6"/>
    <w:rsid w:val="00397AFE"/>
    <w:rsid w:val="003A06CA"/>
    <w:rsid w:val="003B7E7C"/>
    <w:rsid w:val="003C7B5E"/>
    <w:rsid w:val="003D4181"/>
    <w:rsid w:val="003E1291"/>
    <w:rsid w:val="003E206C"/>
    <w:rsid w:val="003E30FD"/>
    <w:rsid w:val="003E5E90"/>
    <w:rsid w:val="003E6102"/>
    <w:rsid w:val="003F22EA"/>
    <w:rsid w:val="003F60E2"/>
    <w:rsid w:val="003F6EE8"/>
    <w:rsid w:val="0040031A"/>
    <w:rsid w:val="00401C85"/>
    <w:rsid w:val="0040258A"/>
    <w:rsid w:val="00402785"/>
    <w:rsid w:val="00403842"/>
    <w:rsid w:val="00412830"/>
    <w:rsid w:val="00413959"/>
    <w:rsid w:val="004218F0"/>
    <w:rsid w:val="00421E71"/>
    <w:rsid w:val="00422576"/>
    <w:rsid w:val="004236E0"/>
    <w:rsid w:val="004247E0"/>
    <w:rsid w:val="004326C4"/>
    <w:rsid w:val="00432BB0"/>
    <w:rsid w:val="0043513C"/>
    <w:rsid w:val="00437E66"/>
    <w:rsid w:val="00440C79"/>
    <w:rsid w:val="0044391F"/>
    <w:rsid w:val="00443F35"/>
    <w:rsid w:val="004479F1"/>
    <w:rsid w:val="00451D88"/>
    <w:rsid w:val="00460C44"/>
    <w:rsid w:val="00460D54"/>
    <w:rsid w:val="0046168A"/>
    <w:rsid w:val="00462A89"/>
    <w:rsid w:val="00465101"/>
    <w:rsid w:val="00473DF9"/>
    <w:rsid w:val="00475FF3"/>
    <w:rsid w:val="00476948"/>
    <w:rsid w:val="00480C78"/>
    <w:rsid w:val="00481223"/>
    <w:rsid w:val="00482558"/>
    <w:rsid w:val="00482AD7"/>
    <w:rsid w:val="004836CD"/>
    <w:rsid w:val="00486C20"/>
    <w:rsid w:val="00490F86"/>
    <w:rsid w:val="00492C3D"/>
    <w:rsid w:val="0049477E"/>
    <w:rsid w:val="004976CE"/>
    <w:rsid w:val="004B06F9"/>
    <w:rsid w:val="004C3033"/>
    <w:rsid w:val="004C4253"/>
    <w:rsid w:val="004C7F78"/>
    <w:rsid w:val="004D1232"/>
    <w:rsid w:val="004D2790"/>
    <w:rsid w:val="004D2E53"/>
    <w:rsid w:val="004D486A"/>
    <w:rsid w:val="004D61C9"/>
    <w:rsid w:val="004D7C46"/>
    <w:rsid w:val="004E7AAB"/>
    <w:rsid w:val="004E7C8A"/>
    <w:rsid w:val="004E7E4C"/>
    <w:rsid w:val="004F32AB"/>
    <w:rsid w:val="004F412F"/>
    <w:rsid w:val="004F4A8C"/>
    <w:rsid w:val="004F5429"/>
    <w:rsid w:val="00501322"/>
    <w:rsid w:val="005033A2"/>
    <w:rsid w:val="0050438E"/>
    <w:rsid w:val="00504E67"/>
    <w:rsid w:val="0050535B"/>
    <w:rsid w:val="0050545D"/>
    <w:rsid w:val="005059FD"/>
    <w:rsid w:val="0050723A"/>
    <w:rsid w:val="00510CEA"/>
    <w:rsid w:val="00510F1A"/>
    <w:rsid w:val="0051202F"/>
    <w:rsid w:val="0051701F"/>
    <w:rsid w:val="00520075"/>
    <w:rsid w:val="005208A6"/>
    <w:rsid w:val="005214B1"/>
    <w:rsid w:val="005219AD"/>
    <w:rsid w:val="0052493F"/>
    <w:rsid w:val="005306BA"/>
    <w:rsid w:val="005361FE"/>
    <w:rsid w:val="00536283"/>
    <w:rsid w:val="00537372"/>
    <w:rsid w:val="00537EBA"/>
    <w:rsid w:val="00543CCD"/>
    <w:rsid w:val="0054559E"/>
    <w:rsid w:val="0055033C"/>
    <w:rsid w:val="005568E4"/>
    <w:rsid w:val="005624F4"/>
    <w:rsid w:val="0056348C"/>
    <w:rsid w:val="005678E8"/>
    <w:rsid w:val="00570946"/>
    <w:rsid w:val="00580772"/>
    <w:rsid w:val="00583E52"/>
    <w:rsid w:val="0058583E"/>
    <w:rsid w:val="00590E2A"/>
    <w:rsid w:val="005960E3"/>
    <w:rsid w:val="005A02CB"/>
    <w:rsid w:val="005A118C"/>
    <w:rsid w:val="005A3DAB"/>
    <w:rsid w:val="005A5154"/>
    <w:rsid w:val="005B2DA0"/>
    <w:rsid w:val="005C168E"/>
    <w:rsid w:val="005C4878"/>
    <w:rsid w:val="005D0B73"/>
    <w:rsid w:val="005D1114"/>
    <w:rsid w:val="005D2006"/>
    <w:rsid w:val="005D22D0"/>
    <w:rsid w:val="005D3AAC"/>
    <w:rsid w:val="005E0550"/>
    <w:rsid w:val="005E0661"/>
    <w:rsid w:val="005E4AF2"/>
    <w:rsid w:val="005F0E4D"/>
    <w:rsid w:val="005F376D"/>
    <w:rsid w:val="005F3E72"/>
    <w:rsid w:val="00601FF6"/>
    <w:rsid w:val="006045F3"/>
    <w:rsid w:val="00605A86"/>
    <w:rsid w:val="00605BF7"/>
    <w:rsid w:val="00611FAC"/>
    <w:rsid w:val="006129B6"/>
    <w:rsid w:val="00612AA8"/>
    <w:rsid w:val="00612FD5"/>
    <w:rsid w:val="006134A7"/>
    <w:rsid w:val="0061515E"/>
    <w:rsid w:val="00615210"/>
    <w:rsid w:val="00615853"/>
    <w:rsid w:val="006170E2"/>
    <w:rsid w:val="00617E93"/>
    <w:rsid w:val="00622D0D"/>
    <w:rsid w:val="00624A10"/>
    <w:rsid w:val="00625216"/>
    <w:rsid w:val="00625A55"/>
    <w:rsid w:val="00643D03"/>
    <w:rsid w:val="006504D2"/>
    <w:rsid w:val="0065073D"/>
    <w:rsid w:val="00651F93"/>
    <w:rsid w:val="006638D6"/>
    <w:rsid w:val="006720A8"/>
    <w:rsid w:val="00673D4B"/>
    <w:rsid w:val="00674A40"/>
    <w:rsid w:val="00677456"/>
    <w:rsid w:val="00680734"/>
    <w:rsid w:val="006807B3"/>
    <w:rsid w:val="00682B53"/>
    <w:rsid w:val="00685944"/>
    <w:rsid w:val="00691AC8"/>
    <w:rsid w:val="00693478"/>
    <w:rsid w:val="006937B3"/>
    <w:rsid w:val="00695903"/>
    <w:rsid w:val="00695EA8"/>
    <w:rsid w:val="00697EA2"/>
    <w:rsid w:val="006A5604"/>
    <w:rsid w:val="006A6526"/>
    <w:rsid w:val="006A78FE"/>
    <w:rsid w:val="006C480C"/>
    <w:rsid w:val="006C5497"/>
    <w:rsid w:val="006C7342"/>
    <w:rsid w:val="006D0068"/>
    <w:rsid w:val="006D140A"/>
    <w:rsid w:val="006D3581"/>
    <w:rsid w:val="006D6C77"/>
    <w:rsid w:val="006D6C96"/>
    <w:rsid w:val="006E04A7"/>
    <w:rsid w:val="006E4DAB"/>
    <w:rsid w:val="006E5CC3"/>
    <w:rsid w:val="006E63B7"/>
    <w:rsid w:val="006E7B8E"/>
    <w:rsid w:val="006F0C5D"/>
    <w:rsid w:val="006F1D0B"/>
    <w:rsid w:val="006F339F"/>
    <w:rsid w:val="006F34F8"/>
    <w:rsid w:val="006F4AC3"/>
    <w:rsid w:val="006F7251"/>
    <w:rsid w:val="007019A7"/>
    <w:rsid w:val="0070330E"/>
    <w:rsid w:val="007063FF"/>
    <w:rsid w:val="0070750E"/>
    <w:rsid w:val="007135EA"/>
    <w:rsid w:val="0071552D"/>
    <w:rsid w:val="00715C18"/>
    <w:rsid w:val="00720F63"/>
    <w:rsid w:val="007210AB"/>
    <w:rsid w:val="0072328F"/>
    <w:rsid w:val="007269A3"/>
    <w:rsid w:val="00726C57"/>
    <w:rsid w:val="00730CF3"/>
    <w:rsid w:val="0073584B"/>
    <w:rsid w:val="007405CB"/>
    <w:rsid w:val="00743AA2"/>
    <w:rsid w:val="0074480F"/>
    <w:rsid w:val="0074658B"/>
    <w:rsid w:val="00746B45"/>
    <w:rsid w:val="00750516"/>
    <w:rsid w:val="0075388B"/>
    <w:rsid w:val="00754065"/>
    <w:rsid w:val="007558CC"/>
    <w:rsid w:val="00760FF8"/>
    <w:rsid w:val="0076197C"/>
    <w:rsid w:val="007626C0"/>
    <w:rsid w:val="00763F74"/>
    <w:rsid w:val="0076542A"/>
    <w:rsid w:val="00765819"/>
    <w:rsid w:val="0076597D"/>
    <w:rsid w:val="00766E25"/>
    <w:rsid w:val="00772527"/>
    <w:rsid w:val="0077351A"/>
    <w:rsid w:val="00774EAA"/>
    <w:rsid w:val="00775528"/>
    <w:rsid w:val="007804CC"/>
    <w:rsid w:val="00780907"/>
    <w:rsid w:val="0078307B"/>
    <w:rsid w:val="007835E0"/>
    <w:rsid w:val="00783F28"/>
    <w:rsid w:val="00785AC0"/>
    <w:rsid w:val="00792E2B"/>
    <w:rsid w:val="00792E71"/>
    <w:rsid w:val="00795F43"/>
    <w:rsid w:val="007A5898"/>
    <w:rsid w:val="007B1083"/>
    <w:rsid w:val="007B1BA0"/>
    <w:rsid w:val="007C1000"/>
    <w:rsid w:val="007C5B94"/>
    <w:rsid w:val="007D0BB0"/>
    <w:rsid w:val="007D0D64"/>
    <w:rsid w:val="007D666A"/>
    <w:rsid w:val="007D7EBC"/>
    <w:rsid w:val="007F4024"/>
    <w:rsid w:val="007F4224"/>
    <w:rsid w:val="00802773"/>
    <w:rsid w:val="00802C21"/>
    <w:rsid w:val="00805DF5"/>
    <w:rsid w:val="008064B3"/>
    <w:rsid w:val="00807052"/>
    <w:rsid w:val="008132B0"/>
    <w:rsid w:val="00814CBA"/>
    <w:rsid w:val="00815D62"/>
    <w:rsid w:val="0082249A"/>
    <w:rsid w:val="00832AA0"/>
    <w:rsid w:val="00832E99"/>
    <w:rsid w:val="00832FAC"/>
    <w:rsid w:val="00833933"/>
    <w:rsid w:val="00855316"/>
    <w:rsid w:val="00856E8D"/>
    <w:rsid w:val="008570BE"/>
    <w:rsid w:val="00857F75"/>
    <w:rsid w:val="0086619D"/>
    <w:rsid w:val="00871C8E"/>
    <w:rsid w:val="00872E14"/>
    <w:rsid w:val="008744A4"/>
    <w:rsid w:val="008769EB"/>
    <w:rsid w:val="00880060"/>
    <w:rsid w:val="00880E00"/>
    <w:rsid w:val="00881197"/>
    <w:rsid w:val="008849BF"/>
    <w:rsid w:val="008861BF"/>
    <w:rsid w:val="00893921"/>
    <w:rsid w:val="00893E37"/>
    <w:rsid w:val="00895793"/>
    <w:rsid w:val="0089596B"/>
    <w:rsid w:val="008A17E1"/>
    <w:rsid w:val="008A18B0"/>
    <w:rsid w:val="008A1B29"/>
    <w:rsid w:val="008A248E"/>
    <w:rsid w:val="008A24A1"/>
    <w:rsid w:val="008A3296"/>
    <w:rsid w:val="008A3D0A"/>
    <w:rsid w:val="008A51E7"/>
    <w:rsid w:val="008A6F13"/>
    <w:rsid w:val="008B00FB"/>
    <w:rsid w:val="008B0D2E"/>
    <w:rsid w:val="008B118D"/>
    <w:rsid w:val="008B5DCA"/>
    <w:rsid w:val="008B78CE"/>
    <w:rsid w:val="008C531D"/>
    <w:rsid w:val="008D0DA6"/>
    <w:rsid w:val="008D2312"/>
    <w:rsid w:val="008D4C1F"/>
    <w:rsid w:val="008D4E8C"/>
    <w:rsid w:val="008D5B88"/>
    <w:rsid w:val="008D5CEE"/>
    <w:rsid w:val="008D5FB2"/>
    <w:rsid w:val="008E4C40"/>
    <w:rsid w:val="008E7C80"/>
    <w:rsid w:val="008F4EF0"/>
    <w:rsid w:val="008F57A7"/>
    <w:rsid w:val="00902C09"/>
    <w:rsid w:val="00903833"/>
    <w:rsid w:val="00910D84"/>
    <w:rsid w:val="00911931"/>
    <w:rsid w:val="00912C6E"/>
    <w:rsid w:val="00915D32"/>
    <w:rsid w:val="00916F8B"/>
    <w:rsid w:val="00921F7C"/>
    <w:rsid w:val="009236FC"/>
    <w:rsid w:val="0092592E"/>
    <w:rsid w:val="009262B2"/>
    <w:rsid w:val="00926AAB"/>
    <w:rsid w:val="00927D81"/>
    <w:rsid w:val="00931643"/>
    <w:rsid w:val="00932DA2"/>
    <w:rsid w:val="00933A0D"/>
    <w:rsid w:val="00933B07"/>
    <w:rsid w:val="009359D0"/>
    <w:rsid w:val="00935CDF"/>
    <w:rsid w:val="00936152"/>
    <w:rsid w:val="00942315"/>
    <w:rsid w:val="0094346B"/>
    <w:rsid w:val="00943806"/>
    <w:rsid w:val="009468FD"/>
    <w:rsid w:val="00947982"/>
    <w:rsid w:val="009502E2"/>
    <w:rsid w:val="00950350"/>
    <w:rsid w:val="00953F4C"/>
    <w:rsid w:val="00953F73"/>
    <w:rsid w:val="00955974"/>
    <w:rsid w:val="0095692A"/>
    <w:rsid w:val="00956DC6"/>
    <w:rsid w:val="0095701C"/>
    <w:rsid w:val="00957A21"/>
    <w:rsid w:val="00962740"/>
    <w:rsid w:val="00963AB8"/>
    <w:rsid w:val="009669DC"/>
    <w:rsid w:val="00975378"/>
    <w:rsid w:val="00975E38"/>
    <w:rsid w:val="0097684A"/>
    <w:rsid w:val="00980788"/>
    <w:rsid w:val="0098092F"/>
    <w:rsid w:val="009939D9"/>
    <w:rsid w:val="00995B7F"/>
    <w:rsid w:val="009A5676"/>
    <w:rsid w:val="009A5850"/>
    <w:rsid w:val="009A615F"/>
    <w:rsid w:val="009A7F6A"/>
    <w:rsid w:val="009B1303"/>
    <w:rsid w:val="009B4AA0"/>
    <w:rsid w:val="009B5162"/>
    <w:rsid w:val="009C33A3"/>
    <w:rsid w:val="009C3511"/>
    <w:rsid w:val="009C5011"/>
    <w:rsid w:val="009C700E"/>
    <w:rsid w:val="009E0E09"/>
    <w:rsid w:val="009E13C2"/>
    <w:rsid w:val="009E2BC4"/>
    <w:rsid w:val="009E30E5"/>
    <w:rsid w:val="009E3E71"/>
    <w:rsid w:val="009E59CA"/>
    <w:rsid w:val="009E6789"/>
    <w:rsid w:val="009E7A91"/>
    <w:rsid w:val="009F08D5"/>
    <w:rsid w:val="009F10A8"/>
    <w:rsid w:val="009F1A26"/>
    <w:rsid w:val="009F2B1B"/>
    <w:rsid w:val="009F3C20"/>
    <w:rsid w:val="009F5C38"/>
    <w:rsid w:val="00A034C7"/>
    <w:rsid w:val="00A03B2E"/>
    <w:rsid w:val="00A06FC3"/>
    <w:rsid w:val="00A12094"/>
    <w:rsid w:val="00A131B7"/>
    <w:rsid w:val="00A203D1"/>
    <w:rsid w:val="00A21391"/>
    <w:rsid w:val="00A33B04"/>
    <w:rsid w:val="00A37B41"/>
    <w:rsid w:val="00A41058"/>
    <w:rsid w:val="00A45C2B"/>
    <w:rsid w:val="00A51891"/>
    <w:rsid w:val="00A54B60"/>
    <w:rsid w:val="00A56664"/>
    <w:rsid w:val="00A60CB6"/>
    <w:rsid w:val="00A62941"/>
    <w:rsid w:val="00A64A84"/>
    <w:rsid w:val="00A65D7F"/>
    <w:rsid w:val="00A72E1A"/>
    <w:rsid w:val="00A73DD2"/>
    <w:rsid w:val="00A7740E"/>
    <w:rsid w:val="00A81027"/>
    <w:rsid w:val="00A845A7"/>
    <w:rsid w:val="00A85421"/>
    <w:rsid w:val="00A85E32"/>
    <w:rsid w:val="00A87EFD"/>
    <w:rsid w:val="00A90BC3"/>
    <w:rsid w:val="00A941C6"/>
    <w:rsid w:val="00AA2925"/>
    <w:rsid w:val="00AA5A84"/>
    <w:rsid w:val="00AA5B46"/>
    <w:rsid w:val="00AA6060"/>
    <w:rsid w:val="00AA70E3"/>
    <w:rsid w:val="00AA74F0"/>
    <w:rsid w:val="00AB0FBE"/>
    <w:rsid w:val="00AB3A29"/>
    <w:rsid w:val="00AC049E"/>
    <w:rsid w:val="00AC1F52"/>
    <w:rsid w:val="00AC2E7F"/>
    <w:rsid w:val="00AC3A2A"/>
    <w:rsid w:val="00AC5255"/>
    <w:rsid w:val="00AC5F6E"/>
    <w:rsid w:val="00AD2722"/>
    <w:rsid w:val="00AD2D38"/>
    <w:rsid w:val="00AD44EA"/>
    <w:rsid w:val="00AD75A3"/>
    <w:rsid w:val="00AE13CB"/>
    <w:rsid w:val="00AE31DA"/>
    <w:rsid w:val="00AF18F7"/>
    <w:rsid w:val="00AF1EF6"/>
    <w:rsid w:val="00AF5211"/>
    <w:rsid w:val="00AF6941"/>
    <w:rsid w:val="00AF6CF8"/>
    <w:rsid w:val="00B01AD0"/>
    <w:rsid w:val="00B01FB8"/>
    <w:rsid w:val="00B0203B"/>
    <w:rsid w:val="00B07F7E"/>
    <w:rsid w:val="00B10FF8"/>
    <w:rsid w:val="00B130D7"/>
    <w:rsid w:val="00B150DF"/>
    <w:rsid w:val="00B16806"/>
    <w:rsid w:val="00B17B7A"/>
    <w:rsid w:val="00B21C20"/>
    <w:rsid w:val="00B26D89"/>
    <w:rsid w:val="00B27E5A"/>
    <w:rsid w:val="00B3750C"/>
    <w:rsid w:val="00B40556"/>
    <w:rsid w:val="00B411FF"/>
    <w:rsid w:val="00B4190E"/>
    <w:rsid w:val="00B45939"/>
    <w:rsid w:val="00B4649B"/>
    <w:rsid w:val="00B46E56"/>
    <w:rsid w:val="00B479DC"/>
    <w:rsid w:val="00B52E90"/>
    <w:rsid w:val="00B54C08"/>
    <w:rsid w:val="00B55CA6"/>
    <w:rsid w:val="00B604B1"/>
    <w:rsid w:val="00B60BF3"/>
    <w:rsid w:val="00B6264B"/>
    <w:rsid w:val="00B63452"/>
    <w:rsid w:val="00B64FEB"/>
    <w:rsid w:val="00B6571B"/>
    <w:rsid w:val="00B65949"/>
    <w:rsid w:val="00B66CC6"/>
    <w:rsid w:val="00B706ED"/>
    <w:rsid w:val="00B7745D"/>
    <w:rsid w:val="00B810EC"/>
    <w:rsid w:val="00B8130A"/>
    <w:rsid w:val="00B8273E"/>
    <w:rsid w:val="00B85665"/>
    <w:rsid w:val="00B900F0"/>
    <w:rsid w:val="00B91314"/>
    <w:rsid w:val="00B92695"/>
    <w:rsid w:val="00BA28D1"/>
    <w:rsid w:val="00BA376A"/>
    <w:rsid w:val="00BA5DC7"/>
    <w:rsid w:val="00BB365A"/>
    <w:rsid w:val="00BB3E03"/>
    <w:rsid w:val="00BC3EE5"/>
    <w:rsid w:val="00BD67DE"/>
    <w:rsid w:val="00BD7983"/>
    <w:rsid w:val="00BE1AEB"/>
    <w:rsid w:val="00BE5270"/>
    <w:rsid w:val="00BE530B"/>
    <w:rsid w:val="00BF2381"/>
    <w:rsid w:val="00C032B2"/>
    <w:rsid w:val="00C0578E"/>
    <w:rsid w:val="00C078B9"/>
    <w:rsid w:val="00C115A2"/>
    <w:rsid w:val="00C116F9"/>
    <w:rsid w:val="00C1341A"/>
    <w:rsid w:val="00C14D04"/>
    <w:rsid w:val="00C171E4"/>
    <w:rsid w:val="00C17381"/>
    <w:rsid w:val="00C2128B"/>
    <w:rsid w:val="00C21813"/>
    <w:rsid w:val="00C2736A"/>
    <w:rsid w:val="00C304AA"/>
    <w:rsid w:val="00C31D9B"/>
    <w:rsid w:val="00C32FE4"/>
    <w:rsid w:val="00C3428D"/>
    <w:rsid w:val="00C358D7"/>
    <w:rsid w:val="00C37215"/>
    <w:rsid w:val="00C442B1"/>
    <w:rsid w:val="00C44BA5"/>
    <w:rsid w:val="00C52C46"/>
    <w:rsid w:val="00C536A7"/>
    <w:rsid w:val="00C5493E"/>
    <w:rsid w:val="00C56724"/>
    <w:rsid w:val="00C64C7F"/>
    <w:rsid w:val="00C72F10"/>
    <w:rsid w:val="00C77652"/>
    <w:rsid w:val="00C77CE3"/>
    <w:rsid w:val="00C8043A"/>
    <w:rsid w:val="00C815C0"/>
    <w:rsid w:val="00C8541A"/>
    <w:rsid w:val="00C902ED"/>
    <w:rsid w:val="00C9428B"/>
    <w:rsid w:val="00CA3BFF"/>
    <w:rsid w:val="00CA6D34"/>
    <w:rsid w:val="00CA7C3F"/>
    <w:rsid w:val="00CB093E"/>
    <w:rsid w:val="00CC062B"/>
    <w:rsid w:val="00CC6A74"/>
    <w:rsid w:val="00CC7E29"/>
    <w:rsid w:val="00CD291E"/>
    <w:rsid w:val="00CD30FC"/>
    <w:rsid w:val="00CD40A1"/>
    <w:rsid w:val="00CD441B"/>
    <w:rsid w:val="00CD495E"/>
    <w:rsid w:val="00CE18A3"/>
    <w:rsid w:val="00CE2EE7"/>
    <w:rsid w:val="00CE39E9"/>
    <w:rsid w:val="00CE7C90"/>
    <w:rsid w:val="00CF0407"/>
    <w:rsid w:val="00CF0A90"/>
    <w:rsid w:val="00CF270B"/>
    <w:rsid w:val="00D01A16"/>
    <w:rsid w:val="00D020BF"/>
    <w:rsid w:val="00D05A54"/>
    <w:rsid w:val="00D06356"/>
    <w:rsid w:val="00D07715"/>
    <w:rsid w:val="00D17C18"/>
    <w:rsid w:val="00D24058"/>
    <w:rsid w:val="00D2695B"/>
    <w:rsid w:val="00D269FA"/>
    <w:rsid w:val="00D302F1"/>
    <w:rsid w:val="00D34ADB"/>
    <w:rsid w:val="00D34DCD"/>
    <w:rsid w:val="00D35115"/>
    <w:rsid w:val="00D3573E"/>
    <w:rsid w:val="00D37773"/>
    <w:rsid w:val="00D409F0"/>
    <w:rsid w:val="00D40E04"/>
    <w:rsid w:val="00D431C8"/>
    <w:rsid w:val="00D43428"/>
    <w:rsid w:val="00D447A7"/>
    <w:rsid w:val="00D447F8"/>
    <w:rsid w:val="00D45195"/>
    <w:rsid w:val="00D45274"/>
    <w:rsid w:val="00D45E0E"/>
    <w:rsid w:val="00D516CF"/>
    <w:rsid w:val="00D60C9A"/>
    <w:rsid w:val="00D666DC"/>
    <w:rsid w:val="00D7056B"/>
    <w:rsid w:val="00D728A1"/>
    <w:rsid w:val="00D75C08"/>
    <w:rsid w:val="00D810C5"/>
    <w:rsid w:val="00D81936"/>
    <w:rsid w:val="00D830A9"/>
    <w:rsid w:val="00D85801"/>
    <w:rsid w:val="00D86CD7"/>
    <w:rsid w:val="00D86EDB"/>
    <w:rsid w:val="00D90F54"/>
    <w:rsid w:val="00D91156"/>
    <w:rsid w:val="00D93E30"/>
    <w:rsid w:val="00D945A0"/>
    <w:rsid w:val="00D965AE"/>
    <w:rsid w:val="00DA16D6"/>
    <w:rsid w:val="00DA5471"/>
    <w:rsid w:val="00DB5C4C"/>
    <w:rsid w:val="00DC3D9D"/>
    <w:rsid w:val="00DC4577"/>
    <w:rsid w:val="00DC5926"/>
    <w:rsid w:val="00DD0562"/>
    <w:rsid w:val="00DD230F"/>
    <w:rsid w:val="00DD3067"/>
    <w:rsid w:val="00DE00A7"/>
    <w:rsid w:val="00DE0513"/>
    <w:rsid w:val="00DE4612"/>
    <w:rsid w:val="00DE4A49"/>
    <w:rsid w:val="00DF5FF4"/>
    <w:rsid w:val="00E02D9C"/>
    <w:rsid w:val="00E03A38"/>
    <w:rsid w:val="00E03F4A"/>
    <w:rsid w:val="00E04E6B"/>
    <w:rsid w:val="00E04F60"/>
    <w:rsid w:val="00E061EB"/>
    <w:rsid w:val="00E06F97"/>
    <w:rsid w:val="00E07694"/>
    <w:rsid w:val="00E13D9F"/>
    <w:rsid w:val="00E22344"/>
    <w:rsid w:val="00E22424"/>
    <w:rsid w:val="00E23756"/>
    <w:rsid w:val="00E25445"/>
    <w:rsid w:val="00E26D9F"/>
    <w:rsid w:val="00E30C87"/>
    <w:rsid w:val="00E325CB"/>
    <w:rsid w:val="00E3282F"/>
    <w:rsid w:val="00E349E8"/>
    <w:rsid w:val="00E35FDE"/>
    <w:rsid w:val="00E362EF"/>
    <w:rsid w:val="00E418DC"/>
    <w:rsid w:val="00E4268C"/>
    <w:rsid w:val="00E4466C"/>
    <w:rsid w:val="00E50CCA"/>
    <w:rsid w:val="00E560BF"/>
    <w:rsid w:val="00E6238F"/>
    <w:rsid w:val="00E64903"/>
    <w:rsid w:val="00E707AE"/>
    <w:rsid w:val="00E72434"/>
    <w:rsid w:val="00E73F60"/>
    <w:rsid w:val="00E76A79"/>
    <w:rsid w:val="00E838B6"/>
    <w:rsid w:val="00E8423F"/>
    <w:rsid w:val="00E84D66"/>
    <w:rsid w:val="00E869F7"/>
    <w:rsid w:val="00E91652"/>
    <w:rsid w:val="00E93826"/>
    <w:rsid w:val="00EA0DA1"/>
    <w:rsid w:val="00EA2E37"/>
    <w:rsid w:val="00EA4D74"/>
    <w:rsid w:val="00EA5686"/>
    <w:rsid w:val="00EA690A"/>
    <w:rsid w:val="00EB020B"/>
    <w:rsid w:val="00EB33D2"/>
    <w:rsid w:val="00EC2908"/>
    <w:rsid w:val="00EC5781"/>
    <w:rsid w:val="00EC7C3F"/>
    <w:rsid w:val="00ED07EC"/>
    <w:rsid w:val="00ED2D87"/>
    <w:rsid w:val="00EE0F9A"/>
    <w:rsid w:val="00EE1E7A"/>
    <w:rsid w:val="00EE24D3"/>
    <w:rsid w:val="00EE4544"/>
    <w:rsid w:val="00EE4E28"/>
    <w:rsid w:val="00EE556E"/>
    <w:rsid w:val="00EE75E1"/>
    <w:rsid w:val="00EF184D"/>
    <w:rsid w:val="00EF1ACF"/>
    <w:rsid w:val="00EF343C"/>
    <w:rsid w:val="00EF3899"/>
    <w:rsid w:val="00F03209"/>
    <w:rsid w:val="00F04355"/>
    <w:rsid w:val="00F1133F"/>
    <w:rsid w:val="00F11913"/>
    <w:rsid w:val="00F149D6"/>
    <w:rsid w:val="00F20180"/>
    <w:rsid w:val="00F23281"/>
    <w:rsid w:val="00F27321"/>
    <w:rsid w:val="00F321A6"/>
    <w:rsid w:val="00F34955"/>
    <w:rsid w:val="00F35B65"/>
    <w:rsid w:val="00F36D94"/>
    <w:rsid w:val="00F459FA"/>
    <w:rsid w:val="00F52A16"/>
    <w:rsid w:val="00F5322A"/>
    <w:rsid w:val="00F544A0"/>
    <w:rsid w:val="00F5467D"/>
    <w:rsid w:val="00F64C25"/>
    <w:rsid w:val="00F658E8"/>
    <w:rsid w:val="00F66495"/>
    <w:rsid w:val="00F712F3"/>
    <w:rsid w:val="00F7787B"/>
    <w:rsid w:val="00F83E8F"/>
    <w:rsid w:val="00F91A98"/>
    <w:rsid w:val="00F92E66"/>
    <w:rsid w:val="00F9338A"/>
    <w:rsid w:val="00F94C22"/>
    <w:rsid w:val="00F96CC2"/>
    <w:rsid w:val="00FA2351"/>
    <w:rsid w:val="00FA39C1"/>
    <w:rsid w:val="00FA500D"/>
    <w:rsid w:val="00FA66DA"/>
    <w:rsid w:val="00FB08F7"/>
    <w:rsid w:val="00FB0E52"/>
    <w:rsid w:val="00FB1187"/>
    <w:rsid w:val="00FB1937"/>
    <w:rsid w:val="00FB3DC0"/>
    <w:rsid w:val="00FC0EFA"/>
    <w:rsid w:val="00FC39AD"/>
    <w:rsid w:val="00FC6E46"/>
    <w:rsid w:val="00FD0B84"/>
    <w:rsid w:val="00FD515C"/>
    <w:rsid w:val="00FD6C09"/>
    <w:rsid w:val="00FE0139"/>
    <w:rsid w:val="00FE0F63"/>
    <w:rsid w:val="00FE44EE"/>
    <w:rsid w:val="00FE6BBF"/>
    <w:rsid w:val="00FF3511"/>
    <w:rsid w:val="00FF4A49"/>
    <w:rsid w:val="0130DEE3"/>
    <w:rsid w:val="04909832"/>
    <w:rsid w:val="0EF1BAD8"/>
    <w:rsid w:val="11AE4AB3"/>
    <w:rsid w:val="1305395F"/>
    <w:rsid w:val="17D8C819"/>
    <w:rsid w:val="1BFFDAAF"/>
    <w:rsid w:val="218346C6"/>
    <w:rsid w:val="234F2C40"/>
    <w:rsid w:val="2503FCC5"/>
    <w:rsid w:val="2852CCAB"/>
    <w:rsid w:val="2B0849DB"/>
    <w:rsid w:val="3385FAF6"/>
    <w:rsid w:val="34C0BC08"/>
    <w:rsid w:val="36977B55"/>
    <w:rsid w:val="36F05D6A"/>
    <w:rsid w:val="380B03FA"/>
    <w:rsid w:val="38FFC30C"/>
    <w:rsid w:val="451A1154"/>
    <w:rsid w:val="4A437DDE"/>
    <w:rsid w:val="4B5B2666"/>
    <w:rsid w:val="4D4F2B63"/>
    <w:rsid w:val="594CA987"/>
    <w:rsid w:val="6B2B47E7"/>
    <w:rsid w:val="6DD5A0CC"/>
    <w:rsid w:val="70541B76"/>
    <w:rsid w:val="7B514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E24B0"/>
  <w15:docId w15:val="{73F89FAF-07C9-4A63-97CA-77DF5110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link w:val="NormalWebChar"/>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character" w:customStyle="1" w:styleId="NormalWebChar">
    <w:name w:val="Normal (Web) Char"/>
    <w:basedOn w:val="DefaultParagraphFont"/>
    <w:link w:val="NormalWeb"/>
    <w:rsid w:val="00154576"/>
    <w:rPr>
      <w:rFonts w:ascii="Times New Roman" w:eastAsiaTheme="minorHAnsi" w:hAnsi="Times New Roman" w:cstheme="minorBidi"/>
      <w:sz w:val="13"/>
      <w:szCs w:val="13"/>
    </w:rPr>
  </w:style>
  <w:style w:type="character" w:styleId="HTMLAcronym">
    <w:name w:val="HTML Acronym"/>
    <w:basedOn w:val="DefaultParagraphFont"/>
    <w:rsid w:val="00154576"/>
  </w:style>
  <w:style w:type="paragraph" w:customStyle="1" w:styleId="TSSC">
    <w:name w:val="TSSC"/>
    <w:basedOn w:val="Normal"/>
    <w:qFormat/>
    <w:rsid w:val="00390503"/>
    <w:pPr>
      <w:numPr>
        <w:numId w:val="10"/>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525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www.environment.gov.au/biodiversity/threatened/cam" TargetMode="External"/><Relationship Id="rId26" Type="http://schemas.openxmlformats.org/officeDocument/2006/relationships/hyperlink" Target="http://www.environment.gov.au/cgi-bin/sprat/public/sprat.pl" TargetMode="External"/><Relationship Id="rId39" Type="http://schemas.openxmlformats.org/officeDocument/2006/relationships/header" Target="header5.xml"/><Relationship Id="rId21" Type="http://schemas.openxmlformats.org/officeDocument/2006/relationships/header" Target="header2.xml"/><Relationship Id="rId34" Type="http://schemas.openxmlformats.org/officeDocument/2006/relationships/hyperlink" Target="https://www.ipcc.ch/report/ar6/wg1/downloads/factsheets/IPCC_AR6_WGI_Regional_Fact_Sheet_Australasia.pdf"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environment.gov.au/biodiversity/threatened/nominations.html" TargetMode="External"/><Relationship Id="rId20" Type="http://schemas.openxmlformats.org/officeDocument/2006/relationships/header" Target="header1.xml"/><Relationship Id="rId29" Type="http://schemas.openxmlformats.org/officeDocument/2006/relationships/hyperlink" Target="http://www.environment.gov.au/system/files/resources/bf9352c2-35ae-4a80-8828-96de630731a9/files/tap-rabbit-background-2016.pdf" TargetMode="External"/><Relationship Id="rId41" Type="http://schemas.openxmlformats.org/officeDocument/2006/relationships/footer" Target="footer3.xml"/><Relationship Id="rId1" Type="http://schemas.openxmlformats.org/officeDocument/2006/relationships/customXml" Target="../customXml/item1.xml"/><Relationship Id="rId40" Type="http://schemas.openxmlformats.org/officeDocument/2006/relationships/header" Target="header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canberrabirds.org.au" TargetMode="External"/><Relationship Id="rId37" Type="http://schemas.openxmlformats.org/officeDocument/2006/relationships/hyperlink" Target="http://www.environment.gov.au/biodiversity/threatened/cam" TargetMode="External"/><Relationship Id="rId5" Type="http://schemas.openxmlformats.org/officeDocument/2006/relationships/customXml" Target="../customXml/item5.xml"/><Relationship Id="rId15" Type="http://schemas.openxmlformats.org/officeDocument/2006/relationships/hyperlink" Target="http://www.environment.gov.au/system/files/pages/d72dfd1a-f0d8-4699-8d43-5d95bbb02428/files/tssc-guidelines-assessing-species-2018.pdf" TargetMode="External"/><Relationship Id="rId23" Type="http://schemas.openxmlformats.org/officeDocument/2006/relationships/header" Target="header3.xml"/><Relationship Id="rId28" Type="http://schemas.openxmlformats.org/officeDocument/2006/relationships/hyperlink" Target="http://www.environment.gov.au/science/erin/databases-maps/snes" TargetMode="External"/><Relationship Id="rId36" Type="http://schemas.openxmlformats.org/officeDocument/2006/relationships/hyperlink" Target="https://nc.iucnredlist.org/redlist/content/attachment_files/RedListGuidelines.pdf" TargetMode="External"/><Relationship Id="rId10" Type="http://schemas.openxmlformats.org/officeDocument/2006/relationships/webSettings" Target="webSettings.xml"/><Relationship Id="rId19" Type="http://schemas.openxmlformats.org/officeDocument/2006/relationships/hyperlink" Target="http://environment.gov.au/privacy-policy" TargetMode="External"/><Relationship Id="rId31" Type="http://schemas.openxmlformats.org/officeDocument/2006/relationships/hyperlink" Target="https://birdata.birdlife.org.au/" TargetMode="External"/><Relationship Id="rId44" Type="http://schemas.openxmlformats.org/officeDocument/2006/relationships/theme" Target="theme/theme1.xml"/><Relationship Id="rId43"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yperlink" Target="http://www.environment.gov.au/biodiversity/threatened/index.html" TargetMode="External"/><Relationship Id="rId22" Type="http://schemas.openxmlformats.org/officeDocument/2006/relationships/footer" Target="footer1.xml"/><Relationship Id="rId27" Type="http://schemas.openxmlformats.org/officeDocument/2006/relationships/image" Target="media/image3.jpeg"/><Relationship Id="rId30" Type="http://schemas.openxmlformats.org/officeDocument/2006/relationships/hyperlink" Target="https://www.environment.gov.au/biodiversity/threatened/key-threatening-processes/overabundant-noisy-miners" TargetMode="External"/><Relationship Id="rId35" Type="http://schemas.openxmlformats.org/officeDocument/2006/relationships/hyperlink" Target="http://www.environment.gov.au/system/files/pages/d72dfd1a-f0d8-4699-8d43-5d95bbb02428/files/tssc-guidelines-assessing-species-2018.pd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biodiversity/threatened/recovery.html" TargetMode="External"/><Relationship Id="rId25" Type="http://schemas.openxmlformats.org/officeDocument/2006/relationships/image" Target="media/image2.jpeg"/><Relationship Id="rId33" Type="http://schemas.openxmlformats.org/officeDocument/2006/relationships/hyperlink" Target="https://www.environment.nsw.gov.au/threatenedspeciesapp/profile.aspx?id=10768" TargetMode="External"/><Relationship Id="rId38"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EE983CED14C46848387C7EB105B7D"/>
        <w:category>
          <w:name w:val="General"/>
          <w:gallery w:val="placeholder"/>
        </w:category>
        <w:types>
          <w:type w:val="bbPlcHdr"/>
        </w:types>
        <w:behaviors>
          <w:behavior w:val="content"/>
        </w:behaviors>
        <w:guid w:val="{A047E452-EF8D-4906-B3E9-71966DFB0DF4}"/>
      </w:docPartPr>
      <w:docPartBody>
        <w:p w:rsidR="00835F51" w:rsidRDefault="0036247C" w:rsidP="0036247C">
          <w:pPr>
            <w:pStyle w:val="512EE983CED14C46848387C7EB105B7D2"/>
          </w:pPr>
          <w:r w:rsidRPr="0045331C">
            <w:rPr>
              <w:rStyle w:val="PlaceholderText"/>
            </w:rPr>
            <w:t>Choose an item.</w:t>
          </w:r>
        </w:p>
      </w:docPartBody>
    </w:docPart>
    <w:docPart>
      <w:docPartPr>
        <w:name w:val="D93F4A59AF604739A5E78E54F3A0C6C8"/>
        <w:category>
          <w:name w:val="General"/>
          <w:gallery w:val="placeholder"/>
        </w:category>
        <w:types>
          <w:type w:val="bbPlcHdr"/>
        </w:types>
        <w:behaviors>
          <w:behavior w:val="content"/>
        </w:behaviors>
        <w:guid w:val="{39A080D3-DFE6-4AE5-8FA9-F8B8C99C8DE3}"/>
      </w:docPartPr>
      <w:docPartBody>
        <w:p w:rsidR="00835F51" w:rsidRDefault="0036247C" w:rsidP="0036247C">
          <w:pPr>
            <w:pStyle w:val="D93F4A59AF604739A5E78E54F3A0C6C82"/>
          </w:pPr>
          <w:r w:rsidRPr="0045331C">
            <w:rPr>
              <w:rStyle w:val="PlaceholderText"/>
            </w:rPr>
            <w:t>Choose an item.</w:t>
          </w:r>
        </w:p>
      </w:docPartBody>
    </w:docPart>
    <w:docPart>
      <w:docPartPr>
        <w:name w:val="FBDD99FE0561433789195F5D645CA0F0"/>
        <w:category>
          <w:name w:val="General"/>
          <w:gallery w:val="placeholder"/>
        </w:category>
        <w:types>
          <w:type w:val="bbPlcHdr"/>
        </w:types>
        <w:behaviors>
          <w:behavior w:val="content"/>
        </w:behaviors>
        <w:guid w:val="{BC7A13BD-6014-4654-A379-B9C9B760B8FD}"/>
      </w:docPartPr>
      <w:docPartBody>
        <w:p w:rsidR="001A4ECC" w:rsidRDefault="0036247C" w:rsidP="0036247C">
          <w:pPr>
            <w:pStyle w:val="FBDD99FE0561433789195F5D645CA0F01"/>
          </w:pPr>
          <w:r w:rsidRPr="0045331C">
            <w:rPr>
              <w:rStyle w:val="PlaceholderText"/>
            </w:rPr>
            <w:t>Choose an item.</w:t>
          </w:r>
        </w:p>
      </w:docPartBody>
    </w:docPart>
    <w:docPart>
      <w:docPartPr>
        <w:name w:val="76A168ED837349059F88D777372262EE"/>
        <w:category>
          <w:name w:val="General"/>
          <w:gallery w:val="placeholder"/>
        </w:category>
        <w:types>
          <w:type w:val="bbPlcHdr"/>
        </w:types>
        <w:behaviors>
          <w:behavior w:val="content"/>
        </w:behaviors>
        <w:guid w:val="{2047C0AB-F5BE-454F-8EF6-6F0B3ED2AC57}"/>
      </w:docPartPr>
      <w:docPartBody>
        <w:p w:rsidR="00001E85" w:rsidRDefault="0036247C" w:rsidP="0036247C">
          <w:pPr>
            <w:pStyle w:val="76A168ED837349059F88D777372262EE1"/>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5A7"/>
    <w:multiLevelType w:val="multilevel"/>
    <w:tmpl w:val="770A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C5BD6"/>
    <w:multiLevelType w:val="multilevel"/>
    <w:tmpl w:val="F8D0D474"/>
    <w:lvl w:ilvl="0">
      <w:start w:val="1"/>
      <w:numFmt w:val="decimal"/>
      <w:pStyle w:val="FBDD99FE0561433789195F5D645CA0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E0"/>
    <w:rsid w:val="00001E85"/>
    <w:rsid w:val="00016D0A"/>
    <w:rsid w:val="000A594F"/>
    <w:rsid w:val="000B5097"/>
    <w:rsid w:val="000C41E0"/>
    <w:rsid w:val="00127ED0"/>
    <w:rsid w:val="0014221D"/>
    <w:rsid w:val="00144266"/>
    <w:rsid w:val="00197F94"/>
    <w:rsid w:val="001A163F"/>
    <w:rsid w:val="001A4ECC"/>
    <w:rsid w:val="002C1E4C"/>
    <w:rsid w:val="002D5C42"/>
    <w:rsid w:val="003608C9"/>
    <w:rsid w:val="0036247C"/>
    <w:rsid w:val="003676FE"/>
    <w:rsid w:val="003F7703"/>
    <w:rsid w:val="00465A51"/>
    <w:rsid w:val="00482D92"/>
    <w:rsid w:val="0048630D"/>
    <w:rsid w:val="004F3351"/>
    <w:rsid w:val="00504F5D"/>
    <w:rsid w:val="005258C4"/>
    <w:rsid w:val="005A1521"/>
    <w:rsid w:val="00627336"/>
    <w:rsid w:val="0064039C"/>
    <w:rsid w:val="00682959"/>
    <w:rsid w:val="006D659B"/>
    <w:rsid w:val="007A5A73"/>
    <w:rsid w:val="007A69A5"/>
    <w:rsid w:val="007F2C11"/>
    <w:rsid w:val="00816F98"/>
    <w:rsid w:val="00817B10"/>
    <w:rsid w:val="0082605B"/>
    <w:rsid w:val="00835F51"/>
    <w:rsid w:val="00850725"/>
    <w:rsid w:val="008C189F"/>
    <w:rsid w:val="008E54C9"/>
    <w:rsid w:val="00927112"/>
    <w:rsid w:val="0094652C"/>
    <w:rsid w:val="009A524A"/>
    <w:rsid w:val="00A076B5"/>
    <w:rsid w:val="00A33188"/>
    <w:rsid w:val="00B67B2A"/>
    <w:rsid w:val="00BA1FF1"/>
    <w:rsid w:val="00C24EA4"/>
    <w:rsid w:val="00C86191"/>
    <w:rsid w:val="00CA6A69"/>
    <w:rsid w:val="00CB13C5"/>
    <w:rsid w:val="00CD1C4D"/>
    <w:rsid w:val="00D05084"/>
    <w:rsid w:val="00E05865"/>
    <w:rsid w:val="00E57A69"/>
    <w:rsid w:val="00E66027"/>
    <w:rsid w:val="00E911A6"/>
    <w:rsid w:val="00F97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EA4"/>
    <w:rPr>
      <w:color w:val="808080"/>
    </w:rPr>
  </w:style>
  <w:style w:type="paragraph" w:customStyle="1" w:styleId="FBDD99FE0561433789195F5D645CA0F01">
    <w:name w:val="FBDD99FE0561433789195F5D645CA0F01"/>
    <w:rsid w:val="0036247C"/>
    <w:pPr>
      <w:numPr>
        <w:numId w:val="2"/>
      </w:numPr>
      <w:spacing w:before="120" w:after="120" w:line="276" w:lineRule="auto"/>
      <w:ind w:left="425" w:hanging="425"/>
    </w:pPr>
    <w:rPr>
      <w:rFonts w:ascii="Cambria" w:eastAsiaTheme="minorHAnsi" w:hAnsi="Cambria"/>
      <w:lang w:eastAsia="en-US"/>
    </w:rPr>
  </w:style>
  <w:style w:type="paragraph" w:customStyle="1" w:styleId="512EE983CED14C46848387C7EB105B7D2">
    <w:name w:val="512EE983CED14C46848387C7EB105B7D2"/>
    <w:rsid w:val="0036247C"/>
    <w:pPr>
      <w:tabs>
        <w:tab w:val="num" w:pos="720"/>
      </w:tabs>
      <w:spacing w:before="120" w:after="120" w:line="276" w:lineRule="auto"/>
      <w:ind w:left="425" w:hanging="425"/>
    </w:pPr>
    <w:rPr>
      <w:rFonts w:ascii="Cambria" w:eastAsiaTheme="minorHAnsi" w:hAnsi="Cambria"/>
      <w:lang w:eastAsia="en-US"/>
    </w:rPr>
  </w:style>
  <w:style w:type="paragraph" w:customStyle="1" w:styleId="D93F4A59AF604739A5E78E54F3A0C6C82">
    <w:name w:val="D93F4A59AF604739A5E78E54F3A0C6C82"/>
    <w:rsid w:val="0036247C"/>
    <w:pPr>
      <w:spacing w:after="200" w:line="276" w:lineRule="auto"/>
    </w:pPr>
    <w:rPr>
      <w:rFonts w:ascii="Cambria" w:eastAsiaTheme="minorHAnsi" w:hAnsi="Cambria"/>
      <w:lang w:eastAsia="en-US"/>
    </w:rPr>
  </w:style>
  <w:style w:type="paragraph" w:customStyle="1" w:styleId="76A168ED837349059F88D777372262EE1">
    <w:name w:val="76A168ED837349059F88D777372262EE1"/>
    <w:rsid w:val="0036247C"/>
    <w:pPr>
      <w:spacing w:after="200" w:line="276" w:lineRule="auto"/>
    </w:pPr>
    <w:rPr>
      <w:rFonts w:ascii="Cambria" w:eastAsiaTheme="minorHAnsi" w:hAnsi="Cambri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1F16050-379E-4487-B0FD-731656DF2B68}"/>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DBD763-8254-4290-957A-EE071380F456}">
  <ds:schemaRefs>
    <ds:schemaRef ds:uri="http://schemas.microsoft.com/office/2006/metadata/customXsn"/>
  </ds:schemaRefs>
</ds:datastoreItem>
</file>

<file path=customXml/itemProps5.xml><?xml version="1.0" encoding="utf-8"?>
<ds:datastoreItem xmlns:ds="http://schemas.openxmlformats.org/officeDocument/2006/customXml" ds:itemID="{6C7FB612-252C-4937-AD96-5EDDA560A4ED}">
  <ds:schemaRefs>
    <ds:schemaRef ds:uri="http://schemas.openxmlformats.org/officeDocument/2006/bibliography"/>
  </ds:schemaRefs>
</ds:datastoreItem>
</file>

<file path=customXml/itemProps6.xml><?xml version="1.0" encoding="utf-8"?>
<ds:datastoreItem xmlns:ds="http://schemas.openxmlformats.org/officeDocument/2006/customXml" ds:itemID="{3C24A314-FDA0-4B7C-8CA6-36054926D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9931</Words>
  <Characters>56610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0 - Stagonopleura guttata - Conservation Advice DRAFT</vt:lpstr>
    </vt:vector>
  </TitlesOfParts>
  <Company/>
  <LinksUpToDate>false</LinksUpToDate>
  <CharactersWithSpaces>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Stagonopleura guttata</dc:title>
  <dc:creator>Department of Agriculture, Water and the Environment</dc:creator>
  <cp:lastModifiedBy>Bec Durack</cp:lastModifiedBy>
  <cp:revision>3</cp:revision>
  <cp:lastPrinted>2022-01-26T22:56:00Z</cp:lastPrinted>
  <dcterms:created xsi:type="dcterms:W3CDTF">2022-01-27T03:57:00Z</dcterms:created>
  <dcterms:modified xsi:type="dcterms:W3CDTF">2022-01-27T03:59:00Z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{08ce4a71-a037-454a-a0bd-03dacf8b1f7a}</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