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65" w:rsidRDefault="00EC0165" w:rsidP="00EC0165">
      <w:pPr>
        <w:pStyle w:val="Heading1"/>
        <w:jc w:val="center"/>
      </w:pPr>
      <w:r w:rsidRPr="00EC0165">
        <w:rPr>
          <w:noProof/>
          <w:lang w:eastAsia="en-AU"/>
        </w:rPr>
        <w:drawing>
          <wp:inline distT="0" distB="0" distL="0" distR="0">
            <wp:extent cx="3467100" cy="1281953"/>
            <wp:effectExtent l="19050" t="0" r="0" b="0"/>
            <wp:docPr id="5" name="Picture 1" descr="C:\Users\A15617\AppData\Local\Microsoft\Windows\Temporary Internet Files\Content.Outlook\11P2B3SX\7405 Environment - NationalLandcareProgramme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5617\AppData\Local\Microsoft\Windows\Temporary Internet Files\Content.Outlook\11P2B3SX\7405 Environment - NationalLandcareProgramme logo_FINAL.JPG"/>
                    <pic:cNvPicPr>
                      <a:picLocks noChangeAspect="1" noChangeArrowheads="1"/>
                    </pic:cNvPicPr>
                  </pic:nvPicPr>
                  <pic:blipFill>
                    <a:blip r:embed="rId13" cstate="print"/>
                    <a:srcRect/>
                    <a:stretch>
                      <a:fillRect/>
                    </a:stretch>
                  </pic:blipFill>
                  <pic:spPr bwMode="auto">
                    <a:xfrm>
                      <a:off x="0" y="0"/>
                      <a:ext cx="3473995" cy="1284502"/>
                    </a:xfrm>
                    <a:prstGeom prst="rect">
                      <a:avLst/>
                    </a:prstGeom>
                    <a:noFill/>
                    <a:ln w="9525">
                      <a:noFill/>
                      <a:miter lim="800000"/>
                      <a:headEnd/>
                      <a:tailEnd/>
                    </a:ln>
                  </pic:spPr>
                </pic:pic>
              </a:graphicData>
            </a:graphic>
          </wp:inline>
        </w:drawing>
      </w:r>
    </w:p>
    <w:p w:rsidR="00146CD9" w:rsidRDefault="00146CD9" w:rsidP="00EC0165">
      <w:pPr>
        <w:pStyle w:val="Heading1"/>
        <w:spacing w:after="0" w:line="240" w:lineRule="auto"/>
        <w:rPr>
          <w:i/>
        </w:rPr>
      </w:pPr>
      <w:r>
        <w:t xml:space="preserve">NATIONAL LANDCARE PROGRAMME – </w:t>
      </w:r>
      <w:r>
        <w:rPr>
          <w:i/>
        </w:rPr>
        <w:t>outcomes of community consultation</w:t>
      </w:r>
    </w:p>
    <w:p w:rsidR="00EC0165" w:rsidRDefault="00EC0165" w:rsidP="00EC0165">
      <w:pPr>
        <w:pStyle w:val="Heading2"/>
        <w:spacing w:after="0" w:line="240" w:lineRule="auto"/>
      </w:pPr>
    </w:p>
    <w:p w:rsidR="00146CD9" w:rsidRDefault="00146CD9" w:rsidP="00EC0165">
      <w:pPr>
        <w:pStyle w:val="Heading2"/>
        <w:spacing w:after="0" w:line="240" w:lineRule="auto"/>
      </w:pPr>
      <w:r>
        <w:t>1. Overview</w:t>
      </w:r>
    </w:p>
    <w:p w:rsidR="00EC0165" w:rsidRDefault="00EC0165" w:rsidP="00EC0165">
      <w:pPr>
        <w:spacing w:after="0" w:line="240" w:lineRule="auto"/>
      </w:pPr>
    </w:p>
    <w:p w:rsidR="00146CD9" w:rsidRDefault="00146CD9" w:rsidP="00EC0165">
      <w:pPr>
        <w:spacing w:after="0" w:line="240" w:lineRule="auto"/>
      </w:pPr>
      <w:r>
        <w:t>Under the National Landcare Programme, $4</w:t>
      </w:r>
      <w:r w:rsidR="00822C6D">
        <w:t>5</w:t>
      </w:r>
      <w:r>
        <w:t>4 million over four years will be delivered through the 56 regional natural resource management (NRM) organisations across the country. To inform the design and delivery of the Regional Stream, the Australian Government ran a public consultation process to seek feedback from the community on the following topics:</w:t>
      </w:r>
    </w:p>
    <w:p w:rsidR="00EC0165" w:rsidRDefault="00EC0165" w:rsidP="00EC0165">
      <w:pPr>
        <w:spacing w:after="0" w:line="240" w:lineRule="auto"/>
      </w:pPr>
    </w:p>
    <w:p w:rsidR="00146CD9" w:rsidRDefault="00146CD9" w:rsidP="00EC0165">
      <w:pPr>
        <w:pStyle w:val="ListBullet"/>
        <w:numPr>
          <w:ilvl w:val="0"/>
          <w:numId w:val="9"/>
        </w:numPr>
        <w:spacing w:after="0" w:line="240" w:lineRule="auto"/>
      </w:pPr>
      <w:bookmarkStart w:id="0" w:name="OLE_LINK1"/>
      <w:bookmarkStart w:id="1" w:name="OLE_LINK2"/>
      <w:r>
        <w:t xml:space="preserve">Partnering with the natural resource management community, including </w:t>
      </w:r>
      <w:proofErr w:type="spellStart"/>
      <w:r>
        <w:t>landcare</w:t>
      </w:r>
      <w:proofErr w:type="spellEnd"/>
    </w:p>
    <w:p w:rsidR="00146CD9" w:rsidRDefault="00146CD9" w:rsidP="00EC0165">
      <w:pPr>
        <w:pStyle w:val="ListBullet"/>
        <w:numPr>
          <w:ilvl w:val="0"/>
          <w:numId w:val="9"/>
        </w:numPr>
        <w:spacing w:after="0" w:line="240" w:lineRule="auto"/>
      </w:pPr>
      <w:r>
        <w:t xml:space="preserve">Facilitating </w:t>
      </w:r>
      <w:proofErr w:type="spellStart"/>
      <w:r>
        <w:t>landcare</w:t>
      </w:r>
      <w:proofErr w:type="spellEnd"/>
    </w:p>
    <w:p w:rsidR="00146CD9" w:rsidRDefault="00146CD9" w:rsidP="00EC0165">
      <w:pPr>
        <w:pStyle w:val="ListBullet"/>
        <w:numPr>
          <w:ilvl w:val="0"/>
          <w:numId w:val="9"/>
        </w:numPr>
        <w:spacing w:after="0" w:line="240" w:lineRule="auto"/>
      </w:pPr>
      <w:r>
        <w:t>Community engagement in regional natural resource management planning and delivery</w:t>
      </w:r>
    </w:p>
    <w:p w:rsidR="00146CD9" w:rsidRDefault="00146CD9" w:rsidP="00EC0165">
      <w:pPr>
        <w:pStyle w:val="ListBullet"/>
        <w:numPr>
          <w:ilvl w:val="0"/>
          <w:numId w:val="9"/>
        </w:numPr>
        <w:spacing w:after="0" w:line="240" w:lineRule="auto"/>
      </w:pPr>
      <w:r>
        <w:t>Organisational performance expectations</w:t>
      </w:r>
    </w:p>
    <w:p w:rsidR="00146CD9" w:rsidRDefault="00146CD9" w:rsidP="00EC0165">
      <w:pPr>
        <w:pStyle w:val="ListBullet"/>
        <w:numPr>
          <w:ilvl w:val="0"/>
          <w:numId w:val="9"/>
        </w:numPr>
        <w:spacing w:after="0" w:line="240" w:lineRule="auto"/>
      </w:pPr>
      <w:r>
        <w:t xml:space="preserve">Simplified administrative processes </w:t>
      </w:r>
    </w:p>
    <w:p w:rsidR="00146CD9" w:rsidRDefault="00146CD9" w:rsidP="00EC0165">
      <w:pPr>
        <w:pStyle w:val="ListBullet"/>
        <w:numPr>
          <w:ilvl w:val="0"/>
          <w:numId w:val="9"/>
        </w:numPr>
        <w:spacing w:after="0" w:line="240" w:lineRule="auto"/>
      </w:pPr>
      <w:r>
        <w:t>Simplified reporting.</w:t>
      </w:r>
    </w:p>
    <w:bookmarkEnd w:id="0"/>
    <w:bookmarkEnd w:id="1"/>
    <w:p w:rsidR="00EC0165" w:rsidRDefault="00EC0165" w:rsidP="00EC0165">
      <w:pPr>
        <w:spacing w:after="0" w:line="240" w:lineRule="auto"/>
      </w:pPr>
    </w:p>
    <w:p w:rsidR="00146CD9" w:rsidRDefault="00146CD9" w:rsidP="00EC0165">
      <w:pPr>
        <w:spacing w:after="0" w:line="240" w:lineRule="auto"/>
      </w:pPr>
      <w:r>
        <w:t xml:space="preserve">The consultation process was undertaken in two parts: 19 community information sessions held across the country in late August and early September 2014, and an online consultation survey. </w:t>
      </w:r>
    </w:p>
    <w:p w:rsidR="00146CD9" w:rsidRDefault="00146CD9" w:rsidP="00EC0165">
      <w:pPr>
        <w:spacing w:after="0" w:line="240" w:lineRule="auto"/>
      </w:pPr>
      <w:r>
        <w:t>T</w:t>
      </w:r>
      <w:r w:rsidRPr="007010AE">
        <w:t xml:space="preserve">argeted </w:t>
      </w:r>
      <w:r w:rsidR="001770EC">
        <w:t xml:space="preserve">consultation </w:t>
      </w:r>
      <w:r w:rsidRPr="007010AE">
        <w:t>sessions with agricultural</w:t>
      </w:r>
      <w:r>
        <w:t xml:space="preserve"> industries </w:t>
      </w:r>
      <w:r w:rsidRPr="007010AE">
        <w:t>w</w:t>
      </w:r>
      <w:r>
        <w:t>ere</w:t>
      </w:r>
      <w:r w:rsidRPr="007010AE">
        <w:t xml:space="preserve"> also held </w:t>
      </w:r>
      <w:r>
        <w:t>to help</w:t>
      </w:r>
      <w:r w:rsidRPr="007010AE">
        <w:t xml:space="preserve"> fine-tune the Regional Stream of the </w:t>
      </w:r>
      <w:r w:rsidRPr="00B339A2">
        <w:t>National Landcare Programme</w:t>
      </w:r>
      <w:r>
        <w:t>.</w:t>
      </w:r>
      <w:r w:rsidRPr="00B339A2">
        <w:t xml:space="preserve"> </w:t>
      </w:r>
      <w:r w:rsidRPr="007010AE">
        <w:t>These were designed</w:t>
      </w:r>
      <w:r>
        <w:t xml:space="preserve"> to </w:t>
      </w:r>
      <w:r w:rsidRPr="007010AE">
        <w:t xml:space="preserve">elicit industry views on topics </w:t>
      </w:r>
      <w:r>
        <w:t xml:space="preserve">such </w:t>
      </w:r>
      <w:r w:rsidRPr="007010AE">
        <w:t>as emerging</w:t>
      </w:r>
      <w:r>
        <w:t xml:space="preserve"> natural resource management</w:t>
      </w:r>
      <w:r w:rsidRPr="007010AE">
        <w:t xml:space="preserve"> issues</w:t>
      </w:r>
      <w:r>
        <w:t xml:space="preserve"> and </w:t>
      </w:r>
      <w:r w:rsidRPr="007C0386">
        <w:t>how to develop better government-industry</w:t>
      </w:r>
      <w:r>
        <w:t>-NRM</w:t>
      </w:r>
      <w:r w:rsidRPr="007C0386">
        <w:t xml:space="preserve"> partnerships</w:t>
      </w:r>
      <w:r>
        <w:t xml:space="preserve">. </w:t>
      </w:r>
    </w:p>
    <w:p w:rsidR="00EC0165" w:rsidRDefault="00EC0165" w:rsidP="00EC0165">
      <w:pPr>
        <w:spacing w:after="0" w:line="240" w:lineRule="auto"/>
      </w:pPr>
    </w:p>
    <w:p w:rsidR="00146CD9" w:rsidRDefault="00146CD9" w:rsidP="00EC0165">
      <w:pPr>
        <w:spacing w:after="0" w:line="240" w:lineRule="auto"/>
        <w:rPr>
          <w:b/>
        </w:rPr>
      </w:pPr>
      <w:r w:rsidRPr="00F01E92">
        <w:rPr>
          <w:b/>
        </w:rPr>
        <w:t>2. Breakdown of respondents</w:t>
      </w:r>
    </w:p>
    <w:p w:rsidR="00146CD9" w:rsidRPr="00F01E92" w:rsidRDefault="00146CD9" w:rsidP="00EC0165">
      <w:pPr>
        <w:spacing w:after="0" w:line="240" w:lineRule="auto"/>
        <w:rPr>
          <w:b/>
        </w:rPr>
      </w:pPr>
    </w:p>
    <w:p w:rsidR="00146CD9" w:rsidRDefault="00146CD9" w:rsidP="00EC0165">
      <w:pPr>
        <w:pStyle w:val="ListBullet"/>
        <w:spacing w:after="0" w:line="240" w:lineRule="auto"/>
        <w:ind w:left="0" w:firstLine="0"/>
      </w:pPr>
      <w:r>
        <w:t>Over 600 people attended the 19 National Landcare Programme community information sessions held in every capital city and a number of regional centres across the country.</w:t>
      </w:r>
      <w:r w:rsidR="001770EC">
        <w:t xml:space="preserve"> </w:t>
      </w:r>
      <w:r w:rsidR="001E0847">
        <w:br/>
      </w:r>
      <w:r w:rsidR="001770EC">
        <w:t>Twenty</w:t>
      </w:r>
      <w:r w:rsidR="001E0847">
        <w:t>-</w:t>
      </w:r>
      <w:r w:rsidR="001770EC">
        <w:t>seven industry representatives provided input to the industry consultation sessions. A further 7 written submissions were provided.</w:t>
      </w:r>
    </w:p>
    <w:p w:rsidR="00EC0165" w:rsidRDefault="00EC0165" w:rsidP="00EC0165">
      <w:pPr>
        <w:pStyle w:val="ListBullet"/>
        <w:spacing w:after="0" w:line="240" w:lineRule="auto"/>
        <w:ind w:left="0" w:firstLine="0"/>
      </w:pPr>
    </w:p>
    <w:p w:rsidR="00146CD9" w:rsidRDefault="00146CD9" w:rsidP="00EC0165">
      <w:pPr>
        <w:pStyle w:val="ListBullet"/>
        <w:spacing w:after="0" w:line="240" w:lineRule="auto"/>
        <w:ind w:left="0" w:firstLine="0"/>
      </w:pPr>
      <w:r>
        <w:t xml:space="preserve">The National Landcare Programme consultation survey received 333 submissions overall: </w:t>
      </w:r>
      <w:r w:rsidR="001E0847">
        <w:br/>
      </w:r>
      <w:r>
        <w:t>45</w:t>
      </w:r>
      <w:r w:rsidR="001E0847">
        <w:t xml:space="preserve"> per cent</w:t>
      </w:r>
      <w:r>
        <w:t xml:space="preserve"> of submissions were from organisations and 55</w:t>
      </w:r>
      <w:r w:rsidR="001E0847">
        <w:t xml:space="preserve"> per cent </w:t>
      </w:r>
      <w:r>
        <w:t xml:space="preserve">from individuals. </w:t>
      </w:r>
    </w:p>
    <w:p w:rsidR="00EC0165" w:rsidRDefault="00EC0165" w:rsidP="00EC0165">
      <w:pPr>
        <w:pStyle w:val="ListBullet"/>
        <w:spacing w:after="0" w:line="240" w:lineRule="auto"/>
        <w:ind w:left="0" w:firstLine="0"/>
        <w:rPr>
          <w:b/>
          <w:i/>
        </w:rPr>
      </w:pPr>
    </w:p>
    <w:p w:rsidR="00146CD9" w:rsidRDefault="00146CD9" w:rsidP="00EC0165">
      <w:pPr>
        <w:pStyle w:val="ListBullet"/>
        <w:spacing w:after="0" w:line="240" w:lineRule="auto"/>
        <w:ind w:left="0" w:firstLine="0"/>
      </w:pPr>
      <w:r w:rsidRPr="007D755E">
        <w:rPr>
          <w:b/>
          <w:i/>
        </w:rPr>
        <w:t>Individuals</w:t>
      </w:r>
      <w:r w:rsidRPr="00617F6C">
        <w:t xml:space="preserve"> </w:t>
      </w:r>
    </w:p>
    <w:p w:rsidR="006E3DF0" w:rsidRDefault="00146CD9" w:rsidP="00EC0165">
      <w:pPr>
        <w:pStyle w:val="ListBullet"/>
        <w:spacing w:after="0" w:line="240" w:lineRule="auto"/>
        <w:ind w:left="0" w:firstLine="0"/>
      </w:pPr>
      <w:r>
        <w:t xml:space="preserve">Respondents to the survey were asked to select from a list of groups they identified with. Options included: regional NRM organisation; Landcare Network; Indigenous community group; local </w:t>
      </w:r>
      <w:proofErr w:type="spellStart"/>
      <w:r>
        <w:t>landcare</w:t>
      </w:r>
      <w:proofErr w:type="spellEnd"/>
      <w:r>
        <w:t xml:space="preserve"> group; farming/agriculture community group; environment community group; individual land manager; peak industry body; local, state or federal government; and NGO.</w:t>
      </w:r>
    </w:p>
    <w:p w:rsidR="006E3DF0" w:rsidRDefault="007F3365" w:rsidP="00EC0165">
      <w:pPr>
        <w:pStyle w:val="ListBullet"/>
        <w:spacing w:after="0" w:line="240" w:lineRule="auto"/>
        <w:ind w:left="0" w:firstLine="0"/>
      </w:pPr>
      <w:r>
        <w:rPr>
          <w:noProof/>
          <w:lang w:eastAsia="en-AU"/>
        </w:rPr>
        <w:pict>
          <v:shapetype id="_x0000_t202" coordsize="21600,21600" o:spt="202" path="m,l,21600r21600,l21600,xe">
            <v:stroke joinstyle="miter"/>
            <v:path gradientshapeok="t" o:connecttype="rect"/>
          </v:shapetype>
          <v:shape id="_x0000_s1028" type="#_x0000_t202" style="position:absolute;margin-left:1.05pt;margin-top:10.1pt;width:498pt;height:168.4pt;z-index:251659264">
            <v:textbox>
              <w:txbxContent>
                <w:p w:rsidR="007A3B40" w:rsidRPr="00812CD2" w:rsidRDefault="007A3B40" w:rsidP="006E3DF0">
                  <w:pPr>
                    <w:pStyle w:val="ListBullet"/>
                    <w:spacing w:after="120" w:line="240" w:lineRule="auto"/>
                    <w:ind w:left="0" w:firstLine="0"/>
                    <w:rPr>
                      <w:b/>
                      <w:i/>
                    </w:rPr>
                  </w:pPr>
                  <w:r w:rsidRPr="00812CD2">
                    <w:rPr>
                      <w:b/>
                      <w:i/>
                    </w:rPr>
                    <w:t>Over 60</w:t>
                  </w:r>
                  <w:r>
                    <w:rPr>
                      <w:b/>
                      <w:i/>
                    </w:rPr>
                    <w:t xml:space="preserve"> per cent</w:t>
                  </w:r>
                  <w:r w:rsidRPr="00812CD2">
                    <w:rPr>
                      <w:b/>
                      <w:i/>
                    </w:rPr>
                    <w:t xml:space="preserve"> of all individual</w:t>
                  </w:r>
                  <w:r>
                    <w:rPr>
                      <w:b/>
                      <w:i/>
                    </w:rPr>
                    <w:t xml:space="preserve"> respondents </w:t>
                  </w:r>
                  <w:r w:rsidRPr="00812CD2">
                    <w:rPr>
                      <w:b/>
                      <w:i/>
                    </w:rPr>
                    <w:t xml:space="preserve">belonged to a local </w:t>
                  </w:r>
                  <w:proofErr w:type="spellStart"/>
                  <w:r w:rsidRPr="00812CD2">
                    <w:rPr>
                      <w:b/>
                      <w:i/>
                    </w:rPr>
                    <w:t>landcare</w:t>
                  </w:r>
                  <w:proofErr w:type="spellEnd"/>
                  <w:r w:rsidRPr="00812CD2">
                    <w:rPr>
                      <w:b/>
                      <w:i/>
                    </w:rPr>
                    <w:t xml:space="preserve"> group or </w:t>
                  </w:r>
                  <w:proofErr w:type="spellStart"/>
                  <w:r w:rsidRPr="00812CD2">
                    <w:rPr>
                      <w:b/>
                      <w:i/>
                    </w:rPr>
                    <w:t>Landcare</w:t>
                  </w:r>
                  <w:proofErr w:type="spellEnd"/>
                  <w:r w:rsidRPr="00812CD2">
                    <w:rPr>
                      <w:b/>
                      <w:i/>
                    </w:rPr>
                    <w:t xml:space="preserve"> Network. </w:t>
                  </w:r>
                </w:p>
                <w:p w:rsidR="007A3B40" w:rsidRDefault="007A3B40" w:rsidP="006E3DF0">
                  <w:pPr>
                    <w:pStyle w:val="ListBullet"/>
                    <w:spacing w:after="120" w:line="240" w:lineRule="auto"/>
                    <w:ind w:left="0" w:firstLine="0"/>
                    <w:rPr>
                      <w:b/>
                    </w:rPr>
                  </w:pPr>
                  <w:r w:rsidRPr="00812CD2">
                    <w:rPr>
                      <w:b/>
                    </w:rPr>
                    <w:t xml:space="preserve">Approximately </w:t>
                  </w:r>
                  <w:r>
                    <w:rPr>
                      <w:b/>
                    </w:rPr>
                    <w:t>30 per cent of individuals identified as belonging to</w:t>
                  </w:r>
                  <w:r w:rsidRPr="00812CD2">
                    <w:rPr>
                      <w:b/>
                    </w:rPr>
                    <w:t xml:space="preserve"> a farming or agriculture group.</w:t>
                  </w:r>
                </w:p>
                <w:p w:rsidR="007A3B40" w:rsidRPr="00812CD2" w:rsidRDefault="007A3B40" w:rsidP="006E3DF0">
                  <w:pPr>
                    <w:pStyle w:val="ListBullet"/>
                    <w:widowControl w:val="0"/>
                    <w:spacing w:after="120" w:line="240" w:lineRule="auto"/>
                    <w:ind w:left="0" w:firstLine="0"/>
                    <w:rPr>
                      <w:b/>
                    </w:rPr>
                  </w:pPr>
                  <w:r>
                    <w:rPr>
                      <w:b/>
                    </w:rPr>
                    <w:t>Approximately 36 per cent of individuals identified as belonging to an environment group.</w:t>
                  </w:r>
                  <w:r w:rsidRPr="00812CD2">
                    <w:rPr>
                      <w:b/>
                    </w:rPr>
                    <w:t xml:space="preserve"> </w:t>
                  </w:r>
                </w:p>
                <w:p w:rsidR="007A3B40" w:rsidRDefault="007A3B40" w:rsidP="006E3DF0">
                  <w:pPr>
                    <w:pStyle w:val="ListBullet"/>
                    <w:spacing w:after="120" w:line="240" w:lineRule="auto"/>
                    <w:ind w:left="0" w:firstLine="0"/>
                    <w:rPr>
                      <w:b/>
                    </w:rPr>
                  </w:pPr>
                  <w:r>
                    <w:rPr>
                      <w:b/>
                    </w:rPr>
                    <w:t>O</w:t>
                  </w:r>
                  <w:r w:rsidRPr="00812CD2">
                    <w:rPr>
                      <w:b/>
                    </w:rPr>
                    <w:t>ver 80</w:t>
                  </w:r>
                  <w:r>
                    <w:rPr>
                      <w:b/>
                    </w:rPr>
                    <w:t xml:space="preserve"> per cent</w:t>
                  </w:r>
                  <w:r w:rsidRPr="00812CD2">
                    <w:rPr>
                      <w:b/>
                    </w:rPr>
                    <w:t xml:space="preserve"> </w:t>
                  </w:r>
                  <w:r>
                    <w:rPr>
                      <w:b/>
                    </w:rPr>
                    <w:t xml:space="preserve">of land manager respondents identified as </w:t>
                  </w:r>
                  <w:r w:rsidRPr="00812CD2">
                    <w:rPr>
                      <w:b/>
                    </w:rPr>
                    <w:t>a mem</w:t>
                  </w:r>
                  <w:r>
                    <w:rPr>
                      <w:b/>
                    </w:rPr>
                    <w:t xml:space="preserve">ber of a local </w:t>
                  </w:r>
                  <w:proofErr w:type="spellStart"/>
                  <w:r>
                    <w:rPr>
                      <w:b/>
                    </w:rPr>
                    <w:t>landcare</w:t>
                  </w:r>
                  <w:proofErr w:type="spellEnd"/>
                  <w:r>
                    <w:rPr>
                      <w:b/>
                    </w:rPr>
                    <w:t xml:space="preserve"> group. </w:t>
                  </w:r>
                </w:p>
                <w:p w:rsidR="007A3B40" w:rsidRDefault="007A3B40" w:rsidP="006E3DF0">
                  <w:r>
                    <w:rPr>
                      <w:b/>
                    </w:rPr>
                    <w:t>Relative to their role and significance in NRM, major landholders such as Indigenous Australians and individual land managers were an underrepresented stakeholder group at 2 per cent and 7 per cent of individual respondents respectively.</w:t>
                  </w:r>
                </w:p>
              </w:txbxContent>
            </v:textbox>
          </v:shape>
        </w:pict>
      </w:r>
    </w:p>
    <w:p w:rsidR="006E3DF0" w:rsidRDefault="006E3DF0" w:rsidP="00EC0165">
      <w:pPr>
        <w:pStyle w:val="ListBullet"/>
        <w:spacing w:after="0" w:line="240" w:lineRule="auto"/>
        <w:ind w:left="0" w:firstLine="0"/>
      </w:pPr>
    </w:p>
    <w:p w:rsidR="006E3DF0" w:rsidRDefault="006E3DF0" w:rsidP="00EC0165">
      <w:pPr>
        <w:pStyle w:val="ListBullet"/>
        <w:spacing w:after="0" w:line="240" w:lineRule="auto"/>
        <w:ind w:left="0" w:firstLine="0"/>
      </w:pPr>
    </w:p>
    <w:p w:rsidR="00146CD9" w:rsidRDefault="00146CD9" w:rsidP="00EC0165">
      <w:pPr>
        <w:pStyle w:val="ListBullet"/>
        <w:spacing w:after="0" w:line="240" w:lineRule="auto"/>
        <w:ind w:left="0" w:firstLine="0"/>
      </w:pPr>
      <w:r>
        <w:t xml:space="preserve"> </w:t>
      </w:r>
    </w:p>
    <w:p w:rsidR="00146CD9" w:rsidRPr="00146CD9" w:rsidRDefault="00146CD9" w:rsidP="00146CD9">
      <w:pPr>
        <w:pStyle w:val="ListBullet"/>
        <w:ind w:left="0" w:firstLine="0"/>
        <w:rPr>
          <w:b/>
          <w:i/>
        </w:rPr>
      </w:pPr>
    </w:p>
    <w:p w:rsidR="00EC0165" w:rsidRDefault="00EC0165" w:rsidP="00146CD9">
      <w:pPr>
        <w:pStyle w:val="ListBullet"/>
        <w:ind w:left="0" w:firstLine="0"/>
        <w:rPr>
          <w:b/>
          <w:i/>
        </w:rPr>
      </w:pPr>
    </w:p>
    <w:p w:rsidR="00EC0165" w:rsidRDefault="00EC0165" w:rsidP="00146CD9">
      <w:pPr>
        <w:pStyle w:val="ListBullet"/>
        <w:ind w:left="0" w:firstLine="0"/>
        <w:rPr>
          <w:b/>
          <w:i/>
        </w:rPr>
      </w:pPr>
    </w:p>
    <w:p w:rsidR="00EC0165" w:rsidRDefault="00EC0165" w:rsidP="00146CD9">
      <w:pPr>
        <w:pStyle w:val="ListBullet"/>
        <w:ind w:left="0" w:firstLine="0"/>
        <w:rPr>
          <w:b/>
          <w:i/>
        </w:rPr>
      </w:pPr>
    </w:p>
    <w:p w:rsidR="00EC0165" w:rsidRDefault="00EC0165" w:rsidP="00146CD9">
      <w:pPr>
        <w:pStyle w:val="ListBullet"/>
        <w:ind w:left="0" w:firstLine="0"/>
        <w:rPr>
          <w:b/>
          <w:i/>
        </w:rPr>
      </w:pPr>
    </w:p>
    <w:p w:rsidR="00146CD9" w:rsidRDefault="00146CD9" w:rsidP="00146CD9">
      <w:pPr>
        <w:pStyle w:val="ListBullet"/>
        <w:ind w:left="0" w:firstLine="0"/>
        <w:rPr>
          <w:b/>
          <w:i/>
        </w:rPr>
      </w:pPr>
      <w:r w:rsidRPr="00146CD9">
        <w:rPr>
          <w:b/>
          <w:i/>
        </w:rPr>
        <w:lastRenderedPageBreak/>
        <w:t>Organisations</w:t>
      </w:r>
    </w:p>
    <w:p w:rsidR="00146CD9" w:rsidRPr="00146CD9" w:rsidRDefault="00146CD9" w:rsidP="00146CD9">
      <w:pPr>
        <w:pStyle w:val="ListBullet"/>
        <w:ind w:left="0" w:firstLine="0"/>
        <w:rPr>
          <w:b/>
          <w:i/>
        </w:rPr>
      </w:pPr>
      <w:r>
        <w:t xml:space="preserve">The majority of responses by organisations were from local </w:t>
      </w:r>
      <w:proofErr w:type="spellStart"/>
      <w:r>
        <w:t>landcare</w:t>
      </w:r>
      <w:proofErr w:type="spellEnd"/>
      <w:r>
        <w:t xml:space="preserve"> groups</w:t>
      </w:r>
      <w:r w:rsidR="00DF57DE">
        <w:t xml:space="preserve"> and</w:t>
      </w:r>
      <w:r>
        <w:t xml:space="preserve"> regional NRM organisations. A breakdown of responses from different sectors is shown below.</w:t>
      </w:r>
      <w:r w:rsidR="00C00E21">
        <w:t xml:space="preserve"> T</w:t>
      </w:r>
      <w:r w:rsidR="00C00E21" w:rsidRPr="00C00E21">
        <w:t>he figures in the pie charts below represent online submissions only and do not include submissions that were submitted informally</w:t>
      </w:r>
      <w:r w:rsidR="00C00E21">
        <w:t>.</w:t>
      </w:r>
      <w:r w:rsidRPr="00006A38">
        <w:rPr>
          <w:noProof/>
          <w:lang w:eastAsia="en-AU"/>
        </w:rPr>
        <w:drawing>
          <wp:inline distT="0" distB="0" distL="0" distR="0">
            <wp:extent cx="6251945" cy="4284921"/>
            <wp:effectExtent l="0" t="0" r="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6CD9" w:rsidRPr="007D755E" w:rsidRDefault="00146CD9" w:rsidP="00146CD9">
      <w:pPr>
        <w:pStyle w:val="Tabletext"/>
        <w:rPr>
          <w:b/>
          <w:i/>
        </w:rPr>
      </w:pPr>
      <w:r>
        <w:rPr>
          <w:b/>
          <w:i/>
        </w:rPr>
        <w:t>Distribution of respondents across Australia</w:t>
      </w:r>
    </w:p>
    <w:p w:rsidR="00146CD9" w:rsidRDefault="00146CD9" w:rsidP="00146CD9">
      <w:pPr>
        <w:pStyle w:val="Tabletext"/>
      </w:pPr>
      <w:r>
        <w:t xml:space="preserve">A representative </w:t>
      </w:r>
      <w:r w:rsidR="00774771">
        <w:t>number</w:t>
      </w:r>
      <w:r>
        <w:t xml:space="preserve"> of responses were received from each state and territory. </w:t>
      </w:r>
    </w:p>
    <w:p w:rsidR="00146CD9" w:rsidRDefault="00146CD9" w:rsidP="00146CD9">
      <w:pPr>
        <w:pStyle w:val="Tabletext"/>
      </w:pPr>
      <w:r w:rsidRPr="00180DE6">
        <w:rPr>
          <w:b/>
          <w:noProof/>
          <w:lang w:eastAsia="en-AU"/>
        </w:rPr>
        <w:drawing>
          <wp:inline distT="0" distB="0" distL="0" distR="0">
            <wp:extent cx="5953125" cy="3324225"/>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6CD9" w:rsidRDefault="00146CD9" w:rsidP="00146CD9">
      <w:pPr>
        <w:spacing w:after="0" w:line="240" w:lineRule="auto"/>
        <w:rPr>
          <w:rFonts w:cs="Arial"/>
          <w:b/>
        </w:rPr>
      </w:pPr>
    </w:p>
    <w:p w:rsidR="00A62F78" w:rsidRDefault="00A62F78" w:rsidP="00146CD9">
      <w:pPr>
        <w:spacing w:after="0" w:line="240" w:lineRule="auto"/>
        <w:rPr>
          <w:rFonts w:cs="Arial"/>
          <w:b/>
        </w:rPr>
      </w:pPr>
    </w:p>
    <w:p w:rsidR="008A3F38" w:rsidRDefault="008A3F38" w:rsidP="00146CD9">
      <w:pPr>
        <w:spacing w:after="0" w:line="240" w:lineRule="auto"/>
        <w:rPr>
          <w:rFonts w:cs="Arial"/>
          <w:b/>
        </w:rPr>
      </w:pPr>
    </w:p>
    <w:p w:rsidR="00146CD9" w:rsidRDefault="00146CD9" w:rsidP="00146CD9">
      <w:pPr>
        <w:spacing w:after="0" w:line="240" w:lineRule="auto"/>
        <w:rPr>
          <w:rFonts w:cs="Arial"/>
          <w:b/>
        </w:rPr>
      </w:pPr>
      <w:r w:rsidRPr="003777C9">
        <w:rPr>
          <w:rFonts w:cs="Arial"/>
          <w:b/>
        </w:rPr>
        <w:lastRenderedPageBreak/>
        <w:t xml:space="preserve">3. </w:t>
      </w:r>
      <w:r>
        <w:rPr>
          <w:rFonts w:cs="Arial"/>
          <w:b/>
        </w:rPr>
        <w:t>Messages by stakeholder groups</w:t>
      </w:r>
    </w:p>
    <w:p w:rsidR="00146CD9" w:rsidRDefault="00146CD9" w:rsidP="00146CD9">
      <w:pPr>
        <w:spacing w:after="0" w:line="240" w:lineRule="auto"/>
        <w:rPr>
          <w:rFonts w:cs="Arial"/>
          <w:b/>
        </w:rPr>
      </w:pPr>
    </w:p>
    <w:p w:rsidR="00146CD9" w:rsidRPr="009E48D0" w:rsidRDefault="00146CD9" w:rsidP="00146CD9">
      <w:pPr>
        <w:spacing w:after="0" w:line="240" w:lineRule="auto"/>
        <w:rPr>
          <w:rFonts w:cs="Arial"/>
        </w:rPr>
      </w:pPr>
      <w:r>
        <w:rPr>
          <w:rFonts w:cs="Arial"/>
        </w:rPr>
        <w:t xml:space="preserve">A number of common messages, for how to improve natural resource management delivery and outcomes, were identified from the feedback for each stakeholder group. These are summarised in the diagram below. </w:t>
      </w:r>
    </w:p>
    <w:p w:rsidR="00146CD9" w:rsidRDefault="00A62F78" w:rsidP="00146CD9">
      <w:pPr>
        <w:spacing w:after="0" w:line="240" w:lineRule="auto"/>
        <w:rPr>
          <w:rFonts w:cs="Arial"/>
          <w:b/>
        </w:rPr>
      </w:pPr>
      <w:r>
        <w:rPr>
          <w:rFonts w:cs="Arial"/>
          <w:b/>
          <w:noProof/>
          <w:lang w:eastAsia="en-AU"/>
        </w:rPr>
        <w:drawing>
          <wp:inline distT="0" distB="0" distL="0" distR="0">
            <wp:extent cx="5939790" cy="8137525"/>
            <wp:effectExtent l="19050" t="0" r="3810" b="0"/>
            <wp:docPr id="1" name="Picture 0" descr="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jpg"/>
                    <pic:cNvPicPr/>
                  </pic:nvPicPr>
                  <pic:blipFill>
                    <a:blip r:embed="rId16" cstate="print"/>
                    <a:stretch>
                      <a:fillRect/>
                    </a:stretch>
                  </pic:blipFill>
                  <pic:spPr>
                    <a:xfrm>
                      <a:off x="0" y="0"/>
                      <a:ext cx="5939790" cy="8137525"/>
                    </a:xfrm>
                    <a:prstGeom prst="rect">
                      <a:avLst/>
                    </a:prstGeom>
                  </pic:spPr>
                </pic:pic>
              </a:graphicData>
            </a:graphic>
          </wp:inline>
        </w:drawing>
      </w:r>
    </w:p>
    <w:p w:rsidR="00146CD9" w:rsidRPr="009E48D0" w:rsidRDefault="00146CD9" w:rsidP="00146CD9">
      <w:pPr>
        <w:spacing w:after="0" w:line="240" w:lineRule="auto"/>
        <w:rPr>
          <w:rFonts w:cs="Arial"/>
          <w:sz w:val="18"/>
          <w:szCs w:val="18"/>
        </w:rPr>
      </w:pPr>
      <w:r w:rsidRPr="009E48D0">
        <w:rPr>
          <w:rFonts w:cs="Arial"/>
          <w:b/>
          <w:sz w:val="18"/>
          <w:szCs w:val="18"/>
        </w:rPr>
        <w:t xml:space="preserve">* </w:t>
      </w:r>
      <w:r w:rsidRPr="009E48D0">
        <w:rPr>
          <w:rFonts w:cs="Arial"/>
          <w:sz w:val="18"/>
          <w:szCs w:val="18"/>
        </w:rPr>
        <w:t xml:space="preserve">The broader community refers to all individuals and organisations </w:t>
      </w:r>
      <w:proofErr w:type="gramStart"/>
      <w:r w:rsidRPr="009E48D0">
        <w:rPr>
          <w:rFonts w:cs="Arial"/>
          <w:sz w:val="18"/>
          <w:szCs w:val="18"/>
        </w:rPr>
        <w:t>who</w:t>
      </w:r>
      <w:proofErr w:type="gramEnd"/>
      <w:r w:rsidRPr="009E48D0">
        <w:rPr>
          <w:rFonts w:cs="Arial"/>
          <w:sz w:val="18"/>
          <w:szCs w:val="18"/>
        </w:rPr>
        <w:t xml:space="preserve"> did not identify with one of the specified groups above, including NGO’s, peak industry bodies, environment groups and those individuals who identified as belonging to an environment community group.</w:t>
      </w:r>
      <w:r>
        <w:rPr>
          <w:rFonts w:cs="Arial"/>
          <w:sz w:val="18"/>
          <w:szCs w:val="18"/>
        </w:rPr>
        <w:br w:type="page"/>
      </w:r>
    </w:p>
    <w:p w:rsidR="00146CD9" w:rsidRDefault="00146CD9" w:rsidP="00146CD9">
      <w:pPr>
        <w:rPr>
          <w:rFonts w:cs="Arial"/>
          <w:b/>
        </w:rPr>
      </w:pPr>
      <w:r>
        <w:rPr>
          <w:rFonts w:cs="Arial"/>
          <w:b/>
        </w:rPr>
        <w:lastRenderedPageBreak/>
        <w:t>4. Key themes and Australian Government response</w:t>
      </w:r>
    </w:p>
    <w:p w:rsidR="00146CD9" w:rsidRPr="003777C9" w:rsidRDefault="00146CD9" w:rsidP="00146CD9">
      <w:pPr>
        <w:rPr>
          <w:rFonts w:cs="Arial"/>
          <w:b/>
        </w:rPr>
      </w:pPr>
      <w:r>
        <w:rPr>
          <w:rFonts w:cs="Arial"/>
        </w:rPr>
        <w:t>The common messages were analysed and five key themes were identified. The table</w:t>
      </w:r>
      <w:r w:rsidR="0034565A">
        <w:rPr>
          <w:rFonts w:cs="Arial"/>
        </w:rPr>
        <w:t>s</w:t>
      </w:r>
      <w:r>
        <w:rPr>
          <w:rFonts w:cs="Arial"/>
        </w:rPr>
        <w:t xml:space="preserve"> below present the key theme</w:t>
      </w:r>
      <w:r w:rsidR="0034565A">
        <w:rPr>
          <w:rFonts w:cs="Arial"/>
        </w:rPr>
        <w:t>s</w:t>
      </w:r>
      <w:r>
        <w:rPr>
          <w:rFonts w:cs="Arial"/>
        </w:rPr>
        <w:t xml:space="preserve">, with some examples of the feedback provided and how the design of </w:t>
      </w:r>
      <w:r w:rsidR="0087588A">
        <w:rPr>
          <w:rFonts w:cs="Arial"/>
        </w:rPr>
        <w:t>the Regional Stream</w:t>
      </w:r>
      <w:r>
        <w:rPr>
          <w:rFonts w:cs="Arial"/>
        </w:rPr>
        <w:t xml:space="preserve"> has been improved to address the feedback. </w:t>
      </w:r>
    </w:p>
    <w:p w:rsidR="00146CD9" w:rsidRDefault="00146CD9" w:rsidP="00146CD9">
      <w:pPr>
        <w:rPr>
          <w:rFonts w:cs="Arial"/>
          <w:b/>
          <w:i/>
        </w:rPr>
      </w:pPr>
      <w:r>
        <w:rPr>
          <w:rFonts w:cs="Arial"/>
          <w:b/>
          <w:i/>
        </w:rPr>
        <w:t>Local agenda and community engagement</w:t>
      </w:r>
    </w:p>
    <w:tbl>
      <w:tblPr>
        <w:tblStyle w:val="TableGrid"/>
        <w:tblW w:w="10031" w:type="dxa"/>
        <w:tblLook w:val="04A0"/>
      </w:tblPr>
      <w:tblGrid>
        <w:gridCol w:w="4077"/>
        <w:gridCol w:w="5954"/>
      </w:tblGrid>
      <w:tr w:rsidR="00146CD9" w:rsidRPr="009F77B6" w:rsidTr="00BF4EB3">
        <w:trPr>
          <w:tblHeader/>
        </w:trPr>
        <w:tc>
          <w:tcPr>
            <w:tcW w:w="4077" w:type="dxa"/>
          </w:tcPr>
          <w:p w:rsidR="00146CD9" w:rsidRPr="002E55CE" w:rsidRDefault="00146CD9" w:rsidP="00863F27">
            <w:pPr>
              <w:spacing w:before="120" w:after="120"/>
              <w:rPr>
                <w:rFonts w:cs="Arial"/>
                <w:b/>
              </w:rPr>
            </w:pPr>
            <w:r>
              <w:rPr>
                <w:rFonts w:cs="Arial"/>
                <w:b/>
              </w:rPr>
              <w:t>Feedback</w:t>
            </w:r>
          </w:p>
        </w:tc>
        <w:tc>
          <w:tcPr>
            <w:tcW w:w="5954" w:type="dxa"/>
          </w:tcPr>
          <w:p w:rsidR="00146CD9" w:rsidRPr="002E55CE" w:rsidRDefault="00146CD9" w:rsidP="00863F27">
            <w:pPr>
              <w:spacing w:before="120" w:after="120"/>
              <w:rPr>
                <w:rFonts w:cs="Arial"/>
                <w:b/>
              </w:rPr>
            </w:pPr>
            <w:r>
              <w:rPr>
                <w:rFonts w:cs="Arial"/>
                <w:b/>
              </w:rPr>
              <w:t>Design Improvements</w:t>
            </w:r>
          </w:p>
        </w:tc>
      </w:tr>
      <w:tr w:rsidR="00146CD9" w:rsidRPr="009F77B6" w:rsidTr="00BF4EB3">
        <w:trPr>
          <w:trHeight w:val="348"/>
        </w:trPr>
        <w:tc>
          <w:tcPr>
            <w:tcW w:w="4077" w:type="dxa"/>
          </w:tcPr>
          <w:p w:rsidR="00146CD9" w:rsidRPr="000173AA" w:rsidRDefault="00146CD9" w:rsidP="00146CD9">
            <w:pPr>
              <w:pStyle w:val="ListBullet"/>
              <w:numPr>
                <w:ilvl w:val="0"/>
                <w:numId w:val="33"/>
              </w:numPr>
              <w:spacing w:before="120" w:after="120"/>
              <w:ind w:left="357" w:hanging="357"/>
            </w:pPr>
            <w:r>
              <w:rPr>
                <w:rFonts w:cs="Arial"/>
              </w:rPr>
              <w:t xml:space="preserve">The community needs to have a ‘seat at the table’ and a voice in regional NRM. </w:t>
            </w:r>
            <w:r w:rsidRPr="000173AA">
              <w:rPr>
                <w:rFonts w:cs="Arial"/>
              </w:rPr>
              <w:t>Participatory approaches to NRM planning and prioritisation are important so that “everyone is on the same page” and working towards agreed priorities. Not only does this promote collaborations and community engagement, but can also maximise environmental outcomes.</w:t>
            </w:r>
          </w:p>
          <w:p w:rsidR="00146CD9" w:rsidRDefault="00146CD9" w:rsidP="00146CD9">
            <w:pPr>
              <w:pStyle w:val="ListBullet"/>
              <w:numPr>
                <w:ilvl w:val="0"/>
                <w:numId w:val="33"/>
              </w:numPr>
              <w:spacing w:before="120" w:after="120"/>
              <w:ind w:left="357" w:hanging="357"/>
            </w:pPr>
            <w:r w:rsidRPr="002E55CE">
              <w:t>There needs to be sufficient flexibility to deliver against local and regional priorities</w:t>
            </w:r>
            <w:r>
              <w:t xml:space="preserve"> determined with the community.</w:t>
            </w:r>
          </w:p>
          <w:p w:rsidR="00146CD9" w:rsidRPr="000D0044" w:rsidRDefault="00146CD9" w:rsidP="00146CD9">
            <w:pPr>
              <w:pStyle w:val="ListBullet"/>
              <w:numPr>
                <w:ilvl w:val="0"/>
                <w:numId w:val="33"/>
              </w:numPr>
              <w:spacing w:before="120" w:after="120"/>
              <w:ind w:left="357" w:hanging="357"/>
            </w:pPr>
            <w:r>
              <w:rPr>
                <w:rFonts w:cs="Arial"/>
              </w:rPr>
              <w:t xml:space="preserve">Long-term funding and projects are needed to get the community ‘on board’ and to achieve meaningful </w:t>
            </w:r>
            <w:r w:rsidR="00F77109">
              <w:rPr>
                <w:rFonts w:cs="Arial"/>
              </w:rPr>
              <w:t>sustainable agriculture a</w:t>
            </w:r>
            <w:r w:rsidR="005471C9">
              <w:rPr>
                <w:rFonts w:cs="Arial"/>
              </w:rPr>
              <w:t>n</w:t>
            </w:r>
            <w:r w:rsidR="00F77109">
              <w:rPr>
                <w:rFonts w:cs="Arial"/>
              </w:rPr>
              <w:t xml:space="preserve">d </w:t>
            </w:r>
            <w:r>
              <w:rPr>
                <w:rFonts w:cs="Arial"/>
              </w:rPr>
              <w:t>environmental outcomes given the nature of NRM issues</w:t>
            </w:r>
            <w:r w:rsidRPr="001C6DE9">
              <w:rPr>
                <w:rFonts w:cs="Arial"/>
              </w:rPr>
              <w:t xml:space="preserve">. </w:t>
            </w:r>
          </w:p>
          <w:p w:rsidR="00146CD9" w:rsidRPr="00D0521E" w:rsidRDefault="00146CD9" w:rsidP="00146CD9">
            <w:pPr>
              <w:pStyle w:val="ListBullet"/>
              <w:numPr>
                <w:ilvl w:val="0"/>
                <w:numId w:val="33"/>
              </w:numPr>
              <w:spacing w:before="120" w:after="120"/>
              <w:ind w:left="357" w:hanging="357"/>
            </w:pPr>
            <w:r>
              <w:rPr>
                <w:rFonts w:cs="Arial"/>
              </w:rPr>
              <w:t xml:space="preserve">It is important to share local stories of NRM </w:t>
            </w:r>
            <w:r w:rsidR="008D247F">
              <w:rPr>
                <w:rFonts w:cs="Arial"/>
              </w:rPr>
              <w:t xml:space="preserve">and sustainable agricultural </w:t>
            </w:r>
            <w:r>
              <w:rPr>
                <w:rFonts w:cs="Arial"/>
              </w:rPr>
              <w:t>achievement</w:t>
            </w:r>
            <w:r w:rsidR="008D247F">
              <w:rPr>
                <w:rFonts w:cs="Arial"/>
              </w:rPr>
              <w:t>s</w:t>
            </w:r>
            <w:r>
              <w:rPr>
                <w:rFonts w:cs="Arial"/>
              </w:rPr>
              <w:t xml:space="preserve"> so that the efforts of </w:t>
            </w:r>
            <w:proofErr w:type="spellStart"/>
            <w:r>
              <w:rPr>
                <w:rFonts w:cs="Arial"/>
              </w:rPr>
              <w:t>landcare</w:t>
            </w:r>
            <w:proofErr w:type="spellEnd"/>
            <w:r>
              <w:rPr>
                <w:rFonts w:cs="Arial"/>
              </w:rPr>
              <w:t xml:space="preserve"> and other groups are acknowledged, valued and supported by the community.</w:t>
            </w:r>
          </w:p>
          <w:p w:rsidR="00146CD9" w:rsidRPr="00F402DD" w:rsidRDefault="00146CD9" w:rsidP="00146CD9">
            <w:pPr>
              <w:pStyle w:val="ListBullet"/>
              <w:numPr>
                <w:ilvl w:val="0"/>
                <w:numId w:val="33"/>
              </w:numPr>
              <w:spacing w:before="120" w:after="120"/>
              <w:ind w:left="357" w:hanging="357"/>
            </w:pPr>
            <w:r>
              <w:rPr>
                <w:rFonts w:cs="Arial"/>
              </w:rPr>
              <w:t>Decision-making for regional investment should be transparent.</w:t>
            </w:r>
          </w:p>
        </w:tc>
        <w:tc>
          <w:tcPr>
            <w:tcW w:w="5954" w:type="dxa"/>
          </w:tcPr>
          <w:p w:rsidR="00146CD9" w:rsidRDefault="00146CD9" w:rsidP="00146CD9">
            <w:pPr>
              <w:pStyle w:val="ListBullet"/>
              <w:numPr>
                <w:ilvl w:val="0"/>
                <w:numId w:val="26"/>
              </w:numPr>
              <w:spacing w:before="120" w:after="120"/>
              <w:ind w:left="357" w:hanging="357"/>
            </w:pPr>
            <w:r>
              <w:t>There will be an increased</w:t>
            </w:r>
            <w:r w:rsidRPr="00E205B1">
              <w:t xml:space="preserve"> focus on local community engagement in the delivery and prioritisation of activities</w:t>
            </w:r>
            <w:r>
              <w:t>, including a requirement that regional NRM organisations report on their performance in community engagement.</w:t>
            </w:r>
          </w:p>
          <w:p w:rsidR="00146CD9" w:rsidRDefault="00146CD9" w:rsidP="00146CD9">
            <w:pPr>
              <w:pStyle w:val="ListBullet"/>
              <w:numPr>
                <w:ilvl w:val="0"/>
                <w:numId w:val="26"/>
              </w:numPr>
              <w:spacing w:before="120" w:after="120"/>
              <w:ind w:left="357" w:hanging="357"/>
            </w:pPr>
            <w:r>
              <w:t>R</w:t>
            </w:r>
            <w:r w:rsidRPr="00421760">
              <w:t xml:space="preserve">egional NRM organisations </w:t>
            </w:r>
            <w:r>
              <w:t xml:space="preserve">will have </w:t>
            </w:r>
            <w:r w:rsidRPr="00A5748D">
              <w:t>greater autonomy</w:t>
            </w:r>
            <w:r w:rsidRPr="00421760">
              <w:t xml:space="preserve"> in setting and delivering on their regional and local priorities with the community</w:t>
            </w:r>
            <w:r w:rsidR="008D247F">
              <w:t xml:space="preserve"> and agricultural industries</w:t>
            </w:r>
            <w:r w:rsidRPr="00421760">
              <w:t>.</w:t>
            </w:r>
            <w:r>
              <w:t xml:space="preserve"> With this they will be </w:t>
            </w:r>
            <w:r w:rsidRPr="00783130">
              <w:t>accountab</w:t>
            </w:r>
            <w:r>
              <w:t>le</w:t>
            </w:r>
            <w:r w:rsidRPr="00783130">
              <w:t xml:space="preserve"> for NRM outcomes and </w:t>
            </w:r>
            <w:r>
              <w:t xml:space="preserve">ensuring appropriate </w:t>
            </w:r>
            <w:r w:rsidRPr="00783130">
              <w:t>local</w:t>
            </w:r>
            <w:r w:rsidR="008D247F">
              <w:t xml:space="preserve"> industry and</w:t>
            </w:r>
            <w:r w:rsidRPr="00783130">
              <w:t xml:space="preserve"> </w:t>
            </w:r>
            <w:proofErr w:type="spellStart"/>
            <w:r w:rsidRPr="00783130">
              <w:t>landcare</w:t>
            </w:r>
            <w:proofErr w:type="spellEnd"/>
            <w:r w:rsidRPr="00783130">
              <w:t xml:space="preserve"> community participation. </w:t>
            </w:r>
          </w:p>
          <w:p w:rsidR="00146CD9" w:rsidRPr="00A5748D" w:rsidRDefault="00146CD9" w:rsidP="00146CD9">
            <w:pPr>
              <w:pStyle w:val="ListBullet"/>
              <w:numPr>
                <w:ilvl w:val="0"/>
                <w:numId w:val="26"/>
              </w:numPr>
              <w:spacing w:before="120" w:after="120"/>
              <w:ind w:left="357" w:hanging="357"/>
            </w:pPr>
            <w:r w:rsidRPr="00A5748D">
              <w:rPr>
                <w:rFonts w:cs="Arial"/>
              </w:rPr>
              <w:t>NRM investme</w:t>
            </w:r>
            <w:r>
              <w:rPr>
                <w:rFonts w:cs="Arial"/>
              </w:rPr>
              <w:t>nt decisions will be aligned with</w:t>
            </w:r>
            <w:r w:rsidRPr="00A5748D">
              <w:rPr>
                <w:rFonts w:cs="Arial"/>
              </w:rPr>
              <w:t xml:space="preserve"> regional NRM plans that have </w:t>
            </w:r>
            <w:r>
              <w:rPr>
                <w:rFonts w:cs="Arial"/>
              </w:rPr>
              <w:t xml:space="preserve">community </w:t>
            </w:r>
            <w:r w:rsidR="00F77109">
              <w:rPr>
                <w:rFonts w:cs="Arial"/>
              </w:rPr>
              <w:t xml:space="preserve">and agricultural industry </w:t>
            </w:r>
            <w:r>
              <w:rPr>
                <w:rFonts w:cs="Arial"/>
              </w:rPr>
              <w:t xml:space="preserve">support and </w:t>
            </w:r>
            <w:r w:rsidRPr="00A5748D">
              <w:rPr>
                <w:rFonts w:cs="Arial"/>
              </w:rPr>
              <w:t>a strong scientific basi</w:t>
            </w:r>
            <w:r>
              <w:rPr>
                <w:rFonts w:cs="Arial"/>
              </w:rPr>
              <w:t xml:space="preserve">s and </w:t>
            </w:r>
            <w:r w:rsidRPr="00A5748D">
              <w:rPr>
                <w:rFonts w:cs="Arial"/>
              </w:rPr>
              <w:t>provide a strategic basis for investment under the National Landcare Programme.</w:t>
            </w:r>
          </w:p>
          <w:p w:rsidR="00146CD9" w:rsidRPr="008C4649" w:rsidRDefault="00146CD9" w:rsidP="00146CD9">
            <w:pPr>
              <w:pStyle w:val="ListBullet"/>
              <w:numPr>
                <w:ilvl w:val="0"/>
                <w:numId w:val="25"/>
              </w:numPr>
            </w:pPr>
            <w:r w:rsidRPr="00545315">
              <w:t xml:space="preserve">Through the </w:t>
            </w:r>
            <w:r w:rsidR="005471C9">
              <w:t>MERIT</w:t>
            </w:r>
            <w:r w:rsidRPr="00545315">
              <w:t xml:space="preserve"> online reporting tool, regional NRM organisations will report progress against project outcomes, including the NRM community’s participation in the planning and delivery of projects. The community will be able to view information about the progress of projects funded through </w:t>
            </w:r>
            <w:r>
              <w:t xml:space="preserve">the </w:t>
            </w:r>
            <w:r w:rsidRPr="00545315">
              <w:t xml:space="preserve">Regional </w:t>
            </w:r>
            <w:r>
              <w:t>Stream</w:t>
            </w:r>
            <w:r w:rsidRPr="00545315">
              <w:t>. Regional NRM organisations will be able to share information o</w:t>
            </w:r>
            <w:r>
              <w:t>n</w:t>
            </w:r>
            <w:r w:rsidRPr="00545315">
              <w:t xml:space="preserve"> their Regional </w:t>
            </w:r>
            <w:r>
              <w:t>Stream</w:t>
            </w:r>
            <w:r w:rsidRPr="00545315">
              <w:t xml:space="preserve"> delivery, such as attaching their regional NRM </w:t>
            </w:r>
            <w:r w:rsidRPr="008C4649">
              <w:t>plans, promoting events and good news stories using the ‘news and events’ function.</w:t>
            </w:r>
          </w:p>
          <w:p w:rsidR="00146CD9" w:rsidRPr="00762751" w:rsidRDefault="00146CD9" w:rsidP="00146CD9">
            <w:pPr>
              <w:pStyle w:val="ListBullet"/>
              <w:numPr>
                <w:ilvl w:val="0"/>
                <w:numId w:val="37"/>
              </w:numPr>
              <w:spacing w:before="120" w:after="120"/>
              <w:rPr>
                <w:color w:val="FF0000"/>
              </w:rPr>
            </w:pPr>
            <w:r w:rsidRPr="008C4649">
              <w:t xml:space="preserve">To ensure there is a local voice in the National Landcare Programme, the newly established National Landcare Advisory Committee has been </w:t>
            </w:r>
            <w:r>
              <w:t>formed</w:t>
            </w:r>
            <w:r w:rsidRPr="008C4649">
              <w:t xml:space="preserve"> to directly advise Ministers on matters such as </w:t>
            </w:r>
            <w:proofErr w:type="spellStart"/>
            <w:r w:rsidRPr="008C4649">
              <w:t>landcare</w:t>
            </w:r>
            <w:proofErr w:type="spellEnd"/>
            <w:r w:rsidRPr="008C4649">
              <w:t xml:space="preserve"> investment priorities, implementation and whether the National Landcare Programme is meeting its objectives. The committee is made up of members with skills and expertise in areas such as land management, community leadership, project development, agriculture, Indigenous affairs, accounting and finance.</w:t>
            </w:r>
          </w:p>
        </w:tc>
      </w:tr>
    </w:tbl>
    <w:p w:rsidR="00BF4EB3" w:rsidRDefault="00BF4EB3" w:rsidP="005C2051">
      <w:pPr>
        <w:spacing w:after="0" w:line="240" w:lineRule="auto"/>
        <w:rPr>
          <w:b/>
          <w:i/>
        </w:rPr>
      </w:pPr>
    </w:p>
    <w:p w:rsidR="00BF4EB3" w:rsidRDefault="00BF4EB3" w:rsidP="005C2051">
      <w:pPr>
        <w:spacing w:after="0" w:line="240" w:lineRule="auto"/>
        <w:rPr>
          <w:b/>
          <w:i/>
        </w:rPr>
      </w:pPr>
    </w:p>
    <w:p w:rsidR="00BF4EB3" w:rsidRDefault="00BF4EB3" w:rsidP="005C2051">
      <w:pPr>
        <w:spacing w:after="0" w:line="240" w:lineRule="auto"/>
        <w:rPr>
          <w:b/>
          <w:i/>
        </w:rPr>
      </w:pPr>
    </w:p>
    <w:p w:rsidR="005C2051" w:rsidRDefault="005C2051" w:rsidP="005C2051">
      <w:pPr>
        <w:spacing w:after="0" w:line="240" w:lineRule="auto"/>
        <w:rPr>
          <w:b/>
          <w:i/>
        </w:rPr>
      </w:pPr>
      <w:r>
        <w:rPr>
          <w:b/>
          <w:i/>
        </w:rPr>
        <w:lastRenderedPageBreak/>
        <w:t>Effective natural resource management settings</w:t>
      </w:r>
    </w:p>
    <w:p w:rsidR="005C2051" w:rsidRPr="00DB5394" w:rsidRDefault="005C2051" w:rsidP="005C2051">
      <w:pPr>
        <w:spacing w:after="0" w:line="240" w:lineRule="auto"/>
        <w:rPr>
          <w:b/>
          <w:i/>
        </w:rPr>
      </w:pPr>
    </w:p>
    <w:tbl>
      <w:tblPr>
        <w:tblStyle w:val="TableGrid"/>
        <w:tblW w:w="10031" w:type="dxa"/>
        <w:tblLook w:val="04A0"/>
      </w:tblPr>
      <w:tblGrid>
        <w:gridCol w:w="4077"/>
        <w:gridCol w:w="5954"/>
      </w:tblGrid>
      <w:tr w:rsidR="005C2051" w:rsidRPr="00C03D2C" w:rsidTr="00BF4EB3">
        <w:trPr>
          <w:tblHeader/>
        </w:trPr>
        <w:tc>
          <w:tcPr>
            <w:tcW w:w="4077" w:type="dxa"/>
          </w:tcPr>
          <w:p w:rsidR="005C2051" w:rsidRPr="002E55CE" w:rsidRDefault="005C2051" w:rsidP="00EC0165">
            <w:pPr>
              <w:spacing w:before="120" w:after="120"/>
              <w:rPr>
                <w:rFonts w:cs="Arial"/>
                <w:b/>
              </w:rPr>
            </w:pPr>
            <w:r>
              <w:rPr>
                <w:rFonts w:cs="Arial"/>
                <w:b/>
              </w:rPr>
              <w:t>Feedback</w:t>
            </w:r>
          </w:p>
        </w:tc>
        <w:tc>
          <w:tcPr>
            <w:tcW w:w="5954" w:type="dxa"/>
          </w:tcPr>
          <w:p w:rsidR="005C2051" w:rsidRPr="002E55CE" w:rsidRDefault="005C2051" w:rsidP="00EC0165">
            <w:pPr>
              <w:spacing w:before="120" w:after="120"/>
              <w:rPr>
                <w:rFonts w:cs="Arial"/>
                <w:b/>
              </w:rPr>
            </w:pPr>
            <w:r>
              <w:rPr>
                <w:rFonts w:cs="Arial"/>
                <w:b/>
              </w:rPr>
              <w:t>Design Improvements</w:t>
            </w:r>
          </w:p>
        </w:tc>
      </w:tr>
      <w:tr w:rsidR="005C2051" w:rsidRPr="00C03D2C" w:rsidTr="00BF4EB3">
        <w:tc>
          <w:tcPr>
            <w:tcW w:w="4077" w:type="dxa"/>
          </w:tcPr>
          <w:p w:rsidR="005C2051" w:rsidRPr="00C8075A" w:rsidRDefault="005C2051" w:rsidP="00EC0165">
            <w:pPr>
              <w:pStyle w:val="ListParagraph"/>
              <w:numPr>
                <w:ilvl w:val="0"/>
                <w:numId w:val="29"/>
              </w:numPr>
              <w:spacing w:before="120" w:after="120"/>
              <w:ind w:left="357" w:hanging="357"/>
              <w:rPr>
                <w:rFonts w:cs="Arial"/>
              </w:rPr>
            </w:pPr>
            <w:r w:rsidRPr="00C8075A">
              <w:rPr>
                <w:rFonts w:cs="Arial"/>
              </w:rPr>
              <w:t>Shifting policy and funding instability has led to change apathy and disengagement in some communities. There is a need for funding stability and consistent policy priorities to engage the community and achieve meaningful NRM outcomes.</w:t>
            </w:r>
          </w:p>
          <w:p w:rsidR="005C2051" w:rsidRPr="00C8075A" w:rsidRDefault="005C2051" w:rsidP="00EC0165">
            <w:pPr>
              <w:pStyle w:val="ListParagraph"/>
              <w:numPr>
                <w:ilvl w:val="0"/>
                <w:numId w:val="29"/>
              </w:numPr>
              <w:spacing w:before="120" w:after="120"/>
              <w:rPr>
                <w:rFonts w:cs="Arial"/>
              </w:rPr>
            </w:pPr>
            <w:r w:rsidRPr="00C8075A">
              <w:rPr>
                <w:rFonts w:cs="Arial"/>
              </w:rPr>
              <w:t xml:space="preserve">Retention of skilled, local NRM staff in regional NRM organisations and </w:t>
            </w:r>
            <w:proofErr w:type="spellStart"/>
            <w:r w:rsidRPr="00C8075A">
              <w:rPr>
                <w:rFonts w:cs="Arial"/>
              </w:rPr>
              <w:t>landcare</w:t>
            </w:r>
            <w:proofErr w:type="spellEnd"/>
            <w:r w:rsidRPr="00C8075A">
              <w:rPr>
                <w:rFonts w:cs="Arial"/>
              </w:rPr>
              <w:t xml:space="preserve"> groups is essential for effective community engagement and maintaining progress towards NRM outcomes.</w:t>
            </w:r>
          </w:p>
        </w:tc>
        <w:tc>
          <w:tcPr>
            <w:tcW w:w="5954" w:type="dxa"/>
          </w:tcPr>
          <w:p w:rsidR="005C2051" w:rsidRPr="00C8075A" w:rsidRDefault="005C2051" w:rsidP="00EC0165">
            <w:pPr>
              <w:pStyle w:val="ListParagraph"/>
              <w:numPr>
                <w:ilvl w:val="0"/>
                <w:numId w:val="29"/>
              </w:numPr>
              <w:spacing w:before="120" w:after="120"/>
              <w:ind w:left="357" w:hanging="357"/>
              <w:rPr>
                <w:rFonts w:cs="Arial"/>
              </w:rPr>
            </w:pPr>
            <w:r w:rsidRPr="00C8075A">
              <w:rPr>
                <w:rFonts w:cs="Arial"/>
              </w:rPr>
              <w:t>Long-term funding will be available to regional NRM organisations through multi-year contracts that provide surety of investment. This will enable them to maintain regional infrastructure for NRM planning and delivery and retain key staff</w:t>
            </w:r>
            <w:r>
              <w:rPr>
                <w:rFonts w:cs="Arial"/>
              </w:rPr>
              <w:t>, including a Regional Landcare Facilitator</w:t>
            </w:r>
            <w:r w:rsidRPr="00C8075A">
              <w:rPr>
                <w:rFonts w:cs="Arial"/>
              </w:rPr>
              <w:t>.</w:t>
            </w:r>
          </w:p>
        </w:tc>
      </w:tr>
    </w:tbl>
    <w:p w:rsidR="005C2051" w:rsidRDefault="005C2051" w:rsidP="005C2051">
      <w:pPr>
        <w:spacing w:after="0" w:line="240" w:lineRule="auto"/>
        <w:rPr>
          <w:b/>
          <w:i/>
        </w:rPr>
      </w:pPr>
    </w:p>
    <w:p w:rsidR="00146CD9" w:rsidRPr="00663F3A" w:rsidRDefault="00146CD9" w:rsidP="00D94798">
      <w:pPr>
        <w:spacing w:afterLines="100"/>
        <w:rPr>
          <w:rFonts w:cs="Arial"/>
          <w:b/>
          <w:i/>
        </w:rPr>
      </w:pPr>
      <w:r>
        <w:rPr>
          <w:rFonts w:cs="Arial"/>
          <w:b/>
          <w:i/>
        </w:rPr>
        <w:t>Collaborations</w:t>
      </w:r>
    </w:p>
    <w:tbl>
      <w:tblPr>
        <w:tblStyle w:val="TableGrid"/>
        <w:tblW w:w="5090" w:type="pct"/>
        <w:tblLook w:val="04A0"/>
      </w:tblPr>
      <w:tblGrid>
        <w:gridCol w:w="4077"/>
        <w:gridCol w:w="5954"/>
      </w:tblGrid>
      <w:tr w:rsidR="00146CD9" w:rsidRPr="00250521" w:rsidTr="00BF4EB3">
        <w:trPr>
          <w:tblHeader/>
        </w:trPr>
        <w:tc>
          <w:tcPr>
            <w:tcW w:w="2032" w:type="pct"/>
          </w:tcPr>
          <w:p w:rsidR="00146CD9" w:rsidRPr="002E55CE" w:rsidRDefault="00146CD9" w:rsidP="00863F27">
            <w:pPr>
              <w:spacing w:before="120" w:after="120"/>
              <w:rPr>
                <w:rFonts w:cs="Arial"/>
                <w:b/>
              </w:rPr>
            </w:pPr>
            <w:r>
              <w:rPr>
                <w:rFonts w:cs="Arial"/>
                <w:b/>
              </w:rPr>
              <w:t>Feedback</w:t>
            </w:r>
          </w:p>
        </w:tc>
        <w:tc>
          <w:tcPr>
            <w:tcW w:w="2968" w:type="pct"/>
          </w:tcPr>
          <w:p w:rsidR="00146CD9" w:rsidRPr="002E55CE" w:rsidRDefault="00146CD9" w:rsidP="00863F27">
            <w:pPr>
              <w:spacing w:before="120" w:after="120"/>
              <w:rPr>
                <w:rFonts w:cs="Arial"/>
                <w:b/>
              </w:rPr>
            </w:pPr>
            <w:r>
              <w:rPr>
                <w:rFonts w:cs="Arial"/>
                <w:b/>
              </w:rPr>
              <w:t>Design Improvements</w:t>
            </w:r>
          </w:p>
        </w:tc>
      </w:tr>
      <w:tr w:rsidR="00146CD9" w:rsidRPr="00250521" w:rsidTr="00BF4EB3">
        <w:trPr>
          <w:trHeight w:val="1623"/>
        </w:trPr>
        <w:tc>
          <w:tcPr>
            <w:tcW w:w="2032" w:type="pct"/>
          </w:tcPr>
          <w:p w:rsidR="00146CD9" w:rsidRPr="0039400F" w:rsidRDefault="00146CD9" w:rsidP="00146CD9">
            <w:pPr>
              <w:pStyle w:val="ListParagraph"/>
              <w:numPr>
                <w:ilvl w:val="0"/>
                <w:numId w:val="17"/>
              </w:numPr>
              <w:spacing w:before="120" w:after="120"/>
              <w:ind w:left="357" w:hanging="357"/>
              <w:rPr>
                <w:rFonts w:cs="Arial"/>
              </w:rPr>
            </w:pPr>
            <w:r w:rsidRPr="00BF74FF">
              <w:t>Stakeholders have different capacity issues, interests, skills and e</w:t>
            </w:r>
            <w:r>
              <w:t xml:space="preserve">xperience. </w:t>
            </w:r>
            <w:r>
              <w:rPr>
                <w:rFonts w:cs="Arial"/>
              </w:rPr>
              <w:t>T</w:t>
            </w:r>
            <w:r w:rsidRPr="00250521">
              <w:rPr>
                <w:rFonts w:cs="Arial"/>
              </w:rPr>
              <w:t xml:space="preserve">here are many opportunities </w:t>
            </w:r>
            <w:r>
              <w:rPr>
                <w:rFonts w:cs="Arial"/>
              </w:rPr>
              <w:t>for improved collaboration</w:t>
            </w:r>
            <w:r w:rsidR="008D247F">
              <w:rPr>
                <w:rFonts w:cs="Arial"/>
              </w:rPr>
              <w:t>, sustainable agriculture</w:t>
            </w:r>
            <w:r>
              <w:rPr>
                <w:rFonts w:cs="Arial"/>
              </w:rPr>
              <w:t xml:space="preserve"> and e</w:t>
            </w:r>
            <w:r w:rsidRPr="000D0044">
              <w:rPr>
                <w:rFonts w:cs="Arial"/>
              </w:rPr>
              <w:t>nvironmental outcomes can be enhanced by</w:t>
            </w:r>
            <w:r>
              <w:rPr>
                <w:rFonts w:cs="Arial"/>
              </w:rPr>
              <w:t xml:space="preserve"> better</w:t>
            </w:r>
            <w:r w:rsidRPr="000D0044">
              <w:rPr>
                <w:rFonts w:cs="Arial"/>
              </w:rPr>
              <w:t xml:space="preserve"> utilising the respective skills, resources and capacity of NRM stakeholders</w:t>
            </w:r>
            <w:r>
              <w:rPr>
                <w:rFonts w:cs="Arial"/>
              </w:rPr>
              <w:t xml:space="preserve"> in regional delivery</w:t>
            </w:r>
            <w:r w:rsidRPr="000D0044">
              <w:rPr>
                <w:rFonts w:cs="Arial"/>
              </w:rPr>
              <w:t>.</w:t>
            </w:r>
            <w:r>
              <w:rPr>
                <w:rFonts w:cs="Arial"/>
              </w:rPr>
              <w:t xml:space="preserve"> However, </w:t>
            </w:r>
            <w:r>
              <w:t xml:space="preserve">improvements are needed in the way that NRM stakeholders communicate and work together at a local and regional scale.  </w:t>
            </w:r>
          </w:p>
          <w:p w:rsidR="00146CD9" w:rsidRDefault="00146CD9" w:rsidP="00146CD9">
            <w:pPr>
              <w:pStyle w:val="ListParagraph"/>
              <w:numPr>
                <w:ilvl w:val="0"/>
                <w:numId w:val="17"/>
              </w:numPr>
              <w:spacing w:before="120" w:after="120"/>
              <w:ind w:left="357" w:hanging="357"/>
              <w:rPr>
                <w:rFonts w:cs="Arial"/>
              </w:rPr>
            </w:pPr>
            <w:r w:rsidRPr="00D77C97">
              <w:rPr>
                <w:rFonts w:cs="Arial"/>
              </w:rPr>
              <w:t xml:space="preserve">Greater </w:t>
            </w:r>
            <w:r>
              <w:rPr>
                <w:rFonts w:cs="Arial"/>
              </w:rPr>
              <w:t>I</w:t>
            </w:r>
            <w:r w:rsidRPr="00D77C97">
              <w:rPr>
                <w:rFonts w:cs="Arial"/>
              </w:rPr>
              <w:t>ndigenous engagement in NRM planning and delivery</w:t>
            </w:r>
            <w:r>
              <w:rPr>
                <w:rFonts w:cs="Arial"/>
              </w:rPr>
              <w:t xml:space="preserve"> is important for the NRM community but i</w:t>
            </w:r>
            <w:r w:rsidRPr="00425233">
              <w:rPr>
                <w:rFonts w:cs="Arial"/>
              </w:rPr>
              <w:t xml:space="preserve">t </w:t>
            </w:r>
            <w:r>
              <w:rPr>
                <w:rFonts w:cs="Arial"/>
              </w:rPr>
              <w:t>needs</w:t>
            </w:r>
            <w:r w:rsidRPr="00425233">
              <w:rPr>
                <w:rFonts w:cs="Arial"/>
              </w:rPr>
              <w:t xml:space="preserve"> </w:t>
            </w:r>
            <w:r>
              <w:rPr>
                <w:rFonts w:cs="Arial"/>
              </w:rPr>
              <w:t xml:space="preserve">to go beyond ‘consultation’ to be </w:t>
            </w:r>
            <w:r w:rsidRPr="00425233">
              <w:rPr>
                <w:rFonts w:cs="Arial"/>
              </w:rPr>
              <w:t>meaningful</w:t>
            </w:r>
            <w:r>
              <w:rPr>
                <w:rFonts w:cs="Arial"/>
              </w:rPr>
              <w:t>. Mechanisms may include:</w:t>
            </w:r>
            <w:r w:rsidRPr="00425233">
              <w:rPr>
                <w:rFonts w:cs="Arial"/>
              </w:rPr>
              <w:t xml:space="preserve"> </w:t>
            </w:r>
            <w:r>
              <w:rPr>
                <w:rFonts w:cs="Arial"/>
              </w:rPr>
              <w:t>I</w:t>
            </w:r>
            <w:r w:rsidRPr="00425233">
              <w:rPr>
                <w:rFonts w:cs="Arial"/>
              </w:rPr>
              <w:t>ndigenous advisory groups</w:t>
            </w:r>
            <w:r>
              <w:rPr>
                <w:rFonts w:cs="Arial"/>
              </w:rPr>
              <w:t xml:space="preserve"> and</w:t>
            </w:r>
            <w:r w:rsidRPr="00425233">
              <w:rPr>
                <w:rFonts w:cs="Arial"/>
              </w:rPr>
              <w:t xml:space="preserve"> </w:t>
            </w:r>
            <w:r>
              <w:rPr>
                <w:rFonts w:cs="Arial"/>
              </w:rPr>
              <w:t>I</w:t>
            </w:r>
            <w:r w:rsidRPr="00425233">
              <w:rPr>
                <w:rFonts w:cs="Arial"/>
              </w:rPr>
              <w:t xml:space="preserve">ndigenous membership on NRM boards.  </w:t>
            </w:r>
          </w:p>
          <w:p w:rsidR="00146CD9" w:rsidRDefault="00146CD9" w:rsidP="00146CD9">
            <w:pPr>
              <w:pStyle w:val="ListParagraph"/>
              <w:numPr>
                <w:ilvl w:val="0"/>
                <w:numId w:val="17"/>
              </w:numPr>
              <w:spacing w:before="120" w:after="120"/>
              <w:ind w:left="357" w:hanging="357"/>
              <w:rPr>
                <w:rFonts w:cs="Arial"/>
              </w:rPr>
            </w:pPr>
            <w:r>
              <w:rPr>
                <w:rFonts w:cs="Arial"/>
              </w:rPr>
              <w:t xml:space="preserve">Regional NRM organisations could be important brokers and facilitators – building networks, supporting and </w:t>
            </w:r>
            <w:r>
              <w:rPr>
                <w:rFonts w:cs="Arial"/>
              </w:rPr>
              <w:lastRenderedPageBreak/>
              <w:t>coordinating on-ground works, sharing information and building capacity. This role needs developing</w:t>
            </w:r>
            <w:r w:rsidR="008D247F">
              <w:rPr>
                <w:rFonts w:cs="Arial"/>
              </w:rPr>
              <w:t>, including through better linkages with industry and RDC’s</w:t>
            </w:r>
            <w:r>
              <w:rPr>
                <w:rFonts w:cs="Arial"/>
              </w:rPr>
              <w:t>.</w:t>
            </w:r>
          </w:p>
          <w:p w:rsidR="00146CD9" w:rsidRPr="009E48D0" w:rsidRDefault="00146CD9" w:rsidP="00146CD9">
            <w:pPr>
              <w:pStyle w:val="ListParagraph"/>
              <w:numPr>
                <w:ilvl w:val="0"/>
                <w:numId w:val="17"/>
              </w:numPr>
              <w:spacing w:before="120" w:after="120"/>
              <w:ind w:left="357" w:hanging="357"/>
              <w:rPr>
                <w:rFonts w:cs="Arial"/>
              </w:rPr>
            </w:pPr>
            <w:r>
              <w:rPr>
                <w:rFonts w:cs="Arial"/>
              </w:rPr>
              <w:t>Facilitator roles are important for engaging and supporting the community and local groups, building partnerships and establishing or maintaining networks.</w:t>
            </w:r>
          </w:p>
        </w:tc>
        <w:tc>
          <w:tcPr>
            <w:tcW w:w="2968" w:type="pct"/>
          </w:tcPr>
          <w:p w:rsidR="00146CD9" w:rsidRDefault="00146CD9" w:rsidP="00146CD9">
            <w:pPr>
              <w:pStyle w:val="ListBullet"/>
              <w:numPr>
                <w:ilvl w:val="0"/>
                <w:numId w:val="25"/>
              </w:numPr>
              <w:spacing w:before="120" w:after="120"/>
              <w:ind w:left="357" w:hanging="357"/>
            </w:pPr>
            <w:r>
              <w:lastRenderedPageBreak/>
              <w:t>R</w:t>
            </w:r>
            <w:r w:rsidRPr="00E205B1">
              <w:t xml:space="preserve">egional NRM organisations </w:t>
            </w:r>
            <w:r>
              <w:t xml:space="preserve">will have </w:t>
            </w:r>
            <w:r w:rsidRPr="00E205B1">
              <w:t xml:space="preserve">greater </w:t>
            </w:r>
            <w:r>
              <w:t xml:space="preserve">flexibility and </w:t>
            </w:r>
            <w:r w:rsidRPr="00E205B1">
              <w:t>auton</w:t>
            </w:r>
            <w:r>
              <w:t>omy in setting</w:t>
            </w:r>
            <w:r w:rsidRPr="00E205B1">
              <w:t xml:space="preserve"> priorities with the community</w:t>
            </w:r>
            <w:r>
              <w:t xml:space="preserve"> and delivering against their NRM plans</w:t>
            </w:r>
            <w:r w:rsidRPr="00E205B1">
              <w:t>.</w:t>
            </w:r>
            <w:r>
              <w:t xml:space="preserve"> This will allow them to expand how they initiate, develop and support collaborations.</w:t>
            </w:r>
            <w:r w:rsidRPr="00E205B1">
              <w:t xml:space="preserve"> </w:t>
            </w:r>
          </w:p>
          <w:p w:rsidR="00146CD9" w:rsidRPr="00250521" w:rsidRDefault="00146CD9" w:rsidP="00146CD9">
            <w:pPr>
              <w:pStyle w:val="ListBullet"/>
              <w:numPr>
                <w:ilvl w:val="0"/>
                <w:numId w:val="11"/>
              </w:numPr>
              <w:spacing w:before="120" w:after="120"/>
              <w:ind w:left="357" w:hanging="357"/>
            </w:pPr>
            <w:r>
              <w:t xml:space="preserve">Regional NRM organisations will be required to maintain a Regional Landcare Facilitator to build community capacity </w:t>
            </w:r>
            <w:r w:rsidR="008D247F">
              <w:t xml:space="preserve">for sustainable agriculture and environmental management </w:t>
            </w:r>
            <w:r>
              <w:t>and provide a conduit of information for stakeholders to support Landcare and production groups adopt sustainable farm and land management practices to protect Australia’s landscapes.</w:t>
            </w:r>
          </w:p>
          <w:p w:rsidR="00146CD9" w:rsidRPr="00C8075A" w:rsidRDefault="00146CD9" w:rsidP="00146CD9">
            <w:pPr>
              <w:pStyle w:val="ListBullet"/>
              <w:numPr>
                <w:ilvl w:val="0"/>
                <w:numId w:val="12"/>
              </w:numPr>
              <w:spacing w:before="120" w:after="120"/>
              <w:ind w:left="357" w:hanging="357"/>
            </w:pPr>
            <w:r w:rsidRPr="00C8075A">
              <w:t>Regional NRM organisations have a central role in supporting Indigenous people and organisations to participate in the delivery of NRM and contribute to wider economic and social benefits. They can achieve progress in this area through activities such as planning support, utilising and respecting Indigenous ecological knowledge, capacity building and the delivery of on-ground activities including employment and contracting opportunities.</w:t>
            </w:r>
          </w:p>
          <w:p w:rsidR="00146CD9" w:rsidRDefault="00146CD9" w:rsidP="00146CD9">
            <w:pPr>
              <w:pStyle w:val="ListBullet"/>
              <w:numPr>
                <w:ilvl w:val="0"/>
                <w:numId w:val="12"/>
              </w:numPr>
              <w:spacing w:before="120" w:after="120"/>
              <w:ind w:left="357" w:hanging="357"/>
            </w:pPr>
            <w:r>
              <w:t xml:space="preserve">The National Landcare Advisory </w:t>
            </w:r>
            <w:r w:rsidRPr="00A17CE0">
              <w:t>Committee</w:t>
            </w:r>
            <w:r>
              <w:t xml:space="preserve"> includes a prominent Indigenous representative</w:t>
            </w:r>
            <w:r w:rsidRPr="00A17CE0">
              <w:t>.</w:t>
            </w:r>
          </w:p>
          <w:p w:rsidR="00146CD9" w:rsidRPr="00250521" w:rsidRDefault="00146CD9" w:rsidP="0034565A">
            <w:pPr>
              <w:pStyle w:val="ListBullet"/>
              <w:numPr>
                <w:ilvl w:val="0"/>
                <w:numId w:val="12"/>
              </w:numPr>
              <w:spacing w:before="120" w:after="120"/>
              <w:ind w:left="357" w:hanging="357"/>
            </w:pPr>
            <w:r w:rsidRPr="00C8075A">
              <w:t xml:space="preserve">Regional NRM organisations are expected to involve Indigenous people in both the planning and delivery of </w:t>
            </w:r>
            <w:r w:rsidRPr="00C8075A">
              <w:lastRenderedPageBreak/>
              <w:t>all N</w:t>
            </w:r>
            <w:r w:rsidR="0034565A">
              <w:t xml:space="preserve">ational </w:t>
            </w:r>
            <w:r w:rsidRPr="00C8075A">
              <w:t>L</w:t>
            </w:r>
            <w:r w:rsidR="0034565A">
              <w:t xml:space="preserve">andcare </w:t>
            </w:r>
            <w:r w:rsidRPr="00C8075A">
              <w:t>P</w:t>
            </w:r>
            <w:r w:rsidR="0034565A">
              <w:t>rogramme</w:t>
            </w:r>
            <w:r w:rsidRPr="00C8075A">
              <w:t xml:space="preserve"> investment. This will ensure that Indigenous engagement and participation features strongly as an investment, project and employment outcome for the N</w:t>
            </w:r>
            <w:r w:rsidR="0034565A">
              <w:t>ational Landcare Programme</w:t>
            </w:r>
            <w:r w:rsidRPr="00C8075A">
              <w:t>. Regional NRM organisations should investigate and identify opportunities in conjunction with Indigenous communities and either include these as a part of their projects or provide a satisfactory reason for not doing so.</w:t>
            </w:r>
          </w:p>
        </w:tc>
      </w:tr>
    </w:tbl>
    <w:p w:rsidR="005C2051" w:rsidRDefault="005C2051" w:rsidP="007A3B40">
      <w:pPr>
        <w:spacing w:after="0"/>
        <w:rPr>
          <w:b/>
          <w:i/>
        </w:rPr>
      </w:pPr>
    </w:p>
    <w:p w:rsidR="00146CD9" w:rsidRDefault="00146CD9" w:rsidP="00D94798">
      <w:pPr>
        <w:spacing w:afterLines="100"/>
        <w:rPr>
          <w:b/>
          <w:i/>
        </w:rPr>
      </w:pPr>
      <w:r>
        <w:rPr>
          <w:b/>
          <w:i/>
        </w:rPr>
        <w:t>Supporting local delivery</w:t>
      </w:r>
    </w:p>
    <w:tbl>
      <w:tblPr>
        <w:tblStyle w:val="TableGrid"/>
        <w:tblW w:w="10031" w:type="dxa"/>
        <w:tblLook w:val="04A0"/>
      </w:tblPr>
      <w:tblGrid>
        <w:gridCol w:w="4077"/>
        <w:gridCol w:w="5954"/>
      </w:tblGrid>
      <w:tr w:rsidR="00146CD9" w:rsidRPr="00201C07" w:rsidTr="00BF4EB3">
        <w:trPr>
          <w:tblHeader/>
        </w:trPr>
        <w:tc>
          <w:tcPr>
            <w:tcW w:w="4077" w:type="dxa"/>
          </w:tcPr>
          <w:p w:rsidR="00146CD9" w:rsidRPr="002E55CE" w:rsidRDefault="00146CD9" w:rsidP="00863F27">
            <w:pPr>
              <w:spacing w:before="120" w:after="120"/>
              <w:rPr>
                <w:rFonts w:cs="Arial"/>
                <w:b/>
              </w:rPr>
            </w:pPr>
            <w:r>
              <w:rPr>
                <w:rFonts w:cs="Arial"/>
                <w:b/>
              </w:rPr>
              <w:t>Feedback</w:t>
            </w:r>
          </w:p>
        </w:tc>
        <w:tc>
          <w:tcPr>
            <w:tcW w:w="5954" w:type="dxa"/>
          </w:tcPr>
          <w:p w:rsidR="00146CD9" w:rsidRPr="002E55CE" w:rsidRDefault="00146CD9" w:rsidP="00863F27">
            <w:pPr>
              <w:spacing w:before="120" w:after="120"/>
              <w:rPr>
                <w:rFonts w:cs="Arial"/>
                <w:b/>
              </w:rPr>
            </w:pPr>
            <w:r>
              <w:rPr>
                <w:rFonts w:cs="Arial"/>
                <w:b/>
              </w:rPr>
              <w:t>Design Improvements</w:t>
            </w:r>
          </w:p>
        </w:tc>
      </w:tr>
      <w:tr w:rsidR="00146CD9" w:rsidRPr="00201C07" w:rsidTr="00BF4EB3">
        <w:tc>
          <w:tcPr>
            <w:tcW w:w="4077" w:type="dxa"/>
          </w:tcPr>
          <w:p w:rsidR="00146CD9" w:rsidRDefault="00146CD9" w:rsidP="00146CD9">
            <w:pPr>
              <w:pStyle w:val="ListParagraph"/>
              <w:numPr>
                <w:ilvl w:val="0"/>
                <w:numId w:val="12"/>
              </w:numPr>
              <w:spacing w:before="120" w:after="120"/>
              <w:ind w:left="357" w:hanging="357"/>
              <w:rPr>
                <w:rFonts w:cs="Arial"/>
              </w:rPr>
            </w:pPr>
            <w:r>
              <w:rPr>
                <w:rFonts w:cs="Arial"/>
              </w:rPr>
              <w:t xml:space="preserve">Direct funding to community, including </w:t>
            </w:r>
            <w:proofErr w:type="spellStart"/>
            <w:r>
              <w:rPr>
                <w:rFonts w:cs="Arial"/>
              </w:rPr>
              <w:t>landcare</w:t>
            </w:r>
            <w:proofErr w:type="spellEnd"/>
            <w:r>
              <w:rPr>
                <w:rFonts w:cs="Arial"/>
              </w:rPr>
              <w:t xml:space="preserve"> </w:t>
            </w:r>
            <w:r w:rsidR="00F77109">
              <w:rPr>
                <w:rFonts w:cs="Arial"/>
              </w:rPr>
              <w:t xml:space="preserve">and farming </w:t>
            </w:r>
            <w:r>
              <w:rPr>
                <w:rFonts w:cs="Arial"/>
              </w:rPr>
              <w:t>groups, is important. It allows groups to do what they do best – deliver on-ground works that engage, and are meaningful to, the community.</w:t>
            </w:r>
          </w:p>
          <w:p w:rsidR="00146CD9" w:rsidRPr="00051072" w:rsidRDefault="00146CD9" w:rsidP="00146CD9">
            <w:pPr>
              <w:pStyle w:val="ListParagraph"/>
              <w:numPr>
                <w:ilvl w:val="0"/>
                <w:numId w:val="12"/>
              </w:numPr>
              <w:spacing w:before="120" w:after="120"/>
              <w:ind w:left="357" w:hanging="357"/>
              <w:rPr>
                <w:rFonts w:cs="Arial"/>
              </w:rPr>
            </w:pPr>
            <w:r>
              <w:rPr>
                <w:rFonts w:cs="Arial"/>
              </w:rPr>
              <w:t>Volunteer ‘burn out’ i</w:t>
            </w:r>
            <w:r w:rsidRPr="00201C07">
              <w:rPr>
                <w:rFonts w:cs="Arial"/>
              </w:rPr>
              <w:t>s a constant challenge</w:t>
            </w:r>
            <w:r>
              <w:rPr>
                <w:rFonts w:cs="Arial"/>
              </w:rPr>
              <w:t xml:space="preserve"> and </w:t>
            </w:r>
            <w:r>
              <w:t>L</w:t>
            </w:r>
            <w:r w:rsidRPr="00FF13D7">
              <w:t>andcare and other community grou</w:t>
            </w:r>
            <w:r>
              <w:t>ps and individuals need support to effectively</w:t>
            </w:r>
            <w:r w:rsidRPr="00FF13D7">
              <w:t xml:space="preserve"> deliver</w:t>
            </w:r>
            <w:r>
              <w:t xml:space="preserve"> on-ground works and to contribute to</w:t>
            </w:r>
            <w:r w:rsidRPr="00FF13D7">
              <w:t xml:space="preserve"> regional NRM planning and delivery.</w:t>
            </w:r>
            <w:r>
              <w:t xml:space="preserve"> This may include access to </w:t>
            </w:r>
            <w:r w:rsidRPr="00FF13D7">
              <w:t>information, funding, other resources</w:t>
            </w:r>
            <w:r>
              <w:t>, as well as</w:t>
            </w:r>
            <w:r w:rsidRPr="00FF13D7">
              <w:t xml:space="preserve"> capa</w:t>
            </w:r>
            <w:r>
              <w:t>city building.</w:t>
            </w:r>
          </w:p>
          <w:p w:rsidR="00146CD9" w:rsidRPr="00E05B8F" w:rsidRDefault="00146CD9" w:rsidP="00863F27">
            <w:pPr>
              <w:pStyle w:val="ListParagraph"/>
              <w:numPr>
                <w:ilvl w:val="0"/>
                <w:numId w:val="0"/>
              </w:numPr>
              <w:spacing w:before="120" w:after="120"/>
              <w:ind w:left="357"/>
              <w:rPr>
                <w:rFonts w:cs="Arial"/>
              </w:rPr>
            </w:pPr>
          </w:p>
        </w:tc>
        <w:tc>
          <w:tcPr>
            <w:tcW w:w="5954" w:type="dxa"/>
          </w:tcPr>
          <w:p w:rsidR="00146CD9" w:rsidRDefault="00146CD9" w:rsidP="00146CD9">
            <w:pPr>
              <w:numPr>
                <w:ilvl w:val="0"/>
                <w:numId w:val="11"/>
              </w:numPr>
              <w:spacing w:before="120" w:after="120"/>
              <w:ind w:left="360"/>
              <w:rPr>
                <w:rFonts w:cs="Arial"/>
              </w:rPr>
            </w:pPr>
            <w:r>
              <w:rPr>
                <w:rFonts w:cs="Arial"/>
              </w:rPr>
              <w:t xml:space="preserve">Under the Regional </w:t>
            </w:r>
            <w:r w:rsidR="0034565A">
              <w:rPr>
                <w:rFonts w:cs="Arial"/>
              </w:rPr>
              <w:t>S</w:t>
            </w:r>
            <w:r>
              <w:rPr>
                <w:rFonts w:cs="Arial"/>
              </w:rPr>
              <w:t xml:space="preserve">tream, regional NRM organisations will be required to invest a minimum of 20% of their annual regional allocations in projects delivered by, or directly engage with, the community. </w:t>
            </w:r>
          </w:p>
          <w:p w:rsidR="00146CD9" w:rsidRDefault="00146CD9" w:rsidP="00146CD9">
            <w:pPr>
              <w:pStyle w:val="ListBullet"/>
              <w:numPr>
                <w:ilvl w:val="0"/>
                <w:numId w:val="17"/>
              </w:numPr>
              <w:spacing w:before="120" w:after="120"/>
            </w:pPr>
            <w:r>
              <w:t>The Australian Government has committed</w:t>
            </w:r>
            <w:r w:rsidRPr="001B3FD0">
              <w:t xml:space="preserve"> $1</w:t>
            </w:r>
            <w:r>
              <w:t> </w:t>
            </w:r>
            <w:r w:rsidRPr="001B3FD0">
              <w:t xml:space="preserve">million </w:t>
            </w:r>
            <w:r>
              <w:t>per annum</w:t>
            </w:r>
            <w:r w:rsidRPr="001B3FD0">
              <w:t xml:space="preserve"> for state, territory and national Landcare networks to build network capacity, share knowledge and deliver projects, involve groups in Australian Government programmes and strengthen links between NRM organisations and Landcare networks.</w:t>
            </w:r>
          </w:p>
          <w:p w:rsidR="00146CD9" w:rsidRPr="007A3B40" w:rsidRDefault="00146CD9" w:rsidP="00146CD9">
            <w:pPr>
              <w:numPr>
                <w:ilvl w:val="0"/>
                <w:numId w:val="11"/>
              </w:numPr>
              <w:spacing w:before="120" w:after="120"/>
              <w:ind w:left="360"/>
              <w:rPr>
                <w:rFonts w:cs="Arial"/>
                <w:b/>
              </w:rPr>
            </w:pPr>
            <w:r>
              <w:t>Under the 25th Anniversary Landcare Grants 2014</w:t>
            </w:r>
            <w:r>
              <w:noBreakHyphen/>
              <w:t>15, a total of up to $5 million (GST exclusive) will be available in 2014-15 for community groups to undertake local projects that contribute to environmental or NRM outcomes in the national interest.</w:t>
            </w:r>
          </w:p>
          <w:p w:rsidR="007A3B40" w:rsidRPr="007A3B40" w:rsidRDefault="007A3B40" w:rsidP="007A3B40">
            <w:pPr>
              <w:numPr>
                <w:ilvl w:val="0"/>
                <w:numId w:val="11"/>
              </w:numPr>
              <w:spacing w:before="120" w:after="120"/>
              <w:ind w:left="360"/>
              <w:rPr>
                <w:rFonts w:cs="Arial"/>
              </w:rPr>
            </w:pPr>
            <w:r w:rsidRPr="007A3B40">
              <w:rPr>
                <w:rFonts w:cs="Arial"/>
              </w:rPr>
              <w:t xml:space="preserve">The Green Army is a separate, but complementary programme to the National Landcare Programme. It will provide 17-24 year olds with valuable NRM experience and an opportunity to work alongside and learn from experienced NRM practitioners, including the </w:t>
            </w:r>
            <w:proofErr w:type="spellStart"/>
            <w:r w:rsidRPr="007A3B40">
              <w:rPr>
                <w:rFonts w:cs="Arial"/>
              </w:rPr>
              <w:t>landcare</w:t>
            </w:r>
            <w:proofErr w:type="spellEnd"/>
            <w:r w:rsidRPr="007A3B40">
              <w:rPr>
                <w:rFonts w:cs="Arial"/>
              </w:rPr>
              <w:t xml:space="preserve"> community - helping to develop the next generation of </w:t>
            </w:r>
            <w:proofErr w:type="spellStart"/>
            <w:r w:rsidRPr="007A3B40">
              <w:rPr>
                <w:rFonts w:cs="Arial"/>
              </w:rPr>
              <w:t>landcarers</w:t>
            </w:r>
            <w:proofErr w:type="spellEnd"/>
            <w:r w:rsidRPr="007A3B40">
              <w:rPr>
                <w:rFonts w:cs="Arial"/>
              </w:rPr>
              <w:t xml:space="preserve">. </w:t>
            </w:r>
          </w:p>
        </w:tc>
      </w:tr>
    </w:tbl>
    <w:p w:rsidR="00146CD9" w:rsidRDefault="00146CD9" w:rsidP="00146CD9">
      <w:pPr>
        <w:spacing w:after="0" w:line="240" w:lineRule="auto"/>
        <w:rPr>
          <w:b/>
          <w:i/>
        </w:rPr>
      </w:pPr>
    </w:p>
    <w:p w:rsidR="00146CD9" w:rsidRDefault="00146CD9" w:rsidP="00D94798">
      <w:pPr>
        <w:spacing w:afterLines="100"/>
        <w:rPr>
          <w:b/>
          <w:i/>
        </w:rPr>
      </w:pPr>
      <w:r>
        <w:rPr>
          <w:b/>
          <w:i/>
        </w:rPr>
        <w:t xml:space="preserve">Performance and reporting </w:t>
      </w:r>
    </w:p>
    <w:tbl>
      <w:tblPr>
        <w:tblStyle w:val="TableGrid"/>
        <w:tblW w:w="10031" w:type="dxa"/>
        <w:tblLook w:val="04A0"/>
      </w:tblPr>
      <w:tblGrid>
        <w:gridCol w:w="4077"/>
        <w:gridCol w:w="5954"/>
      </w:tblGrid>
      <w:tr w:rsidR="00146CD9" w:rsidRPr="002E55CE" w:rsidTr="00BF4EB3">
        <w:trPr>
          <w:tblHeader/>
        </w:trPr>
        <w:tc>
          <w:tcPr>
            <w:tcW w:w="4077" w:type="dxa"/>
          </w:tcPr>
          <w:p w:rsidR="00146CD9" w:rsidRPr="002E55CE" w:rsidRDefault="00146CD9" w:rsidP="00863F27">
            <w:pPr>
              <w:spacing w:before="120" w:after="120"/>
              <w:rPr>
                <w:rFonts w:cs="Arial"/>
                <w:b/>
              </w:rPr>
            </w:pPr>
            <w:r>
              <w:rPr>
                <w:rFonts w:cs="Arial"/>
                <w:b/>
              </w:rPr>
              <w:t>Feedback</w:t>
            </w:r>
          </w:p>
        </w:tc>
        <w:tc>
          <w:tcPr>
            <w:tcW w:w="5954" w:type="dxa"/>
          </w:tcPr>
          <w:p w:rsidR="00146CD9" w:rsidRPr="002E55CE" w:rsidRDefault="00146CD9" w:rsidP="00863F27">
            <w:pPr>
              <w:spacing w:before="120" w:after="120"/>
              <w:rPr>
                <w:rFonts w:cs="Arial"/>
                <w:b/>
              </w:rPr>
            </w:pPr>
            <w:r>
              <w:rPr>
                <w:rFonts w:cs="Arial"/>
                <w:b/>
              </w:rPr>
              <w:t>Design Improvements</w:t>
            </w:r>
          </w:p>
        </w:tc>
      </w:tr>
      <w:tr w:rsidR="00146CD9" w:rsidRPr="002E55CE" w:rsidTr="00BF4EB3">
        <w:tc>
          <w:tcPr>
            <w:tcW w:w="4077" w:type="dxa"/>
          </w:tcPr>
          <w:p w:rsidR="00146CD9" w:rsidRPr="00C8075A" w:rsidRDefault="00146CD9" w:rsidP="00146CD9">
            <w:pPr>
              <w:pStyle w:val="ListBullet"/>
              <w:numPr>
                <w:ilvl w:val="0"/>
                <w:numId w:val="31"/>
              </w:numPr>
              <w:spacing w:before="120" w:after="120"/>
            </w:pPr>
            <w:r w:rsidRPr="00C8075A">
              <w:t xml:space="preserve">Reporting and application processes should be as simple as possible but it is essential to </w:t>
            </w:r>
            <w:r w:rsidRPr="00C8075A">
              <w:lastRenderedPageBreak/>
              <w:t xml:space="preserve">capture </w:t>
            </w:r>
            <w:r w:rsidR="00F77109">
              <w:t xml:space="preserve">practice change and </w:t>
            </w:r>
            <w:r w:rsidRPr="00C8075A">
              <w:t xml:space="preserve">environmental outcomes to measure change and assess the efficacy of NRM interventions. Capturing outcomes is also essential for promoting the ‘value’ of NRM investment and engaging the community. </w:t>
            </w:r>
          </w:p>
          <w:p w:rsidR="00146CD9" w:rsidRPr="00C8075A" w:rsidRDefault="00146CD9" w:rsidP="00146CD9">
            <w:pPr>
              <w:pStyle w:val="ListBullet"/>
              <w:numPr>
                <w:ilvl w:val="0"/>
                <w:numId w:val="31"/>
              </w:numPr>
              <w:spacing w:before="120" w:after="120"/>
            </w:pPr>
            <w:r w:rsidRPr="00C8075A">
              <w:t xml:space="preserve">The performance of an NRM organisation should be measured against their ability to: achieve measurable, on-ground environmental </w:t>
            </w:r>
            <w:r w:rsidR="00F77109">
              <w:t xml:space="preserve">and sustainable agriculture </w:t>
            </w:r>
            <w:r w:rsidRPr="00C8075A">
              <w:t>outcomes; engage the community; effect practice change</w:t>
            </w:r>
            <w:r w:rsidR="008D247F">
              <w:t xml:space="preserve"> to achieve natural resource outcomes</w:t>
            </w:r>
            <w:r w:rsidRPr="00C8075A">
              <w:t xml:space="preserve">; and increase awareness. These should be articulated in NRM plans and reported in a way that the community can see progress. </w:t>
            </w:r>
          </w:p>
          <w:p w:rsidR="00146CD9" w:rsidRPr="00C8075A" w:rsidRDefault="00146CD9" w:rsidP="00146CD9">
            <w:pPr>
              <w:pStyle w:val="ListBullet"/>
              <w:numPr>
                <w:ilvl w:val="0"/>
                <w:numId w:val="31"/>
              </w:numPr>
              <w:spacing w:before="120" w:after="120"/>
            </w:pPr>
            <w:r w:rsidRPr="00C8075A">
              <w:t>Independent checks, audits and environmental monitoring are important.</w:t>
            </w:r>
          </w:p>
        </w:tc>
        <w:tc>
          <w:tcPr>
            <w:tcW w:w="5954" w:type="dxa"/>
          </w:tcPr>
          <w:p w:rsidR="00146CD9" w:rsidRPr="00C8075A" w:rsidRDefault="00146CD9" w:rsidP="00146CD9">
            <w:pPr>
              <w:pStyle w:val="ListBullet"/>
              <w:numPr>
                <w:ilvl w:val="0"/>
                <w:numId w:val="14"/>
              </w:numPr>
              <w:spacing w:before="120" w:after="120"/>
              <w:ind w:left="357" w:hanging="357"/>
            </w:pPr>
            <w:r w:rsidRPr="00C8075A">
              <w:lastRenderedPageBreak/>
              <w:t xml:space="preserve">Regional NRM organisations will be accountable for </w:t>
            </w:r>
            <w:r>
              <w:t>delivering</w:t>
            </w:r>
            <w:r w:rsidRPr="00C8075A">
              <w:t xml:space="preserve"> outcomes </w:t>
            </w:r>
            <w:r>
              <w:t xml:space="preserve">in the national interest based on priorities arising from </w:t>
            </w:r>
            <w:r w:rsidRPr="00C8075A">
              <w:t xml:space="preserve">their </w:t>
            </w:r>
            <w:r>
              <w:t xml:space="preserve">regional </w:t>
            </w:r>
            <w:r w:rsidRPr="00C8075A">
              <w:t>NRM plans.</w:t>
            </w:r>
          </w:p>
          <w:p w:rsidR="00146CD9" w:rsidRPr="00C8075A" w:rsidRDefault="00146CD9" w:rsidP="00146CD9">
            <w:pPr>
              <w:pStyle w:val="ListBullet"/>
              <w:numPr>
                <w:ilvl w:val="0"/>
                <w:numId w:val="14"/>
              </w:numPr>
              <w:spacing w:before="120" w:after="120"/>
              <w:ind w:left="357" w:hanging="357"/>
            </w:pPr>
            <w:r w:rsidRPr="00C8075A">
              <w:rPr>
                <w:rFonts w:cs="Arial"/>
              </w:rPr>
              <w:lastRenderedPageBreak/>
              <w:t>A set of clear and auditable performance expectations will be established, with both project and organisational performance indicators and an emphasis on assessing the strength of community engagement. The performance expectations will be a key quality assurance and risk management tool for the programme.</w:t>
            </w:r>
          </w:p>
          <w:p w:rsidR="00146CD9" w:rsidRPr="00C8075A" w:rsidRDefault="00146CD9" w:rsidP="00146CD9">
            <w:pPr>
              <w:pStyle w:val="ListBullet"/>
              <w:numPr>
                <w:ilvl w:val="0"/>
                <w:numId w:val="14"/>
              </w:numPr>
              <w:spacing w:before="120" w:after="120"/>
              <w:ind w:left="357" w:hanging="357"/>
            </w:pPr>
            <w:r w:rsidRPr="00C8075A">
              <w:t xml:space="preserve">Regional NRM organisations will undertake an annual self assessment of their capacity against the performance expectations of: </w:t>
            </w:r>
          </w:p>
          <w:p w:rsidR="00146CD9" w:rsidRPr="00C8075A" w:rsidRDefault="00146CD9" w:rsidP="00146CD9">
            <w:pPr>
              <w:pStyle w:val="ListBullet"/>
              <w:numPr>
                <w:ilvl w:val="0"/>
                <w:numId w:val="39"/>
              </w:numPr>
              <w:spacing w:after="0"/>
            </w:pPr>
            <w:r w:rsidRPr="00C8075A">
              <w:t>financial governance;</w:t>
            </w:r>
          </w:p>
          <w:p w:rsidR="00146CD9" w:rsidRPr="00C8075A" w:rsidRDefault="00146CD9" w:rsidP="00146CD9">
            <w:pPr>
              <w:pStyle w:val="ListBullet"/>
              <w:numPr>
                <w:ilvl w:val="0"/>
                <w:numId w:val="39"/>
              </w:numPr>
              <w:spacing w:after="0"/>
            </w:pPr>
            <w:r w:rsidRPr="00C8075A">
              <w:t>organisational governance;</w:t>
            </w:r>
          </w:p>
          <w:p w:rsidR="00146CD9" w:rsidRDefault="00146CD9" w:rsidP="00146CD9">
            <w:pPr>
              <w:pStyle w:val="ListBullet"/>
              <w:numPr>
                <w:ilvl w:val="0"/>
                <w:numId w:val="39"/>
              </w:numPr>
              <w:spacing w:after="0"/>
            </w:pPr>
            <w:r w:rsidRPr="00C8075A">
              <w:t>regional NRM planning;</w:t>
            </w:r>
          </w:p>
          <w:p w:rsidR="00146CD9" w:rsidRDefault="00146CD9" w:rsidP="00146CD9">
            <w:pPr>
              <w:pStyle w:val="ListBullet"/>
              <w:numPr>
                <w:ilvl w:val="0"/>
                <w:numId w:val="39"/>
              </w:numPr>
              <w:spacing w:after="0"/>
            </w:pPr>
            <w:r w:rsidRPr="00C8075A">
              <w:t xml:space="preserve">community engagement; and </w:t>
            </w:r>
          </w:p>
          <w:p w:rsidR="00146CD9" w:rsidRPr="00C8075A" w:rsidRDefault="00146CD9" w:rsidP="00146CD9">
            <w:pPr>
              <w:pStyle w:val="ListBullet"/>
              <w:numPr>
                <w:ilvl w:val="0"/>
                <w:numId w:val="39"/>
              </w:numPr>
              <w:spacing w:after="0"/>
            </w:pPr>
            <w:proofErr w:type="gramStart"/>
            <w:r w:rsidRPr="00C8075A">
              <w:t>monitoring</w:t>
            </w:r>
            <w:proofErr w:type="gramEnd"/>
            <w:r w:rsidRPr="00C8075A">
              <w:t xml:space="preserve"> and reporting. </w:t>
            </w:r>
          </w:p>
          <w:p w:rsidR="00146CD9" w:rsidRPr="00C8075A" w:rsidRDefault="00146CD9" w:rsidP="00146CD9">
            <w:pPr>
              <w:pStyle w:val="ListBullet"/>
              <w:numPr>
                <w:ilvl w:val="0"/>
                <w:numId w:val="14"/>
              </w:numPr>
              <w:spacing w:before="120" w:after="120"/>
            </w:pPr>
            <w:r w:rsidRPr="00C8075A">
              <w:rPr>
                <w:lang w:eastAsia="en-AU"/>
              </w:rPr>
              <w:t>Regional NRM organisations are encouraged to consult with their stakeholders in undertaking their self-assessment. Best practice would be to consult widely in completing the self-assessment.</w:t>
            </w:r>
          </w:p>
          <w:p w:rsidR="00146CD9" w:rsidRPr="00C8075A" w:rsidRDefault="00146CD9" w:rsidP="00146CD9">
            <w:pPr>
              <w:pStyle w:val="ListBullet"/>
              <w:numPr>
                <w:ilvl w:val="0"/>
                <w:numId w:val="14"/>
              </w:numPr>
              <w:spacing w:before="120" w:after="120"/>
            </w:pPr>
            <w:r w:rsidRPr="00C8075A">
              <w:t>A rolling programme of detailed reviews will be implemented</w:t>
            </w:r>
            <w:r>
              <w:t xml:space="preserve"> by the Australian Government</w:t>
            </w:r>
            <w:r w:rsidRPr="00C8075A">
              <w:t>, including testing the self assessment with third parties.</w:t>
            </w:r>
            <w:r w:rsidRPr="00C8075A">
              <w:rPr>
                <w:rFonts w:ascii="Times New Roman" w:eastAsia="Times New Roman" w:hAnsi="Times New Roman" w:cs="Arial"/>
                <w:sz w:val="24"/>
                <w:szCs w:val="20"/>
              </w:rPr>
              <w:t xml:space="preserve"> </w:t>
            </w:r>
          </w:p>
          <w:p w:rsidR="00146CD9" w:rsidRPr="00C8075A" w:rsidRDefault="00146CD9" w:rsidP="0034565A">
            <w:pPr>
              <w:pStyle w:val="ListBullet"/>
              <w:numPr>
                <w:ilvl w:val="0"/>
                <w:numId w:val="14"/>
              </w:numPr>
              <w:spacing w:before="120" w:after="120"/>
            </w:pPr>
            <w:r w:rsidRPr="00C8075A">
              <w:t xml:space="preserve">Reporting </w:t>
            </w:r>
            <w:r w:rsidR="0034565A">
              <w:t>under the Regional Stream</w:t>
            </w:r>
            <w:r w:rsidRPr="00C8075A">
              <w:t xml:space="preserve"> will be simpler and more streamlined. Regional NRM organisations will use </w:t>
            </w:r>
            <w:r>
              <w:t xml:space="preserve">the </w:t>
            </w:r>
            <w:r w:rsidR="005471C9">
              <w:t>MERIT</w:t>
            </w:r>
            <w:r w:rsidRPr="00545315">
              <w:t xml:space="preserve"> online reporting tool</w:t>
            </w:r>
            <w:r w:rsidRPr="00C8075A">
              <w:t xml:space="preserve"> to report environmental and natural resource management data, information and project achievements. </w:t>
            </w:r>
            <w:r w:rsidRPr="00C8075A">
              <w:rPr>
                <w:rFonts w:cs="Arial"/>
              </w:rPr>
              <w:t>The Australian Government will closely monitor reporting and ensure strong compliance.</w:t>
            </w:r>
          </w:p>
        </w:tc>
      </w:tr>
    </w:tbl>
    <w:p w:rsidR="00146CD9" w:rsidRDefault="00146CD9" w:rsidP="00146CD9"/>
    <w:p w:rsidR="00146CD9" w:rsidRDefault="00146CD9" w:rsidP="00146CD9">
      <w:pPr>
        <w:rPr>
          <w:b/>
        </w:rPr>
      </w:pPr>
      <w:r>
        <w:rPr>
          <w:b/>
        </w:rPr>
        <w:t>5. Outcomes from the consultation</w:t>
      </w:r>
    </w:p>
    <w:p w:rsidR="00146CD9" w:rsidRPr="005F47D1" w:rsidRDefault="00146CD9" w:rsidP="00146CD9">
      <w:r w:rsidRPr="005F47D1">
        <w:t xml:space="preserve">The Australian Government received considerable input to the National Landcare Programme public consultation. This feedback has significantly informed the design of the Regional Stream of the Programme and instigated a number of positive reforms to strengthen the Programme and put </w:t>
      </w:r>
      <w:proofErr w:type="spellStart"/>
      <w:r w:rsidRPr="005F47D1">
        <w:t>landcare</w:t>
      </w:r>
      <w:proofErr w:type="spellEnd"/>
      <w:r w:rsidRPr="005F47D1">
        <w:t xml:space="preserve"> back at the centre of land management. </w:t>
      </w:r>
    </w:p>
    <w:p w:rsidR="00146CD9" w:rsidRPr="005F47D1" w:rsidRDefault="00146CD9" w:rsidP="00146CD9">
      <w:r w:rsidRPr="005F47D1">
        <w:t xml:space="preserve">Regional NRM organisations will continue to be key delivery agents for regional investment under the National Landcare Programme. Although there are always improvements to be made, these organisations are instrumental to sustainably managing Australian landscapes and conserving our natural assets. They are also central to the NRM infrastructure; bringing the NRM community together, working across governments and creating links with industry. Importantly too, they will provide essential support to local efforts; informing landholders of sustainable land management, building capacity of local </w:t>
      </w:r>
      <w:proofErr w:type="spellStart"/>
      <w:r w:rsidRPr="005F47D1">
        <w:t>landcare</w:t>
      </w:r>
      <w:proofErr w:type="spellEnd"/>
      <w:r w:rsidRPr="005F47D1">
        <w:t xml:space="preserve"> and other community groups, supporting partnerships and networks and sharing lessons learned. </w:t>
      </w:r>
    </w:p>
    <w:p w:rsidR="00146CD9" w:rsidRPr="006B658A" w:rsidRDefault="00146CD9" w:rsidP="00146CD9">
      <w:r w:rsidRPr="005F47D1">
        <w:t>The reforms to the Regional Stream of the National Landcare Programme will continue the journey to building a best practice NRM sector.</w:t>
      </w:r>
    </w:p>
    <w:sectPr w:rsidR="00146CD9" w:rsidRPr="006B658A" w:rsidSect="00EC0165">
      <w:headerReference w:type="even" r:id="rId17"/>
      <w:footerReference w:type="default" r:id="rId18"/>
      <w:pgSz w:w="11906" w:h="16838"/>
      <w:pgMar w:top="851" w:right="1134" w:bottom="567" w:left="1134"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40" w:rsidRDefault="007A3B40" w:rsidP="00EE1428">
      <w:pPr>
        <w:spacing w:after="0" w:line="240" w:lineRule="auto"/>
      </w:pPr>
      <w:r>
        <w:separator/>
      </w:r>
    </w:p>
  </w:endnote>
  <w:endnote w:type="continuationSeparator" w:id="0">
    <w:p w:rsidR="007A3B40" w:rsidRDefault="007A3B40" w:rsidP="00EE1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7A3B40" w:rsidRDefault="007F3365">
        <w:pPr>
          <w:pStyle w:val="Footer"/>
          <w:jc w:val="center"/>
        </w:pPr>
        <w:fldSimple w:instr=" PAGE   \* MERGEFORMAT ">
          <w:r w:rsidR="00D94798">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40" w:rsidRDefault="007A3B40" w:rsidP="00EE1428">
      <w:pPr>
        <w:spacing w:after="0" w:line="240" w:lineRule="auto"/>
      </w:pPr>
      <w:r>
        <w:separator/>
      </w:r>
    </w:p>
  </w:footnote>
  <w:footnote w:type="continuationSeparator" w:id="0">
    <w:p w:rsidR="007A3B40" w:rsidRDefault="007A3B40" w:rsidP="00EE1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40" w:rsidRDefault="007F3365" w:rsidP="000E63EF">
    <w:pPr>
      <w:pStyle w:val="Classification"/>
    </w:pPr>
    <w:fldSimple w:instr=" DOCPROPERTY SecurityClassification \* MERGEFORMAT ">
      <w:r w:rsidR="007A3B40" w:rsidRPr="005F47D1">
        <w:rPr>
          <w:b/>
          <w:bCs/>
          <w:lang w:val="en-US"/>
        </w:rPr>
        <w:t xml:space="preserve">UNCLASSIFIED  </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7A359C"/>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09C0FCE"/>
    <w:multiLevelType w:val="hybridMultilevel"/>
    <w:tmpl w:val="06543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6E0886"/>
    <w:multiLevelType w:val="hybridMultilevel"/>
    <w:tmpl w:val="66FAD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4DF7F06"/>
    <w:multiLevelType w:val="hybridMultilevel"/>
    <w:tmpl w:val="2A9C2678"/>
    <w:lvl w:ilvl="0" w:tplc="2AA2EEC8">
      <w:start w:val="1"/>
      <w:numFmt w:val="upperRoman"/>
      <w:lvlText w:val="%1."/>
      <w:lvlJc w:val="righ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5B826D7"/>
    <w:multiLevelType w:val="hybridMultilevel"/>
    <w:tmpl w:val="FA82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7AB5EC8"/>
    <w:multiLevelType w:val="hybridMultilevel"/>
    <w:tmpl w:val="D1DED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BA314E1"/>
    <w:multiLevelType w:val="hybridMultilevel"/>
    <w:tmpl w:val="6016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9552ED"/>
    <w:multiLevelType w:val="singleLevel"/>
    <w:tmpl w:val="0C090001"/>
    <w:lvl w:ilvl="0">
      <w:start w:val="1"/>
      <w:numFmt w:val="bullet"/>
      <w:pStyle w:val="ListBullet5"/>
      <w:lvlText w:val=""/>
      <w:lvlJc w:val="left"/>
      <w:pPr>
        <w:ind w:left="369" w:hanging="369"/>
      </w:pPr>
      <w:rPr>
        <w:rFonts w:ascii="Symbol" w:hAnsi="Symbol" w:hint="default"/>
      </w:rPr>
    </w:lvl>
  </w:abstractNum>
  <w:abstractNum w:abstractNumId="9">
    <w:nsid w:val="0F0D206C"/>
    <w:multiLevelType w:val="hybridMultilevel"/>
    <w:tmpl w:val="DEDAD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29F0005"/>
    <w:multiLevelType w:val="hybridMultilevel"/>
    <w:tmpl w:val="DCAE8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7A002B1"/>
    <w:multiLevelType w:val="hybridMultilevel"/>
    <w:tmpl w:val="FD40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003C79"/>
    <w:multiLevelType w:val="hybridMultilevel"/>
    <w:tmpl w:val="B0765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7937E9"/>
    <w:multiLevelType w:val="hybridMultilevel"/>
    <w:tmpl w:val="5B1CB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714767F"/>
    <w:multiLevelType w:val="hybridMultilevel"/>
    <w:tmpl w:val="F04AD04E"/>
    <w:lvl w:ilvl="0" w:tplc="71368312">
      <w:numFmt w:val="bullet"/>
      <w:lvlText w:val="-"/>
      <w:lvlJc w:val="left"/>
      <w:pPr>
        <w:ind w:left="360" w:hanging="360"/>
      </w:pPr>
      <w:rPr>
        <w:rFonts w:ascii="Times" w:eastAsia="Times New Roman" w:hAnsi="Times" w:cs="Time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E8676CA"/>
    <w:multiLevelType w:val="hybridMultilevel"/>
    <w:tmpl w:val="85C2E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2E2CF3"/>
    <w:multiLevelType w:val="hybridMultilevel"/>
    <w:tmpl w:val="49D614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0816EC4"/>
    <w:multiLevelType w:val="hybridMultilevel"/>
    <w:tmpl w:val="24F89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08221B7"/>
    <w:multiLevelType w:val="hybridMultilevel"/>
    <w:tmpl w:val="212CFF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8EB525F"/>
    <w:multiLevelType w:val="hybridMultilevel"/>
    <w:tmpl w:val="A99C4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47626E0"/>
    <w:multiLevelType w:val="hybridMultilevel"/>
    <w:tmpl w:val="3E2435D2"/>
    <w:lvl w:ilvl="0" w:tplc="1CECCA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9C24F9C"/>
    <w:multiLevelType w:val="hybridMultilevel"/>
    <w:tmpl w:val="B8E820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1C2C4E"/>
    <w:multiLevelType w:val="hybridMultilevel"/>
    <w:tmpl w:val="AFBC7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8BA30C4"/>
    <w:multiLevelType w:val="hybridMultilevel"/>
    <w:tmpl w:val="57885508"/>
    <w:lvl w:ilvl="0" w:tplc="0C090001">
      <w:start w:val="1"/>
      <w:numFmt w:val="bullet"/>
      <w:lvlText w:val=""/>
      <w:lvlJc w:val="left"/>
      <w:pPr>
        <w:ind w:left="-249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1053" w:hanging="360"/>
      </w:pPr>
      <w:rPr>
        <w:rFonts w:ascii="Wingdings" w:hAnsi="Wingdings" w:hint="default"/>
      </w:rPr>
    </w:lvl>
    <w:lvl w:ilvl="3" w:tplc="0C090001" w:tentative="1">
      <w:start w:val="1"/>
      <w:numFmt w:val="bullet"/>
      <w:lvlText w:val=""/>
      <w:lvlJc w:val="left"/>
      <w:pPr>
        <w:ind w:left="-333" w:hanging="360"/>
      </w:pPr>
      <w:rPr>
        <w:rFonts w:ascii="Symbol" w:hAnsi="Symbol" w:hint="default"/>
      </w:rPr>
    </w:lvl>
    <w:lvl w:ilvl="4" w:tplc="0C090003" w:tentative="1">
      <w:start w:val="1"/>
      <w:numFmt w:val="bullet"/>
      <w:lvlText w:val="o"/>
      <w:lvlJc w:val="left"/>
      <w:pPr>
        <w:ind w:left="387" w:hanging="360"/>
      </w:pPr>
      <w:rPr>
        <w:rFonts w:ascii="Courier New" w:hAnsi="Courier New" w:cs="Courier New" w:hint="default"/>
      </w:rPr>
    </w:lvl>
    <w:lvl w:ilvl="5" w:tplc="0C090005" w:tentative="1">
      <w:start w:val="1"/>
      <w:numFmt w:val="bullet"/>
      <w:lvlText w:val=""/>
      <w:lvlJc w:val="left"/>
      <w:pPr>
        <w:ind w:left="1107" w:hanging="360"/>
      </w:pPr>
      <w:rPr>
        <w:rFonts w:ascii="Wingdings" w:hAnsi="Wingdings" w:hint="default"/>
      </w:rPr>
    </w:lvl>
    <w:lvl w:ilvl="6" w:tplc="0C090001" w:tentative="1">
      <w:start w:val="1"/>
      <w:numFmt w:val="bullet"/>
      <w:lvlText w:val=""/>
      <w:lvlJc w:val="left"/>
      <w:pPr>
        <w:ind w:left="1827" w:hanging="360"/>
      </w:pPr>
      <w:rPr>
        <w:rFonts w:ascii="Symbol" w:hAnsi="Symbol" w:hint="default"/>
      </w:rPr>
    </w:lvl>
    <w:lvl w:ilvl="7" w:tplc="0C090003" w:tentative="1">
      <w:start w:val="1"/>
      <w:numFmt w:val="bullet"/>
      <w:lvlText w:val="o"/>
      <w:lvlJc w:val="left"/>
      <w:pPr>
        <w:ind w:left="2547" w:hanging="360"/>
      </w:pPr>
      <w:rPr>
        <w:rFonts w:ascii="Courier New" w:hAnsi="Courier New" w:cs="Courier New" w:hint="default"/>
      </w:rPr>
    </w:lvl>
    <w:lvl w:ilvl="8" w:tplc="0C090005" w:tentative="1">
      <w:start w:val="1"/>
      <w:numFmt w:val="bullet"/>
      <w:lvlText w:val=""/>
      <w:lvlJc w:val="left"/>
      <w:pPr>
        <w:ind w:left="3267" w:hanging="360"/>
      </w:pPr>
      <w:rPr>
        <w:rFonts w:ascii="Wingdings" w:hAnsi="Wingdings" w:hint="default"/>
      </w:rPr>
    </w:lvl>
  </w:abstractNum>
  <w:abstractNum w:abstractNumId="26">
    <w:nsid w:val="5CD11422"/>
    <w:multiLevelType w:val="hybridMultilevel"/>
    <w:tmpl w:val="2FCA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567787"/>
    <w:multiLevelType w:val="hybridMultilevel"/>
    <w:tmpl w:val="9C66A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01670F1"/>
    <w:multiLevelType w:val="hybridMultilevel"/>
    <w:tmpl w:val="37C4C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4527591"/>
    <w:multiLevelType w:val="hybridMultilevel"/>
    <w:tmpl w:val="27A69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C764D3"/>
    <w:multiLevelType w:val="hybridMultilevel"/>
    <w:tmpl w:val="610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nsid w:val="66EB1306"/>
    <w:multiLevelType w:val="hybridMultilevel"/>
    <w:tmpl w:val="1C32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C632A8"/>
    <w:multiLevelType w:val="hybridMultilevel"/>
    <w:tmpl w:val="1166CE86"/>
    <w:lvl w:ilvl="0" w:tplc="1828023C">
      <w:start w:val="1"/>
      <w:numFmt w:val="bullet"/>
      <w:lvlText w:val=""/>
      <w:lvlJc w:val="left"/>
      <w:pPr>
        <w:ind w:left="720" w:hanging="360"/>
      </w:pPr>
      <w:rPr>
        <w:rFonts w:ascii="Symbol" w:hAnsi="Symbol" w:hint="default"/>
      </w:rPr>
    </w:lvl>
    <w:lvl w:ilvl="1" w:tplc="0E1216D6" w:tentative="1">
      <w:start w:val="1"/>
      <w:numFmt w:val="bullet"/>
      <w:lvlText w:val="o"/>
      <w:lvlJc w:val="left"/>
      <w:pPr>
        <w:ind w:left="1440" w:hanging="360"/>
      </w:pPr>
      <w:rPr>
        <w:rFonts w:ascii="Courier New" w:hAnsi="Courier New" w:cs="Courier New" w:hint="default"/>
      </w:rPr>
    </w:lvl>
    <w:lvl w:ilvl="2" w:tplc="806C0DB6" w:tentative="1">
      <w:start w:val="1"/>
      <w:numFmt w:val="bullet"/>
      <w:lvlText w:val=""/>
      <w:lvlJc w:val="left"/>
      <w:pPr>
        <w:ind w:left="2160" w:hanging="360"/>
      </w:pPr>
      <w:rPr>
        <w:rFonts w:ascii="Wingdings" w:hAnsi="Wingdings" w:hint="default"/>
      </w:rPr>
    </w:lvl>
    <w:lvl w:ilvl="3" w:tplc="4FE80B5C" w:tentative="1">
      <w:start w:val="1"/>
      <w:numFmt w:val="bullet"/>
      <w:lvlText w:val=""/>
      <w:lvlJc w:val="left"/>
      <w:pPr>
        <w:ind w:left="2880" w:hanging="360"/>
      </w:pPr>
      <w:rPr>
        <w:rFonts w:ascii="Symbol" w:hAnsi="Symbol" w:hint="default"/>
      </w:rPr>
    </w:lvl>
    <w:lvl w:ilvl="4" w:tplc="1B32CDB0" w:tentative="1">
      <w:start w:val="1"/>
      <w:numFmt w:val="bullet"/>
      <w:lvlText w:val="o"/>
      <w:lvlJc w:val="left"/>
      <w:pPr>
        <w:ind w:left="3600" w:hanging="360"/>
      </w:pPr>
      <w:rPr>
        <w:rFonts w:ascii="Courier New" w:hAnsi="Courier New" w:cs="Courier New" w:hint="default"/>
      </w:rPr>
    </w:lvl>
    <w:lvl w:ilvl="5" w:tplc="6818BF54" w:tentative="1">
      <w:start w:val="1"/>
      <w:numFmt w:val="bullet"/>
      <w:lvlText w:val=""/>
      <w:lvlJc w:val="left"/>
      <w:pPr>
        <w:ind w:left="4320" w:hanging="360"/>
      </w:pPr>
      <w:rPr>
        <w:rFonts w:ascii="Wingdings" w:hAnsi="Wingdings" w:hint="default"/>
      </w:rPr>
    </w:lvl>
    <w:lvl w:ilvl="6" w:tplc="9F4E0E4A" w:tentative="1">
      <w:start w:val="1"/>
      <w:numFmt w:val="bullet"/>
      <w:lvlText w:val=""/>
      <w:lvlJc w:val="left"/>
      <w:pPr>
        <w:ind w:left="5040" w:hanging="360"/>
      </w:pPr>
      <w:rPr>
        <w:rFonts w:ascii="Symbol" w:hAnsi="Symbol" w:hint="default"/>
      </w:rPr>
    </w:lvl>
    <w:lvl w:ilvl="7" w:tplc="941689F6" w:tentative="1">
      <w:start w:val="1"/>
      <w:numFmt w:val="bullet"/>
      <w:lvlText w:val="o"/>
      <w:lvlJc w:val="left"/>
      <w:pPr>
        <w:ind w:left="5760" w:hanging="360"/>
      </w:pPr>
      <w:rPr>
        <w:rFonts w:ascii="Courier New" w:hAnsi="Courier New" w:cs="Courier New" w:hint="default"/>
      </w:rPr>
    </w:lvl>
    <w:lvl w:ilvl="8" w:tplc="2B5CED4A" w:tentative="1">
      <w:start w:val="1"/>
      <w:numFmt w:val="bullet"/>
      <w:lvlText w:val=""/>
      <w:lvlJc w:val="left"/>
      <w:pPr>
        <w:ind w:left="6480" w:hanging="360"/>
      </w:pPr>
      <w:rPr>
        <w:rFonts w:ascii="Wingdings" w:hAnsi="Wingdings" w:hint="default"/>
      </w:rPr>
    </w:lvl>
  </w:abstractNum>
  <w:abstractNum w:abstractNumId="34">
    <w:nsid w:val="70891989"/>
    <w:multiLevelType w:val="hybridMultilevel"/>
    <w:tmpl w:val="9D2AE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469269F"/>
    <w:multiLevelType w:val="hybridMultilevel"/>
    <w:tmpl w:val="A0706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6E5E42"/>
    <w:multiLevelType w:val="hybridMultilevel"/>
    <w:tmpl w:val="AB28C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37"/>
  </w:num>
  <w:num w:numId="2">
    <w:abstractNumId w:val="1"/>
  </w:num>
  <w:num w:numId="3">
    <w:abstractNumId w:val="20"/>
  </w:num>
  <w:num w:numId="4">
    <w:abstractNumId w:val="19"/>
  </w:num>
  <w:num w:numId="5">
    <w:abstractNumId w:val="31"/>
  </w:num>
  <w:num w:numId="6">
    <w:abstractNumId w:val="8"/>
  </w:num>
  <w:num w:numId="7">
    <w:abstractNumId w:val="4"/>
  </w:num>
  <w:num w:numId="8">
    <w:abstractNumId w:val="23"/>
  </w:num>
  <w:num w:numId="9">
    <w:abstractNumId w:val="10"/>
  </w:num>
  <w:num w:numId="10">
    <w:abstractNumId w:val="32"/>
  </w:num>
  <w:num w:numId="11">
    <w:abstractNumId w:val="11"/>
  </w:num>
  <w:num w:numId="12">
    <w:abstractNumId w:val="35"/>
  </w:num>
  <w:num w:numId="13">
    <w:abstractNumId w:val="12"/>
  </w:num>
  <w:num w:numId="14">
    <w:abstractNumId w:val="0"/>
  </w:num>
  <w:num w:numId="15">
    <w:abstractNumId w:val="33"/>
  </w:num>
  <w:num w:numId="16">
    <w:abstractNumId w:val="5"/>
  </w:num>
  <w:num w:numId="17">
    <w:abstractNumId w:val="34"/>
  </w:num>
  <w:num w:numId="18">
    <w:abstractNumId w:val="29"/>
  </w:num>
  <w:num w:numId="19">
    <w:abstractNumId w:val="15"/>
  </w:num>
  <w:num w:numId="20">
    <w:abstractNumId w:val="26"/>
  </w:num>
  <w:num w:numId="21">
    <w:abstractNumId w:val="36"/>
  </w:num>
  <w:num w:numId="22">
    <w:abstractNumId w:val="6"/>
  </w:num>
  <w:num w:numId="23">
    <w:abstractNumId w:val="2"/>
  </w:num>
  <w:num w:numId="24">
    <w:abstractNumId w:val="7"/>
  </w:num>
  <w:num w:numId="25">
    <w:abstractNumId w:val="30"/>
  </w:num>
  <w:num w:numId="26">
    <w:abstractNumId w:val="22"/>
  </w:num>
  <w:num w:numId="27">
    <w:abstractNumId w:val="13"/>
  </w:num>
  <w:num w:numId="28">
    <w:abstractNumId w:val="24"/>
  </w:num>
  <w:num w:numId="29">
    <w:abstractNumId w:val="9"/>
  </w:num>
  <w:num w:numId="30">
    <w:abstractNumId w:val="27"/>
  </w:num>
  <w:num w:numId="31">
    <w:abstractNumId w:val="17"/>
  </w:num>
  <w:num w:numId="32">
    <w:abstractNumId w:val="28"/>
  </w:num>
  <w:num w:numId="33">
    <w:abstractNumId w:val="3"/>
  </w:num>
  <w:num w:numId="34">
    <w:abstractNumId w:val="14"/>
  </w:num>
  <w:num w:numId="35">
    <w:abstractNumId w:val="25"/>
  </w:num>
  <w:num w:numId="36">
    <w:abstractNumId w:val="21"/>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EE1428"/>
    <w:rsid w:val="00000BC0"/>
    <w:rsid w:val="00006A38"/>
    <w:rsid w:val="00011AC3"/>
    <w:rsid w:val="00014490"/>
    <w:rsid w:val="000173AA"/>
    <w:rsid w:val="0003380F"/>
    <w:rsid w:val="000339F0"/>
    <w:rsid w:val="00047613"/>
    <w:rsid w:val="00051072"/>
    <w:rsid w:val="00052769"/>
    <w:rsid w:val="00064182"/>
    <w:rsid w:val="0006691D"/>
    <w:rsid w:val="00070F97"/>
    <w:rsid w:val="0007351E"/>
    <w:rsid w:val="000807BB"/>
    <w:rsid w:val="00091606"/>
    <w:rsid w:val="00091DE3"/>
    <w:rsid w:val="000929D4"/>
    <w:rsid w:val="0009443D"/>
    <w:rsid w:val="00096232"/>
    <w:rsid w:val="000A11F5"/>
    <w:rsid w:val="000A21E5"/>
    <w:rsid w:val="000A4AA7"/>
    <w:rsid w:val="000A607D"/>
    <w:rsid w:val="000B27CE"/>
    <w:rsid w:val="000B648A"/>
    <w:rsid w:val="000C15B6"/>
    <w:rsid w:val="000D0044"/>
    <w:rsid w:val="000D0F69"/>
    <w:rsid w:val="000D14C8"/>
    <w:rsid w:val="000D2295"/>
    <w:rsid w:val="000D338D"/>
    <w:rsid w:val="000D6E55"/>
    <w:rsid w:val="000D6F36"/>
    <w:rsid w:val="000E1EBE"/>
    <w:rsid w:val="000E4E33"/>
    <w:rsid w:val="000E636B"/>
    <w:rsid w:val="000E63EF"/>
    <w:rsid w:val="000F1F52"/>
    <w:rsid w:val="000F42F6"/>
    <w:rsid w:val="000F5F16"/>
    <w:rsid w:val="000F754A"/>
    <w:rsid w:val="001040BD"/>
    <w:rsid w:val="00105AEF"/>
    <w:rsid w:val="00110FC8"/>
    <w:rsid w:val="00117D99"/>
    <w:rsid w:val="001262F0"/>
    <w:rsid w:val="00126AB9"/>
    <w:rsid w:val="0014336D"/>
    <w:rsid w:val="001458C2"/>
    <w:rsid w:val="00146CD9"/>
    <w:rsid w:val="00152CB3"/>
    <w:rsid w:val="001611F8"/>
    <w:rsid w:val="00163953"/>
    <w:rsid w:val="00171286"/>
    <w:rsid w:val="001741DD"/>
    <w:rsid w:val="001770EC"/>
    <w:rsid w:val="00180DE6"/>
    <w:rsid w:val="00183F9D"/>
    <w:rsid w:val="001B0CBF"/>
    <w:rsid w:val="001B1115"/>
    <w:rsid w:val="001B3FD0"/>
    <w:rsid w:val="001B6F42"/>
    <w:rsid w:val="001C22C3"/>
    <w:rsid w:val="001C354F"/>
    <w:rsid w:val="001D0808"/>
    <w:rsid w:val="001D0B34"/>
    <w:rsid w:val="001E0847"/>
    <w:rsid w:val="001E5CAC"/>
    <w:rsid w:val="001F2395"/>
    <w:rsid w:val="002023E3"/>
    <w:rsid w:val="00216D61"/>
    <w:rsid w:val="002210C5"/>
    <w:rsid w:val="00223DF6"/>
    <w:rsid w:val="00223FFC"/>
    <w:rsid w:val="00226D18"/>
    <w:rsid w:val="0023442D"/>
    <w:rsid w:val="00234D85"/>
    <w:rsid w:val="0023714E"/>
    <w:rsid w:val="00240547"/>
    <w:rsid w:val="0024201C"/>
    <w:rsid w:val="00245843"/>
    <w:rsid w:val="00246308"/>
    <w:rsid w:val="00250789"/>
    <w:rsid w:val="00261830"/>
    <w:rsid w:val="00266C28"/>
    <w:rsid w:val="00266EC2"/>
    <w:rsid w:val="00272E87"/>
    <w:rsid w:val="0028009F"/>
    <w:rsid w:val="002810A4"/>
    <w:rsid w:val="002863A1"/>
    <w:rsid w:val="00287320"/>
    <w:rsid w:val="002928FF"/>
    <w:rsid w:val="00293512"/>
    <w:rsid w:val="00294A15"/>
    <w:rsid w:val="00295D3C"/>
    <w:rsid w:val="002A0E33"/>
    <w:rsid w:val="002A30C9"/>
    <w:rsid w:val="002B5D76"/>
    <w:rsid w:val="002B62EB"/>
    <w:rsid w:val="002B7F95"/>
    <w:rsid w:val="002C1DFD"/>
    <w:rsid w:val="002C2B32"/>
    <w:rsid w:val="002C524E"/>
    <w:rsid w:val="002C5C51"/>
    <w:rsid w:val="002C7677"/>
    <w:rsid w:val="002D2853"/>
    <w:rsid w:val="002D4CA3"/>
    <w:rsid w:val="002D683E"/>
    <w:rsid w:val="002E55CE"/>
    <w:rsid w:val="002E7C4E"/>
    <w:rsid w:val="002F0B7B"/>
    <w:rsid w:val="002F325B"/>
    <w:rsid w:val="002F47B6"/>
    <w:rsid w:val="002F53EF"/>
    <w:rsid w:val="002F7B12"/>
    <w:rsid w:val="00302334"/>
    <w:rsid w:val="003044D8"/>
    <w:rsid w:val="00316E20"/>
    <w:rsid w:val="003227FB"/>
    <w:rsid w:val="00340BF4"/>
    <w:rsid w:val="0034565A"/>
    <w:rsid w:val="00346E21"/>
    <w:rsid w:val="003542D2"/>
    <w:rsid w:val="0037087D"/>
    <w:rsid w:val="003716F8"/>
    <w:rsid w:val="003777C9"/>
    <w:rsid w:val="00386D7D"/>
    <w:rsid w:val="00391AF1"/>
    <w:rsid w:val="0039400F"/>
    <w:rsid w:val="00395C7F"/>
    <w:rsid w:val="003A70DF"/>
    <w:rsid w:val="003B67BE"/>
    <w:rsid w:val="003C2877"/>
    <w:rsid w:val="003C3932"/>
    <w:rsid w:val="003C66E9"/>
    <w:rsid w:val="003C7536"/>
    <w:rsid w:val="003D2C63"/>
    <w:rsid w:val="003D7B4A"/>
    <w:rsid w:val="003E183E"/>
    <w:rsid w:val="003E3B14"/>
    <w:rsid w:val="003E4668"/>
    <w:rsid w:val="003F1816"/>
    <w:rsid w:val="003F4797"/>
    <w:rsid w:val="003F63A5"/>
    <w:rsid w:val="0040341E"/>
    <w:rsid w:val="004036C1"/>
    <w:rsid w:val="0040547A"/>
    <w:rsid w:val="004128B9"/>
    <w:rsid w:val="00414375"/>
    <w:rsid w:val="00417FA6"/>
    <w:rsid w:val="00425233"/>
    <w:rsid w:val="004316D5"/>
    <w:rsid w:val="004336BA"/>
    <w:rsid w:val="00434776"/>
    <w:rsid w:val="00445647"/>
    <w:rsid w:val="00445FFE"/>
    <w:rsid w:val="00453B9E"/>
    <w:rsid w:val="0045588F"/>
    <w:rsid w:val="004561DA"/>
    <w:rsid w:val="00460629"/>
    <w:rsid w:val="00465F27"/>
    <w:rsid w:val="00467C6E"/>
    <w:rsid w:val="00480C56"/>
    <w:rsid w:val="00480F5D"/>
    <w:rsid w:val="00492B4A"/>
    <w:rsid w:val="0049491A"/>
    <w:rsid w:val="004964C3"/>
    <w:rsid w:val="004A2EFE"/>
    <w:rsid w:val="004A3C8D"/>
    <w:rsid w:val="004B2987"/>
    <w:rsid w:val="004C0A90"/>
    <w:rsid w:val="004C3B13"/>
    <w:rsid w:val="004C4148"/>
    <w:rsid w:val="004D0A00"/>
    <w:rsid w:val="004D46FB"/>
    <w:rsid w:val="004D4A62"/>
    <w:rsid w:val="004D542B"/>
    <w:rsid w:val="004E13B6"/>
    <w:rsid w:val="004F0BDD"/>
    <w:rsid w:val="004F6C44"/>
    <w:rsid w:val="004F71B1"/>
    <w:rsid w:val="00506C86"/>
    <w:rsid w:val="00516B0C"/>
    <w:rsid w:val="00516EC7"/>
    <w:rsid w:val="005249E3"/>
    <w:rsid w:val="00527F9C"/>
    <w:rsid w:val="00534BD9"/>
    <w:rsid w:val="00545315"/>
    <w:rsid w:val="005471C9"/>
    <w:rsid w:val="00551E9F"/>
    <w:rsid w:val="005525F9"/>
    <w:rsid w:val="00556641"/>
    <w:rsid w:val="005605DB"/>
    <w:rsid w:val="00580FF7"/>
    <w:rsid w:val="005848AE"/>
    <w:rsid w:val="00595487"/>
    <w:rsid w:val="0059748D"/>
    <w:rsid w:val="005A389D"/>
    <w:rsid w:val="005A3F77"/>
    <w:rsid w:val="005A43E8"/>
    <w:rsid w:val="005B53D7"/>
    <w:rsid w:val="005B56E7"/>
    <w:rsid w:val="005C0C09"/>
    <w:rsid w:val="005C2051"/>
    <w:rsid w:val="005C2709"/>
    <w:rsid w:val="005C6771"/>
    <w:rsid w:val="005D2F42"/>
    <w:rsid w:val="005D3434"/>
    <w:rsid w:val="005E3E23"/>
    <w:rsid w:val="005E4496"/>
    <w:rsid w:val="005E5B27"/>
    <w:rsid w:val="005E7BCD"/>
    <w:rsid w:val="005F2B86"/>
    <w:rsid w:val="005F47D1"/>
    <w:rsid w:val="005F5C7B"/>
    <w:rsid w:val="0060407D"/>
    <w:rsid w:val="00604F10"/>
    <w:rsid w:val="00610999"/>
    <w:rsid w:val="00610BE4"/>
    <w:rsid w:val="00616FFA"/>
    <w:rsid w:val="00623719"/>
    <w:rsid w:val="00625FCB"/>
    <w:rsid w:val="00626D7B"/>
    <w:rsid w:val="0064296B"/>
    <w:rsid w:val="00643981"/>
    <w:rsid w:val="0064455F"/>
    <w:rsid w:val="00644F64"/>
    <w:rsid w:val="00645DB7"/>
    <w:rsid w:val="00651893"/>
    <w:rsid w:val="0065261D"/>
    <w:rsid w:val="00656FF7"/>
    <w:rsid w:val="006605A2"/>
    <w:rsid w:val="0066086B"/>
    <w:rsid w:val="0066205A"/>
    <w:rsid w:val="006629FC"/>
    <w:rsid w:val="00663648"/>
    <w:rsid w:val="00663F3A"/>
    <w:rsid w:val="006678A0"/>
    <w:rsid w:val="00667D99"/>
    <w:rsid w:val="00676AED"/>
    <w:rsid w:val="00677B3F"/>
    <w:rsid w:val="0068141B"/>
    <w:rsid w:val="006A156F"/>
    <w:rsid w:val="006A2A76"/>
    <w:rsid w:val="006A4411"/>
    <w:rsid w:val="006B537D"/>
    <w:rsid w:val="006B658A"/>
    <w:rsid w:val="006B68A2"/>
    <w:rsid w:val="006B6F7D"/>
    <w:rsid w:val="006C00CB"/>
    <w:rsid w:val="006C3B83"/>
    <w:rsid w:val="006D2825"/>
    <w:rsid w:val="006E092A"/>
    <w:rsid w:val="006E3DF0"/>
    <w:rsid w:val="006E6627"/>
    <w:rsid w:val="006F068B"/>
    <w:rsid w:val="007005CC"/>
    <w:rsid w:val="00721901"/>
    <w:rsid w:val="00723FDD"/>
    <w:rsid w:val="007251D2"/>
    <w:rsid w:val="0073107B"/>
    <w:rsid w:val="00744D8B"/>
    <w:rsid w:val="0074732B"/>
    <w:rsid w:val="007502D8"/>
    <w:rsid w:val="00762751"/>
    <w:rsid w:val="007633CA"/>
    <w:rsid w:val="00771E46"/>
    <w:rsid w:val="00773A6C"/>
    <w:rsid w:val="0077412F"/>
    <w:rsid w:val="00774771"/>
    <w:rsid w:val="007807BA"/>
    <w:rsid w:val="0078094E"/>
    <w:rsid w:val="007833F8"/>
    <w:rsid w:val="00791D7A"/>
    <w:rsid w:val="00794B89"/>
    <w:rsid w:val="007A3B40"/>
    <w:rsid w:val="007B08BB"/>
    <w:rsid w:val="007C0F3D"/>
    <w:rsid w:val="007C3072"/>
    <w:rsid w:val="007C413F"/>
    <w:rsid w:val="007C4357"/>
    <w:rsid w:val="007D30DF"/>
    <w:rsid w:val="007D5BAC"/>
    <w:rsid w:val="007D755E"/>
    <w:rsid w:val="007E58C9"/>
    <w:rsid w:val="007E625A"/>
    <w:rsid w:val="007F1653"/>
    <w:rsid w:val="007F3365"/>
    <w:rsid w:val="00802D4A"/>
    <w:rsid w:val="00812CD2"/>
    <w:rsid w:val="00822C6D"/>
    <w:rsid w:val="008304A3"/>
    <w:rsid w:val="008507BC"/>
    <w:rsid w:val="008515A2"/>
    <w:rsid w:val="00855023"/>
    <w:rsid w:val="00860E17"/>
    <w:rsid w:val="00863580"/>
    <w:rsid w:val="00863B61"/>
    <w:rsid w:val="00863F27"/>
    <w:rsid w:val="008754E5"/>
    <w:rsid w:val="0087588A"/>
    <w:rsid w:val="00880BE7"/>
    <w:rsid w:val="00883B3A"/>
    <w:rsid w:val="008858E3"/>
    <w:rsid w:val="008A3F38"/>
    <w:rsid w:val="008A50AC"/>
    <w:rsid w:val="008B5BB5"/>
    <w:rsid w:val="008C00C8"/>
    <w:rsid w:val="008C4649"/>
    <w:rsid w:val="008C5910"/>
    <w:rsid w:val="008C69E7"/>
    <w:rsid w:val="008D247F"/>
    <w:rsid w:val="008D6E92"/>
    <w:rsid w:val="008E67E2"/>
    <w:rsid w:val="008F2414"/>
    <w:rsid w:val="008F3312"/>
    <w:rsid w:val="008F732A"/>
    <w:rsid w:val="00901CAA"/>
    <w:rsid w:val="0090750E"/>
    <w:rsid w:val="0091445B"/>
    <w:rsid w:val="00915EFA"/>
    <w:rsid w:val="009265F5"/>
    <w:rsid w:val="00927218"/>
    <w:rsid w:val="00932E4B"/>
    <w:rsid w:val="00935FCD"/>
    <w:rsid w:val="00940D79"/>
    <w:rsid w:val="00945E95"/>
    <w:rsid w:val="009525D9"/>
    <w:rsid w:val="00953D07"/>
    <w:rsid w:val="00953FA8"/>
    <w:rsid w:val="009551DC"/>
    <w:rsid w:val="00961693"/>
    <w:rsid w:val="00970821"/>
    <w:rsid w:val="0097327B"/>
    <w:rsid w:val="00974496"/>
    <w:rsid w:val="0098713A"/>
    <w:rsid w:val="00991F19"/>
    <w:rsid w:val="00994C43"/>
    <w:rsid w:val="009A2230"/>
    <w:rsid w:val="009A4ECE"/>
    <w:rsid w:val="009B133C"/>
    <w:rsid w:val="009B7330"/>
    <w:rsid w:val="009C2AB7"/>
    <w:rsid w:val="009C5D4D"/>
    <w:rsid w:val="009D0FBD"/>
    <w:rsid w:val="009D154C"/>
    <w:rsid w:val="009D15F1"/>
    <w:rsid w:val="009D72D3"/>
    <w:rsid w:val="009D7A8B"/>
    <w:rsid w:val="009E105C"/>
    <w:rsid w:val="009E48D0"/>
    <w:rsid w:val="009E57A8"/>
    <w:rsid w:val="009E59B7"/>
    <w:rsid w:val="009E6B2E"/>
    <w:rsid w:val="009F3381"/>
    <w:rsid w:val="00A01022"/>
    <w:rsid w:val="00A038B0"/>
    <w:rsid w:val="00A1094B"/>
    <w:rsid w:val="00A117A5"/>
    <w:rsid w:val="00A17CE0"/>
    <w:rsid w:val="00A212CF"/>
    <w:rsid w:val="00A219F3"/>
    <w:rsid w:val="00A25476"/>
    <w:rsid w:val="00A25821"/>
    <w:rsid w:val="00A318FC"/>
    <w:rsid w:val="00A3233C"/>
    <w:rsid w:val="00A357BE"/>
    <w:rsid w:val="00A43773"/>
    <w:rsid w:val="00A50338"/>
    <w:rsid w:val="00A52190"/>
    <w:rsid w:val="00A52902"/>
    <w:rsid w:val="00A54AB7"/>
    <w:rsid w:val="00A5748D"/>
    <w:rsid w:val="00A60722"/>
    <w:rsid w:val="00A62F78"/>
    <w:rsid w:val="00A669F1"/>
    <w:rsid w:val="00A67669"/>
    <w:rsid w:val="00A76405"/>
    <w:rsid w:val="00A81968"/>
    <w:rsid w:val="00A845D2"/>
    <w:rsid w:val="00A8725C"/>
    <w:rsid w:val="00A912B1"/>
    <w:rsid w:val="00A91D5E"/>
    <w:rsid w:val="00A9582A"/>
    <w:rsid w:val="00A97C99"/>
    <w:rsid w:val="00AA0D14"/>
    <w:rsid w:val="00AA121E"/>
    <w:rsid w:val="00AA3582"/>
    <w:rsid w:val="00AB19DC"/>
    <w:rsid w:val="00AB3603"/>
    <w:rsid w:val="00AB38E0"/>
    <w:rsid w:val="00AD3F8E"/>
    <w:rsid w:val="00AE1C51"/>
    <w:rsid w:val="00AE38A6"/>
    <w:rsid w:val="00AF17F3"/>
    <w:rsid w:val="00AF2D95"/>
    <w:rsid w:val="00AF44C0"/>
    <w:rsid w:val="00AF4FC2"/>
    <w:rsid w:val="00AF5F0C"/>
    <w:rsid w:val="00B01213"/>
    <w:rsid w:val="00B100A9"/>
    <w:rsid w:val="00B127AB"/>
    <w:rsid w:val="00B24F60"/>
    <w:rsid w:val="00B30ABD"/>
    <w:rsid w:val="00B30F43"/>
    <w:rsid w:val="00B37EFE"/>
    <w:rsid w:val="00B601DE"/>
    <w:rsid w:val="00B64C9D"/>
    <w:rsid w:val="00B707CB"/>
    <w:rsid w:val="00B755CC"/>
    <w:rsid w:val="00B86492"/>
    <w:rsid w:val="00B86E49"/>
    <w:rsid w:val="00B910D6"/>
    <w:rsid w:val="00B919B3"/>
    <w:rsid w:val="00B979D4"/>
    <w:rsid w:val="00BA227E"/>
    <w:rsid w:val="00BA54FC"/>
    <w:rsid w:val="00BA770F"/>
    <w:rsid w:val="00BB0592"/>
    <w:rsid w:val="00BB3FAF"/>
    <w:rsid w:val="00BB7F66"/>
    <w:rsid w:val="00BD282C"/>
    <w:rsid w:val="00BD3632"/>
    <w:rsid w:val="00BE43F2"/>
    <w:rsid w:val="00BF3475"/>
    <w:rsid w:val="00BF4EB3"/>
    <w:rsid w:val="00BF63B8"/>
    <w:rsid w:val="00BF74FF"/>
    <w:rsid w:val="00BF789B"/>
    <w:rsid w:val="00C00E21"/>
    <w:rsid w:val="00C05C34"/>
    <w:rsid w:val="00C06EB2"/>
    <w:rsid w:val="00C13EDA"/>
    <w:rsid w:val="00C1481F"/>
    <w:rsid w:val="00C212EC"/>
    <w:rsid w:val="00C21BE2"/>
    <w:rsid w:val="00C229E0"/>
    <w:rsid w:val="00C23302"/>
    <w:rsid w:val="00C24E23"/>
    <w:rsid w:val="00C3277B"/>
    <w:rsid w:val="00C351BF"/>
    <w:rsid w:val="00C357A9"/>
    <w:rsid w:val="00C374D1"/>
    <w:rsid w:val="00C42E5A"/>
    <w:rsid w:val="00C4517B"/>
    <w:rsid w:val="00C553ED"/>
    <w:rsid w:val="00C61A11"/>
    <w:rsid w:val="00C62DDD"/>
    <w:rsid w:val="00C63602"/>
    <w:rsid w:val="00C665DE"/>
    <w:rsid w:val="00C72CA7"/>
    <w:rsid w:val="00C73664"/>
    <w:rsid w:val="00C75BF3"/>
    <w:rsid w:val="00C75E3A"/>
    <w:rsid w:val="00C8075A"/>
    <w:rsid w:val="00C81466"/>
    <w:rsid w:val="00C86782"/>
    <w:rsid w:val="00C86785"/>
    <w:rsid w:val="00C9135B"/>
    <w:rsid w:val="00CA3C26"/>
    <w:rsid w:val="00CA5C66"/>
    <w:rsid w:val="00CB0D33"/>
    <w:rsid w:val="00CB55AE"/>
    <w:rsid w:val="00CB5954"/>
    <w:rsid w:val="00CB77E4"/>
    <w:rsid w:val="00CC1290"/>
    <w:rsid w:val="00CC23A5"/>
    <w:rsid w:val="00CC3405"/>
    <w:rsid w:val="00CD526E"/>
    <w:rsid w:val="00CD535A"/>
    <w:rsid w:val="00CE289A"/>
    <w:rsid w:val="00CF00AD"/>
    <w:rsid w:val="00CF3FDE"/>
    <w:rsid w:val="00D0521E"/>
    <w:rsid w:val="00D24782"/>
    <w:rsid w:val="00D315CF"/>
    <w:rsid w:val="00D325EB"/>
    <w:rsid w:val="00D32A88"/>
    <w:rsid w:val="00D34648"/>
    <w:rsid w:val="00D410A6"/>
    <w:rsid w:val="00D51659"/>
    <w:rsid w:val="00D55D46"/>
    <w:rsid w:val="00D71D22"/>
    <w:rsid w:val="00D7346A"/>
    <w:rsid w:val="00D824D3"/>
    <w:rsid w:val="00D9120E"/>
    <w:rsid w:val="00D94798"/>
    <w:rsid w:val="00DB2D41"/>
    <w:rsid w:val="00DB3FB3"/>
    <w:rsid w:val="00DB4491"/>
    <w:rsid w:val="00DB5394"/>
    <w:rsid w:val="00DC1B1F"/>
    <w:rsid w:val="00DC3761"/>
    <w:rsid w:val="00DC77F6"/>
    <w:rsid w:val="00DD0C81"/>
    <w:rsid w:val="00DE23C1"/>
    <w:rsid w:val="00DE47F5"/>
    <w:rsid w:val="00DE6195"/>
    <w:rsid w:val="00DE7639"/>
    <w:rsid w:val="00DF4D0E"/>
    <w:rsid w:val="00DF57DE"/>
    <w:rsid w:val="00DF7D59"/>
    <w:rsid w:val="00E0347E"/>
    <w:rsid w:val="00E04C08"/>
    <w:rsid w:val="00E04F3F"/>
    <w:rsid w:val="00E050A9"/>
    <w:rsid w:val="00E05B8F"/>
    <w:rsid w:val="00E062D9"/>
    <w:rsid w:val="00E0798C"/>
    <w:rsid w:val="00E114E2"/>
    <w:rsid w:val="00E205B1"/>
    <w:rsid w:val="00E23D06"/>
    <w:rsid w:val="00E31F41"/>
    <w:rsid w:val="00E33097"/>
    <w:rsid w:val="00E37586"/>
    <w:rsid w:val="00E40C01"/>
    <w:rsid w:val="00E40F9E"/>
    <w:rsid w:val="00E47D3E"/>
    <w:rsid w:val="00E50E10"/>
    <w:rsid w:val="00E5595E"/>
    <w:rsid w:val="00E6138B"/>
    <w:rsid w:val="00E614BB"/>
    <w:rsid w:val="00E638D3"/>
    <w:rsid w:val="00E745F3"/>
    <w:rsid w:val="00E93912"/>
    <w:rsid w:val="00E94017"/>
    <w:rsid w:val="00E97366"/>
    <w:rsid w:val="00EB1DFD"/>
    <w:rsid w:val="00EB541C"/>
    <w:rsid w:val="00EC0165"/>
    <w:rsid w:val="00EC66D6"/>
    <w:rsid w:val="00EC6FB0"/>
    <w:rsid w:val="00ED22E6"/>
    <w:rsid w:val="00ED3475"/>
    <w:rsid w:val="00ED61DC"/>
    <w:rsid w:val="00EE1428"/>
    <w:rsid w:val="00EE29B2"/>
    <w:rsid w:val="00F01E92"/>
    <w:rsid w:val="00F03428"/>
    <w:rsid w:val="00F05B5D"/>
    <w:rsid w:val="00F10340"/>
    <w:rsid w:val="00F12CA7"/>
    <w:rsid w:val="00F22885"/>
    <w:rsid w:val="00F23956"/>
    <w:rsid w:val="00F24B58"/>
    <w:rsid w:val="00F26E4A"/>
    <w:rsid w:val="00F30ACF"/>
    <w:rsid w:val="00F317D2"/>
    <w:rsid w:val="00F32A00"/>
    <w:rsid w:val="00F402DD"/>
    <w:rsid w:val="00F44097"/>
    <w:rsid w:val="00F5057E"/>
    <w:rsid w:val="00F6103D"/>
    <w:rsid w:val="00F6607D"/>
    <w:rsid w:val="00F71C57"/>
    <w:rsid w:val="00F7274B"/>
    <w:rsid w:val="00F77109"/>
    <w:rsid w:val="00F77AAD"/>
    <w:rsid w:val="00F8268F"/>
    <w:rsid w:val="00F91B4B"/>
    <w:rsid w:val="00F92DAB"/>
    <w:rsid w:val="00F94453"/>
    <w:rsid w:val="00F94C79"/>
    <w:rsid w:val="00FA2AA4"/>
    <w:rsid w:val="00FA452F"/>
    <w:rsid w:val="00FA7F15"/>
    <w:rsid w:val="00FB263B"/>
    <w:rsid w:val="00FB6B6D"/>
    <w:rsid w:val="00FE20DE"/>
    <w:rsid w:val="00FE3B35"/>
    <w:rsid w:val="00FE4AD4"/>
    <w:rsid w:val="00FE5EA1"/>
    <w:rsid w:val="00FF01AF"/>
    <w:rsid w:val="00FF04CF"/>
    <w:rsid w:val="00FF10F2"/>
    <w:rsid w:val="00FF13D7"/>
    <w:rsid w:val="00FF1CCF"/>
    <w:rsid w:val="00FF4AB4"/>
    <w:rsid w:val="00FF55C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46CD9"/>
    <w:pPr>
      <w:spacing w:after="200" w:line="276" w:lineRule="auto"/>
    </w:pPr>
    <w:rPr>
      <w:lang w:eastAsia="en-US"/>
    </w:rPr>
  </w:style>
  <w:style w:type="paragraph" w:styleId="Heading1">
    <w:name w:val="heading 1"/>
    <w:basedOn w:val="Normal"/>
    <w:next w:val="Normal"/>
    <w:link w:val="Heading1Char"/>
    <w:uiPriority w:val="9"/>
    <w:qFormat/>
    <w:rsid w:val="00D83737"/>
    <w:pPr>
      <w:keepNext/>
      <w:outlineLvl w:val="0"/>
    </w:pPr>
    <w:rPr>
      <w:rFonts w:cs="Arial"/>
      <w:b/>
      <w:caps/>
    </w:rPr>
  </w:style>
  <w:style w:type="paragraph" w:styleId="Heading2">
    <w:name w:val="heading 2"/>
    <w:basedOn w:val="Normal"/>
    <w:next w:val="Normal"/>
    <w:link w:val="Heading2Char"/>
    <w:uiPriority w:val="9"/>
    <w:qFormat/>
    <w:rsid w:val="00D83737"/>
    <w:pPr>
      <w:keepNext/>
      <w:outlineLvl w:val="1"/>
    </w:pPr>
    <w:rPr>
      <w:rFonts w:cs="Arial"/>
      <w:b/>
    </w:rPr>
  </w:style>
  <w:style w:type="paragraph" w:styleId="Heading3">
    <w:name w:val="heading 3"/>
    <w:basedOn w:val="Normal"/>
    <w:next w:val="Normal"/>
    <w:link w:val="Heading3Char"/>
    <w:uiPriority w:val="9"/>
    <w:qFormat/>
    <w:rsid w:val="00D83737"/>
    <w:pPr>
      <w:keepNext/>
      <w:outlineLvl w:val="2"/>
    </w:pPr>
    <w:rPr>
      <w:rFonts w:cs="Arial"/>
      <w:b/>
      <w:i/>
    </w:rPr>
  </w:style>
  <w:style w:type="paragraph" w:styleId="Heading4">
    <w:name w:val="heading 4"/>
    <w:basedOn w:val="Normal"/>
    <w:next w:val="Normal"/>
    <w:link w:val="Heading4Char"/>
    <w:uiPriority w:val="9"/>
    <w:qFormat/>
    <w:rsid w:val="00D8373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D83737"/>
    <w:rPr>
      <w:rFonts w:cs="Arial"/>
      <w:b/>
      <w:caps/>
      <w:lang w:eastAsia="en-US"/>
    </w:rPr>
  </w:style>
  <w:style w:type="character" w:customStyle="1" w:styleId="Heading2Char">
    <w:name w:val="Heading 2 Char"/>
    <w:basedOn w:val="DefaultParagraphFont"/>
    <w:link w:val="Heading2"/>
    <w:uiPriority w:val="9"/>
    <w:rsid w:val="00D83737"/>
    <w:rPr>
      <w:rFonts w:cs="Arial"/>
      <w:b/>
      <w:lang w:eastAsia="en-US"/>
    </w:rPr>
  </w:style>
  <w:style w:type="character" w:customStyle="1" w:styleId="Heading3Char">
    <w:name w:val="Heading 3 Char"/>
    <w:basedOn w:val="DefaultParagraphFont"/>
    <w:link w:val="Heading3"/>
    <w:uiPriority w:val="9"/>
    <w:rsid w:val="00D83737"/>
    <w:rPr>
      <w:rFonts w:cs="Arial"/>
      <w:b/>
      <w:i/>
      <w:lang w:eastAsia="en-US"/>
    </w:rPr>
  </w:style>
  <w:style w:type="character" w:customStyle="1" w:styleId="Heading4Char">
    <w:name w:val="Heading 4 Char"/>
    <w:basedOn w:val="DefaultParagraphFont"/>
    <w:link w:val="Heading4"/>
    <w:uiPriority w:val="9"/>
    <w:rsid w:val="00D83737"/>
    <w:rPr>
      <w:rFonts w:cs="Arial"/>
      <w:i/>
      <w:lang w:eastAsia="en-US"/>
    </w:rPr>
  </w:style>
  <w:style w:type="paragraph" w:styleId="ListBullet">
    <w:name w:val="List Bullet"/>
    <w:basedOn w:val="Normal"/>
    <w:uiPriority w:val="99"/>
    <w:unhideWhenUsed/>
    <w:qFormat/>
    <w:rsid w:val="00091608"/>
    <w:pPr>
      <w:ind w:left="369" w:hanging="369"/>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750A48"/>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B129F9"/>
    <w:pPr>
      <w:spacing w:after="0"/>
    </w:pPr>
  </w:style>
  <w:style w:type="character" w:styleId="PlaceholderText">
    <w:name w:val="Placeholder Text"/>
    <w:basedOn w:val="DefaultParagraphFont"/>
    <w:uiPriority w:val="99"/>
    <w:semiHidden/>
    <w:rsid w:val="00860F6B"/>
    <w:rPr>
      <w:color w:val="808080"/>
    </w:rPr>
  </w:style>
  <w:style w:type="character" w:styleId="CommentReference">
    <w:name w:val="annotation reference"/>
    <w:basedOn w:val="DefaultParagraphFont"/>
    <w:uiPriority w:val="99"/>
    <w:unhideWhenUsed/>
    <w:rsid w:val="007D6A23"/>
    <w:rPr>
      <w:sz w:val="16"/>
      <w:szCs w:val="16"/>
    </w:rPr>
  </w:style>
  <w:style w:type="paragraph" w:styleId="CommentText">
    <w:name w:val="annotation text"/>
    <w:basedOn w:val="Normal"/>
    <w:link w:val="CommentTextChar"/>
    <w:uiPriority w:val="99"/>
    <w:unhideWhenUsed/>
    <w:rsid w:val="007D6A23"/>
    <w:pPr>
      <w:spacing w:line="240" w:lineRule="auto"/>
    </w:pPr>
    <w:rPr>
      <w:sz w:val="20"/>
      <w:szCs w:val="20"/>
    </w:rPr>
  </w:style>
  <w:style w:type="character" w:customStyle="1" w:styleId="CommentTextChar">
    <w:name w:val="Comment Text Char"/>
    <w:basedOn w:val="DefaultParagraphFont"/>
    <w:link w:val="CommentText"/>
    <w:uiPriority w:val="99"/>
    <w:rsid w:val="007D6A23"/>
    <w:rPr>
      <w:sz w:val="20"/>
      <w:szCs w:val="20"/>
      <w:lang w:eastAsia="en-US"/>
    </w:rPr>
  </w:style>
  <w:style w:type="paragraph" w:styleId="FootnoteText">
    <w:name w:val="footnote text"/>
    <w:basedOn w:val="Normal"/>
    <w:link w:val="FootnoteTextChar"/>
    <w:uiPriority w:val="99"/>
    <w:semiHidden/>
    <w:unhideWhenUsed/>
    <w:rsid w:val="000D22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295"/>
    <w:rPr>
      <w:sz w:val="20"/>
      <w:szCs w:val="20"/>
      <w:lang w:eastAsia="en-US"/>
    </w:rPr>
  </w:style>
  <w:style w:type="character" w:styleId="FootnoteReference">
    <w:name w:val="footnote reference"/>
    <w:basedOn w:val="DefaultParagraphFont"/>
    <w:uiPriority w:val="99"/>
    <w:semiHidden/>
    <w:unhideWhenUsed/>
    <w:rsid w:val="000D2295"/>
    <w:rPr>
      <w:vertAlign w:val="superscript"/>
    </w:rPr>
  </w:style>
  <w:style w:type="paragraph" w:styleId="CommentSubject">
    <w:name w:val="annotation subject"/>
    <w:basedOn w:val="CommentText"/>
    <w:next w:val="CommentText"/>
    <w:link w:val="CommentSubjectChar"/>
    <w:uiPriority w:val="99"/>
    <w:semiHidden/>
    <w:unhideWhenUsed/>
    <w:rsid w:val="00091606"/>
    <w:rPr>
      <w:b/>
      <w:bCs/>
    </w:rPr>
  </w:style>
  <w:style w:type="character" w:customStyle="1" w:styleId="CommentSubjectChar">
    <w:name w:val="Comment Subject Char"/>
    <w:basedOn w:val="CommentTextChar"/>
    <w:link w:val="CommentSubject"/>
    <w:uiPriority w:val="99"/>
    <w:semiHidden/>
    <w:rsid w:val="00091606"/>
    <w:rPr>
      <w:b/>
      <w:bCs/>
    </w:rPr>
  </w:style>
</w:styles>
</file>

<file path=word/webSettings.xml><?xml version="1.0" encoding="utf-8"?>
<w:webSettings xmlns:r="http://schemas.openxmlformats.org/officeDocument/2006/relationships" xmlns:w="http://schemas.openxmlformats.org/wordprocessingml/2006/main">
  <w:divs>
    <w:div w:id="149516918">
      <w:bodyDiv w:val="1"/>
      <w:marLeft w:val="0"/>
      <w:marRight w:val="0"/>
      <w:marTop w:val="0"/>
      <w:marBottom w:val="0"/>
      <w:divBdr>
        <w:top w:val="none" w:sz="0" w:space="0" w:color="auto"/>
        <w:left w:val="none" w:sz="0" w:space="0" w:color="auto"/>
        <w:bottom w:val="none" w:sz="0" w:space="0" w:color="auto"/>
        <w:right w:val="none" w:sz="0" w:space="0" w:color="auto"/>
      </w:divBdr>
    </w:div>
    <w:div w:id="611788228">
      <w:bodyDiv w:val="1"/>
      <w:marLeft w:val="0"/>
      <w:marRight w:val="0"/>
      <w:marTop w:val="0"/>
      <w:marBottom w:val="0"/>
      <w:divBdr>
        <w:top w:val="none" w:sz="0" w:space="0" w:color="auto"/>
        <w:left w:val="none" w:sz="0" w:space="0" w:color="auto"/>
        <w:bottom w:val="none" w:sz="0" w:space="0" w:color="auto"/>
        <w:right w:val="none" w:sz="0" w:space="0" w:color="auto"/>
      </w:divBdr>
    </w:div>
    <w:div w:id="817384809">
      <w:bodyDiv w:val="1"/>
      <w:marLeft w:val="0"/>
      <w:marRight w:val="0"/>
      <w:marTop w:val="0"/>
      <w:marBottom w:val="0"/>
      <w:divBdr>
        <w:top w:val="none" w:sz="0" w:space="0" w:color="auto"/>
        <w:left w:val="none" w:sz="0" w:space="0" w:color="auto"/>
        <w:bottom w:val="none" w:sz="0" w:space="0" w:color="auto"/>
        <w:right w:val="none" w:sz="0" w:space="0" w:color="auto"/>
      </w:divBdr>
    </w:div>
    <w:div w:id="1069617363">
      <w:bodyDiv w:val="1"/>
      <w:marLeft w:val="0"/>
      <w:marRight w:val="0"/>
      <w:marTop w:val="0"/>
      <w:marBottom w:val="0"/>
      <w:divBdr>
        <w:top w:val="none" w:sz="0" w:space="0" w:color="auto"/>
        <w:left w:val="none" w:sz="0" w:space="0" w:color="auto"/>
        <w:bottom w:val="none" w:sz="0" w:space="0" w:color="auto"/>
        <w:right w:val="none" w:sz="0" w:space="0" w:color="auto"/>
      </w:divBdr>
    </w:div>
    <w:div w:id="1133715715">
      <w:bodyDiv w:val="1"/>
      <w:marLeft w:val="0"/>
      <w:marRight w:val="0"/>
      <w:marTop w:val="0"/>
      <w:marBottom w:val="0"/>
      <w:divBdr>
        <w:top w:val="none" w:sz="0" w:space="0" w:color="auto"/>
        <w:left w:val="none" w:sz="0" w:space="0" w:color="auto"/>
        <w:bottom w:val="none" w:sz="0" w:space="0" w:color="auto"/>
        <w:right w:val="none" w:sz="0" w:space="0" w:color="auto"/>
      </w:divBdr>
    </w:div>
    <w:div w:id="1365212576">
      <w:bodyDiv w:val="1"/>
      <w:marLeft w:val="0"/>
      <w:marRight w:val="0"/>
      <w:marTop w:val="0"/>
      <w:marBottom w:val="0"/>
      <w:divBdr>
        <w:top w:val="none" w:sz="0" w:space="0" w:color="auto"/>
        <w:left w:val="none" w:sz="0" w:space="0" w:color="auto"/>
        <w:bottom w:val="none" w:sz="0" w:space="0" w:color="auto"/>
        <w:right w:val="none" w:sz="0" w:space="0" w:color="auto"/>
      </w:divBdr>
    </w:div>
    <w:div w:id="1463188107">
      <w:bodyDiv w:val="1"/>
      <w:marLeft w:val="0"/>
      <w:marRight w:val="0"/>
      <w:marTop w:val="0"/>
      <w:marBottom w:val="0"/>
      <w:divBdr>
        <w:top w:val="none" w:sz="0" w:space="0" w:color="auto"/>
        <w:left w:val="none" w:sz="0" w:space="0" w:color="auto"/>
        <w:bottom w:val="none" w:sz="0" w:space="0" w:color="auto"/>
        <w:right w:val="none" w:sz="0" w:space="0" w:color="auto"/>
      </w:divBdr>
    </w:div>
    <w:div w:id="1613511154">
      <w:bodyDiv w:val="1"/>
      <w:marLeft w:val="0"/>
      <w:marRight w:val="0"/>
      <w:marTop w:val="0"/>
      <w:marBottom w:val="0"/>
      <w:divBdr>
        <w:top w:val="none" w:sz="0" w:space="0" w:color="auto"/>
        <w:left w:val="none" w:sz="0" w:space="0" w:color="auto"/>
        <w:bottom w:val="none" w:sz="0" w:space="0" w:color="auto"/>
        <w:right w:val="none" w:sz="0" w:space="0" w:color="auto"/>
      </w:divBdr>
    </w:div>
    <w:div w:id="1703634061">
      <w:bodyDiv w:val="1"/>
      <w:marLeft w:val="0"/>
      <w:marRight w:val="0"/>
      <w:marTop w:val="0"/>
      <w:marBottom w:val="0"/>
      <w:divBdr>
        <w:top w:val="none" w:sz="0" w:space="0" w:color="auto"/>
        <w:left w:val="none" w:sz="0" w:space="0" w:color="auto"/>
        <w:bottom w:val="none" w:sz="0" w:space="0" w:color="auto"/>
        <w:right w:val="none" w:sz="0" w:space="0" w:color="auto"/>
      </w:divBdr>
    </w:div>
    <w:div w:id="1726030639">
      <w:bodyDiv w:val="1"/>
      <w:marLeft w:val="0"/>
      <w:marRight w:val="0"/>
      <w:marTop w:val="0"/>
      <w:marBottom w:val="0"/>
      <w:divBdr>
        <w:top w:val="none" w:sz="0" w:space="0" w:color="auto"/>
        <w:left w:val="none" w:sz="0" w:space="0" w:color="auto"/>
        <w:bottom w:val="none" w:sz="0" w:space="0" w:color="auto"/>
        <w:right w:val="none" w:sz="0" w:space="0" w:color="auto"/>
      </w:divBdr>
    </w:div>
    <w:div w:id="1747454934">
      <w:bodyDiv w:val="1"/>
      <w:marLeft w:val="0"/>
      <w:marRight w:val="0"/>
      <w:marTop w:val="0"/>
      <w:marBottom w:val="0"/>
      <w:divBdr>
        <w:top w:val="none" w:sz="0" w:space="0" w:color="auto"/>
        <w:left w:val="none" w:sz="0" w:space="0" w:color="auto"/>
        <w:bottom w:val="none" w:sz="0" w:space="0" w:color="auto"/>
        <w:right w:val="none" w:sz="0" w:space="0" w:color="auto"/>
      </w:divBdr>
    </w:div>
    <w:div w:id="1819375359">
      <w:bodyDiv w:val="1"/>
      <w:marLeft w:val="0"/>
      <w:marRight w:val="0"/>
      <w:marTop w:val="0"/>
      <w:marBottom w:val="0"/>
      <w:divBdr>
        <w:top w:val="none" w:sz="0" w:space="0" w:color="auto"/>
        <w:left w:val="none" w:sz="0" w:space="0" w:color="auto"/>
        <w:bottom w:val="none" w:sz="0" w:space="0" w:color="auto"/>
        <w:right w:val="none" w:sz="0" w:space="0" w:color="auto"/>
      </w:divBdr>
    </w:div>
    <w:div w:id="20215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0" Type="http://schemas.openxmlformats.org/officeDocument/2006/relationships/theme" Target="theme/theme1.xml"/><Relationship Id="rId16" Type="http://schemas.openxmlformats.org/officeDocument/2006/relationships/image" Target="media/image2.jpeg"/><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pvac01file02\user$\A15030\Profile\Desktop\Updated%20CS%20figur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pvac01file02\user$\A15030\Profile\Desktop\Updated%20CS%20figure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title>
      <c:tx>
        <c:rich>
          <a:bodyPr/>
          <a:lstStyle/>
          <a:p>
            <a:pPr>
              <a:defRPr sz="1200"/>
            </a:pPr>
            <a:r>
              <a:rPr lang="en-AU" sz="1200"/>
              <a:t>Types</a:t>
            </a:r>
            <a:r>
              <a:rPr lang="en-AU" sz="1200" baseline="0"/>
              <a:t> of o</a:t>
            </a:r>
            <a:r>
              <a:rPr lang="en-AU" sz="1200"/>
              <a:t>rganisations who responded</a:t>
            </a:r>
          </a:p>
        </c:rich>
      </c:tx>
      <c:layout>
        <c:manualLayout>
          <c:xMode val="edge"/>
          <c:yMode val="edge"/>
          <c:x val="0.29043516367911631"/>
          <c:y val="1.9735940447709165E-2"/>
        </c:manualLayout>
      </c:layout>
    </c:title>
    <c:plotArea>
      <c:layout>
        <c:manualLayout>
          <c:layoutTarget val="inner"/>
          <c:xMode val="edge"/>
          <c:yMode val="edge"/>
          <c:x val="0.21179519814673764"/>
          <c:y val="0.10093021662109468"/>
          <c:w val="0.58157931509363059"/>
          <c:h val="0.89906969833534112"/>
        </c:manualLayout>
      </c:layout>
      <c:pieChart>
        <c:varyColors val="1"/>
        <c:ser>
          <c:idx val="0"/>
          <c:order val="0"/>
          <c:dLbls>
            <c:dLbl>
              <c:idx val="1"/>
              <c:layout>
                <c:manualLayout>
                  <c:x val="-0.1932774520569199"/>
                  <c:y val="0.11066715115634571"/>
                </c:manualLayout>
              </c:layout>
              <c:showCatName val="1"/>
              <c:showPercent val="1"/>
            </c:dLbl>
            <c:dLbl>
              <c:idx val="2"/>
              <c:layout>
                <c:manualLayout>
                  <c:x val="-0.16595335698052324"/>
                  <c:y val="-0.23529979883717581"/>
                </c:manualLayout>
              </c:layout>
              <c:showCatName val="1"/>
              <c:showPercent val="1"/>
            </c:dLbl>
            <c:dLbl>
              <c:idx val="3"/>
              <c:layout>
                <c:manualLayout>
                  <c:x val="0.15179167129989993"/>
                  <c:y val="-0.15851529508940326"/>
                </c:manualLayout>
              </c:layout>
              <c:showCatName val="1"/>
              <c:showPercent val="1"/>
            </c:dLbl>
            <c:dLbl>
              <c:idx val="4"/>
              <c:layout>
                <c:manualLayout>
                  <c:x val="0.19625954393991837"/>
                  <c:y val="-8.6265233232062227E-2"/>
                </c:manualLayout>
              </c:layout>
              <c:showCatName val="1"/>
              <c:showPercent val="1"/>
            </c:dLbl>
            <c:dLbl>
              <c:idx val="5"/>
              <c:layout>
                <c:manualLayout>
                  <c:x val="0.13522319854061421"/>
                  <c:y val="3.4899593248043599E-2"/>
                </c:manualLayout>
              </c:layout>
              <c:tx>
                <c:rich>
                  <a:bodyPr/>
                  <a:lstStyle/>
                  <a:p>
                    <a:r>
                      <a:rPr lang="en-US"/>
                      <a:t>Agriculture Community Group
3%</a:t>
                    </a:r>
                  </a:p>
                </c:rich>
              </c:tx>
              <c:showCatName val="1"/>
              <c:showPercent val="1"/>
            </c:dLbl>
            <c:dLbl>
              <c:idx val="6"/>
              <c:layout>
                <c:manualLayout>
                  <c:x val="0.12945875243624191"/>
                  <c:y val="5.9714519824286473E-2"/>
                </c:manualLayout>
              </c:layout>
              <c:showCatName val="1"/>
              <c:showPercent val="1"/>
            </c:dLbl>
            <c:dLbl>
              <c:idx val="7"/>
              <c:layout>
                <c:manualLayout>
                  <c:x val="0.11044014258280797"/>
                  <c:y val="0.13666309779714383"/>
                </c:manualLayout>
              </c:layout>
              <c:showCatName val="1"/>
              <c:showPercent val="1"/>
            </c:dLbl>
            <c:txPr>
              <a:bodyPr/>
              <a:lstStyle/>
              <a:p>
                <a:pPr>
                  <a:defRPr sz="1050" b="1"/>
                </a:pPr>
                <a:endParaRPr lang="en-US"/>
              </a:p>
            </c:txPr>
            <c:showCatName val="1"/>
            <c:showPercent val="1"/>
            <c:showLeaderLines val="1"/>
          </c:dLbls>
          <c:cat>
            <c:strRef>
              <c:f>Sheet1!$B$21:$B$29</c:f>
              <c:strCache>
                <c:ptCount val="9"/>
                <c:pt idx="0">
                  <c:v>Other</c:v>
                </c:pt>
                <c:pt idx="1">
                  <c:v>Indigenous community group</c:v>
                </c:pt>
                <c:pt idx="2">
                  <c:v>Local landcare group or Landcare Network</c:v>
                </c:pt>
                <c:pt idx="3">
                  <c:v>Peak industry body</c:v>
                </c:pt>
                <c:pt idx="4">
                  <c:v>NRM organisation</c:v>
                </c:pt>
                <c:pt idx="5">
                  <c:v>Farming/agriculture Community Group</c:v>
                </c:pt>
                <c:pt idx="6">
                  <c:v>Environment Community Group</c:v>
                </c:pt>
                <c:pt idx="7">
                  <c:v>State and Local Government </c:v>
                </c:pt>
                <c:pt idx="8">
                  <c:v>NGO</c:v>
                </c:pt>
              </c:strCache>
            </c:strRef>
          </c:cat>
          <c:val>
            <c:numRef>
              <c:f>Sheet1!$C$21:$C$29</c:f>
              <c:numCache>
                <c:formatCode>General</c:formatCode>
                <c:ptCount val="9"/>
                <c:pt idx="0">
                  <c:v>27</c:v>
                </c:pt>
                <c:pt idx="1">
                  <c:v>2</c:v>
                </c:pt>
                <c:pt idx="2">
                  <c:v>56</c:v>
                </c:pt>
                <c:pt idx="3">
                  <c:v>6</c:v>
                </c:pt>
                <c:pt idx="4">
                  <c:v>23</c:v>
                </c:pt>
                <c:pt idx="5">
                  <c:v>5</c:v>
                </c:pt>
                <c:pt idx="6">
                  <c:v>10</c:v>
                </c:pt>
                <c:pt idx="7">
                  <c:v>10</c:v>
                </c:pt>
                <c:pt idx="8">
                  <c:v>9</c:v>
                </c:pt>
              </c:numCache>
            </c:numRef>
          </c:val>
        </c:ser>
        <c:dLbls>
          <c:showCatName val="1"/>
          <c:showPercent val="1"/>
        </c:dLbls>
        <c:firstSliceAng val="0"/>
      </c:pieChart>
    </c:plotArea>
    <c:plotVisOnly val="1"/>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156968813653896"/>
          <c:y val="2.8566848177499431E-2"/>
          <c:w val="0.60696316429656649"/>
          <c:h val="0.97143315182250056"/>
        </c:manualLayout>
      </c:layout>
      <c:pieChart>
        <c:varyColors val="1"/>
        <c:ser>
          <c:idx val="0"/>
          <c:order val="0"/>
          <c:dLbls>
            <c:dLbl>
              <c:idx val="0"/>
              <c:layout>
                <c:manualLayout>
                  <c:x val="1.2703163829468941E-3"/>
                  <c:y val="0.13598323117782757"/>
                </c:manualLayout>
              </c:layout>
              <c:showCatName val="1"/>
              <c:showPercent val="1"/>
            </c:dLbl>
            <c:dLbl>
              <c:idx val="1"/>
              <c:layout>
                <c:manualLayout>
                  <c:x val="-0.140181385399157"/>
                  <c:y val="0.10734450898558841"/>
                </c:manualLayout>
              </c:layout>
              <c:showCatName val="1"/>
              <c:showPercent val="1"/>
            </c:dLbl>
            <c:dLbl>
              <c:idx val="2"/>
              <c:layout>
                <c:manualLayout>
                  <c:x val="-5.6351076944247271E-2"/>
                  <c:y val="-0.16717815671207109"/>
                </c:manualLayout>
              </c:layout>
              <c:tx>
                <c:rich>
                  <a:bodyPr/>
                  <a:lstStyle/>
                  <a:p>
                    <a:r>
                      <a:rPr lang="en-US" sz="1050" b="1"/>
                      <a:t>Q</a:t>
                    </a:r>
                    <a:r>
                      <a:rPr lang="en-US"/>
                      <a:t>ld
20%</a:t>
                    </a:r>
                  </a:p>
                </c:rich>
              </c:tx>
              <c:showCatName val="1"/>
              <c:showPercent val="1"/>
            </c:dLbl>
            <c:dLbl>
              <c:idx val="3"/>
              <c:layout>
                <c:manualLayout>
                  <c:x val="5.7343501755719423E-2"/>
                  <c:y val="-0.15850811989333938"/>
                </c:manualLayout>
              </c:layout>
              <c:tx>
                <c:rich>
                  <a:bodyPr/>
                  <a:lstStyle/>
                  <a:p>
                    <a:r>
                      <a:rPr lang="en-US" sz="1050" b="1"/>
                      <a:t>S</a:t>
                    </a:r>
                    <a:r>
                      <a:rPr lang="en-US"/>
                      <a:t>A
5%</a:t>
                    </a:r>
                  </a:p>
                </c:rich>
              </c:tx>
              <c:showCatName val="1"/>
              <c:showPercent val="1"/>
            </c:dLbl>
            <c:dLbl>
              <c:idx val="4"/>
              <c:layout>
                <c:manualLayout>
                  <c:x val="7.8762771808255846E-2"/>
                  <c:y val="-0.14623583226902895"/>
                </c:manualLayout>
              </c:layout>
              <c:tx>
                <c:rich>
                  <a:bodyPr/>
                  <a:lstStyle/>
                  <a:p>
                    <a:r>
                      <a:rPr lang="en-US" sz="1050" b="1"/>
                      <a:t>T</a:t>
                    </a:r>
                    <a:r>
                      <a:rPr lang="en-US"/>
                      <a:t>as
7%</a:t>
                    </a:r>
                  </a:p>
                </c:rich>
              </c:tx>
              <c:showCatName val="1"/>
              <c:showPercent val="1"/>
            </c:dLbl>
            <c:dLbl>
              <c:idx val="5"/>
              <c:layout>
                <c:manualLayout>
                  <c:x val="0.11151058134096165"/>
                  <c:y val="-5.2283669903224134E-3"/>
                </c:manualLayout>
              </c:layout>
              <c:tx>
                <c:rich>
                  <a:bodyPr/>
                  <a:lstStyle/>
                  <a:p>
                    <a:r>
                      <a:rPr lang="en-US" sz="1050" b="1"/>
                      <a:t>V</a:t>
                    </a:r>
                    <a:r>
                      <a:rPr lang="en-US"/>
                      <a:t>ic
19%</a:t>
                    </a:r>
                  </a:p>
                </c:rich>
              </c:tx>
              <c:showCatName val="1"/>
              <c:showPercent val="1"/>
            </c:dLbl>
            <c:dLbl>
              <c:idx val="6"/>
              <c:layout>
                <c:manualLayout>
                  <c:x val="5.8498069434704474E-2"/>
                  <c:y val="9.2981195192723895E-2"/>
                </c:manualLayout>
              </c:layout>
              <c:tx>
                <c:rich>
                  <a:bodyPr/>
                  <a:lstStyle/>
                  <a:p>
                    <a:r>
                      <a:rPr lang="en-US" sz="1050" b="1"/>
                      <a:t>N</a:t>
                    </a:r>
                    <a:r>
                      <a:rPr lang="en-US"/>
                      <a:t>T
2%</a:t>
                    </a:r>
                  </a:p>
                </c:rich>
              </c:tx>
              <c:showCatName val="1"/>
              <c:showPercent val="1"/>
            </c:dLbl>
            <c:dLbl>
              <c:idx val="7"/>
              <c:layout>
                <c:manualLayout>
                  <c:x val="5.5761681703215445E-2"/>
                  <c:y val="0.16101061811652675"/>
                </c:manualLayout>
              </c:layout>
              <c:tx>
                <c:rich>
                  <a:bodyPr/>
                  <a:lstStyle/>
                  <a:p>
                    <a:r>
                      <a:rPr lang="en-US" sz="1050" b="1"/>
                      <a:t>W</a:t>
                    </a:r>
                    <a:r>
                      <a:rPr lang="en-US"/>
                      <a:t>A
</a:t>
                    </a:r>
                    <a:r>
                      <a:rPr lang="en-US" b="1"/>
                      <a:t>13%</a:t>
                    </a:r>
                  </a:p>
                </c:rich>
              </c:tx>
              <c:showCatName val="1"/>
              <c:showPercent val="1"/>
            </c:dLbl>
            <c:txPr>
              <a:bodyPr/>
              <a:lstStyle/>
              <a:p>
                <a:pPr>
                  <a:defRPr sz="1050" b="1"/>
                </a:pPr>
                <a:endParaRPr lang="en-US"/>
              </a:p>
            </c:txPr>
            <c:showCatName val="1"/>
            <c:showPercent val="1"/>
            <c:showLeaderLines val="1"/>
          </c:dLbls>
          <c:cat>
            <c:strRef>
              <c:f>Sheet3!$A$2:$A$9</c:f>
              <c:strCache>
                <c:ptCount val="8"/>
                <c:pt idx="0">
                  <c:v>ACT</c:v>
                </c:pt>
                <c:pt idx="1">
                  <c:v>NSW</c:v>
                </c:pt>
                <c:pt idx="2">
                  <c:v>Queensland</c:v>
                </c:pt>
                <c:pt idx="3">
                  <c:v>South Australia</c:v>
                </c:pt>
                <c:pt idx="4">
                  <c:v>Tasmania</c:v>
                </c:pt>
                <c:pt idx="5">
                  <c:v>Victoria</c:v>
                </c:pt>
                <c:pt idx="6">
                  <c:v>Northern Territory</c:v>
                </c:pt>
                <c:pt idx="7">
                  <c:v>Western Australia</c:v>
                </c:pt>
              </c:strCache>
            </c:strRef>
          </c:cat>
          <c:val>
            <c:numRef>
              <c:f>Sheet3!$B$2:$B$9</c:f>
              <c:numCache>
                <c:formatCode>0%</c:formatCode>
                <c:ptCount val="8"/>
                <c:pt idx="0">
                  <c:v>1.0000000000000005E-2</c:v>
                </c:pt>
                <c:pt idx="1">
                  <c:v>0.33000000000000235</c:v>
                </c:pt>
                <c:pt idx="2">
                  <c:v>0.2</c:v>
                </c:pt>
                <c:pt idx="3">
                  <c:v>0.05</c:v>
                </c:pt>
                <c:pt idx="4">
                  <c:v>7.0000000000000021E-2</c:v>
                </c:pt>
                <c:pt idx="5">
                  <c:v>0.19</c:v>
                </c:pt>
                <c:pt idx="6">
                  <c:v>2.0000000000000011E-2</c:v>
                </c:pt>
                <c:pt idx="7">
                  <c:v>0.13</c:v>
                </c:pt>
              </c:numCache>
            </c:numRef>
          </c:val>
        </c:ser>
        <c:dLbls>
          <c:showCatName val="1"/>
          <c:showPercent val="1"/>
        </c:dLbls>
        <c:firstSliceAng val="0"/>
      </c:pieChart>
    </c:plotArea>
    <c:plotVisOnly val="1"/>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1A55B-24AE-4F0F-A0D6-F8C6BE0E0458}">
  <ds:schemaRefs>
    <ds:schemaRef ds:uri="http://schemas.microsoft.com/sharepoint/events"/>
  </ds:schemaRefs>
</ds:datastoreItem>
</file>

<file path=customXml/itemProps2.xml><?xml version="1.0" encoding="utf-8"?>
<ds:datastoreItem xmlns:ds="http://schemas.openxmlformats.org/officeDocument/2006/customXml" ds:itemID="{315F7110-06AB-4503-92F1-FB5B8EF5E326}">
  <ds:schemaRefs>
    <ds:schemaRef ds:uri="http://schemas.microsoft.com/office/2006/metadata/customXsn"/>
  </ds:schemaRefs>
</ds:datastoreItem>
</file>

<file path=customXml/itemProps3.xml><?xml version="1.0" encoding="utf-8"?>
<ds:datastoreItem xmlns:ds="http://schemas.openxmlformats.org/officeDocument/2006/customXml" ds:itemID="{37F2B653-20B0-4748-A01E-D5AD25BC5162}"/>
</file>

<file path=customXml/itemProps4.xml><?xml version="1.0" encoding="utf-8"?>
<ds:datastoreItem xmlns:ds="http://schemas.openxmlformats.org/officeDocument/2006/customXml" ds:itemID="{AC3492CD-9B6F-4E0D-A171-DA523B9781B6}">
  <ds:schemaRefs>
    <ds:schemaRef ds:uri="http://schemas.microsoft.com/office/2006/metadata/properties"/>
    <ds:schemaRef ds:uri="799a1582-8582-406f-ad09-2bf004bcd4b6"/>
  </ds:schemaRefs>
</ds:datastoreItem>
</file>

<file path=customXml/itemProps5.xml><?xml version="1.0" encoding="utf-8"?>
<ds:datastoreItem xmlns:ds="http://schemas.openxmlformats.org/officeDocument/2006/customXml" ds:itemID="{213E37B2-A951-4FD8-9AEE-455D828685E1}">
  <ds:schemaRefs>
    <ds:schemaRef ds:uri="http://schemas.microsoft.com/sharepoint/v3/contenttype/forms"/>
  </ds:schemaRefs>
</ds:datastoreItem>
</file>

<file path=customXml/itemProps6.xml><?xml version="1.0" encoding="utf-8"?>
<ds:datastoreItem xmlns:ds="http://schemas.openxmlformats.org/officeDocument/2006/customXml" ds:itemID="{C364BC53-9CC4-428C-B982-2D559DF3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2210</Words>
  <Characters>12602</Characters>
  <Application>Microsoft Office Word</Application>
  <DocSecurity>4</DocSecurity>
  <Lines>105</Lines>
  <Paragraphs>29</Paragraphs>
  <ScaleCrop>false</ScaleCrop>
  <HeadingPairs>
    <vt:vector size="2" baseType="variant">
      <vt:variant>
        <vt:lpstr>؀礀덴뽎㤀</vt:lpstr>
      </vt:variant>
      <vt:variant>
        <vt:i4>1</vt:i4>
      </vt:variant>
    </vt:vector>
  </HeadingPairs>
  <Company>Department of Agriculture Fisheries &amp; Forestry</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Programme consultation summary report</dc:title>
  <dc:creator>Department of the Environment</dc:creator>
  <cp:lastModifiedBy>Bec Billingham</cp:lastModifiedBy>
  <cp:revision>2</cp:revision>
  <dcterms:created xsi:type="dcterms:W3CDTF">2014-11-03T22:30:00Z</dcterms:created>
  <dcterms:modified xsi:type="dcterms:W3CDTF">2014-11-03T22:30:00Z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UniqueId">
    <vt:lpwstr>{9f1840fa-d336-4fa1-8293-0b40c7d946ab}</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SiteId">
    <vt:lpwstr>{592f51bd-7f6c-40bf-afb4-0f69d5494f0f}</vt:lpwstr>
  </property>
  <property fmtid="{D5CDD505-2E9C-101B-9397-08002B2CF9AE}" pid="8" name="RecordPoint_ActiveItemListId">
    <vt:lpwstr>{aa2ec59c-cb53-4f36-81ff-46d518136753}</vt:lpwstr>
  </property>
  <property fmtid="{D5CDD505-2E9C-101B-9397-08002B2CF9AE}" pid="9" name="RecordPoint_RecordFormat">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ActiveItemWebId">
    <vt:lpwstr>{ad53a1ae-088c-48ad-b316-95eb82cde4e2}</vt:lpwstr>
  </property>
  <property fmtid="{D5CDD505-2E9C-101B-9397-08002B2CF9AE}" pid="13" name="IconOverlay">
    <vt:lpwstr/>
  </property>
</Properties>
</file>